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8"/>
        <w:ind w:left="652" w:right="293" w:firstLine="0"/>
        <w:jc w:val="left"/>
        <w:rPr>
          <w:rFonts w:ascii="宋体" w:hAnsi="宋体" w:cs="宋体" w:eastAsia="宋体" w:hint="default"/>
          <w:sz w:val="72"/>
          <w:szCs w:val="72"/>
        </w:rPr>
      </w:pPr>
      <w:r>
        <w:rPr>
          <w:rFonts w:ascii="宋体" w:hAnsi="宋体" w:cs="宋体" w:eastAsia="宋体" w:hint="default"/>
          <w:sz w:val="72"/>
          <w:szCs w:val="72"/>
        </w:rPr>
        <w:t>北京超图软件股份有限公司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1636" w:lineRule="exact"/>
        <w:ind w:left="2483"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3456325" cy="103898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456325" cy="1038987"/>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sz w:val="72"/>
          <w:szCs w:val="72"/>
        </w:rPr>
      </w:pPr>
    </w:p>
    <w:p>
      <w:pPr>
        <w:spacing w:line="240" w:lineRule="auto" w:before="0"/>
        <w:rPr>
          <w:rFonts w:ascii="宋体" w:hAnsi="宋体" w:cs="宋体" w:eastAsia="宋体" w:hint="default"/>
          <w:sz w:val="81"/>
          <w:szCs w:val="81"/>
        </w:rPr>
      </w:pPr>
    </w:p>
    <w:p>
      <w:pPr>
        <w:spacing w:before="0"/>
        <w:ind w:left="3081" w:right="293" w:firstLine="0"/>
        <w:jc w:val="left"/>
        <w:rPr>
          <w:rFonts w:ascii="宋体" w:hAnsi="宋体" w:cs="宋体" w:eastAsia="宋体" w:hint="default"/>
          <w:sz w:val="72"/>
          <w:szCs w:val="72"/>
        </w:rPr>
      </w:pPr>
      <w:r>
        <w:rPr>
          <w:rFonts w:ascii="Times New Roman" w:hAnsi="Times New Roman" w:cs="Times New Roman" w:eastAsia="Times New Roman" w:hint="default"/>
          <w:sz w:val="72"/>
          <w:szCs w:val="72"/>
        </w:rPr>
        <w:t>2017 </w:t>
      </w:r>
      <w:r>
        <w:rPr>
          <w:rFonts w:ascii="宋体" w:hAnsi="宋体" w:cs="宋体" w:eastAsia="宋体" w:hint="default"/>
          <w:sz w:val="72"/>
          <w:szCs w:val="72"/>
        </w:rPr>
        <w:t>年年度报告</w:t>
      </w:r>
    </w:p>
    <w:p>
      <w:pPr>
        <w:spacing w:line="240" w:lineRule="auto" w:before="11"/>
        <w:rPr>
          <w:rFonts w:ascii="宋体" w:hAnsi="宋体" w:cs="宋体" w:eastAsia="宋体" w:hint="default"/>
          <w:sz w:val="71"/>
          <w:szCs w:val="71"/>
        </w:rPr>
      </w:pPr>
    </w:p>
    <w:p>
      <w:pPr>
        <w:spacing w:line="379" w:lineRule="auto" w:before="0"/>
        <w:ind w:left="3268" w:right="2548" w:firstLine="0"/>
        <w:jc w:val="center"/>
        <w:rPr>
          <w:rFonts w:ascii="Times New Roman" w:hAnsi="Times New Roman" w:cs="Times New Roman" w:eastAsia="Times New Roman" w:hint="default"/>
          <w:sz w:val="36"/>
          <w:szCs w:val="36"/>
        </w:rPr>
      </w:pPr>
      <w:r>
        <w:rPr>
          <w:rFonts w:ascii="宋体" w:hAnsi="宋体" w:cs="宋体" w:eastAsia="宋体" w:hint="default"/>
          <w:b/>
          <w:bCs/>
          <w:sz w:val="36"/>
          <w:szCs w:val="36"/>
        </w:rPr>
        <w:t>股票简称：超图软件</w:t>
      </w:r>
      <w:r>
        <w:rPr>
          <w:rFonts w:ascii="宋体" w:hAnsi="宋体" w:cs="宋体" w:eastAsia="宋体" w:hint="default"/>
          <w:b/>
          <w:bCs/>
          <w:w w:val="99"/>
          <w:sz w:val="36"/>
          <w:szCs w:val="36"/>
        </w:rPr>
        <w:t> </w:t>
      </w:r>
      <w:r>
        <w:rPr>
          <w:rFonts w:ascii="宋体" w:hAnsi="宋体" w:cs="宋体" w:eastAsia="宋体" w:hint="default"/>
          <w:b/>
          <w:bCs/>
          <w:sz w:val="36"/>
          <w:szCs w:val="36"/>
        </w:rPr>
        <w:t>股票代码：</w:t>
      </w:r>
      <w:r>
        <w:rPr>
          <w:rFonts w:ascii="Times New Roman" w:hAnsi="Times New Roman" w:cs="Times New Roman" w:eastAsia="Times New Roman" w:hint="default"/>
          <w:b/>
          <w:bCs/>
          <w:sz w:val="36"/>
          <w:szCs w:val="36"/>
        </w:rPr>
        <w:t>300036</w:t>
      </w:r>
      <w:r>
        <w:rPr>
          <w:rFonts w:ascii="Times New Roman" w:hAnsi="Times New Roman" w:cs="Times New Roman" w:eastAsia="Times New Roman" w:hint="default"/>
          <w:sz w:val="36"/>
          <w:szCs w:val="36"/>
        </w:rPr>
      </w:r>
    </w:p>
    <w:p>
      <w:pPr>
        <w:spacing w:line="240" w:lineRule="auto" w:before="0"/>
        <w:rPr>
          <w:rFonts w:ascii="Times New Roman" w:hAnsi="Times New Roman" w:cs="Times New Roman" w:eastAsia="Times New Roman" w:hint="default"/>
          <w:b/>
          <w:bCs/>
          <w:sz w:val="38"/>
          <w:szCs w:val="38"/>
        </w:rPr>
      </w:pPr>
    </w:p>
    <w:p>
      <w:pPr>
        <w:spacing w:before="231"/>
        <w:ind w:left="3268" w:right="2626" w:firstLine="0"/>
        <w:jc w:val="center"/>
        <w:rPr>
          <w:rFonts w:ascii="宋体" w:hAnsi="宋体" w:cs="宋体" w:eastAsia="宋体" w:hint="default"/>
          <w:sz w:val="32"/>
          <w:szCs w:val="32"/>
        </w:rPr>
      </w:pPr>
      <w:r>
        <w:rPr>
          <w:rFonts w:ascii="宋体" w:hAnsi="宋体" w:cs="宋体" w:eastAsia="宋体" w:hint="default"/>
          <w:b/>
          <w:bCs/>
          <w:sz w:val="32"/>
          <w:szCs w:val="32"/>
        </w:rPr>
        <w:t>二〇一八年三月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877" w:footer="980" w:top="1100" w:bottom="1160" w:left="980" w:right="980"/>
          <w:pgNumType w:start="1"/>
        </w:sectPr>
      </w:pPr>
    </w:p>
    <w:p>
      <w:pPr>
        <w:spacing w:line="240" w:lineRule="auto" w:before="6"/>
        <w:rPr>
          <w:rFonts w:ascii="宋体" w:hAnsi="宋体" w:cs="宋体" w:eastAsia="宋体" w:hint="default"/>
          <w:b/>
          <w:bCs/>
          <w:sz w:val="28"/>
          <w:szCs w:val="28"/>
        </w:rPr>
      </w:pPr>
    </w:p>
    <w:p>
      <w:pPr>
        <w:pStyle w:val="Heading1"/>
        <w:tabs>
          <w:tab w:pos="3974" w:val="left" w:leader="none"/>
        </w:tabs>
        <w:spacing w:line="240" w:lineRule="auto"/>
        <w:ind w:left="2717" w:right="293"/>
        <w:jc w:val="left"/>
        <w:rPr>
          <w:b w:val="0"/>
          <w:bCs w:val="0"/>
        </w:rPr>
      </w:pPr>
      <w:bookmarkStart w:name="_bookmark0" w:id="1"/>
      <w:bookmarkEnd w:id="1"/>
      <w:r>
        <w:rPr>
          <w:b w:val="0"/>
          <w:bCs w:val="0"/>
        </w:rPr>
      </w:r>
      <w:r>
        <w:rPr>
          <w:spacing w:val="4"/>
          <w:w w:val="95"/>
        </w:rPr>
        <w:t>第一节</w:t>
        <w:tab/>
      </w:r>
      <w:r>
        <w:rPr>
          <w:spacing w:val="5"/>
        </w:rPr>
        <w:t>重要提示、目录和释义</w:t>
      </w:r>
      <w:r>
        <w:rPr>
          <w:b w:val="0"/>
          <w:bCs w:val="0"/>
          <w:spacing w:val="5"/>
        </w:rPr>
      </w:r>
    </w:p>
    <w:p>
      <w:pPr>
        <w:spacing w:line="240" w:lineRule="auto" w:before="12"/>
        <w:rPr>
          <w:rFonts w:ascii="宋体" w:hAnsi="宋体" w:cs="宋体" w:eastAsia="宋体" w:hint="default"/>
          <w:b/>
          <w:bCs/>
          <w:sz w:val="39"/>
          <w:szCs w:val="39"/>
        </w:rPr>
      </w:pPr>
    </w:p>
    <w:p>
      <w:pPr>
        <w:pStyle w:val="BodyText"/>
        <w:spacing w:line="348" w:lineRule="auto" w:before="0"/>
        <w:ind w:right="216" w:firstLine="480"/>
        <w:jc w:val="both"/>
      </w:pPr>
      <w:r>
        <w:rPr>
          <w:rFonts w:ascii="Times New Roman" w:hAnsi="Times New Roman" w:cs="Times New Roman" w:eastAsia="Times New Roman" w:hint="default"/>
        </w:rPr>
        <w:t>1</w:t>
      </w:r>
      <w:r>
        <w:rPr/>
        <w:t>、本公司董事会、监事会及董事、监事、高级管理人员保证本报告所载资料不存在任 </w:t>
      </w:r>
      <w:r>
        <w:rPr>
          <w:spacing w:val="-7"/>
        </w:rPr>
        <w:t>何虚假记载、误导性陈述或者重大遗漏，并对其内容的真实性、准确性和完整性承担个别及连</w:t>
      </w:r>
      <w:r>
        <w:rPr>
          <w:spacing w:val="-101"/>
        </w:rPr>
        <w:t> </w:t>
      </w:r>
      <w:r>
        <w:rPr>
          <w:spacing w:val="-101"/>
        </w:rPr>
      </w:r>
      <w:r>
        <w:rPr/>
        <w:t>带责任。</w:t>
      </w:r>
    </w:p>
    <w:p>
      <w:pPr>
        <w:pStyle w:val="BodyText"/>
        <w:spacing w:line="338" w:lineRule="auto" w:before="46"/>
        <w:ind w:right="293" w:firstLine="480"/>
        <w:jc w:val="left"/>
      </w:pPr>
      <w:r>
        <w:rPr>
          <w:rFonts w:ascii="Times New Roman" w:hAnsi="Times New Roman" w:cs="Times New Roman" w:eastAsia="Times New Roman" w:hint="default"/>
        </w:rPr>
        <w:t>2</w:t>
      </w:r>
      <w:r>
        <w:rPr/>
        <w:t>、没有董事、监事、高级管理人员声明对年度报告内容的真实性、准确性和完整性无 法保证或存在异议。</w:t>
      </w:r>
    </w:p>
    <w:p>
      <w:pPr>
        <w:pStyle w:val="BodyText"/>
        <w:spacing w:line="240" w:lineRule="auto"/>
        <w:ind w:left="633" w:right="293"/>
        <w:jc w:val="left"/>
      </w:pPr>
      <w:r>
        <w:rPr>
          <w:rFonts w:ascii="Times New Roman" w:hAnsi="Times New Roman" w:cs="Times New Roman" w:eastAsia="Times New Roman" w:hint="default"/>
        </w:rPr>
        <w:t>3</w:t>
      </w:r>
      <w:r>
        <w:rPr/>
        <w:t>、所有董事均已亲自出席审议本次年报的董事会会议。</w:t>
      </w:r>
    </w:p>
    <w:p>
      <w:pPr>
        <w:pStyle w:val="BodyText"/>
        <w:spacing w:line="338" w:lineRule="auto" w:before="136"/>
        <w:ind w:right="202" w:firstLine="480"/>
        <w:jc w:val="left"/>
      </w:pPr>
      <w:r>
        <w:rPr>
          <w:rFonts w:ascii="Times New Roman" w:hAnsi="Times New Roman" w:cs="Times New Roman" w:eastAsia="Times New Roman" w:hint="default"/>
        </w:rPr>
        <w:t>4</w:t>
      </w:r>
      <w:r>
        <w:rPr/>
        <w:t>、中汇会计师事务所（特殊普通合伙）为本公司</w:t>
      </w:r>
      <w:r>
        <w:rPr>
          <w:spacing w:val="-29"/>
        </w:rPr>
        <w:t> </w:t>
      </w:r>
      <w:r>
        <w:rPr>
          <w:rFonts w:ascii="Times New Roman" w:hAnsi="Times New Roman" w:cs="Times New Roman" w:eastAsia="Times New Roman" w:hint="default"/>
        </w:rPr>
        <w:t>2017</w:t>
      </w:r>
      <w:r>
        <w:rPr/>
        <w:t>年度财务报告出具了标准无保留 意见的审计报告。</w:t>
      </w:r>
    </w:p>
    <w:p>
      <w:pPr>
        <w:pStyle w:val="BodyText"/>
        <w:spacing w:line="338" w:lineRule="auto"/>
        <w:ind w:right="293" w:firstLine="480"/>
        <w:jc w:val="left"/>
      </w:pPr>
      <w:r>
        <w:rPr>
          <w:rFonts w:ascii="Times New Roman" w:hAnsi="Times New Roman" w:cs="Times New Roman" w:eastAsia="Times New Roman" w:hint="default"/>
        </w:rPr>
        <w:t>5</w:t>
      </w:r>
      <w:r>
        <w:rPr/>
        <w:t>、公司负责人钟耳顺、主管会计工作负责人李煜及会计机构负责人（会计主管人员） 荆钺坤声明：保证年度报告中财务报告的真实、完整。</w:t>
      </w:r>
    </w:p>
    <w:p>
      <w:pPr>
        <w:pStyle w:val="BodyText"/>
        <w:spacing w:line="348" w:lineRule="auto"/>
        <w:ind w:right="213" w:firstLine="480"/>
        <w:jc w:val="left"/>
      </w:pPr>
      <w:r>
        <w:rPr>
          <w:rFonts w:ascii="Times New Roman" w:hAnsi="Times New Roman" w:cs="Times New Roman" w:eastAsia="Times New Roman" w:hint="default"/>
        </w:rPr>
        <w:t>6</w:t>
      </w:r>
      <w:r>
        <w:rPr/>
        <w:t>、本报告中如有涉及未来的计划、业绩预测等方面的内容，均不构成本公司对任何投 </w:t>
      </w:r>
      <w:r>
        <w:rPr>
          <w:spacing w:val="-1"/>
        </w:rPr>
        <w:t>资者及相关人士的承诺，投资者及相关人士均应对此保持足够的风险认识，并且应当理解计</w:t>
      </w:r>
      <w:r>
        <w:rPr>
          <w:spacing w:val="-109"/>
        </w:rPr>
        <w:t> </w:t>
      </w:r>
      <w:r>
        <w:rPr>
          <w:spacing w:val="-109"/>
        </w:rPr>
      </w:r>
      <w:r>
        <w:rPr/>
        <w:t>划、预测与承诺之间的差异。</w:t>
      </w:r>
    </w:p>
    <w:p>
      <w:pPr>
        <w:pStyle w:val="BodyText"/>
        <w:spacing w:line="338" w:lineRule="auto" w:before="46"/>
        <w:ind w:right="293" w:firstLine="480"/>
        <w:jc w:val="left"/>
      </w:pPr>
      <w:r>
        <w:rPr>
          <w:rFonts w:ascii="Times New Roman" w:hAnsi="Times New Roman" w:cs="Times New Roman" w:eastAsia="Times New Roman" w:hint="default"/>
        </w:rPr>
        <w:t>7</w:t>
      </w:r>
      <w:r>
        <w:rPr/>
        <w:t>、公司经本次董事会审议通过的利润分配预案为：拟以现有总股本</w:t>
      </w:r>
      <w:r>
        <w:rPr>
          <w:rFonts w:ascii="Times New Roman" w:hAnsi="Times New Roman" w:cs="Times New Roman" w:eastAsia="Times New Roman" w:hint="default"/>
        </w:rPr>
        <w:t>449,537,367</w:t>
      </w:r>
      <w:r>
        <w:rPr/>
        <w:t>股为基 数，向全体股东每</w:t>
      </w:r>
      <w:r>
        <w:rPr>
          <w:rFonts w:ascii="Times New Roman" w:hAnsi="Times New Roman" w:cs="Times New Roman" w:eastAsia="Times New Roman" w:hint="default"/>
        </w:rPr>
        <w:t>10</w:t>
      </w:r>
      <w:r>
        <w:rPr/>
        <w:t>股派发人民币现金红利</w:t>
      </w:r>
      <w:r>
        <w:rPr>
          <w:rFonts w:ascii="Times New Roman" w:hAnsi="Times New Roman" w:cs="Times New Roman" w:eastAsia="Times New Roman" w:hint="default"/>
        </w:rPr>
        <w:t>0.88</w:t>
      </w:r>
      <w:r>
        <w:rPr/>
        <w:t>元（含税）。</w:t>
      </w:r>
    </w:p>
    <w:p>
      <w:pPr>
        <w:pStyle w:val="BodyText"/>
        <w:spacing w:line="338" w:lineRule="auto" w:before="27"/>
        <w:ind w:right="202" w:firstLine="480"/>
        <w:jc w:val="left"/>
      </w:pPr>
      <w:r>
        <w:rPr>
          <w:rFonts w:ascii="Times New Roman" w:hAnsi="Times New Roman" w:cs="Times New Roman" w:eastAsia="Times New Roman" w:hint="default"/>
          <w:spacing w:val="-3"/>
        </w:rPr>
        <w:t>8</w:t>
      </w:r>
      <w:r>
        <w:rPr>
          <w:spacing w:val="-3"/>
        </w:rPr>
        <w:t>、公司在本报告第四节</w:t>
      </w:r>
      <w:r>
        <w:rPr>
          <w:rFonts w:ascii="Times New Roman" w:hAnsi="Times New Roman" w:cs="Times New Roman" w:eastAsia="Times New Roman" w:hint="default"/>
          <w:spacing w:val="-3"/>
        </w:rPr>
        <w:t>“</w:t>
      </w:r>
      <w:r>
        <w:rPr>
          <w:spacing w:val="-3"/>
        </w:rPr>
        <w:t>经营情况讨论与分析</w:t>
      </w:r>
      <w:r>
        <w:rPr>
          <w:rFonts w:ascii="Times New Roman" w:hAnsi="Times New Roman" w:cs="Times New Roman" w:eastAsia="Times New Roman" w:hint="default"/>
          <w:spacing w:val="-3"/>
        </w:rPr>
        <w:t>”</w:t>
      </w:r>
      <w:r>
        <w:rPr>
          <w:spacing w:val="-3"/>
        </w:rPr>
        <w:t>之</w:t>
      </w:r>
      <w:r>
        <w:rPr>
          <w:rFonts w:ascii="Times New Roman" w:hAnsi="Times New Roman" w:cs="Times New Roman" w:eastAsia="Times New Roman" w:hint="default"/>
          <w:spacing w:val="-3"/>
        </w:rPr>
        <w:t>“</w:t>
      </w:r>
      <w:r>
        <w:rPr>
          <w:spacing w:val="-3"/>
        </w:rPr>
        <w:t>九、公司未来发展的展望</w:t>
      </w:r>
      <w:r>
        <w:rPr>
          <w:rFonts w:ascii="Times New Roman" w:hAnsi="Times New Roman" w:cs="Times New Roman" w:eastAsia="Times New Roman" w:hint="default"/>
          <w:spacing w:val="-3"/>
        </w:rPr>
        <w:t>”</w:t>
      </w:r>
      <w:r>
        <w:rPr>
          <w:spacing w:val="-3"/>
        </w:rPr>
        <w:t>部分，详细</w:t>
      </w:r>
      <w:r>
        <w:rPr/>
        <w:t> 描述了公司经营中可能存在的风险，并提请投资者特别注意下列风险因素：</w:t>
      </w:r>
    </w:p>
    <w:p>
      <w:pPr>
        <w:spacing w:line="338" w:lineRule="auto" w:before="55"/>
        <w:ind w:left="633" w:right="17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）上下半年业绩不均衡风险</w:t>
      </w:r>
      <w:r>
        <w:rPr>
          <w:rFonts w:ascii="宋体" w:hAnsi="宋体" w:cs="宋体" w:eastAsia="宋体" w:hint="default"/>
          <w:b/>
          <w:bCs/>
          <w:w w:val="99"/>
          <w:sz w:val="24"/>
          <w:szCs w:val="24"/>
        </w:rPr>
        <w:t> </w:t>
      </w:r>
      <w:r>
        <w:rPr>
          <w:rFonts w:ascii="宋体" w:hAnsi="宋体" w:cs="宋体" w:eastAsia="宋体" w:hint="default"/>
          <w:sz w:val="24"/>
          <w:szCs w:val="24"/>
        </w:rPr>
        <w:t>公司利润的实现具有明显的上下半年不均衡特点，下半年实现的收入占全年收入的比例</w:t>
      </w:r>
    </w:p>
    <w:p>
      <w:pPr>
        <w:pStyle w:val="BodyText"/>
        <w:spacing w:line="357" w:lineRule="auto"/>
        <w:ind w:right="152"/>
        <w:jc w:val="both"/>
      </w:pPr>
      <w:r>
        <w:rPr/>
        <w:t>较高。公司提供的地理信息系统产品和服务的用户多为政府部门或企事业单位，客户一般在 上半年制订采购预算，发布招标公告；正式采购合同通常在下半年签订，故此公司业务合同 </w:t>
      </w:r>
      <w:r>
        <w:rPr>
          <w:spacing w:val="-5"/>
        </w:rPr>
        <w:t>的签订主要集中于下半年。公司能否有效地维护和拓展客户资源，保证合同签订额保持增长，</w:t>
      </w:r>
      <w:r>
        <w:rPr>
          <w:spacing w:val="-117"/>
        </w:rPr>
        <w:t> </w:t>
      </w:r>
      <w:r>
        <w:rPr>
          <w:spacing w:val="-117"/>
        </w:rPr>
      </w:r>
      <w:r>
        <w:rPr/>
        <w:t>并确保合同的实施进度，将决定收入和利润能否保持良好增长。如果客户招投标进度延缓， 或对公司软件产品和技术开发服务的需求下降，都将可能影响公司合同的签订，进而影响全 年的业绩，并导致全年盈利情况存在不确定性。</w:t>
      </w:r>
    </w:p>
    <w:p>
      <w:pPr>
        <w:pStyle w:val="BodyText"/>
        <w:spacing w:line="357" w:lineRule="auto" w:before="36"/>
        <w:ind w:right="173" w:firstLine="480"/>
        <w:jc w:val="left"/>
      </w:pPr>
      <w:r>
        <w:rPr/>
        <w:t>应对措施：公司将进一步有效整合和拓展各方资源，充分发挥公司的技术储备优势，丰 富和优化公司的解决方案和业务结构，不断提升产品和服务质量，扩大客户覆盖范围和市场</w:t>
      </w:r>
    </w:p>
    <w:p>
      <w:pPr>
        <w:spacing w:after="0" w:line="357"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before="26"/>
        <w:ind w:right="173"/>
        <w:jc w:val="left"/>
      </w:pPr>
      <w:r>
        <w:rPr/>
        <w:t>影响力，在维护现有客户资源的基础上加强其他行业客户的开拓力度，实现主营业务收入水 平的均衡提升。</w:t>
      </w:r>
    </w:p>
    <w:p>
      <w:pPr>
        <w:pStyle w:val="Heading2"/>
        <w:spacing w:line="240" w:lineRule="auto" w:before="36"/>
        <w:ind w:left="635" w:right="293"/>
        <w:jc w:val="left"/>
        <w:rPr>
          <w:b w:val="0"/>
          <w:bCs w:val="0"/>
        </w:rPr>
      </w:pPr>
      <w:r>
        <w:rPr/>
        <w:t>（</w:t>
      </w:r>
      <w:r>
        <w:rPr>
          <w:rFonts w:ascii="Times New Roman" w:hAnsi="Times New Roman" w:cs="Times New Roman" w:eastAsia="Times New Roman" w:hint="default"/>
        </w:rPr>
        <w:t>2</w:t>
      </w:r>
      <w:r>
        <w:rPr/>
        <w:t>）项目管理风险</w:t>
      </w:r>
      <w:r>
        <w:rPr>
          <w:b w:val="0"/>
          <w:bCs w:val="0"/>
        </w:rPr>
      </w:r>
    </w:p>
    <w:p>
      <w:pPr>
        <w:pStyle w:val="BodyText"/>
        <w:spacing w:line="352" w:lineRule="auto" w:before="135"/>
        <w:ind w:right="170" w:firstLine="480"/>
        <w:jc w:val="both"/>
      </w:pPr>
      <w:r>
        <w:rPr/>
        <w:t>地理信息系统项目业务作为公司的主要收入来源，占总收入</w:t>
      </w:r>
      <w:r>
        <w:rPr>
          <w:spacing w:val="-60"/>
        </w:rPr>
        <w:t> </w:t>
      </w:r>
      <w:r>
        <w:rPr>
          <w:rFonts w:ascii="Times New Roman" w:hAnsi="Times New Roman" w:cs="Times New Roman" w:eastAsia="Times New Roman" w:hint="default"/>
        </w:rPr>
        <w:t>50%</w:t>
      </w:r>
      <w:r>
        <w:rPr/>
        <w:t>以上。随着公司规模的 扩大，不断增长的业务对公司的项目管理能力提出了更高的要求，公司需要同时协调、实施 与监管越来越多的项目，需要统筹安排项目人力资源、及时应对需求变更，把控项目建设进 度和实施质量，公司如未能对众多项目进行有效管理，则存在项目交付延期、项目质量下滑 的风险。</w:t>
      </w:r>
    </w:p>
    <w:p>
      <w:pPr>
        <w:pStyle w:val="BodyText"/>
        <w:spacing w:line="357" w:lineRule="auto" w:before="41"/>
        <w:ind w:right="190" w:firstLine="480"/>
        <w:jc w:val="both"/>
      </w:pPr>
      <w:r>
        <w:rPr/>
        <w:t>应对措施：公司将进一步完善项目管理机制，加强项目重要节点的里程碑监控，合理分 解项目总进度控制、主进度控制和详细进度控制，落实项目责任制，实现工程项目的有序管 理，确保项目按时按质交付。</w:t>
      </w:r>
    </w:p>
    <w:p>
      <w:pPr>
        <w:spacing w:line="338" w:lineRule="auto" w:before="36"/>
        <w:ind w:left="633" w:right="17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）组织管理风险</w:t>
      </w:r>
      <w:r>
        <w:rPr>
          <w:rFonts w:ascii="宋体" w:hAnsi="宋体" w:cs="宋体" w:eastAsia="宋体" w:hint="default"/>
          <w:b/>
          <w:bCs/>
          <w:w w:val="99"/>
          <w:sz w:val="24"/>
          <w:szCs w:val="24"/>
        </w:rPr>
        <w:t> </w:t>
      </w:r>
      <w:r>
        <w:rPr>
          <w:rFonts w:ascii="宋体" w:hAnsi="宋体" w:cs="宋体" w:eastAsia="宋体" w:hint="default"/>
          <w:sz w:val="24"/>
          <w:szCs w:val="24"/>
        </w:rPr>
        <w:t>公司经营规模的不断扩大以及公司外延式发展速度的不断提升，子公司及其人员数量的</w:t>
      </w:r>
    </w:p>
    <w:p>
      <w:pPr>
        <w:pStyle w:val="BodyText"/>
        <w:spacing w:line="357" w:lineRule="auto"/>
        <w:ind w:left="0" w:right="190"/>
        <w:jc w:val="right"/>
      </w:pPr>
      <w:r>
        <w:rPr/>
        <w:t>增多，对公司及子公司的经营决策、财务管理、人力资源、风险控制等多方面提出更高的要 求，虽然公司的战略规划及发展目标经过管理层的审慎研究与决策，但若不能进一步加强综 合管理能力、完善内控流程，将可能面临管理能力的提升与公司快速发展不相适应的风险。 </w:t>
      </w:r>
      <w:r>
        <w:rPr>
          <w:spacing w:val="-1"/>
        </w:rPr>
        <w:t>应对措施：公司将采取内外部培训等多种措施，提高管理者的整体素质以及管理决策能</w:t>
      </w:r>
      <w:r>
        <w:rPr/>
        <w:t> 力；持续优化管理组织结构，加强并完善公司及子公司的内部控制建设，提高组织协调能力 和管理的执行力；加强集团信息化建设，不断提高管理效率；不断完善激励机制，为公司战</w:t>
      </w:r>
    </w:p>
    <w:p>
      <w:pPr>
        <w:pStyle w:val="BodyText"/>
        <w:spacing w:line="240" w:lineRule="auto" w:before="36"/>
        <w:ind w:right="293"/>
        <w:jc w:val="left"/>
      </w:pPr>
      <w:r>
        <w:rPr/>
        <w:t>略目标的实现提供持续的内在动力。</w:t>
      </w:r>
    </w:p>
    <w:p>
      <w:pPr>
        <w:pStyle w:val="BodyText"/>
        <w:spacing w:line="338" w:lineRule="auto" w:before="154"/>
        <w:ind w:left="633" w:right="138" w:firstLine="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）应收账款坏账风险</w:t>
      </w:r>
      <w:r>
        <w:rPr>
          <w:rFonts w:ascii="宋体" w:hAnsi="宋体" w:cs="宋体" w:eastAsia="宋体" w:hint="default"/>
          <w:b/>
          <w:bCs/>
          <w:w w:val="99"/>
        </w:rPr>
        <w:t> </w:t>
      </w:r>
      <w:r>
        <w:rPr>
          <w:spacing w:val="-8"/>
        </w:rPr>
        <w:t>随着公司销售规模的扩大，公司应收账款呈现逐年增加的趋势，截至</w:t>
      </w:r>
      <w:r>
        <w:rPr>
          <w:spacing w:val="-7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74"/>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5"/>
        </w:rPr>
        <w:t> </w:t>
      </w:r>
      <w:r>
        <w:rPr/>
        <w:t>日，</w:t>
      </w:r>
    </w:p>
    <w:p>
      <w:pPr>
        <w:pStyle w:val="BodyText"/>
        <w:spacing w:line="240" w:lineRule="auto" w:before="27"/>
        <w:ind w:left="0" w:right="153"/>
        <w:jc w:val="right"/>
      </w:pPr>
      <w:r>
        <w:rPr/>
        <w:t>公司应收账款净额为</w:t>
      </w:r>
      <w:r>
        <w:rPr>
          <w:spacing w:val="-60"/>
        </w:rPr>
        <w:t> </w:t>
      </w:r>
      <w:r>
        <w:rPr>
          <w:rFonts w:ascii="Times New Roman" w:hAnsi="Times New Roman" w:cs="Times New Roman" w:eastAsia="Times New Roman" w:hint="default"/>
        </w:rPr>
        <w:t>4.13 </w:t>
      </w:r>
      <w:r>
        <w:rPr>
          <w:spacing w:val="-3"/>
        </w:rPr>
        <w:t>亿元，其中</w:t>
      </w:r>
      <w:r>
        <w:rPr>
          <w:spacing w:val="-60"/>
        </w:rPr>
        <w:t> </w:t>
      </w:r>
      <w:r>
        <w:rPr>
          <w:rFonts w:ascii="Times New Roman" w:hAnsi="Times New Roman" w:cs="Times New Roman" w:eastAsia="Times New Roman" w:hint="default"/>
        </w:rPr>
        <w:t>1 </w:t>
      </w:r>
      <w:r>
        <w:rPr/>
        <w:t>年期以内的应收账款净额约为</w:t>
      </w:r>
      <w:r>
        <w:rPr>
          <w:spacing w:val="-59"/>
        </w:rPr>
        <w:t> </w:t>
      </w:r>
      <w:r>
        <w:rPr>
          <w:rFonts w:ascii="Times New Roman" w:hAnsi="Times New Roman" w:cs="Times New Roman" w:eastAsia="Times New Roman" w:hint="default"/>
        </w:rPr>
        <w:t>3.77 </w:t>
      </w:r>
      <w:r>
        <w:rPr>
          <w:spacing w:val="-3"/>
        </w:rPr>
        <w:t>亿元，</w:t>
      </w:r>
      <w:r>
        <w:rPr>
          <w:rFonts w:ascii="Times New Roman" w:hAnsi="Times New Roman" w:cs="Times New Roman" w:eastAsia="Times New Roman" w:hint="default"/>
          <w:spacing w:val="-3"/>
        </w:rPr>
        <w:t>1</w:t>
      </w:r>
      <w:r>
        <w:rPr>
          <w:rFonts w:ascii="Times New Roman" w:hAnsi="Times New Roman" w:cs="Times New Roman" w:eastAsia="Times New Roman" w:hint="default"/>
        </w:rPr>
        <w:t> </w:t>
      </w:r>
      <w:r>
        <w:rPr/>
        <w:t>年期以上</w:t>
      </w:r>
    </w:p>
    <w:p>
      <w:pPr>
        <w:pStyle w:val="BodyText"/>
        <w:spacing w:line="352" w:lineRule="auto" w:before="136"/>
        <w:ind w:left="0" w:right="154"/>
        <w:jc w:val="right"/>
      </w:pPr>
      <w:r>
        <w:rPr/>
        <w:t>的应收账款净额累计有</w:t>
      </w:r>
      <w:r>
        <w:rPr>
          <w:spacing w:val="-72"/>
        </w:rPr>
        <w:t> </w:t>
      </w:r>
      <w:r>
        <w:rPr>
          <w:rFonts w:ascii="Times New Roman" w:hAnsi="Times New Roman" w:cs="Times New Roman" w:eastAsia="Times New Roman" w:hint="default"/>
        </w:rPr>
        <w:t>0.36</w:t>
      </w:r>
      <w:r>
        <w:rPr>
          <w:rFonts w:ascii="Times New Roman" w:hAnsi="Times New Roman" w:cs="Times New Roman" w:eastAsia="Times New Roman" w:hint="default"/>
          <w:spacing w:val="-12"/>
        </w:rPr>
        <w:t> </w:t>
      </w:r>
      <w:r>
        <w:rPr/>
        <w:t>亿元。虽然公司主要客户为政府客户，应收账款发生坏帐的风险 较小，但如果发生宏观经济环境波动，地方政府财政状况下滑等变化，将带来应收账款不能 按期回收或无法回收产生坏账的风险，从而对公司资金使用效率及经营业绩产生不利影响。 应对措施：公司将加强应收账款的日常管理，对应收账款的运行状况进行经常性分析、 控制，及时发现问题，提前采取对策，防止恶化。此外将加强客户信用管理以及账款回收管</w:t>
      </w:r>
    </w:p>
    <w:p>
      <w:pPr>
        <w:pStyle w:val="BodyText"/>
        <w:spacing w:line="240" w:lineRule="auto" w:before="41"/>
        <w:ind w:right="293"/>
        <w:jc w:val="left"/>
      </w:pPr>
      <w:r>
        <w:rPr/>
        <w:t>理，采用多种方式促进账款回收。</w:t>
      </w:r>
    </w:p>
    <w:p>
      <w:pPr>
        <w:spacing w:after="0" w:line="240"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Heading2"/>
        <w:spacing w:line="240" w:lineRule="auto" w:before="26"/>
        <w:ind w:left="635" w:right="293"/>
        <w:jc w:val="left"/>
        <w:rPr>
          <w:b w:val="0"/>
          <w:bCs w:val="0"/>
        </w:rPr>
      </w:pPr>
      <w:r>
        <w:rPr/>
        <w:t>（</w:t>
      </w:r>
      <w:r>
        <w:rPr>
          <w:rFonts w:ascii="Times New Roman" w:hAnsi="Times New Roman" w:cs="Times New Roman" w:eastAsia="Times New Roman" w:hint="default"/>
        </w:rPr>
        <w:t>5</w:t>
      </w:r>
      <w:r>
        <w:rPr/>
        <w:t>）商誉减值的风险</w:t>
      </w:r>
      <w:r>
        <w:rPr>
          <w:b w:val="0"/>
          <w:bCs w:val="0"/>
        </w:rPr>
      </w:r>
    </w:p>
    <w:p>
      <w:pPr>
        <w:pStyle w:val="BodyText"/>
        <w:spacing w:line="345" w:lineRule="auto" w:before="136"/>
        <w:ind w:right="151" w:firstLine="480"/>
        <w:jc w:val="both"/>
      </w:pPr>
      <w:r>
        <w:rPr>
          <w:spacing w:val="-3"/>
        </w:rPr>
        <w:t>报告期末，公司商誉账面价值为</w:t>
      </w:r>
      <w:r>
        <w:rPr>
          <w:spacing w:val="-52"/>
        </w:rPr>
        <w:t> </w:t>
      </w:r>
      <w:r>
        <w:rPr>
          <w:rFonts w:ascii="Times New Roman" w:hAnsi="Times New Roman" w:cs="Times New Roman" w:eastAsia="Times New Roman" w:hint="default"/>
        </w:rPr>
        <w:t>70,726.99</w:t>
      </w:r>
      <w:r>
        <w:rPr>
          <w:rFonts w:ascii="Times New Roman" w:hAnsi="Times New Roman" w:cs="Times New Roman" w:eastAsia="Times New Roman" w:hint="default"/>
          <w:spacing w:val="8"/>
        </w:rPr>
        <w:t> </w:t>
      </w:r>
      <w:r>
        <w:rPr>
          <w:spacing w:val="-3"/>
        </w:rPr>
        <w:t>万元，占公司报告期末的归属于母公司所有者</w:t>
      </w:r>
      <w:r>
        <w:rPr/>
        <w:t> 权益比例为</w:t>
      </w:r>
      <w:r>
        <w:rPr>
          <w:spacing w:val="-98"/>
        </w:rPr>
        <w:t> </w:t>
      </w:r>
      <w:r>
        <w:rPr>
          <w:rFonts w:ascii="Times New Roman" w:hAnsi="Times New Roman" w:cs="Times New Roman" w:eastAsia="Times New Roman" w:hint="default"/>
        </w:rPr>
        <w:t>39.16%</w:t>
      </w:r>
      <w:r>
        <w:rPr/>
        <w:t>，主要为近年并购子公司所致。公司根据会计准则于每年度末对形成商誉 的相关资产组或资产组组合进行减值测试。截至期末，除日本超图之外公司并购</w:t>
      </w:r>
      <w:r>
        <w:rPr>
          <w:spacing w:val="-60"/>
        </w:rPr>
        <w:t> </w:t>
      </w:r>
      <w:r>
        <w:rPr>
          <w:rFonts w:ascii="Times New Roman" w:hAnsi="Times New Roman" w:cs="Times New Roman" w:eastAsia="Times New Roman" w:hint="default"/>
        </w:rPr>
        <w:t>4 </w:t>
      </w:r>
      <w:r>
        <w:rPr/>
        <w:t>家子公司 财务状况与经营情况较好，商誉资产不存在减值迹象，因此公司未对该等商誉资产计提减值 准备。未来若出现相关法律法规规定的资产减值迹象，则可能造成公司的商誉资产发生减值 风险，甚至形成减值损失，从而可能对公司的财务状况和经营业绩造成一定的不利影响。</w:t>
      </w:r>
    </w:p>
    <w:p>
      <w:pPr>
        <w:spacing w:after="0" w:line="345" w:lineRule="auto"/>
        <w:jc w:val="both"/>
        <w:sectPr>
          <w:pgSz w:w="11910" w:h="16840"/>
          <w:pgMar w:header="877" w:footer="980" w:top="1100" w:bottom="1160" w:left="980" w:right="980"/>
        </w:sectPr>
      </w:pPr>
    </w:p>
    <w:p>
      <w:pPr>
        <w:spacing w:line="240" w:lineRule="auto" w:before="1"/>
        <w:rPr>
          <w:rFonts w:ascii="宋体" w:hAnsi="宋体" w:cs="宋体" w:eastAsia="宋体" w:hint="default"/>
          <w:sz w:val="27"/>
          <w:szCs w:val="27"/>
        </w:rPr>
      </w:pPr>
    </w:p>
    <w:p>
      <w:pPr>
        <w:spacing w:line="460" w:lineRule="exact" w:before="0"/>
        <w:ind w:left="3268" w:right="282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1593" w:val="left" w:leader="none"/>
              <w:tab w:pos="9781" w:val="right" w:leader="dot"/>
            </w:tabs>
            <w:spacing w:line="240" w:lineRule="auto" w:before="25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spacing w:val="2"/>
                <w:w w:val="95"/>
              </w:rPr>
              <w:t>第一节</w:t>
              <w:tab/>
            </w:r>
            <w:r>
              <w:rPr>
                <w:spacing w:val="3"/>
              </w:rPr>
              <w:t>重要提示、目录和释义</w:t>
            </w:r>
            <w:r>
              <w:rPr>
                <w:rFonts w:ascii="Times New Roman" w:hAnsi="Times New Roman" w:cs="Times New Roman" w:eastAsia="Times New Roman" w:hint="default"/>
                <w:spacing w:val="3"/>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1593" w:val="left" w:leader="none"/>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spacing w:val="2"/>
                <w:w w:val="95"/>
              </w:rPr>
              <w:t>第二节</w:t>
              <w:tab/>
            </w:r>
            <w:r>
              <w:rPr>
                <w:spacing w:val="3"/>
              </w:rPr>
              <w:t>公司简介和主要财务指标</w:t>
            </w:r>
            <w:r>
              <w:rPr>
                <w:rFonts w:ascii="Times New Roman" w:hAnsi="Times New Roman" w:cs="Times New Roman" w:eastAsia="Times New Roman" w:hint="default"/>
                <w:spacing w:val="3"/>
              </w:rPr>
              <w:tab/>
            </w:r>
            <w:r>
              <w:rPr>
                <w:rFonts w:ascii="Times New Roman" w:hAnsi="Times New Roman" w:cs="Times New Roman" w:eastAsia="Times New Roman" w:hint="default"/>
              </w:rPr>
              <w:t>7</w:t>
            </w:r>
            <w:r>
              <w:rPr>
                <w:rFonts w:ascii="Times New Roman" w:hAnsi="Times New Roman" w:cs="Times New Roman" w:eastAsia="Times New Roman" w:hint="default"/>
                <w:b w:val="0"/>
                <w:bCs w:val="0"/>
              </w:rPr>
            </w:r>
          </w:hyperlink>
        </w:p>
        <w:p>
          <w:pPr>
            <w:pStyle w:val="TOC1"/>
            <w:tabs>
              <w:tab w:pos="1593" w:val="left" w:leader="none"/>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spacing w:val="2"/>
                <w:w w:val="95"/>
              </w:rPr>
              <w:t>第三节</w:t>
              <w:tab/>
            </w:r>
            <w:r>
              <w:rPr>
                <w:spacing w:val="4"/>
              </w:rPr>
              <w:t>公司业务概要</w:t>
            </w:r>
            <w:r>
              <w:rPr>
                <w:rFonts w:ascii="Times New Roman" w:hAnsi="Times New Roman" w:cs="Times New Roman" w:eastAsia="Times New Roman" w:hint="default"/>
                <w:spacing w:val="4"/>
              </w:rPr>
              <w:tab/>
            </w:r>
            <w:r>
              <w:rPr>
                <w:rFonts w:ascii="Times New Roman" w:hAnsi="Times New Roman" w:cs="Times New Roman" w:eastAsia="Times New Roman" w:hint="default"/>
              </w:rPr>
              <w:t>11</w:t>
            </w:r>
            <w:r>
              <w:rPr>
                <w:rFonts w:ascii="Times New Roman" w:hAnsi="Times New Roman" w:cs="Times New Roman" w:eastAsia="Times New Roman" w:hint="default"/>
                <w:b w:val="0"/>
                <w:bCs w:val="0"/>
              </w:rPr>
            </w:r>
          </w:hyperlink>
        </w:p>
        <w:p>
          <w:pPr>
            <w:pStyle w:val="TOC1"/>
            <w:tabs>
              <w:tab w:pos="1593" w:val="left" w:leader="none"/>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spacing w:val="2"/>
                <w:w w:val="95"/>
              </w:rPr>
              <w:t>第四节</w:t>
              <w:tab/>
            </w:r>
            <w:r>
              <w:rPr>
                <w:spacing w:val="3"/>
              </w:rPr>
              <w:t>经营情况讨论与分析</w:t>
            </w:r>
            <w:r>
              <w:rPr>
                <w:rFonts w:ascii="Times New Roman" w:hAnsi="Times New Roman" w:cs="Times New Roman" w:eastAsia="Times New Roman" w:hint="default"/>
                <w:spacing w:val="3"/>
              </w:rPr>
              <w:tab/>
            </w:r>
            <w:r>
              <w:rPr>
                <w:rFonts w:ascii="Times New Roman" w:hAnsi="Times New Roman" w:cs="Times New Roman" w:eastAsia="Times New Roman" w:hint="default"/>
              </w:rPr>
              <w:t>17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spacing w:val="2"/>
              </w:rPr>
              <w:t>第五节</w:t>
            </w:r>
            <w:r>
              <w:rPr>
                <w:spacing w:val="7"/>
              </w:rPr>
              <w:t> </w:t>
            </w:r>
            <w:r>
              <w:rPr>
                <w:spacing w:val="4"/>
              </w:rPr>
              <w:t>重要事项</w:t>
            </w:r>
            <w:r>
              <w:rPr>
                <w:rFonts w:ascii="Times New Roman" w:hAnsi="Times New Roman" w:cs="Times New Roman" w:eastAsia="Times New Roman" w:hint="default"/>
                <w:spacing w:val="4"/>
              </w:rPr>
              <w:tab/>
            </w:r>
            <w:r>
              <w:rPr>
                <w:rFonts w:ascii="Times New Roman" w:hAnsi="Times New Roman" w:cs="Times New Roman" w:eastAsia="Times New Roman" w:hint="default"/>
              </w:rPr>
              <w:t>42</w:t>
            </w:r>
            <w:r>
              <w:rPr>
                <w:rFonts w:ascii="Times New Roman" w:hAnsi="Times New Roman" w:cs="Times New Roman" w:eastAsia="Times New Roman" w:hint="default"/>
                <w:b w:val="0"/>
                <w:bCs w:val="0"/>
              </w:rPr>
            </w:r>
          </w:hyperlink>
        </w:p>
        <w:p>
          <w:pPr>
            <w:pStyle w:val="TOC1"/>
            <w:tabs>
              <w:tab w:pos="9783" w:val="right" w:leader="dot"/>
            </w:tabs>
            <w:spacing w:line="240" w:lineRule="auto" w:before="292"/>
            <w:ind w:right="0"/>
            <w:jc w:val="left"/>
            <w:rPr>
              <w:rFonts w:ascii="Times New Roman" w:hAnsi="Times New Roman" w:cs="Times New Roman" w:eastAsia="Times New Roman" w:hint="default"/>
              <w:b w:val="0"/>
              <w:bCs w:val="0"/>
            </w:rPr>
          </w:pPr>
          <w:hyperlink w:history="true" w:anchor="_bookmark5">
            <w:r>
              <w:rPr>
                <w:spacing w:val="2"/>
              </w:rPr>
              <w:t>第六节</w:t>
            </w:r>
            <w:r>
              <w:rPr>
                <w:spacing w:val="7"/>
              </w:rPr>
              <w:t> </w:t>
            </w:r>
            <w:r>
              <w:rPr>
                <w:spacing w:val="4"/>
              </w:rPr>
              <w:t>股份变动及股东情况</w:t>
            </w:r>
            <w:r>
              <w:rPr>
                <w:rFonts w:ascii="Times New Roman" w:hAnsi="Times New Roman" w:cs="Times New Roman" w:eastAsia="Times New Roman" w:hint="default"/>
                <w:spacing w:val="4"/>
              </w:rPr>
              <w:tab/>
            </w:r>
            <w:r>
              <w:rPr>
                <w:rFonts w:ascii="Times New Roman" w:hAnsi="Times New Roman" w:cs="Times New Roman" w:eastAsia="Times New Roman" w:hint="default"/>
              </w:rPr>
              <w:t>65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spacing w:val="2"/>
              </w:rPr>
              <w:t>第七节</w:t>
            </w:r>
            <w:r>
              <w:rPr>
                <w:spacing w:val="7"/>
              </w:rPr>
              <w:t> </w:t>
            </w:r>
            <w:r>
              <w:rPr>
                <w:spacing w:val="4"/>
              </w:rPr>
              <w:t>优先股相关情况</w:t>
            </w:r>
            <w:r>
              <w:rPr>
                <w:rFonts w:ascii="Times New Roman" w:hAnsi="Times New Roman" w:cs="Times New Roman" w:eastAsia="Times New Roman" w:hint="default"/>
                <w:spacing w:val="4"/>
              </w:rPr>
              <w:tab/>
            </w:r>
            <w:r>
              <w:rPr>
                <w:rFonts w:ascii="Times New Roman" w:hAnsi="Times New Roman" w:cs="Times New Roman" w:eastAsia="Times New Roman" w:hint="default"/>
              </w:rPr>
              <w:t>72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spacing w:val="2"/>
              </w:rPr>
              <w:t>第八节</w:t>
            </w:r>
            <w:r>
              <w:rPr>
                <w:spacing w:val="7"/>
              </w:rPr>
              <w:t> </w:t>
            </w:r>
            <w:r>
              <w:rPr>
                <w:spacing w:val="4"/>
              </w:rPr>
              <w:t>董事、监事和高级管理人员和员工情况</w:t>
            </w:r>
            <w:r>
              <w:rPr>
                <w:rFonts w:ascii="Times New Roman" w:hAnsi="Times New Roman" w:cs="Times New Roman" w:eastAsia="Times New Roman" w:hint="default"/>
                <w:spacing w:val="4"/>
              </w:rPr>
              <w:tab/>
            </w:r>
            <w:r>
              <w:rPr>
                <w:rFonts w:ascii="Times New Roman" w:hAnsi="Times New Roman" w:cs="Times New Roman" w:eastAsia="Times New Roman" w:hint="default"/>
              </w:rPr>
              <w:t>73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spacing w:val="2"/>
              </w:rPr>
              <w:t>第九节</w:t>
            </w:r>
            <w:r>
              <w:rPr>
                <w:spacing w:val="7"/>
              </w:rPr>
              <w:t> </w:t>
            </w:r>
            <w:r>
              <w:rPr>
                <w:spacing w:val="4"/>
              </w:rPr>
              <w:t>公司治理</w:t>
            </w:r>
            <w:r>
              <w:rPr>
                <w:rFonts w:ascii="Times New Roman" w:hAnsi="Times New Roman" w:cs="Times New Roman" w:eastAsia="Times New Roman" w:hint="default"/>
                <w:spacing w:val="4"/>
              </w:rPr>
              <w:tab/>
            </w:r>
            <w:r>
              <w:rPr>
                <w:rFonts w:ascii="Times New Roman" w:hAnsi="Times New Roman" w:cs="Times New Roman" w:eastAsia="Times New Roman" w:hint="default"/>
              </w:rPr>
              <w:t>81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spacing w:val="2"/>
              </w:rPr>
              <w:t>第十节</w:t>
            </w:r>
            <w:r>
              <w:rPr>
                <w:spacing w:val="7"/>
              </w:rPr>
              <w:t> </w:t>
            </w:r>
            <w:r>
              <w:rPr>
                <w:spacing w:val="4"/>
              </w:rPr>
              <w:t>公司债券相关情况</w:t>
            </w:r>
            <w:r>
              <w:rPr>
                <w:rFonts w:ascii="Times New Roman" w:hAnsi="Times New Roman" w:cs="Times New Roman" w:eastAsia="Times New Roman" w:hint="default"/>
                <w:spacing w:val="4"/>
              </w:rPr>
              <w:tab/>
            </w:r>
            <w:r>
              <w:rPr>
                <w:rFonts w:ascii="Times New Roman" w:hAnsi="Times New Roman" w:cs="Times New Roman" w:eastAsia="Times New Roman" w:hint="default"/>
              </w:rPr>
              <w:t>89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spacing w:val="3"/>
              </w:rPr>
              <w:t>第十一节</w:t>
            </w:r>
            <w:r>
              <w:rPr>
                <w:spacing w:val="7"/>
              </w:rPr>
              <w:t> </w:t>
            </w:r>
            <w:r>
              <w:rPr>
                <w:spacing w:val="4"/>
              </w:rPr>
              <w:t>财务报告</w:t>
            </w:r>
            <w:r>
              <w:rPr>
                <w:rFonts w:ascii="Times New Roman" w:hAnsi="Times New Roman" w:cs="Times New Roman" w:eastAsia="Times New Roman" w:hint="default"/>
                <w:spacing w:val="4"/>
              </w:rPr>
              <w:tab/>
            </w:r>
            <w:r>
              <w:rPr>
                <w:rFonts w:ascii="Times New Roman" w:hAnsi="Times New Roman" w:cs="Times New Roman" w:eastAsia="Times New Roman" w:hint="default"/>
              </w:rPr>
              <w:t>90</w:t>
            </w:r>
            <w:r>
              <w:rPr>
                <w:rFonts w:ascii="Times New Roman" w:hAnsi="Times New Roman" w:cs="Times New Roman" w:eastAsia="Times New Roman" w:hint="default"/>
                <w:b w:val="0"/>
                <w:bCs w:val="0"/>
              </w:rPr>
            </w:r>
          </w:hyperlink>
        </w:p>
        <w:p>
          <w:pPr>
            <w:pStyle w:val="TOC1"/>
            <w:tabs>
              <w:tab w:pos="9783" w:val="right" w:leader="dot"/>
            </w:tabs>
            <w:spacing w:line="240" w:lineRule="auto" w:before="292"/>
            <w:ind w:right="0"/>
            <w:jc w:val="left"/>
            <w:rPr>
              <w:rFonts w:ascii="Times New Roman" w:hAnsi="Times New Roman" w:cs="Times New Roman" w:eastAsia="Times New Roman" w:hint="default"/>
              <w:b w:val="0"/>
              <w:bCs w:val="0"/>
            </w:rPr>
          </w:pPr>
          <w:hyperlink w:history="true" w:anchor="_bookmark11">
            <w:r>
              <w:rPr>
                <w:spacing w:val="3"/>
              </w:rPr>
              <w:t>第十二节</w:t>
            </w:r>
            <w:r>
              <w:rPr>
                <w:spacing w:val="7"/>
              </w:rPr>
              <w:t> </w:t>
            </w:r>
            <w:r>
              <w:rPr>
                <w:spacing w:val="4"/>
              </w:rPr>
              <w:t>备查文件目录</w:t>
            </w:r>
            <w:r>
              <w:rPr>
                <w:rFonts w:ascii="Times New Roman" w:hAnsi="Times New Roman" w:cs="Times New Roman" w:eastAsia="Times New Roman" w:hint="default"/>
                <w:spacing w:val="4"/>
              </w:rPr>
              <w:tab/>
            </w:r>
            <w:r>
              <w:rPr>
                <w:rFonts w:ascii="Times New Roman" w:hAnsi="Times New Roman" w:cs="Times New Roman" w:eastAsia="Times New Roman" w:hint="default"/>
                <w:spacing w:val="2"/>
              </w:rPr>
              <w:t>219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80" w:top="1100" w:bottom="1160" w:left="980" w:right="980"/>
        </w:sectPr>
      </w:pPr>
    </w:p>
    <w:p>
      <w:pPr>
        <w:spacing w:before="373"/>
        <w:ind w:left="3268" w:right="278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10"/>
        <w:rPr>
          <w:rFonts w:ascii="宋体" w:hAnsi="宋体" w:cs="宋体" w:eastAsia="宋体" w:hint="default"/>
          <w:b/>
          <w:bCs/>
          <w:sz w:val="11"/>
          <w:szCs w:val="11"/>
        </w:rPr>
      </w:pPr>
    </w:p>
    <w:tbl>
      <w:tblPr>
        <w:tblW w:w="0" w:type="auto"/>
        <w:jc w:val="left"/>
        <w:tblInd w:w="342" w:type="dxa"/>
        <w:tblLayout w:type="fixed"/>
        <w:tblCellMar>
          <w:top w:w="0" w:type="dxa"/>
          <w:left w:w="0" w:type="dxa"/>
          <w:bottom w:w="0" w:type="dxa"/>
          <w:right w:w="0" w:type="dxa"/>
        </w:tblCellMar>
        <w:tblLook w:val="01E0"/>
      </w:tblPr>
      <w:tblGrid>
        <w:gridCol w:w="2300"/>
        <w:gridCol w:w="979"/>
        <w:gridCol w:w="5973"/>
      </w:tblGrid>
      <w:tr>
        <w:trPr>
          <w:trHeight w:val="410" w:hRule="exact"/>
        </w:trPr>
        <w:tc>
          <w:tcPr>
            <w:tcW w:w="2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right="8"/>
              <w:jc w:val="center"/>
              <w:rPr>
                <w:rFonts w:ascii="宋体" w:hAnsi="宋体" w:cs="宋体" w:eastAsia="宋体" w:hint="default"/>
                <w:sz w:val="21"/>
                <w:szCs w:val="21"/>
              </w:rPr>
            </w:pPr>
            <w:r>
              <w:rPr>
                <w:rFonts w:ascii="宋体" w:hAnsi="宋体" w:cs="宋体" w:eastAsia="宋体" w:hint="default"/>
                <w:sz w:val="21"/>
                <w:szCs w:val="21"/>
              </w:rPr>
              <w:t>释义项</w:t>
            </w:r>
          </w:p>
        </w:tc>
        <w:tc>
          <w:tcPr>
            <w:tcW w:w="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超图软件</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公司</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r>
      <w:tr>
        <w:trPr>
          <w:trHeight w:val="408"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3"/>
              <w:ind w:left="23" w:right="0"/>
              <w:jc w:val="left"/>
              <w:rPr>
                <w:rFonts w:ascii="Times New Roman" w:hAnsi="Times New Roman" w:cs="Times New Roman" w:eastAsia="Times New Roman" w:hint="default"/>
                <w:sz w:val="21"/>
                <w:szCs w:val="21"/>
              </w:rPr>
            </w:pPr>
            <w:r>
              <w:rPr>
                <w:rFonts w:ascii="Times New Roman"/>
                <w:sz w:val="21"/>
              </w:rPr>
              <w:t>GIS</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地理信息系统</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超图信息</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北京超图信息技术有限公司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超图国际</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超图国际有限公司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日本超图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上海超途</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上海超途软件有限公司</w:t>
            </w:r>
          </w:p>
        </w:tc>
      </w:tr>
      <w:tr>
        <w:trPr>
          <w:trHeight w:val="411"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克拉玛依超图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克拉玛依超图软件技术有限公司</w:t>
            </w:r>
          </w:p>
        </w:tc>
      </w:tr>
      <w:tr>
        <w:trPr>
          <w:trHeight w:val="408"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山东超图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山东超图软件有限公司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芜湖联智</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芜湖联智信息技术有限公司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上海南康</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上海南康科技有限公司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南京国图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南京国图信息产业有限公司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国图不动产</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南京国图不动产评估咨询服务有限公司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北京安图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北京世纪安图数码科技发展有限责任公司</w:t>
            </w:r>
          </w:p>
        </w:tc>
      </w:tr>
      <w:tr>
        <w:trPr>
          <w:trHeight w:val="408"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安图影文</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重庆安图影文科技有限公司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上海数慧</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上海数慧系统技术有限公司</w:t>
            </w:r>
          </w:p>
        </w:tc>
      </w:tr>
      <w:tr>
        <w:trPr>
          <w:trHeight w:val="411"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超图数据</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成都超图数据技术有限公司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地图慧科技</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成都地图慧科技有限公司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浙江超图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浙江超图信息技术有限公司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河南超图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河南超图信息技术有限公司</w:t>
            </w:r>
          </w:p>
        </w:tc>
      </w:tr>
      <w:tr>
        <w:trPr>
          <w:trHeight w:val="408"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地理所</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浙江中科</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浙江中科数城软件有限公司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嘉兴兴球</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嘉兴兴球信息技术有限公司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嘉兴兴图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嘉兴兴图软件有限公司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11"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北京证监局</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中国证券监督管理委员会北京监管局</w:t>
            </w:r>
          </w:p>
        </w:tc>
      </w:tr>
      <w:tr>
        <w:trPr>
          <w:trHeight w:val="408"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中汇</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中汇会计师事务所（特殊普通合伙）</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pStyle w:val="Heading1"/>
        <w:spacing w:line="240" w:lineRule="auto"/>
        <w:ind w:left="3057" w:right="0"/>
        <w:jc w:val="left"/>
        <w:rPr>
          <w:b w:val="0"/>
          <w:bCs w:val="0"/>
        </w:rPr>
      </w:pPr>
      <w:bookmarkStart w:name="_bookmark1" w:id="2"/>
      <w:bookmarkEnd w:id="2"/>
      <w:r>
        <w:rPr>
          <w:b w:val="0"/>
          <w:bCs w:val="0"/>
        </w:rPr>
      </w:r>
      <w:r>
        <w:rPr>
          <w:spacing w:val="4"/>
        </w:rPr>
        <w:t>第二节</w:t>
      </w:r>
      <w:r>
        <w:rPr>
          <w:spacing w:val="-135"/>
        </w:rPr>
        <w:t> </w:t>
      </w:r>
      <w:r>
        <w:rPr>
          <w:spacing w:val="5"/>
        </w:rPr>
        <w:t>公司简介和主要财务指标</w:t>
      </w:r>
      <w:r>
        <w:rPr>
          <w:b w:val="0"/>
          <w:bCs w:val="0"/>
          <w:spacing w:val="5"/>
        </w:rPr>
      </w:r>
    </w:p>
    <w:p>
      <w:pPr>
        <w:spacing w:line="240" w:lineRule="auto" w:before="0"/>
        <w:rPr>
          <w:rFonts w:ascii="宋体" w:hAnsi="宋体" w:cs="宋体" w:eastAsia="宋体" w:hint="default"/>
          <w:b/>
          <w:bCs/>
          <w:sz w:val="20"/>
          <w:szCs w:val="20"/>
        </w:rPr>
      </w:pPr>
    </w:p>
    <w:p>
      <w:pPr>
        <w:pStyle w:val="Heading2"/>
        <w:spacing w:line="240" w:lineRule="auto" w:before="183"/>
        <w:ind w:left="213"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80" w:type="dxa"/>
        <w:tblLayout w:type="fixed"/>
        <w:tblCellMar>
          <w:top w:w="0" w:type="dxa"/>
          <w:left w:w="0" w:type="dxa"/>
          <w:bottom w:w="0" w:type="dxa"/>
          <w:right w:w="0" w:type="dxa"/>
        </w:tblCellMar>
        <w:tblLook w:val="01E0"/>
      </w:tblPr>
      <w:tblGrid>
        <w:gridCol w:w="3258"/>
        <w:gridCol w:w="2058"/>
        <w:gridCol w:w="2162"/>
        <w:gridCol w:w="2219"/>
      </w:tblGrid>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058" w:type="dxa"/>
            <w:tcBorders>
              <w:top w:val="single" w:sz="4" w:space="0" w:color="000000"/>
              <w:left w:val="single" w:sz="10" w:space="0" w:color="D2D2D2"/>
              <w:bottom w:val="single" w:sz="4" w:space="0" w:color="000000"/>
              <w:right w:val="single" w:sz="10" w:space="0" w:color="D2D2D2"/>
            </w:tcBorders>
          </w:tcPr>
          <w:p>
            <w:pPr>
              <w:pStyle w:val="TableParagraph"/>
              <w:spacing w:line="262" w:lineRule="exact"/>
              <w:ind w:left="450" w:right="0"/>
              <w:jc w:val="left"/>
              <w:rPr>
                <w:rFonts w:ascii="宋体" w:hAnsi="宋体" w:cs="宋体" w:eastAsia="宋体" w:hint="default"/>
                <w:sz w:val="21"/>
                <w:szCs w:val="21"/>
              </w:rPr>
            </w:pPr>
            <w:r>
              <w:rPr>
                <w:rFonts w:ascii="宋体" w:hAnsi="宋体" w:cs="宋体" w:eastAsia="宋体" w:hint="default"/>
                <w:sz w:val="21"/>
                <w:szCs w:val="21"/>
              </w:rPr>
              <w:t>超图软件</w:t>
            </w:r>
          </w:p>
        </w:tc>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2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447" w:right="0"/>
              <w:jc w:val="left"/>
              <w:rPr>
                <w:rFonts w:ascii="Times New Roman" w:hAnsi="Times New Roman" w:cs="Times New Roman" w:eastAsia="Times New Roman" w:hint="default"/>
                <w:sz w:val="21"/>
                <w:szCs w:val="21"/>
              </w:rPr>
            </w:pPr>
            <w:r>
              <w:rPr>
                <w:rFonts w:ascii="Times New Roman"/>
                <w:sz w:val="21"/>
              </w:rPr>
              <w:t>300036</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sz w:val="21"/>
                <w:szCs w:val="21"/>
              </w:rPr>
              <w:t>公司的中文名称</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62" w:lineRule="exact"/>
              <w:ind w:left="123"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sz w:val="21"/>
                <w:szCs w:val="21"/>
              </w:rPr>
              <w:t>公司的中文简称</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62" w:lineRule="exact"/>
              <w:ind w:left="123" w:right="0"/>
              <w:jc w:val="left"/>
              <w:rPr>
                <w:rFonts w:ascii="宋体" w:hAnsi="宋体" w:cs="宋体" w:eastAsia="宋体" w:hint="default"/>
                <w:sz w:val="21"/>
                <w:szCs w:val="21"/>
              </w:rPr>
            </w:pPr>
            <w:r>
              <w:rPr>
                <w:rFonts w:ascii="宋体" w:hAnsi="宋体" w:cs="宋体" w:eastAsia="宋体" w:hint="default"/>
                <w:sz w:val="21"/>
                <w:szCs w:val="21"/>
              </w:rPr>
              <w:t>超图软件</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sz w:val="21"/>
                <w:szCs w:val="21"/>
              </w:rPr>
              <w:t>公司的外文名称</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123" w:right="0"/>
              <w:jc w:val="left"/>
              <w:rPr>
                <w:rFonts w:ascii="Times New Roman" w:hAnsi="Times New Roman" w:cs="Times New Roman" w:eastAsia="Times New Roman" w:hint="default"/>
                <w:sz w:val="21"/>
                <w:szCs w:val="21"/>
              </w:rPr>
            </w:pPr>
            <w:r>
              <w:rPr>
                <w:rFonts w:ascii="Times New Roman"/>
                <w:sz w:val="21"/>
              </w:rPr>
              <w:t>Beijing SuperMap Software Co.,</w:t>
            </w:r>
            <w:r>
              <w:rPr>
                <w:rFonts w:ascii="Times New Roman"/>
                <w:spacing w:val="-10"/>
                <w:sz w:val="21"/>
              </w:rPr>
              <w:t> </w:t>
            </w:r>
            <w:r>
              <w:rPr>
                <w:rFonts w:ascii="Times New Roman"/>
                <w:sz w:val="21"/>
              </w:rPr>
              <w:t>Ltd.</w:t>
            </w:r>
          </w:p>
        </w:tc>
      </w:tr>
      <w:tr>
        <w:trPr>
          <w:trHeight w:val="324"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6"/>
              <w:ind w:left="123" w:right="0"/>
              <w:jc w:val="left"/>
              <w:rPr>
                <w:rFonts w:ascii="Times New Roman" w:hAnsi="Times New Roman" w:cs="Times New Roman" w:eastAsia="Times New Roman" w:hint="default"/>
                <w:sz w:val="21"/>
                <w:szCs w:val="21"/>
              </w:rPr>
            </w:pPr>
            <w:r>
              <w:rPr>
                <w:rFonts w:ascii="Times New Roman"/>
                <w:sz w:val="21"/>
              </w:rPr>
              <w:t>SuperMap</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62" w:lineRule="exact"/>
              <w:ind w:left="123" w:right="0"/>
              <w:jc w:val="left"/>
              <w:rPr>
                <w:rFonts w:ascii="宋体" w:hAnsi="宋体" w:cs="宋体" w:eastAsia="宋体" w:hint="default"/>
                <w:sz w:val="21"/>
                <w:szCs w:val="21"/>
              </w:rPr>
            </w:pPr>
            <w:r>
              <w:rPr>
                <w:rFonts w:ascii="宋体" w:hAnsi="宋体" w:cs="宋体" w:eastAsia="宋体" w:hint="default"/>
                <w:sz w:val="21"/>
                <w:szCs w:val="21"/>
              </w:rPr>
              <w:t>钟耳顺</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79" w:lineRule="exact"/>
              <w:ind w:left="123"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号电子城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IT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107 </w:t>
            </w:r>
            <w:r>
              <w:rPr>
                <w:rFonts w:ascii="宋体" w:hAnsi="宋体" w:cs="宋体" w:eastAsia="宋体" w:hint="default"/>
                <w:sz w:val="21"/>
                <w:szCs w:val="21"/>
              </w:rPr>
              <w:t>号楼</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123" w:right="0"/>
              <w:jc w:val="left"/>
              <w:rPr>
                <w:rFonts w:ascii="Times New Roman" w:hAnsi="Times New Roman" w:cs="Times New Roman" w:eastAsia="Times New Roman" w:hint="default"/>
                <w:sz w:val="21"/>
                <w:szCs w:val="21"/>
              </w:rPr>
            </w:pPr>
            <w:r>
              <w:rPr>
                <w:rFonts w:ascii="Times New Roman"/>
                <w:sz w:val="21"/>
              </w:rPr>
              <w:t>100015</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78" w:lineRule="exact"/>
              <w:ind w:left="123"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号电子城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IT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107 </w:t>
            </w:r>
            <w:r>
              <w:rPr>
                <w:rFonts w:ascii="宋体" w:hAnsi="宋体" w:cs="宋体" w:eastAsia="宋体" w:hint="default"/>
                <w:sz w:val="21"/>
                <w:szCs w:val="21"/>
              </w:rPr>
              <w:t>号楼</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123" w:right="0"/>
              <w:jc w:val="left"/>
              <w:rPr>
                <w:rFonts w:ascii="Times New Roman" w:hAnsi="Times New Roman" w:cs="Times New Roman" w:eastAsia="Times New Roman" w:hint="default"/>
                <w:sz w:val="21"/>
                <w:szCs w:val="21"/>
              </w:rPr>
            </w:pPr>
            <w:r>
              <w:rPr>
                <w:rFonts w:ascii="Times New Roman"/>
                <w:sz w:val="21"/>
              </w:rPr>
              <w:t>100015</w:t>
            </w:r>
          </w:p>
        </w:tc>
      </w:tr>
      <w:tr>
        <w:trPr>
          <w:trHeight w:val="324"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81" w:lineRule="exact"/>
              <w:ind w:left="123" w:right="0"/>
              <w:jc w:val="left"/>
              <w:rPr>
                <w:rFonts w:ascii="Times New Roman" w:hAnsi="Times New Roman" w:cs="Times New Roman" w:eastAsia="Times New Roman" w:hint="default"/>
                <w:sz w:val="21"/>
                <w:szCs w:val="21"/>
              </w:rPr>
            </w:pPr>
            <w:hyperlink r:id="rId8">
              <w:r>
                <w:rPr>
                  <w:rFonts w:ascii="Times New Roman" w:hAnsi="Times New Roman" w:cs="Times New Roman" w:eastAsia="Times New Roman" w:hint="default"/>
                  <w:spacing w:val="-2"/>
                  <w:sz w:val="21"/>
                  <w:szCs w:val="21"/>
                </w:rPr>
                <w:t>http://www.supermap.com.cn</w:t>
              </w:r>
            </w:hyperlink>
            <w:r>
              <w:rPr>
                <w:rFonts w:ascii="Times New Roman" w:hAnsi="Times New Roman" w:cs="Times New Roman" w:eastAsia="Times New Roman" w:hint="default"/>
                <w:sz w:val="21"/>
                <w:szCs w:val="21"/>
              </w:rPr>
              <w:t>  </w:t>
            </w:r>
            <w:r>
              <w:rPr>
                <w:rFonts w:ascii="宋体" w:hAnsi="宋体" w:cs="宋体" w:eastAsia="宋体" w:hint="default"/>
                <w:sz w:val="21"/>
                <w:szCs w:val="21"/>
              </w:rPr>
              <w:t>或</w:t>
            </w:r>
            <w:r>
              <w:rPr>
                <w:rFonts w:ascii="宋体" w:hAnsi="宋体" w:cs="宋体" w:eastAsia="宋体" w:hint="default"/>
                <w:spacing w:val="-52"/>
                <w:sz w:val="21"/>
                <w:szCs w:val="21"/>
              </w:rPr>
              <w:t> </w:t>
            </w:r>
            <w:hyperlink r:id="rId9">
              <w:r>
                <w:rPr>
                  <w:rFonts w:ascii="Times New Roman" w:hAnsi="Times New Roman" w:cs="Times New Roman" w:eastAsia="Times New Roman" w:hint="default"/>
                  <w:spacing w:val="-2"/>
                  <w:sz w:val="21"/>
                  <w:szCs w:val="21"/>
                </w:rPr>
                <w:t>http://www.supermap.com</w:t>
              </w:r>
            </w:hyperlink>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123" w:right="0"/>
              <w:jc w:val="left"/>
              <w:rPr>
                <w:rFonts w:ascii="Times New Roman" w:hAnsi="Times New Roman" w:cs="Times New Roman" w:eastAsia="Times New Roman" w:hint="default"/>
                <w:sz w:val="21"/>
                <w:szCs w:val="21"/>
              </w:rPr>
            </w:pPr>
            <w:hyperlink r:id="rId10">
              <w:r>
                <w:rPr>
                  <w:rFonts w:ascii="Times New Roman"/>
                  <w:sz w:val="21"/>
                </w:rPr>
                <w:t>public@supermap.com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left="213"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79" w:type="dxa"/>
        <w:tblLayout w:type="fixed"/>
        <w:tblCellMar>
          <w:top w:w="0" w:type="dxa"/>
          <w:left w:w="0" w:type="dxa"/>
          <w:bottom w:w="0" w:type="dxa"/>
          <w:right w:w="0" w:type="dxa"/>
        </w:tblCellMar>
        <w:tblLook w:val="01E0"/>
      </w:tblPr>
      <w:tblGrid>
        <w:gridCol w:w="1582"/>
        <w:gridCol w:w="4021"/>
        <w:gridCol w:w="4095"/>
      </w:tblGrid>
      <w:tr>
        <w:trPr>
          <w:trHeight w:val="32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690" w:right="0"/>
              <w:jc w:val="left"/>
              <w:rPr>
                <w:rFonts w:ascii="宋体" w:hAnsi="宋体" w:cs="宋体" w:eastAsia="宋体" w:hint="default"/>
                <w:sz w:val="21"/>
                <w:szCs w:val="21"/>
              </w:rPr>
            </w:pPr>
            <w:r>
              <w:rPr>
                <w:rFonts w:ascii="宋体" w:hAnsi="宋体" w:cs="宋体" w:eastAsia="宋体" w:hint="default"/>
                <w:b/>
                <w:bCs/>
                <w:sz w:val="21"/>
                <w:szCs w:val="21"/>
              </w:rPr>
              <w:t>董事会秘书</w:t>
            </w:r>
            <w:r>
              <w:rPr>
                <w:rFonts w:ascii="宋体" w:hAnsi="宋体" w:cs="宋体" w:eastAsia="宋体" w:hint="default"/>
                <w:sz w:val="21"/>
                <w:szCs w:val="21"/>
              </w:rPr>
            </w:r>
          </w:p>
        </w:tc>
        <w:tc>
          <w:tcPr>
            <w:tcW w:w="4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620" w:right="0"/>
              <w:jc w:val="left"/>
              <w:rPr>
                <w:rFonts w:ascii="宋体" w:hAnsi="宋体" w:cs="宋体" w:eastAsia="宋体" w:hint="default"/>
                <w:sz w:val="21"/>
                <w:szCs w:val="21"/>
              </w:rPr>
            </w:pPr>
            <w:r>
              <w:rPr>
                <w:rFonts w:ascii="宋体" w:hAnsi="宋体" w:cs="宋体" w:eastAsia="宋体" w:hint="default"/>
                <w:b/>
                <w:bCs/>
                <w:sz w:val="21"/>
                <w:szCs w:val="21"/>
              </w:rPr>
              <w:t>证券事务代表</w:t>
            </w:r>
            <w:r>
              <w:rPr>
                <w:rFonts w:ascii="宋体" w:hAnsi="宋体" w:cs="宋体" w:eastAsia="宋体" w:hint="default"/>
                <w:sz w:val="21"/>
                <w:szCs w:val="21"/>
              </w:rPr>
            </w:r>
          </w:p>
        </w:tc>
      </w:tr>
      <w:tr>
        <w:trPr>
          <w:trHeight w:val="32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4021" w:type="dxa"/>
            <w:tcBorders>
              <w:top w:val="single" w:sz="4" w:space="0" w:color="000000"/>
              <w:left w:val="single" w:sz="13" w:space="0" w:color="D2D2D2"/>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李煜</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hAnsi="宋体" w:cs="宋体" w:eastAsia="宋体" w:hint="default"/>
                <w:sz w:val="21"/>
                <w:szCs w:val="21"/>
              </w:rPr>
              <w:t>谭飞艳</w:t>
            </w:r>
          </w:p>
        </w:tc>
      </w:tr>
      <w:tr>
        <w:trPr>
          <w:trHeight w:val="161" w:hRule="exact"/>
        </w:trPr>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4021" w:type="dxa"/>
            <w:vMerge w:val="restart"/>
            <w:tcBorders>
              <w:top w:val="single" w:sz="4" w:space="0" w:color="000000"/>
              <w:left w:val="single" w:sz="10" w:space="0" w:color="D2D2D2"/>
              <w:right w:val="single" w:sz="4" w:space="0" w:color="000000"/>
            </w:tcBorders>
          </w:tcPr>
          <w:p>
            <w:pPr>
              <w:pStyle w:val="TableParagraph"/>
              <w:spacing w:line="279" w:lineRule="exact"/>
              <w:ind w:left="110"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 </w:t>
            </w:r>
            <w:r>
              <w:rPr>
                <w:rFonts w:ascii="Times New Roman" w:hAnsi="Times New Roman" w:cs="Times New Roman" w:eastAsia="Times New Roman" w:hint="default"/>
                <w:sz w:val="21"/>
                <w:szCs w:val="21"/>
              </w:rPr>
              <w:t>10 </w:t>
            </w:r>
            <w:r>
              <w:rPr>
                <w:rFonts w:ascii="宋体" w:hAnsi="宋体" w:cs="宋体" w:eastAsia="宋体" w:hint="default"/>
                <w:sz w:val="21"/>
                <w:szCs w:val="21"/>
              </w:rPr>
              <w:t>号电子城</w:t>
            </w:r>
          </w:p>
          <w:p>
            <w:pPr>
              <w:pStyle w:val="TableParagraph"/>
              <w:spacing w:line="240" w:lineRule="auto" w:before="21"/>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产业园</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层（</w:t>
            </w:r>
            <w:r>
              <w:rPr>
                <w:rFonts w:ascii="Times New Roman" w:hAnsi="Times New Roman" w:cs="Times New Roman" w:eastAsia="Times New Roman" w:hint="default"/>
                <w:sz w:val="21"/>
                <w:szCs w:val="21"/>
              </w:rPr>
              <w:t>100015</w:t>
            </w:r>
            <w:r>
              <w:rPr>
                <w:rFonts w:ascii="宋体" w:hAnsi="宋体" w:cs="宋体" w:eastAsia="宋体" w:hint="default"/>
                <w:sz w:val="21"/>
                <w:szCs w:val="21"/>
              </w:rPr>
              <w:t>）</w:t>
            </w:r>
          </w:p>
        </w:tc>
        <w:tc>
          <w:tcPr>
            <w:tcW w:w="4095" w:type="dxa"/>
            <w:vMerge w:val="restart"/>
            <w:tcBorders>
              <w:top w:val="single" w:sz="4" w:space="0" w:color="000000"/>
              <w:left w:val="single" w:sz="4" w:space="0" w:color="000000"/>
              <w:right w:val="single" w:sz="4" w:space="0" w:color="000000"/>
            </w:tcBorders>
          </w:tcPr>
          <w:p>
            <w:pPr>
              <w:pStyle w:val="TableParagraph"/>
              <w:spacing w:line="279"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北京市朝阳区酒仙桥北路甲 </w:t>
            </w:r>
            <w:r>
              <w:rPr>
                <w:rFonts w:ascii="Times New Roman" w:hAnsi="Times New Roman" w:cs="Times New Roman" w:eastAsia="Times New Roman" w:hint="default"/>
                <w:sz w:val="21"/>
                <w:szCs w:val="21"/>
              </w:rPr>
              <w:t>10 </w:t>
            </w:r>
            <w:r>
              <w:rPr>
                <w:rFonts w:ascii="宋体" w:hAnsi="宋体" w:cs="宋体" w:eastAsia="宋体" w:hint="default"/>
                <w:sz w:val="21"/>
                <w:szCs w:val="21"/>
              </w:rPr>
              <w:t>号电子城</w:t>
            </w:r>
            <w:r>
              <w:rPr>
                <w:rFonts w:ascii="宋体" w:hAnsi="宋体" w:cs="宋体" w:eastAsia="宋体" w:hint="default"/>
                <w:spacing w:val="-89"/>
                <w:sz w:val="21"/>
                <w:szCs w:val="21"/>
              </w:rPr>
              <w:t> </w:t>
            </w:r>
            <w:r>
              <w:rPr>
                <w:rFonts w:ascii="Times New Roman" w:hAnsi="Times New Roman" w:cs="Times New Roman" w:eastAsia="Times New Roman" w:hint="default"/>
                <w:spacing w:val="-4"/>
                <w:sz w:val="21"/>
                <w:szCs w:val="21"/>
              </w:rPr>
              <w:t>IT</w:t>
            </w:r>
            <w:r>
              <w:rPr>
                <w:rFonts w:ascii="Times New Roman" w:hAnsi="Times New Roman" w:cs="Times New Roman" w:eastAsia="Times New Roman" w:hint="default"/>
                <w:sz w:val="21"/>
                <w:szCs w:val="21"/>
              </w:rPr>
            </w:r>
          </w:p>
          <w:p>
            <w:pPr>
              <w:pStyle w:val="TableParagraph"/>
              <w:spacing w:line="240" w:lineRule="auto" w:before="21"/>
              <w:ind w:left="117" w:right="0"/>
              <w:jc w:val="left"/>
              <w:rPr>
                <w:rFonts w:ascii="宋体" w:hAnsi="宋体" w:cs="宋体" w:eastAsia="宋体" w:hint="default"/>
                <w:sz w:val="21"/>
                <w:szCs w:val="21"/>
              </w:rPr>
            </w:pPr>
            <w:r>
              <w:rPr>
                <w:rFonts w:ascii="宋体" w:hAnsi="宋体" w:cs="宋体" w:eastAsia="宋体" w:hint="default"/>
                <w:sz w:val="21"/>
                <w:szCs w:val="21"/>
              </w:rPr>
              <w:t>产业园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Times New Roman" w:hAnsi="Times New Roman" w:cs="Times New Roman" w:eastAsia="Times New Roman" w:hint="default"/>
                <w:sz w:val="21"/>
                <w:szCs w:val="21"/>
              </w:rPr>
              <w:t>100015</w:t>
            </w:r>
            <w:r>
              <w:rPr>
                <w:rFonts w:ascii="宋体" w:hAnsi="宋体" w:cs="宋体" w:eastAsia="宋体" w:hint="default"/>
                <w:sz w:val="21"/>
                <w:szCs w:val="21"/>
              </w:rPr>
              <w:t>）</w:t>
            </w:r>
          </w:p>
        </w:tc>
      </w:tr>
      <w:tr>
        <w:trPr>
          <w:trHeight w:val="312" w:hRule="exact"/>
        </w:trPr>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4021" w:type="dxa"/>
            <w:vMerge/>
            <w:tcBorders>
              <w:left w:val="single" w:sz="10" w:space="0" w:color="D2D2D2"/>
              <w:right w:val="single" w:sz="4" w:space="0" w:color="000000"/>
            </w:tcBorders>
          </w:tcPr>
          <w:p>
            <w:pPr/>
          </w:p>
        </w:tc>
        <w:tc>
          <w:tcPr>
            <w:tcW w:w="4095" w:type="dxa"/>
            <w:vMerge/>
            <w:tcBorders>
              <w:left w:val="single" w:sz="4" w:space="0" w:color="000000"/>
              <w:right w:val="single" w:sz="4" w:space="0" w:color="000000"/>
            </w:tcBorders>
          </w:tcPr>
          <w:p>
            <w:pPr/>
          </w:p>
        </w:tc>
      </w:tr>
      <w:tr>
        <w:trPr>
          <w:trHeight w:val="161" w:hRule="exact"/>
        </w:trPr>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4021" w:type="dxa"/>
            <w:vMerge/>
            <w:tcBorders>
              <w:left w:val="single" w:sz="10" w:space="0" w:color="D2D2D2"/>
              <w:bottom w:val="single" w:sz="4" w:space="0" w:color="000000"/>
              <w:right w:val="single" w:sz="4" w:space="0" w:color="000000"/>
            </w:tcBorders>
          </w:tcPr>
          <w:p>
            <w:pPr/>
          </w:p>
        </w:tc>
        <w:tc>
          <w:tcPr>
            <w:tcW w:w="4095" w:type="dxa"/>
            <w:vMerge/>
            <w:tcBorders>
              <w:left w:val="single" w:sz="4" w:space="0" w:color="000000"/>
              <w:bottom w:val="single" w:sz="4" w:space="0" w:color="000000"/>
              <w:right w:val="single" w:sz="4" w:space="0" w:color="000000"/>
            </w:tcBorders>
          </w:tcPr>
          <w:p>
            <w:pPr/>
          </w:p>
        </w:tc>
      </w:tr>
      <w:tr>
        <w:trPr>
          <w:trHeight w:val="32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4021" w:type="dxa"/>
            <w:tcBorders>
              <w:top w:val="single" w:sz="4" w:space="0" w:color="000000"/>
              <w:left w:val="single" w:sz="13" w:space="0" w:color="D2D2D2"/>
              <w:bottom w:val="single" w:sz="4" w:space="0" w:color="000000"/>
              <w:right w:val="single" w:sz="4" w:space="0" w:color="000000"/>
            </w:tcBorders>
          </w:tcPr>
          <w:p>
            <w:pPr>
              <w:pStyle w:val="TableParagraph"/>
              <w:spacing w:line="278"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59896232</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59896000</w:t>
            </w:r>
          </w:p>
        </w:tc>
      </w:tr>
      <w:tr>
        <w:trPr>
          <w:trHeight w:val="32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4021" w:type="dxa"/>
            <w:tcBorders>
              <w:top w:val="single" w:sz="4" w:space="0" w:color="000000"/>
              <w:left w:val="single" w:sz="13" w:space="0" w:color="D2D2D2"/>
              <w:bottom w:val="single" w:sz="4" w:space="0" w:color="000000"/>
              <w:right w:val="single" w:sz="4" w:space="0" w:color="000000"/>
            </w:tcBorders>
          </w:tcPr>
          <w:p>
            <w:pPr>
              <w:pStyle w:val="TableParagraph"/>
              <w:spacing w:line="278"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59896666</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59896666</w:t>
            </w:r>
          </w:p>
        </w:tc>
      </w:tr>
      <w:tr>
        <w:trPr>
          <w:trHeight w:val="32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40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hyperlink r:id="rId10">
              <w:r>
                <w:rPr>
                  <w:rFonts w:ascii="Times New Roman"/>
                  <w:sz w:val="21"/>
                </w:rPr>
                <w:t>public@supermap.com</w:t>
              </w:r>
            </w:hyperlink>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7" w:right="0"/>
              <w:jc w:val="left"/>
              <w:rPr>
                <w:rFonts w:ascii="Times New Roman" w:hAnsi="Times New Roman" w:cs="Times New Roman" w:eastAsia="Times New Roman" w:hint="default"/>
                <w:sz w:val="21"/>
                <w:szCs w:val="21"/>
              </w:rPr>
            </w:pPr>
            <w:hyperlink r:id="rId10">
              <w:r>
                <w:rPr>
                  <w:rFonts w:ascii="Times New Roman"/>
                  <w:sz w:val="21"/>
                </w:rPr>
                <w:t>public@supermap.com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left="213"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80" w:type="dxa"/>
        <w:tblLayout w:type="fixed"/>
        <w:tblCellMar>
          <w:top w:w="0" w:type="dxa"/>
          <w:left w:w="0" w:type="dxa"/>
          <w:bottom w:w="0" w:type="dxa"/>
          <w:right w:w="0" w:type="dxa"/>
        </w:tblCellMar>
        <w:tblLook w:val="01E0"/>
      </w:tblPr>
      <w:tblGrid>
        <w:gridCol w:w="4850"/>
        <w:gridCol w:w="4847"/>
      </w:tblGrid>
      <w:tr>
        <w:trPr>
          <w:trHeight w:val="32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3" w:right="0"/>
              <w:jc w:val="left"/>
              <w:rPr>
                <w:rFonts w:ascii="Times New Roman" w:hAnsi="Times New Roman" w:cs="Times New Roman" w:eastAsia="Times New Roman" w:hint="default"/>
                <w:sz w:val="21"/>
                <w:szCs w:val="21"/>
              </w:rPr>
            </w:pPr>
            <w:r>
              <w:rPr>
                <w:rFonts w:ascii="Times New Roman"/>
                <w:color w:val="0000FF"/>
                <w:w w:val="100"/>
                <w:sz w:val="21"/>
              </w:rPr>
            </w:r>
            <w:hyperlink r:id="rId11">
              <w:r>
                <w:rPr>
                  <w:rFonts w:ascii="Times New Roman"/>
                  <w:color w:val="0000FF"/>
                  <w:sz w:val="21"/>
                  <w:u w:val="single" w:color="0000FF"/>
                </w:rPr>
                <w:t>www.cninfo.com.cn</w:t>
              </w:r>
              <w:r>
                <w:rPr>
                  <w:rFonts w:ascii="Times New Roman"/>
                  <w:color w:val="0000FF"/>
                  <w:sz w:val="21"/>
                </w:rPr>
              </w:r>
              <w:r>
                <w:rPr>
                  <w:rFonts w:ascii="Times New Roman"/>
                  <w:sz w:val="21"/>
                </w:rPr>
              </w:r>
            </w:hyperlink>
          </w:p>
        </w:tc>
      </w:tr>
      <w:tr>
        <w:trPr>
          <w:trHeight w:val="323"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2"/>
              <w:jc w:val="center"/>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17" w:right="0"/>
              <w:jc w:val="left"/>
              <w:rPr>
                <w:rFonts w:ascii="宋体" w:hAnsi="宋体" w:cs="宋体" w:eastAsia="宋体" w:hint="default"/>
                <w:sz w:val="21"/>
                <w:szCs w:val="21"/>
              </w:rPr>
            </w:pPr>
            <w:r>
              <w:rPr>
                <w:rFonts w:ascii="宋体" w:hAnsi="宋体" w:cs="宋体" w:eastAsia="宋体" w:hint="default"/>
                <w:sz w:val="21"/>
                <w:szCs w:val="21"/>
              </w:rPr>
              <w:t>公司证券投资部</w:t>
            </w:r>
          </w:p>
        </w:tc>
      </w:tr>
    </w:tbl>
    <w:p>
      <w:pPr>
        <w:spacing w:line="240" w:lineRule="auto" w:before="1"/>
        <w:rPr>
          <w:rFonts w:ascii="宋体" w:hAnsi="宋体" w:cs="宋体" w:eastAsia="宋体" w:hint="default"/>
          <w:b/>
          <w:bCs/>
          <w:sz w:val="18"/>
          <w:szCs w:val="18"/>
        </w:rPr>
      </w:pPr>
    </w:p>
    <w:p>
      <w:pPr>
        <w:spacing w:line="525" w:lineRule="auto" w:before="26"/>
        <w:ind w:left="693" w:right="6733" w:hanging="480"/>
        <w:jc w:val="left"/>
        <w:rPr>
          <w:rFonts w:ascii="宋体" w:hAnsi="宋体" w:cs="宋体" w:eastAsia="宋体" w:hint="default"/>
          <w:sz w:val="24"/>
          <w:szCs w:val="24"/>
        </w:rPr>
      </w:pPr>
      <w:r>
        <w:rPr/>
        <w:pict>
          <v:shape style="position:absolute;margin-left:51.060001pt;margin-top:57.195583pt;width:493.5pt;height:48.8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7"/>
                    <w:gridCol w:w="6959"/>
                  </w:tblGrid>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 w:right="0"/>
                          <w:jc w:val="left"/>
                          <w:rPr>
                            <w:rFonts w:ascii="宋体" w:hAnsi="宋体" w:cs="宋体" w:eastAsia="宋体" w:hint="default"/>
                            <w:sz w:val="21"/>
                            <w:szCs w:val="21"/>
                          </w:rPr>
                        </w:pPr>
                        <w:r>
                          <w:rPr>
                            <w:rFonts w:ascii="宋体" w:hAnsi="宋体" w:cs="宋体" w:eastAsia="宋体" w:hint="default"/>
                            <w:sz w:val="21"/>
                            <w:szCs w:val="21"/>
                          </w:rPr>
                          <w:t>中汇会计师事务所（特殊普通合伙）</w:t>
                        </w:r>
                      </w:p>
                    </w:tc>
                  </w:tr>
                  <w:tr>
                    <w:trPr>
                      <w:trHeight w:val="324"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5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99"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浙江</w:t>
                        </w:r>
                        <w:r>
                          <w:rPr>
                            <w:rFonts w:ascii="宋体" w:hAnsi="宋体" w:cs="宋体" w:eastAsia="宋体" w:hint="default"/>
                            <w:spacing w:val="-3"/>
                            <w:w w:val="100"/>
                            <w:sz w:val="21"/>
                            <w:szCs w:val="21"/>
                          </w:rPr>
                          <w:t>省</w:t>
                        </w:r>
                        <w:r>
                          <w:rPr>
                            <w:rFonts w:ascii="宋体" w:hAnsi="宋体" w:cs="宋体" w:eastAsia="宋体" w:hint="default"/>
                            <w:w w:val="100"/>
                            <w:sz w:val="21"/>
                            <w:szCs w:val="21"/>
                          </w:rPr>
                          <w:t>杭</w:t>
                        </w:r>
                        <w:r>
                          <w:rPr>
                            <w:rFonts w:ascii="宋体" w:hAnsi="宋体" w:cs="宋体" w:eastAsia="宋体" w:hint="default"/>
                            <w:spacing w:val="-3"/>
                            <w:w w:val="100"/>
                            <w:sz w:val="21"/>
                            <w:szCs w:val="21"/>
                          </w:rPr>
                          <w:t>州</w:t>
                        </w:r>
                        <w:r>
                          <w:rPr>
                            <w:rFonts w:ascii="宋体" w:hAnsi="宋体" w:cs="宋体" w:eastAsia="宋体" w:hint="default"/>
                            <w:w w:val="100"/>
                            <w:sz w:val="21"/>
                            <w:szCs w:val="21"/>
                          </w:rPr>
                          <w:t>市</w:t>
                        </w:r>
                        <w:r>
                          <w:rPr>
                            <w:rFonts w:ascii="宋体" w:hAnsi="宋体" w:cs="宋体" w:eastAsia="宋体" w:hint="default"/>
                            <w:spacing w:val="-3"/>
                            <w:w w:val="100"/>
                            <w:sz w:val="21"/>
                            <w:szCs w:val="21"/>
                          </w:rPr>
                          <w:t>钱</w:t>
                        </w:r>
                        <w:r>
                          <w:rPr>
                            <w:rFonts w:ascii="宋体" w:hAnsi="宋体" w:cs="宋体" w:eastAsia="宋体" w:hint="default"/>
                            <w:w w:val="100"/>
                            <w:sz w:val="21"/>
                            <w:szCs w:val="21"/>
                          </w:rPr>
                          <w:t>江</w:t>
                        </w:r>
                        <w:r>
                          <w:rPr>
                            <w:rFonts w:ascii="宋体" w:hAnsi="宋体" w:cs="宋体" w:eastAsia="宋体" w:hint="default"/>
                            <w:spacing w:val="-3"/>
                            <w:w w:val="100"/>
                            <w:sz w:val="21"/>
                            <w:szCs w:val="21"/>
                          </w:rPr>
                          <w:t>新</w:t>
                        </w:r>
                        <w:r>
                          <w:rPr>
                            <w:rFonts w:ascii="宋体" w:hAnsi="宋体" w:cs="宋体" w:eastAsia="宋体" w:hint="default"/>
                            <w:w w:val="100"/>
                            <w:sz w:val="21"/>
                            <w:szCs w:val="21"/>
                          </w:rPr>
                          <w:t>城</w:t>
                        </w:r>
                        <w:r>
                          <w:rPr>
                            <w:rFonts w:ascii="宋体" w:hAnsi="宋体" w:cs="宋体" w:eastAsia="宋体" w:hint="default"/>
                            <w:spacing w:val="-3"/>
                            <w:w w:val="100"/>
                            <w:sz w:val="21"/>
                            <w:szCs w:val="21"/>
                          </w:rPr>
                          <w:t>新</w:t>
                        </w:r>
                        <w:r>
                          <w:rPr>
                            <w:rFonts w:ascii="宋体" w:hAnsi="宋体" w:cs="宋体" w:eastAsia="宋体" w:hint="default"/>
                            <w:w w:val="100"/>
                            <w:sz w:val="21"/>
                            <w:szCs w:val="21"/>
                          </w:rPr>
                          <w:t>业路</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号</w:t>
                        </w:r>
                        <w:r>
                          <w:rPr>
                            <w:rFonts w:ascii="宋体" w:hAnsi="宋体" w:cs="宋体" w:eastAsia="宋体" w:hint="default"/>
                            <w:spacing w:val="-60"/>
                            <w:sz w:val="21"/>
                            <w:szCs w:val="21"/>
                          </w:rPr>
                          <w:t> </w:t>
                        </w:r>
                        <w:r>
                          <w:rPr>
                            <w:rFonts w:ascii="Times New Roman" w:hAnsi="Times New Roman" w:cs="Times New Roman" w:eastAsia="Times New Roman" w:hint="default"/>
                            <w:spacing w:val="-2"/>
                            <w:w w:val="100"/>
                            <w:sz w:val="21"/>
                            <w:szCs w:val="21"/>
                          </w:rPr>
                          <w:t>U</w:t>
                        </w:r>
                        <w:r>
                          <w:rPr>
                            <w:rFonts w:ascii="Times New Roman" w:hAnsi="Times New Roman" w:cs="Times New Roman" w:eastAsia="Times New Roman" w:hint="default"/>
                            <w:w w:val="100"/>
                            <w:sz w:val="21"/>
                            <w:szCs w:val="21"/>
                          </w:rPr>
                          <w:t>D</w:t>
                        </w:r>
                        <w:r>
                          <w:rPr>
                            <w:rFonts w:ascii="Times New Roman" w:hAnsi="Times New Roman" w:cs="Times New Roman" w:eastAsia="Times New Roman" w:hint="default"/>
                            <w:w w:val="100"/>
                            <w:sz w:val="21"/>
                            <w:szCs w:val="21"/>
                          </w:rPr>
                          <w:t>C</w:t>
                        </w:r>
                        <w:r>
                          <w:rPr>
                            <w:rFonts w:ascii="Times New Roman" w:hAnsi="Times New Roman" w:cs="Times New Roman" w:eastAsia="Times New Roman" w:hint="default"/>
                            <w:spacing w:val="-6"/>
                            <w:sz w:val="21"/>
                            <w:szCs w:val="21"/>
                          </w:rPr>
                          <w:t> </w:t>
                        </w:r>
                        <w:r>
                          <w:rPr>
                            <w:rFonts w:ascii="宋体" w:hAnsi="宋体" w:cs="宋体" w:eastAsia="宋体" w:hint="default"/>
                            <w:w w:val="100"/>
                            <w:sz w:val="21"/>
                            <w:szCs w:val="21"/>
                          </w:rPr>
                          <w:t>时</w:t>
                        </w:r>
                        <w:r>
                          <w:rPr>
                            <w:rFonts w:ascii="宋体" w:hAnsi="宋体" w:cs="宋体" w:eastAsia="宋体" w:hint="default"/>
                            <w:spacing w:val="-3"/>
                            <w:w w:val="100"/>
                            <w:sz w:val="21"/>
                            <w:szCs w:val="21"/>
                          </w:rPr>
                          <w:t>代</w:t>
                        </w:r>
                        <w:r>
                          <w:rPr>
                            <w:rFonts w:ascii="宋体" w:hAnsi="宋体" w:cs="宋体" w:eastAsia="宋体" w:hint="default"/>
                            <w:w w:val="100"/>
                            <w:sz w:val="21"/>
                            <w:szCs w:val="21"/>
                          </w:rPr>
                          <w:t>大厦</w:t>
                        </w:r>
                        <w:r>
                          <w:rPr>
                            <w:rFonts w:ascii="宋体" w:hAnsi="宋体" w:cs="宋体" w:eastAsia="宋体" w:hint="default"/>
                            <w:spacing w:val="-60"/>
                            <w:sz w:val="21"/>
                            <w:szCs w:val="21"/>
                          </w:rPr>
                          <w:t> </w:t>
                        </w:r>
                        <w:r>
                          <w:rPr>
                            <w:rFonts w:ascii="Times New Roman" w:hAnsi="Times New Roman" w:cs="Times New Roman" w:eastAsia="Times New Roman" w:hint="default"/>
                            <w:w w:val="100"/>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w w:val="100"/>
                            <w:sz w:val="21"/>
                            <w:szCs w:val="21"/>
                          </w:rPr>
                          <w:t>座</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pacing w:val="-3"/>
                            <w:w w:val="100"/>
                            <w:sz w:val="21"/>
                            <w:szCs w:val="21"/>
                          </w:rPr>
                          <w:t>层</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邮</w:t>
                        </w:r>
                        <w:r>
                          <w:rPr>
                            <w:rFonts w:ascii="宋体" w:hAnsi="宋体" w:cs="宋体" w:eastAsia="宋体" w:hint="default"/>
                            <w:w w:val="100"/>
                            <w:sz w:val="21"/>
                            <w:szCs w:val="21"/>
                          </w:rPr>
                          <w:t>编</w:t>
                        </w:r>
                        <w:r>
                          <w:rPr>
                            <w:rFonts w:ascii="宋体" w:hAnsi="宋体" w:cs="宋体" w:eastAsia="宋体" w:hint="default"/>
                            <w:spacing w:val="-106"/>
                            <w:w w:val="100"/>
                            <w:sz w:val="21"/>
                            <w:szCs w:val="21"/>
                          </w:rPr>
                          <w:t>：</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6</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签字会计师姓名</w:t>
                        </w:r>
                      </w:p>
                    </w:tc>
                    <w:tc>
                      <w:tcPr>
                        <w:tcW w:w="6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4" w:right="0"/>
                          <w:jc w:val="left"/>
                          <w:rPr>
                            <w:rFonts w:ascii="宋体" w:hAnsi="宋体" w:cs="宋体" w:eastAsia="宋体" w:hint="default"/>
                            <w:sz w:val="21"/>
                            <w:szCs w:val="21"/>
                          </w:rPr>
                        </w:pPr>
                        <w:r>
                          <w:rPr>
                            <w:rFonts w:ascii="宋体" w:hAnsi="宋体" w:cs="宋体" w:eastAsia="宋体" w:hint="default"/>
                            <w:sz w:val="21"/>
                            <w:szCs w:val="21"/>
                          </w:rPr>
                          <w:t>赵亦飞、刘成龙</w:t>
                        </w:r>
                      </w:p>
                    </w:tc>
                  </w:tr>
                </w:tbl>
                <w:p>
                  <w:pPr/>
                </w:p>
              </w:txbxContent>
            </v:textbox>
            <w10:wrap type="none"/>
          </v:shape>
        </w:pict>
      </w:r>
      <w:r>
        <w:rPr>
          <w:rFonts w:ascii="宋体" w:hAnsi="宋体" w:cs="宋体" w:eastAsia="宋体" w:hint="default"/>
          <w:b/>
          <w:bCs/>
          <w:sz w:val="24"/>
          <w:szCs w:val="24"/>
        </w:rPr>
        <w:t>四、其他有关资料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693" w:right="0"/>
        <w:jc w:val="left"/>
      </w:pPr>
      <w:r>
        <w:rPr/>
        <w:t>公司聘请的报告期内履行持续督导职责的保荐机构</w:t>
      </w:r>
    </w:p>
    <w:p>
      <w:pPr>
        <w:spacing w:after="0" w:line="240" w:lineRule="auto"/>
        <w:jc w:val="left"/>
        <w:sectPr>
          <w:pgSz w:w="11910" w:h="16840"/>
          <w:pgMar w:header="877" w:footer="980" w:top="1100" w:bottom="1160" w:left="920" w:right="900"/>
        </w:sectPr>
      </w:pPr>
    </w:p>
    <w:p>
      <w:pPr>
        <w:spacing w:line="240" w:lineRule="auto" w:before="7"/>
        <w:rPr>
          <w:rFonts w:ascii="宋体" w:hAnsi="宋体" w:cs="宋体" w:eastAsia="宋体" w:hint="default"/>
          <w:sz w:val="25"/>
          <w:szCs w:val="25"/>
        </w:rPr>
      </w:pPr>
    </w:p>
    <w:p>
      <w:pPr>
        <w:pStyle w:val="BodyText"/>
        <w:spacing w:line="338" w:lineRule="auto" w:before="26"/>
        <w:ind w:left="693" w:right="4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公司聘请的报告期内履行持续督导职责的财务顾问</w:t>
      </w:r>
    </w:p>
    <w:p>
      <w:pPr>
        <w:pStyle w:val="BodyText"/>
        <w:spacing w:line="240" w:lineRule="auto"/>
        <w:ind w:left="693" w:right="4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372"/>
        <w:gridCol w:w="2372"/>
        <w:gridCol w:w="2372"/>
        <w:gridCol w:w="2374"/>
      </w:tblGrid>
      <w:tr>
        <w:trPr>
          <w:trHeight w:val="322" w:hRule="exact"/>
        </w:trPr>
        <w:tc>
          <w:tcPr>
            <w:tcW w:w="23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财务顾问名称</w:t>
            </w:r>
          </w:p>
        </w:tc>
        <w:tc>
          <w:tcPr>
            <w:tcW w:w="23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338" w:right="0"/>
              <w:jc w:val="left"/>
              <w:rPr>
                <w:rFonts w:ascii="宋体" w:hAnsi="宋体" w:cs="宋体" w:eastAsia="宋体" w:hint="default"/>
                <w:sz w:val="21"/>
                <w:szCs w:val="21"/>
              </w:rPr>
            </w:pPr>
            <w:r>
              <w:rPr>
                <w:rFonts w:ascii="宋体" w:hAnsi="宋体" w:cs="宋体" w:eastAsia="宋体" w:hint="default"/>
                <w:sz w:val="21"/>
                <w:szCs w:val="21"/>
              </w:rPr>
              <w:t>财务顾问办公地址</w:t>
            </w:r>
          </w:p>
        </w:tc>
        <w:tc>
          <w:tcPr>
            <w:tcW w:w="23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232" w:right="0"/>
              <w:jc w:val="left"/>
              <w:rPr>
                <w:rFonts w:ascii="宋体" w:hAnsi="宋体" w:cs="宋体" w:eastAsia="宋体" w:hint="default"/>
                <w:sz w:val="21"/>
                <w:szCs w:val="21"/>
              </w:rPr>
            </w:pPr>
            <w:r>
              <w:rPr>
                <w:rFonts w:ascii="宋体" w:hAnsi="宋体" w:cs="宋体" w:eastAsia="宋体" w:hint="default"/>
                <w:sz w:val="21"/>
                <w:szCs w:val="21"/>
              </w:rPr>
              <w:t>财务顾问主办人姓名</w:t>
            </w:r>
          </w:p>
        </w:tc>
        <w:tc>
          <w:tcPr>
            <w:tcW w:w="23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551"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63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0"/>
              <w:jc w:val="center"/>
              <w:rPr>
                <w:rFonts w:ascii="宋体" w:hAnsi="宋体" w:cs="宋体" w:eastAsia="宋体" w:hint="default"/>
                <w:sz w:val="21"/>
                <w:szCs w:val="21"/>
              </w:rPr>
            </w:pPr>
            <w:r>
              <w:rPr>
                <w:rFonts w:ascii="宋体" w:hAnsi="宋体" w:cs="宋体" w:eastAsia="宋体" w:hint="default"/>
                <w:sz w:val="21"/>
                <w:szCs w:val="21"/>
              </w:rPr>
              <w:t>华龙证券股份有限公司</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北京市西城区金融大街</w:t>
            </w:r>
          </w:p>
          <w:p>
            <w:pPr>
              <w:pStyle w:val="TableParagraph"/>
              <w:spacing w:line="240" w:lineRule="auto" w:before="3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号通泰大厦</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座</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层</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韩泽正、吕博文</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50"/>
                <w:sz w:val="21"/>
                <w:szCs w:val="21"/>
              </w:rPr>
              <w:t> </w:t>
            </w:r>
            <w:r>
              <w:rPr>
                <w:rFonts w:ascii="宋体" w:hAnsi="宋体" w:cs="宋体" w:eastAsia="宋体" w:hint="default"/>
                <w:spacing w:val="6"/>
                <w:sz w:val="21"/>
                <w:szCs w:val="21"/>
              </w:rPr>
              <w:t>日至</w:t>
            </w:r>
            <w:r>
              <w:rPr>
                <w:rFonts w:ascii="宋体" w:hAnsi="宋体" w:cs="宋体" w:eastAsia="宋体" w:hint="default"/>
                <w:sz w:val="21"/>
                <w:szCs w:val="21"/>
              </w:rPr>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1"/>
        <w:rPr>
          <w:rFonts w:ascii="宋体" w:hAnsi="宋体" w:cs="宋体" w:eastAsia="宋体" w:hint="default"/>
          <w:sz w:val="18"/>
          <w:szCs w:val="18"/>
        </w:rPr>
      </w:pPr>
    </w:p>
    <w:p>
      <w:pPr>
        <w:pStyle w:val="Heading2"/>
        <w:spacing w:line="240" w:lineRule="auto" w:before="26"/>
        <w:ind w:left="213" w:right="4073"/>
        <w:jc w:val="left"/>
        <w:rPr>
          <w:b w:val="0"/>
          <w:bCs w:val="0"/>
        </w:rPr>
      </w:pPr>
      <w:r>
        <w:rPr/>
        <w:t>五、主要会计数据和财务指标</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before="0"/>
        <w:ind w:left="693" w:right="4073"/>
        <w:jc w:val="left"/>
      </w:pPr>
      <w:r>
        <w:rPr/>
        <w:t>公司是否需追溯调整或重述以前年度会计数据</w:t>
      </w:r>
    </w:p>
    <w:p>
      <w:pPr>
        <w:pStyle w:val="BodyText"/>
        <w:spacing w:line="240" w:lineRule="auto" w:before="154"/>
        <w:ind w:left="693" w:right="40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6"/>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241"/>
        <w:gridCol w:w="385"/>
        <w:gridCol w:w="1648"/>
        <w:gridCol w:w="1669"/>
        <w:gridCol w:w="1308"/>
        <w:gridCol w:w="1527"/>
      </w:tblGrid>
      <w:tr>
        <w:trPr>
          <w:trHeight w:val="198" w:hRule="exact"/>
        </w:trPr>
        <w:tc>
          <w:tcPr>
            <w:tcW w:w="3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4"/>
              <w:ind w:left="436" w:right="119" w:hanging="315"/>
              <w:jc w:val="left"/>
              <w:rPr>
                <w:rFonts w:ascii="宋体" w:hAnsi="宋体" w:cs="宋体" w:eastAsia="宋体" w:hint="default"/>
                <w:sz w:val="21"/>
                <w:szCs w:val="21"/>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3241" w:type="dxa"/>
            <w:tcBorders>
              <w:top w:val="nil" w:sz="6" w:space="0" w:color="auto"/>
              <w:left w:val="single" w:sz="4" w:space="0" w:color="000000"/>
              <w:bottom w:val="nil" w:sz="6" w:space="0" w:color="auto"/>
              <w:right w:val="single" w:sz="4" w:space="0" w:color="000000"/>
            </w:tcBorders>
            <w:shd w:val="clear" w:color="auto" w:fill="D2D2D2"/>
          </w:tcPr>
          <w:p>
            <w:pPr/>
          </w:p>
        </w:tc>
        <w:tc>
          <w:tcPr>
            <w:tcW w:w="20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88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2017 </w:t>
            </w:r>
            <w:r>
              <w:rPr>
                <w:rFonts w:ascii="宋体" w:hAnsi="宋体" w:cs="宋体" w:eastAsia="宋体" w:hint="default"/>
                <w:b/>
                <w:bCs/>
                <w:sz w:val="21"/>
                <w:szCs w:val="21"/>
              </w:rPr>
              <w:t>年</w:t>
            </w:r>
            <w:r>
              <w:rPr>
                <w:rFonts w:ascii="宋体" w:hAnsi="宋体" w:cs="宋体" w:eastAsia="宋体" w:hint="default"/>
                <w:sz w:val="21"/>
                <w:szCs w:val="21"/>
              </w:rPr>
            </w:r>
          </w:p>
        </w:tc>
        <w:tc>
          <w:tcPr>
            <w:tcW w:w="16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69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08" w:type="dxa"/>
            <w:vMerge/>
            <w:tcBorders>
              <w:left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2015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240" w:hRule="exact"/>
        </w:trPr>
        <w:tc>
          <w:tcPr>
            <w:tcW w:w="3241" w:type="dxa"/>
            <w:tcBorders>
              <w:top w:val="nil" w:sz="6" w:space="0" w:color="auto"/>
              <w:left w:val="single" w:sz="4" w:space="0" w:color="000000"/>
              <w:bottom w:val="single" w:sz="4" w:space="0" w:color="FFFFFF"/>
              <w:right w:val="single" w:sz="4" w:space="0" w:color="000000"/>
            </w:tcBorders>
            <w:shd w:val="clear" w:color="auto" w:fill="D2D2D2"/>
          </w:tcPr>
          <w:p>
            <w:pPr/>
          </w:p>
        </w:tc>
        <w:tc>
          <w:tcPr>
            <w:tcW w:w="2033" w:type="dxa"/>
            <w:gridSpan w:val="2"/>
            <w:tcBorders>
              <w:top w:val="nil" w:sz="6" w:space="0" w:color="auto"/>
              <w:left w:val="single" w:sz="4" w:space="0" w:color="000000"/>
              <w:bottom w:val="single" w:sz="4" w:space="0" w:color="FFFFFF"/>
              <w:right w:val="single" w:sz="4" w:space="0" w:color="000000"/>
            </w:tcBorders>
            <w:shd w:val="clear" w:color="auto" w:fill="D2D2D2"/>
          </w:tcPr>
          <w:p>
            <w:pPr/>
          </w:p>
        </w:tc>
        <w:tc>
          <w:tcPr>
            <w:tcW w:w="1669" w:type="dxa"/>
            <w:tcBorders>
              <w:top w:val="nil" w:sz="6" w:space="0" w:color="auto"/>
              <w:left w:val="single" w:sz="4" w:space="0" w:color="000000"/>
              <w:bottom w:val="single" w:sz="4" w:space="0" w:color="FFFFFF"/>
              <w:right w:val="single" w:sz="4" w:space="0" w:color="000000"/>
            </w:tcBorders>
            <w:shd w:val="clear" w:color="auto" w:fill="D2D2D2"/>
          </w:tcPr>
          <w:p>
            <w:pPr/>
          </w:p>
        </w:tc>
        <w:tc>
          <w:tcPr>
            <w:tcW w:w="1308" w:type="dxa"/>
            <w:vMerge/>
            <w:tcBorders>
              <w:left w:val="single" w:sz="4" w:space="0" w:color="000000"/>
              <w:bottom w:val="single" w:sz="4" w:space="0" w:color="FFFFFF"/>
              <w:right w:val="single" w:sz="4" w:space="0" w:color="000000"/>
            </w:tcBorders>
            <w:shd w:val="clear" w:color="auto" w:fill="D2D2D2"/>
          </w:tcPr>
          <w:p>
            <w:pPr/>
          </w:p>
        </w:tc>
        <w:tc>
          <w:tcPr>
            <w:tcW w:w="1527" w:type="dxa"/>
            <w:tcBorders>
              <w:top w:val="nil" w:sz="6" w:space="0" w:color="auto"/>
              <w:left w:val="single" w:sz="4" w:space="0" w:color="000000"/>
              <w:bottom w:val="single" w:sz="4" w:space="0" w:color="FFFFFF"/>
              <w:right w:val="single" w:sz="4" w:space="0" w:color="000000"/>
            </w:tcBorders>
            <w:shd w:val="clear" w:color="auto" w:fill="D2D2D2"/>
          </w:tcPr>
          <w:p>
            <w:pPr/>
          </w:p>
        </w:tc>
      </w:tr>
      <w:tr>
        <w:trPr>
          <w:trHeight w:val="479" w:hRule="exact"/>
        </w:trPr>
        <w:tc>
          <w:tcPr>
            <w:tcW w:w="324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2033" w:type="dxa"/>
            <w:gridSpan w:val="2"/>
            <w:tcBorders>
              <w:top w:val="single" w:sz="4" w:space="0" w:color="FFFFFF"/>
              <w:left w:val="single" w:sz="9" w:space="0" w:color="D2D2D2"/>
              <w:bottom w:val="single" w:sz="4" w:space="0" w:color="FFFFFF"/>
              <w:right w:val="single" w:sz="4" w:space="0" w:color="000000"/>
            </w:tcBorders>
          </w:tcPr>
          <w:p>
            <w:pPr>
              <w:pStyle w:val="TableParagraph"/>
              <w:spacing w:line="240" w:lineRule="auto" w:before="70"/>
              <w:ind w:left="524" w:right="0"/>
              <w:jc w:val="left"/>
              <w:rPr>
                <w:rFonts w:ascii="Times New Roman" w:hAnsi="Times New Roman" w:cs="Times New Roman" w:eastAsia="Times New Roman" w:hint="default"/>
                <w:sz w:val="21"/>
                <w:szCs w:val="21"/>
              </w:rPr>
            </w:pPr>
            <w:r>
              <w:rPr>
                <w:rFonts w:ascii="Times New Roman"/>
                <w:sz w:val="21"/>
              </w:rPr>
              <w:t>1,249,758,548.46</w:t>
            </w:r>
          </w:p>
        </w:tc>
        <w:tc>
          <w:tcPr>
            <w:tcW w:w="166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1"/>
                <w:sz w:val="21"/>
              </w:rPr>
              <w:t>833,150,645.25</w:t>
            </w:r>
          </w:p>
        </w:tc>
        <w:tc>
          <w:tcPr>
            <w:tcW w:w="130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16"/>
              <w:jc w:val="right"/>
              <w:rPr>
                <w:rFonts w:ascii="Times New Roman" w:hAnsi="Times New Roman" w:cs="Times New Roman" w:eastAsia="Times New Roman" w:hint="default"/>
                <w:sz w:val="21"/>
                <w:szCs w:val="21"/>
              </w:rPr>
            </w:pPr>
            <w:r>
              <w:rPr>
                <w:rFonts w:ascii="Times New Roman"/>
                <w:sz w:val="21"/>
              </w:rPr>
              <w:t>50.00%</w:t>
            </w:r>
          </w:p>
        </w:tc>
        <w:tc>
          <w:tcPr>
            <w:tcW w:w="152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1"/>
                <w:sz w:val="21"/>
              </w:rPr>
              <w:t>467,150,995.75</w:t>
            </w:r>
          </w:p>
        </w:tc>
      </w:tr>
      <w:tr>
        <w:trPr>
          <w:trHeight w:val="436" w:hRule="exact"/>
        </w:trPr>
        <w:tc>
          <w:tcPr>
            <w:tcW w:w="3241"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4"/>
              <w:ind w:left="21"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归属于上市公司股东的净利润（元</w:t>
            </w:r>
          </w:p>
        </w:tc>
        <w:tc>
          <w:tcPr>
            <w:tcW w:w="385" w:type="dxa"/>
            <w:tcBorders>
              <w:top w:val="single" w:sz="4" w:space="0" w:color="FFFFFF"/>
              <w:left w:val="single" w:sz="9" w:space="0" w:color="D2D2D2"/>
              <w:bottom w:val="single" w:sz="4" w:space="0" w:color="000000"/>
              <w:right w:val="nil" w:sz="6" w:space="0" w:color="auto"/>
            </w:tcBorders>
          </w:tcPr>
          <w:p>
            <w:pPr>
              <w:pStyle w:val="TableParagraph"/>
              <w:spacing w:line="240" w:lineRule="auto" w:before="24"/>
              <w:ind w:left="-14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48" w:type="dxa"/>
            <w:tcBorders>
              <w:top w:val="single" w:sz="4" w:space="0" w:color="FFFFFF"/>
              <w:left w:val="nil" w:sz="6" w:space="0" w:color="auto"/>
              <w:bottom w:val="single" w:sz="4" w:space="0" w:color="000000"/>
              <w:right w:val="single" w:sz="4" w:space="0" w:color="000000"/>
            </w:tcBorders>
          </w:tcPr>
          <w:p>
            <w:pPr>
              <w:pStyle w:val="TableParagraph"/>
              <w:spacing w:line="240" w:lineRule="auto" w:before="69"/>
              <w:ind w:right="19"/>
              <w:jc w:val="right"/>
              <w:rPr>
                <w:rFonts w:ascii="Times New Roman" w:hAnsi="Times New Roman" w:cs="Times New Roman" w:eastAsia="Times New Roman" w:hint="default"/>
                <w:sz w:val="21"/>
                <w:szCs w:val="21"/>
              </w:rPr>
            </w:pPr>
            <w:r>
              <w:rPr>
                <w:rFonts w:ascii="Times New Roman"/>
                <w:spacing w:val="-1"/>
                <w:sz w:val="21"/>
              </w:rPr>
              <w:t>196,266,033.25</w:t>
            </w:r>
          </w:p>
        </w:tc>
        <w:tc>
          <w:tcPr>
            <w:tcW w:w="166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pacing w:val="-1"/>
                <w:sz w:val="21"/>
              </w:rPr>
              <w:t>127,450,223.24</w:t>
            </w:r>
          </w:p>
        </w:tc>
        <w:tc>
          <w:tcPr>
            <w:tcW w:w="130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9"/>
              <w:ind w:right="16"/>
              <w:jc w:val="right"/>
              <w:rPr>
                <w:rFonts w:ascii="Times New Roman" w:hAnsi="Times New Roman" w:cs="Times New Roman" w:eastAsia="Times New Roman" w:hint="default"/>
                <w:sz w:val="21"/>
                <w:szCs w:val="21"/>
              </w:rPr>
            </w:pPr>
            <w:r>
              <w:rPr>
                <w:rFonts w:ascii="Times New Roman"/>
                <w:sz w:val="21"/>
              </w:rPr>
              <w:t>53.99%</w:t>
            </w:r>
          </w:p>
        </w:tc>
        <w:tc>
          <w:tcPr>
            <w:tcW w:w="152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pacing w:val="-1"/>
                <w:sz w:val="21"/>
              </w:rPr>
              <w:t>58,778,892.50</w:t>
            </w:r>
          </w:p>
        </w:tc>
      </w:tr>
      <w:tr>
        <w:trPr>
          <w:trHeight w:val="676" w:hRule="exact"/>
        </w:trPr>
        <w:tc>
          <w:tcPr>
            <w:tcW w:w="324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3" w:lineRule="auto"/>
              <w:ind w:left="21" w:right="53"/>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归属于上市公司股东的扣除非经常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性损益的净利润（元）</w:t>
            </w:r>
          </w:p>
        </w:tc>
        <w:tc>
          <w:tcPr>
            <w:tcW w:w="2033" w:type="dxa"/>
            <w:gridSpan w:val="2"/>
            <w:tcBorders>
              <w:top w:val="single" w:sz="4" w:space="0" w:color="000000"/>
              <w:left w:val="single" w:sz="9" w:space="0" w:color="D2D2D2"/>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82" w:right="0"/>
              <w:jc w:val="left"/>
              <w:rPr>
                <w:rFonts w:ascii="Times New Roman" w:hAnsi="Times New Roman" w:cs="Times New Roman" w:eastAsia="Times New Roman" w:hint="default"/>
                <w:sz w:val="21"/>
                <w:szCs w:val="21"/>
              </w:rPr>
            </w:pPr>
            <w:r>
              <w:rPr>
                <w:rFonts w:ascii="Times New Roman"/>
                <w:sz w:val="21"/>
              </w:rPr>
              <w:t>183,069,045.44</w:t>
            </w:r>
          </w:p>
        </w:tc>
        <w:tc>
          <w:tcPr>
            <w:tcW w:w="166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107,216,363.61</w:t>
            </w:r>
          </w:p>
        </w:tc>
        <w:tc>
          <w:tcPr>
            <w:tcW w:w="130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70.75%</w:t>
            </w:r>
          </w:p>
        </w:tc>
        <w:tc>
          <w:tcPr>
            <w:tcW w:w="152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53,533,776.23</w:t>
            </w:r>
          </w:p>
        </w:tc>
      </w:tr>
      <w:tr>
        <w:trPr>
          <w:trHeight w:val="478" w:hRule="exact"/>
        </w:trPr>
        <w:tc>
          <w:tcPr>
            <w:tcW w:w="324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4"/>
              <w:ind w:left="21" w:right="0"/>
              <w:jc w:val="left"/>
              <w:rPr>
                <w:rFonts w:ascii="宋体" w:hAnsi="宋体" w:cs="宋体" w:eastAsia="宋体" w:hint="default"/>
                <w:sz w:val="21"/>
                <w:szCs w:val="21"/>
              </w:rPr>
            </w:pPr>
            <w:r>
              <w:rPr>
                <w:rFonts w:ascii="宋体" w:hAnsi="宋体" w:cs="宋体" w:eastAsia="宋体" w:hint="default"/>
                <w:spacing w:val="-6"/>
                <w:sz w:val="21"/>
                <w:szCs w:val="21"/>
              </w:rPr>
              <w:t>经营活动产生的现金流量净额（元</w:t>
            </w:r>
          </w:p>
        </w:tc>
        <w:tc>
          <w:tcPr>
            <w:tcW w:w="385" w:type="dxa"/>
            <w:tcBorders>
              <w:top w:val="single" w:sz="4" w:space="0" w:color="FFFFFF"/>
              <w:left w:val="single" w:sz="9" w:space="0" w:color="D2D2D2"/>
              <w:bottom w:val="single" w:sz="4" w:space="0" w:color="FFFFFF"/>
              <w:right w:val="nil" w:sz="6" w:space="0" w:color="auto"/>
            </w:tcBorders>
          </w:tcPr>
          <w:p>
            <w:pPr>
              <w:pStyle w:val="TableParagraph"/>
              <w:spacing w:line="240" w:lineRule="auto" w:before="24"/>
              <w:ind w:left="-14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48" w:type="dxa"/>
            <w:tcBorders>
              <w:top w:val="single" w:sz="4" w:space="0" w:color="FFFFFF"/>
              <w:left w:val="nil" w:sz="6" w:space="0" w:color="auto"/>
              <w:bottom w:val="single" w:sz="4" w:space="0" w:color="FFFFFF"/>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249,360,832.91</w:t>
            </w:r>
          </w:p>
        </w:tc>
        <w:tc>
          <w:tcPr>
            <w:tcW w:w="166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pacing w:val="-1"/>
                <w:sz w:val="21"/>
              </w:rPr>
              <w:t>223,170,130.99</w:t>
            </w:r>
          </w:p>
        </w:tc>
        <w:tc>
          <w:tcPr>
            <w:tcW w:w="130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16"/>
              <w:jc w:val="right"/>
              <w:rPr>
                <w:rFonts w:ascii="Times New Roman" w:hAnsi="Times New Roman" w:cs="Times New Roman" w:eastAsia="Times New Roman" w:hint="default"/>
                <w:sz w:val="21"/>
                <w:szCs w:val="21"/>
              </w:rPr>
            </w:pPr>
            <w:r>
              <w:rPr>
                <w:rFonts w:ascii="Times New Roman"/>
                <w:spacing w:val="-2"/>
                <w:sz w:val="21"/>
              </w:rPr>
              <w:t>11.74%</w:t>
            </w:r>
          </w:p>
        </w:tc>
        <w:tc>
          <w:tcPr>
            <w:tcW w:w="152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pacing w:val="-1"/>
                <w:sz w:val="21"/>
              </w:rPr>
              <w:t>129,046,880.20</w:t>
            </w:r>
          </w:p>
        </w:tc>
      </w:tr>
      <w:tr>
        <w:trPr>
          <w:trHeight w:val="479" w:hRule="exact"/>
        </w:trPr>
        <w:tc>
          <w:tcPr>
            <w:tcW w:w="324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4"/>
              <w:ind w:left="2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2033" w:type="dxa"/>
            <w:gridSpan w:val="2"/>
            <w:tcBorders>
              <w:top w:val="single" w:sz="4" w:space="0" w:color="FFFFFF"/>
              <w:left w:val="single" w:sz="9" w:space="0" w:color="D2D2D2"/>
              <w:bottom w:val="single" w:sz="4" w:space="0" w:color="FFFFFF"/>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z w:val="21"/>
              </w:rPr>
              <w:t>0.44</w:t>
            </w:r>
          </w:p>
        </w:tc>
        <w:tc>
          <w:tcPr>
            <w:tcW w:w="166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z w:val="21"/>
              </w:rPr>
              <w:t>0.31</w:t>
            </w:r>
          </w:p>
        </w:tc>
        <w:tc>
          <w:tcPr>
            <w:tcW w:w="130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16"/>
              <w:jc w:val="right"/>
              <w:rPr>
                <w:rFonts w:ascii="Times New Roman" w:hAnsi="Times New Roman" w:cs="Times New Roman" w:eastAsia="Times New Roman" w:hint="default"/>
                <w:sz w:val="21"/>
                <w:szCs w:val="21"/>
              </w:rPr>
            </w:pPr>
            <w:r>
              <w:rPr>
                <w:rFonts w:ascii="Times New Roman"/>
                <w:sz w:val="21"/>
              </w:rPr>
              <w:t>41.94%</w:t>
            </w:r>
          </w:p>
        </w:tc>
        <w:tc>
          <w:tcPr>
            <w:tcW w:w="152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z w:val="21"/>
              </w:rPr>
              <w:t>0.15</w:t>
            </w:r>
          </w:p>
        </w:tc>
      </w:tr>
      <w:tr>
        <w:trPr>
          <w:trHeight w:val="478" w:hRule="exact"/>
        </w:trPr>
        <w:tc>
          <w:tcPr>
            <w:tcW w:w="324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2033" w:type="dxa"/>
            <w:gridSpan w:val="2"/>
            <w:tcBorders>
              <w:top w:val="single" w:sz="4" w:space="0" w:color="FFFFFF"/>
              <w:left w:val="single" w:sz="9" w:space="0" w:color="D2D2D2"/>
              <w:bottom w:val="single" w:sz="4" w:space="0" w:color="FFFFFF"/>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0.44</w:t>
            </w:r>
          </w:p>
        </w:tc>
        <w:tc>
          <w:tcPr>
            <w:tcW w:w="166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0.30</w:t>
            </w:r>
          </w:p>
        </w:tc>
        <w:tc>
          <w:tcPr>
            <w:tcW w:w="130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16"/>
              <w:jc w:val="right"/>
              <w:rPr>
                <w:rFonts w:ascii="Times New Roman" w:hAnsi="Times New Roman" w:cs="Times New Roman" w:eastAsia="Times New Roman" w:hint="default"/>
                <w:sz w:val="21"/>
                <w:szCs w:val="21"/>
              </w:rPr>
            </w:pPr>
            <w:r>
              <w:rPr>
                <w:rFonts w:ascii="Times New Roman"/>
                <w:sz w:val="21"/>
              </w:rPr>
              <w:t>46.67%</w:t>
            </w:r>
          </w:p>
        </w:tc>
        <w:tc>
          <w:tcPr>
            <w:tcW w:w="152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0.14</w:t>
            </w:r>
          </w:p>
        </w:tc>
      </w:tr>
      <w:tr>
        <w:trPr>
          <w:trHeight w:val="437" w:hRule="exact"/>
        </w:trPr>
        <w:tc>
          <w:tcPr>
            <w:tcW w:w="3241"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33" w:type="dxa"/>
            <w:gridSpan w:val="2"/>
            <w:tcBorders>
              <w:top w:val="single" w:sz="4" w:space="0" w:color="FFFFFF"/>
              <w:left w:val="single" w:sz="9" w:space="0" w:color="D2D2D2"/>
              <w:bottom w:val="single" w:sz="4" w:space="0" w:color="000000"/>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2"/>
                <w:sz w:val="21"/>
              </w:rPr>
              <w:t>11.49</w:t>
            </w:r>
          </w:p>
        </w:tc>
        <w:tc>
          <w:tcPr>
            <w:tcW w:w="166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2"/>
                <w:sz w:val="21"/>
              </w:rPr>
              <w:t>11.04</w:t>
            </w:r>
          </w:p>
        </w:tc>
        <w:tc>
          <w:tcPr>
            <w:tcW w:w="1308" w:type="dxa"/>
            <w:tcBorders>
              <w:top w:val="single" w:sz="4" w:space="0" w:color="FFFFFF"/>
              <w:left w:val="single" w:sz="4" w:space="0" w:color="000000"/>
              <w:bottom w:val="single" w:sz="6" w:space="0" w:color="000000"/>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0.45</w:t>
            </w:r>
          </w:p>
        </w:tc>
        <w:tc>
          <w:tcPr>
            <w:tcW w:w="152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8.78</w:t>
            </w:r>
          </w:p>
        </w:tc>
      </w:tr>
      <w:tr>
        <w:trPr>
          <w:trHeight w:val="166" w:hRule="exact"/>
        </w:trPr>
        <w:tc>
          <w:tcPr>
            <w:tcW w:w="3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27" w:right="119" w:hanging="106"/>
              <w:jc w:val="left"/>
              <w:rPr>
                <w:rFonts w:ascii="宋体" w:hAnsi="宋体" w:cs="宋体" w:eastAsia="宋体" w:hint="default"/>
                <w:sz w:val="21"/>
                <w:szCs w:val="21"/>
              </w:rPr>
            </w:pPr>
            <w:r>
              <w:rPr>
                <w:rFonts w:ascii="宋体" w:hAnsi="宋体" w:cs="宋体" w:eastAsia="宋体" w:hint="default"/>
                <w:b/>
                <w:bCs/>
                <w:sz w:val="21"/>
                <w:szCs w:val="21"/>
              </w:rPr>
              <w:t>本年末比上</w:t>
            </w:r>
            <w:r>
              <w:rPr>
                <w:rFonts w:ascii="宋体" w:hAnsi="宋体" w:cs="宋体" w:eastAsia="宋体" w:hint="default"/>
                <w:b/>
                <w:bCs/>
                <w:w w:val="100"/>
                <w:sz w:val="21"/>
                <w:szCs w:val="21"/>
              </w:rPr>
              <w:t> </w:t>
            </w:r>
            <w:r>
              <w:rPr>
                <w:rFonts w:ascii="宋体" w:hAnsi="宋体" w:cs="宋体" w:eastAsia="宋体" w:hint="default"/>
                <w:b/>
                <w:bCs/>
                <w:sz w:val="21"/>
                <w:szCs w:val="21"/>
              </w:rPr>
              <w:t>年末增减</w:t>
            </w:r>
            <w:r>
              <w:rPr>
                <w:rFonts w:ascii="宋体" w:hAnsi="宋体" w:cs="宋体" w:eastAsia="宋体" w:hint="default"/>
                <w:sz w:val="21"/>
                <w:szCs w:val="21"/>
              </w:rPr>
            </w: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3241" w:type="dxa"/>
            <w:tcBorders>
              <w:top w:val="nil" w:sz="6" w:space="0" w:color="auto"/>
              <w:left w:val="single" w:sz="4" w:space="0" w:color="000000"/>
              <w:bottom w:val="nil" w:sz="6" w:space="0" w:color="auto"/>
              <w:right w:val="single" w:sz="4" w:space="0" w:color="000000"/>
            </w:tcBorders>
            <w:shd w:val="clear" w:color="auto" w:fill="D2D2D2"/>
          </w:tcPr>
          <w:p>
            <w:pPr/>
          </w:p>
        </w:tc>
        <w:tc>
          <w:tcPr>
            <w:tcW w:w="20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56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2017 </w:t>
            </w:r>
            <w:r>
              <w:rPr>
                <w:rFonts w:ascii="宋体" w:hAnsi="宋体" w:cs="宋体" w:eastAsia="宋体" w:hint="default"/>
                <w:b/>
                <w:bCs/>
                <w:sz w:val="21"/>
                <w:szCs w:val="21"/>
              </w:rPr>
              <w:t>年末</w:t>
            </w:r>
            <w:r>
              <w:rPr>
                <w:rFonts w:ascii="宋体" w:hAnsi="宋体" w:cs="宋体" w:eastAsia="宋体" w:hint="default"/>
                <w:sz w:val="21"/>
                <w:szCs w:val="21"/>
              </w:rPr>
            </w:r>
          </w:p>
        </w:tc>
        <w:tc>
          <w:tcPr>
            <w:tcW w:w="16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38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2016 </w:t>
            </w:r>
            <w:r>
              <w:rPr>
                <w:rFonts w:ascii="宋体" w:hAnsi="宋体" w:cs="宋体" w:eastAsia="宋体" w:hint="default"/>
                <w:b/>
                <w:bCs/>
                <w:sz w:val="21"/>
                <w:szCs w:val="21"/>
              </w:rPr>
              <w:t>年末</w:t>
            </w:r>
            <w:r>
              <w:rPr>
                <w:rFonts w:ascii="宋体" w:hAnsi="宋体" w:cs="宋体" w:eastAsia="宋体" w:hint="default"/>
                <w:sz w:val="21"/>
                <w:szCs w:val="21"/>
              </w:rPr>
            </w:r>
          </w:p>
        </w:tc>
        <w:tc>
          <w:tcPr>
            <w:tcW w:w="1308" w:type="dxa"/>
            <w:vMerge/>
            <w:tcBorders>
              <w:left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30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2015</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208" w:hRule="exact"/>
        </w:trPr>
        <w:tc>
          <w:tcPr>
            <w:tcW w:w="3241" w:type="dxa"/>
            <w:tcBorders>
              <w:top w:val="nil" w:sz="6" w:space="0" w:color="auto"/>
              <w:left w:val="single" w:sz="4" w:space="0" w:color="000000"/>
              <w:bottom w:val="single" w:sz="4" w:space="0" w:color="FFFFFF"/>
              <w:right w:val="single" w:sz="4" w:space="0" w:color="000000"/>
            </w:tcBorders>
            <w:shd w:val="clear" w:color="auto" w:fill="D2D2D2"/>
          </w:tcPr>
          <w:p>
            <w:pPr/>
          </w:p>
        </w:tc>
        <w:tc>
          <w:tcPr>
            <w:tcW w:w="2033" w:type="dxa"/>
            <w:gridSpan w:val="2"/>
            <w:tcBorders>
              <w:top w:val="nil" w:sz="6" w:space="0" w:color="auto"/>
              <w:left w:val="single" w:sz="4" w:space="0" w:color="000000"/>
              <w:bottom w:val="single" w:sz="4" w:space="0" w:color="FFFFFF"/>
              <w:right w:val="single" w:sz="4" w:space="0" w:color="000000"/>
            </w:tcBorders>
            <w:shd w:val="clear" w:color="auto" w:fill="D2D2D2"/>
          </w:tcPr>
          <w:p>
            <w:pPr/>
          </w:p>
        </w:tc>
        <w:tc>
          <w:tcPr>
            <w:tcW w:w="1669" w:type="dxa"/>
            <w:tcBorders>
              <w:top w:val="nil" w:sz="6" w:space="0" w:color="auto"/>
              <w:left w:val="single" w:sz="4" w:space="0" w:color="000000"/>
              <w:bottom w:val="single" w:sz="4" w:space="0" w:color="FFFFFF"/>
              <w:right w:val="single" w:sz="4" w:space="0" w:color="000000"/>
            </w:tcBorders>
            <w:shd w:val="clear" w:color="auto" w:fill="D2D2D2"/>
          </w:tcPr>
          <w:p>
            <w:pPr/>
          </w:p>
        </w:tc>
        <w:tc>
          <w:tcPr>
            <w:tcW w:w="1308" w:type="dxa"/>
            <w:vMerge/>
            <w:tcBorders>
              <w:left w:val="single" w:sz="4" w:space="0" w:color="000000"/>
              <w:bottom w:val="single" w:sz="4" w:space="0" w:color="FFFFFF"/>
              <w:right w:val="single" w:sz="4" w:space="0" w:color="000000"/>
            </w:tcBorders>
            <w:shd w:val="clear" w:color="auto" w:fill="D2D2D2"/>
          </w:tcPr>
          <w:p>
            <w:pPr/>
          </w:p>
        </w:tc>
        <w:tc>
          <w:tcPr>
            <w:tcW w:w="1527" w:type="dxa"/>
            <w:tcBorders>
              <w:top w:val="nil" w:sz="6" w:space="0" w:color="auto"/>
              <w:left w:val="single" w:sz="4" w:space="0" w:color="000000"/>
              <w:bottom w:val="single" w:sz="4" w:space="0" w:color="FFFFFF"/>
              <w:right w:val="single" w:sz="4" w:space="0" w:color="000000"/>
            </w:tcBorders>
            <w:shd w:val="clear" w:color="auto" w:fill="D2D2D2"/>
          </w:tcPr>
          <w:p>
            <w:pPr/>
          </w:p>
        </w:tc>
      </w:tr>
      <w:tr>
        <w:trPr>
          <w:trHeight w:val="436" w:hRule="exact"/>
        </w:trPr>
        <w:tc>
          <w:tcPr>
            <w:tcW w:w="3241"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4"/>
              <w:ind w:left="21"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2033" w:type="dxa"/>
            <w:gridSpan w:val="2"/>
            <w:tcBorders>
              <w:top w:val="single" w:sz="4" w:space="0" w:color="FFFFFF"/>
              <w:left w:val="single" w:sz="9" w:space="0" w:color="D2D2D2"/>
              <w:bottom w:val="single" w:sz="4" w:space="0" w:color="000000"/>
              <w:right w:val="single" w:sz="4" w:space="0" w:color="000000"/>
            </w:tcBorders>
          </w:tcPr>
          <w:p>
            <w:pPr>
              <w:pStyle w:val="TableParagraph"/>
              <w:spacing w:line="240" w:lineRule="auto" w:before="69"/>
              <w:ind w:left="524" w:right="0"/>
              <w:jc w:val="left"/>
              <w:rPr>
                <w:rFonts w:ascii="Times New Roman" w:hAnsi="Times New Roman" w:cs="Times New Roman" w:eastAsia="Times New Roman" w:hint="default"/>
                <w:sz w:val="21"/>
                <w:szCs w:val="21"/>
              </w:rPr>
            </w:pPr>
            <w:r>
              <w:rPr>
                <w:rFonts w:ascii="Times New Roman"/>
                <w:sz w:val="21"/>
              </w:rPr>
              <w:t>2,629,728,087.14</w:t>
            </w:r>
          </w:p>
        </w:tc>
        <w:tc>
          <w:tcPr>
            <w:tcW w:w="166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pacing w:val="-1"/>
                <w:sz w:val="21"/>
              </w:rPr>
              <w:t>2,194,270,891.85</w:t>
            </w:r>
          </w:p>
        </w:tc>
        <w:tc>
          <w:tcPr>
            <w:tcW w:w="130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9"/>
              <w:ind w:right="16"/>
              <w:jc w:val="right"/>
              <w:rPr>
                <w:rFonts w:ascii="Times New Roman" w:hAnsi="Times New Roman" w:cs="Times New Roman" w:eastAsia="Times New Roman" w:hint="default"/>
                <w:sz w:val="21"/>
                <w:szCs w:val="21"/>
              </w:rPr>
            </w:pPr>
            <w:r>
              <w:rPr>
                <w:rFonts w:ascii="Times New Roman"/>
                <w:sz w:val="21"/>
              </w:rPr>
              <w:t>19.85%</w:t>
            </w:r>
          </w:p>
        </w:tc>
        <w:tc>
          <w:tcPr>
            <w:tcW w:w="152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pacing w:val="-1"/>
                <w:sz w:val="21"/>
              </w:rPr>
              <w:t>1,036,955,203.58</w:t>
            </w:r>
          </w:p>
        </w:tc>
      </w:tr>
      <w:tr>
        <w:trPr>
          <w:trHeight w:val="636"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归属于上市公司股东的所有者权益</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03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4" w:right="0"/>
              <w:jc w:val="left"/>
              <w:rPr>
                <w:rFonts w:ascii="Times New Roman" w:hAnsi="Times New Roman" w:cs="Times New Roman" w:eastAsia="Times New Roman" w:hint="default"/>
                <w:sz w:val="21"/>
                <w:szCs w:val="21"/>
              </w:rPr>
            </w:pPr>
            <w:r>
              <w:rPr>
                <w:rFonts w:ascii="Times New Roman"/>
                <w:sz w:val="21"/>
              </w:rPr>
              <w:t>1,805,894,167.44</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1,615,854,933.04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2"/>
                <w:sz w:val="21"/>
              </w:rPr>
              <w:t>11.76%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691,442,063.33</w:t>
            </w:r>
          </w:p>
        </w:tc>
      </w:tr>
    </w:tbl>
    <w:p>
      <w:pPr>
        <w:pStyle w:val="BodyText"/>
        <w:spacing w:line="355" w:lineRule="auto" w:before="79"/>
        <w:ind w:left="213" w:right="233"/>
        <w:jc w:val="left"/>
      </w:pPr>
      <w:r>
        <w:rPr/>
        <w:t>公司报告期末至年度报告披露日股本是否因发行新股、增发、配股、股权激励行权、回购等 原因发生变化且影响所有者权益金额</w:t>
      </w:r>
    </w:p>
    <w:p>
      <w:pPr>
        <w:pStyle w:val="BodyText"/>
        <w:spacing w:line="240" w:lineRule="auto" w:before="80"/>
        <w:ind w:left="213" w:right="40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7"/>
        <w:rPr>
          <w:rFonts w:ascii="宋体" w:hAnsi="宋体" w:cs="宋体" w:eastAsia="宋体" w:hint="default"/>
          <w:sz w:val="10"/>
          <w:szCs w:val="10"/>
        </w:rPr>
      </w:pPr>
    </w:p>
    <w:tbl>
      <w:tblPr>
        <w:tblW w:w="0" w:type="auto"/>
        <w:jc w:val="left"/>
        <w:tblInd w:w="209" w:type="dxa"/>
        <w:tblLayout w:type="fixed"/>
        <w:tblCellMar>
          <w:top w:w="0" w:type="dxa"/>
          <w:left w:w="0" w:type="dxa"/>
          <w:bottom w:w="0" w:type="dxa"/>
          <w:right w:w="0" w:type="dxa"/>
        </w:tblCellMar>
        <w:tblLook w:val="01E0"/>
      </w:tblPr>
      <w:tblGrid>
        <w:gridCol w:w="4524"/>
        <w:gridCol w:w="5046"/>
      </w:tblGrid>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用最新股本计算的全面摊薄每股收益（元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0.4366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213" w:right="4073"/>
        <w:jc w:val="left"/>
        <w:rPr>
          <w:b w:val="0"/>
          <w:bCs w:val="0"/>
        </w:rPr>
      </w:pPr>
      <w:r>
        <w:rPr/>
        <w:t>六、分季度主要财务指标</w:t>
      </w:r>
      <w:r>
        <w:rPr>
          <w:b w:val="0"/>
          <w:bCs w:val="0"/>
        </w:rPr>
      </w:r>
    </w:p>
    <w:p>
      <w:pPr>
        <w:spacing w:line="240" w:lineRule="auto" w:before="11"/>
        <w:rPr>
          <w:rFonts w:ascii="宋体" w:hAnsi="宋体" w:cs="宋体" w:eastAsia="宋体" w:hint="default"/>
          <w:b/>
          <w:bCs/>
          <w:sz w:val="25"/>
          <w:szCs w:val="25"/>
        </w:rPr>
      </w:pPr>
    </w:p>
    <w:tbl>
      <w:tblPr>
        <w:tblW w:w="0" w:type="auto"/>
        <w:jc w:val="left"/>
        <w:tblInd w:w="128" w:type="dxa"/>
        <w:tblLayout w:type="fixed"/>
        <w:tblCellMar>
          <w:top w:w="0" w:type="dxa"/>
          <w:left w:w="0" w:type="dxa"/>
          <w:bottom w:w="0" w:type="dxa"/>
          <w:right w:w="0" w:type="dxa"/>
        </w:tblCellMar>
        <w:tblLook w:val="01E0"/>
      </w:tblPr>
      <w:tblGrid>
        <w:gridCol w:w="3153"/>
        <w:gridCol w:w="1722"/>
        <w:gridCol w:w="1697"/>
        <w:gridCol w:w="1460"/>
        <w:gridCol w:w="1779"/>
      </w:tblGrid>
      <w:tr>
        <w:trPr>
          <w:trHeight w:val="478" w:hRule="exact"/>
        </w:trPr>
        <w:tc>
          <w:tcPr>
            <w:tcW w:w="31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433" w:right="0"/>
              <w:jc w:val="left"/>
              <w:rPr>
                <w:rFonts w:ascii="宋体" w:hAnsi="宋体" w:cs="宋体" w:eastAsia="宋体" w:hint="default"/>
                <w:sz w:val="21"/>
                <w:szCs w:val="21"/>
              </w:rPr>
            </w:pPr>
            <w:r>
              <w:rPr>
                <w:rFonts w:ascii="宋体" w:hAnsi="宋体" w:cs="宋体" w:eastAsia="宋体" w:hint="default"/>
                <w:b/>
                <w:bCs/>
                <w:sz w:val="21"/>
                <w:szCs w:val="21"/>
              </w:rPr>
              <w:t>第一季度</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419" w:right="0"/>
              <w:jc w:val="left"/>
              <w:rPr>
                <w:rFonts w:ascii="宋体" w:hAnsi="宋体" w:cs="宋体" w:eastAsia="宋体" w:hint="default"/>
                <w:sz w:val="21"/>
                <w:szCs w:val="21"/>
              </w:rPr>
            </w:pPr>
            <w:r>
              <w:rPr>
                <w:rFonts w:ascii="宋体" w:hAnsi="宋体" w:cs="宋体" w:eastAsia="宋体" w:hint="default"/>
                <w:b/>
                <w:bCs/>
                <w:sz w:val="21"/>
                <w:szCs w:val="21"/>
              </w:rPr>
              <w:t>第二季度</w:t>
            </w:r>
            <w:r>
              <w:rPr>
                <w:rFonts w:ascii="宋体" w:hAnsi="宋体" w:cs="宋体" w:eastAsia="宋体" w:hint="default"/>
                <w:sz w:val="21"/>
                <w:szCs w:val="21"/>
              </w:rPr>
            </w:r>
          </w:p>
        </w:tc>
        <w:tc>
          <w:tcPr>
            <w:tcW w:w="1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302" w:right="0"/>
              <w:jc w:val="left"/>
              <w:rPr>
                <w:rFonts w:ascii="宋体" w:hAnsi="宋体" w:cs="宋体" w:eastAsia="宋体" w:hint="default"/>
                <w:sz w:val="21"/>
                <w:szCs w:val="21"/>
              </w:rPr>
            </w:pPr>
            <w:r>
              <w:rPr>
                <w:rFonts w:ascii="宋体" w:hAnsi="宋体" w:cs="宋体" w:eastAsia="宋体" w:hint="default"/>
                <w:b/>
                <w:bCs/>
                <w:sz w:val="21"/>
                <w:szCs w:val="21"/>
              </w:rPr>
              <w:t>第三季度</w:t>
            </w:r>
            <w:r>
              <w:rPr>
                <w:rFonts w:ascii="宋体" w:hAnsi="宋体" w:cs="宋体" w:eastAsia="宋体" w:hint="default"/>
                <w:sz w:val="21"/>
                <w:szCs w:val="21"/>
              </w:rPr>
            </w:r>
          </w:p>
        </w:tc>
        <w:tc>
          <w:tcPr>
            <w:tcW w:w="1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460" w:right="0"/>
              <w:jc w:val="left"/>
              <w:rPr>
                <w:rFonts w:ascii="宋体" w:hAnsi="宋体" w:cs="宋体" w:eastAsia="宋体" w:hint="default"/>
                <w:sz w:val="21"/>
                <w:szCs w:val="21"/>
              </w:rPr>
            </w:pPr>
            <w:r>
              <w:rPr>
                <w:rFonts w:ascii="宋体" w:hAnsi="宋体" w:cs="宋体" w:eastAsia="宋体" w:hint="default"/>
                <w:b/>
                <w:bCs/>
                <w:sz w:val="21"/>
                <w:szCs w:val="21"/>
              </w:rPr>
              <w:t>第四季度</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77" w:footer="980" w:top="1100" w:bottom="1160" w:left="920" w:right="920"/>
        </w:sectPr>
      </w:pPr>
    </w:p>
    <w:p>
      <w:pPr>
        <w:spacing w:line="240" w:lineRule="auto" w:before="8"/>
        <w:rPr>
          <w:rFonts w:ascii="宋体" w:hAnsi="宋体" w:cs="宋体" w:eastAsia="宋体" w:hint="default"/>
          <w:b/>
          <w:bCs/>
          <w:sz w:val="24"/>
          <w:szCs w:val="24"/>
        </w:rPr>
      </w:pPr>
    </w:p>
    <w:tbl>
      <w:tblPr>
        <w:tblW w:w="0" w:type="auto"/>
        <w:jc w:val="left"/>
        <w:tblInd w:w="108" w:type="dxa"/>
        <w:tblLayout w:type="fixed"/>
        <w:tblCellMar>
          <w:top w:w="0" w:type="dxa"/>
          <w:left w:w="0" w:type="dxa"/>
          <w:bottom w:w="0" w:type="dxa"/>
          <w:right w:w="0" w:type="dxa"/>
        </w:tblCellMar>
        <w:tblLook w:val="01E0"/>
      </w:tblPr>
      <w:tblGrid>
        <w:gridCol w:w="3152"/>
        <w:gridCol w:w="1724"/>
        <w:gridCol w:w="1697"/>
        <w:gridCol w:w="1460"/>
        <w:gridCol w:w="1779"/>
      </w:tblGrid>
      <w:tr>
        <w:trPr>
          <w:trHeight w:val="322" w:hRule="exact"/>
        </w:trPr>
        <w:tc>
          <w:tcPr>
            <w:tcW w:w="3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190,653,814.02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212,607,844.12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314,035,544.71</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532,461,345.61</w:t>
            </w: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7,644,197.37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18,376,452.34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44,016,528.35</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126,228,855.19</w:t>
            </w: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9" w:right="18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常性损益的净利润（元）</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5,827,084.36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14,616,815.63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41,235,873.00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121,389,272.45</w:t>
            </w:r>
          </w:p>
        </w:tc>
      </w:tr>
      <w:tr>
        <w:trPr>
          <w:trHeight w:val="636" w:hRule="exact"/>
        </w:trPr>
        <w:tc>
          <w:tcPr>
            <w:tcW w:w="3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-154,498,141.19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-47,142,842.07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-39,734,179.73</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490,735,995.90</w:t>
            </w:r>
          </w:p>
        </w:tc>
      </w:tr>
    </w:tbl>
    <w:p>
      <w:pPr>
        <w:pStyle w:val="BodyText"/>
        <w:spacing w:line="357" w:lineRule="auto" w:before="39"/>
        <w:ind w:left="193" w:right="233" w:firstLine="480"/>
        <w:jc w:val="left"/>
      </w:pPr>
      <w:r>
        <w:rPr/>
        <w:t>上述财务指标或其加总数是否与公司已披露季度报告、半年度报告相关财务指标存在重 大差异</w:t>
      </w:r>
    </w:p>
    <w:p>
      <w:pPr>
        <w:spacing w:line="499" w:lineRule="auto" w:before="36"/>
        <w:ind w:left="193" w:right="5978"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否 </w:t>
      </w:r>
      <w:r>
        <w:rPr>
          <w:rFonts w:ascii="宋体" w:hAnsi="宋体" w:cs="宋体" w:eastAsia="宋体" w:hint="default"/>
          <w:b/>
          <w:bCs/>
          <w:sz w:val="24"/>
          <w:szCs w:val="24"/>
        </w:rPr>
        <w:t>七、境内外会计准则下会计数据差异</w:t>
      </w:r>
      <w:r>
        <w:rPr>
          <w:rFonts w:ascii="宋体" w:hAnsi="宋体" w:cs="宋体" w:eastAsia="宋体" w:hint="default"/>
          <w:sz w:val="24"/>
          <w:szCs w:val="24"/>
        </w:rPr>
      </w:r>
    </w:p>
    <w:p>
      <w:pPr>
        <w:pStyle w:val="Heading2"/>
        <w:spacing w:line="240" w:lineRule="auto" w:before="115"/>
        <w:ind w:left="193" w:right="2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pStyle w:val="BodyText"/>
        <w:spacing w:line="338" w:lineRule="auto" w:before="135"/>
        <w:ind w:left="673" w:right="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公司报告期不存在按照国际会计准则与按照中国会计准则披露的财务报告中净利润和净</w:t>
      </w:r>
    </w:p>
    <w:p>
      <w:pPr>
        <w:pStyle w:val="BodyText"/>
        <w:spacing w:line="240" w:lineRule="auto"/>
        <w:ind w:left="193" w:right="233"/>
        <w:jc w:val="left"/>
      </w:pPr>
      <w:r>
        <w:rPr/>
        <w:t>资产差异情况。</w:t>
      </w:r>
    </w:p>
    <w:p>
      <w:pPr>
        <w:pStyle w:val="Heading2"/>
        <w:spacing w:line="240" w:lineRule="auto" w:before="154"/>
        <w:ind w:left="193" w:right="2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pStyle w:val="BodyText"/>
        <w:spacing w:line="338" w:lineRule="auto" w:before="135"/>
        <w:ind w:left="673" w:right="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公司报告期不存在按照境外会计准则与按照中国会计准则披露的财务报告中净利润和净</w:t>
      </w:r>
    </w:p>
    <w:p>
      <w:pPr>
        <w:spacing w:line="528" w:lineRule="auto" w:before="55"/>
        <w:ind w:left="193" w:right="6460" w:firstLine="0"/>
        <w:jc w:val="left"/>
        <w:rPr>
          <w:rFonts w:ascii="宋体" w:hAnsi="宋体" w:cs="宋体" w:eastAsia="宋体" w:hint="default"/>
          <w:sz w:val="24"/>
          <w:szCs w:val="24"/>
        </w:rPr>
      </w:pPr>
      <w:r>
        <w:rPr>
          <w:rFonts w:ascii="宋体" w:hAnsi="宋体" w:cs="宋体" w:eastAsia="宋体" w:hint="default"/>
          <w:sz w:val="24"/>
          <w:szCs w:val="24"/>
        </w:rPr>
        <w:t>资产差异情况。 </w:t>
      </w:r>
      <w:r>
        <w:rPr>
          <w:rFonts w:ascii="宋体" w:hAnsi="宋体" w:cs="宋体" w:eastAsia="宋体" w:hint="default"/>
          <w:b/>
          <w:bCs/>
          <w:sz w:val="24"/>
          <w:szCs w:val="24"/>
        </w:rPr>
        <w:t>八、非经常性损益的项目及金额</w:t>
      </w:r>
      <w:r>
        <w:rPr>
          <w:rFonts w:ascii="宋体" w:hAnsi="宋体" w:cs="宋体" w:eastAsia="宋体" w:hint="default"/>
          <w:sz w:val="24"/>
          <w:szCs w:val="24"/>
        </w:rPr>
      </w:r>
    </w:p>
    <w:p>
      <w:pPr>
        <w:spacing w:before="114"/>
        <w:ind w:left="0" w:right="2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71" w:type="dxa"/>
        <w:tblLayout w:type="fixed"/>
        <w:tblCellMar>
          <w:top w:w="0" w:type="dxa"/>
          <w:left w:w="0" w:type="dxa"/>
          <w:bottom w:w="0" w:type="dxa"/>
          <w:right w:w="0" w:type="dxa"/>
        </w:tblCellMar>
        <w:tblLook w:val="01E0"/>
      </w:tblPr>
      <w:tblGrid>
        <w:gridCol w:w="3976"/>
        <w:gridCol w:w="1866"/>
        <w:gridCol w:w="1426"/>
        <w:gridCol w:w="1426"/>
        <w:gridCol w:w="992"/>
      </w:tblGrid>
      <w:tr>
        <w:trPr>
          <w:trHeight w:val="397" w:hRule="exact"/>
        </w:trPr>
        <w:tc>
          <w:tcPr>
            <w:tcW w:w="3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20"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38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5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2016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5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2015 </w:t>
            </w:r>
            <w:r>
              <w:rPr>
                <w:rFonts w:ascii="宋体" w:hAnsi="宋体" w:cs="宋体" w:eastAsia="宋体" w:hint="default"/>
                <w:b/>
                <w:bCs/>
                <w:sz w:val="21"/>
                <w:szCs w:val="21"/>
              </w:rPr>
              <w:t>年金额</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78" w:right="0"/>
              <w:jc w:val="left"/>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672" w:hRule="exact"/>
        </w:trPr>
        <w:tc>
          <w:tcPr>
            <w:tcW w:w="3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 w:right="6"/>
              <w:jc w:val="left"/>
              <w:rPr>
                <w:rFonts w:ascii="宋体" w:hAnsi="宋体" w:cs="宋体" w:eastAsia="宋体" w:hint="default"/>
                <w:sz w:val="21"/>
                <w:szCs w:val="21"/>
              </w:rPr>
            </w:pPr>
            <w:r>
              <w:rPr>
                <w:rFonts w:ascii="宋体" w:hAnsi="宋体" w:cs="宋体" w:eastAsia="宋体" w:hint="default"/>
                <w:spacing w:val="-4"/>
                <w:sz w:val="21"/>
                <w:szCs w:val="21"/>
              </w:rPr>
              <w:t>非流动资产处置损益（包括已计提资产减值</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准备的冲销部分）</w:t>
            </w:r>
          </w:p>
        </w:tc>
        <w:tc>
          <w:tcPr>
            <w:tcW w:w="1866" w:type="dxa"/>
            <w:tcBorders>
              <w:top w:val="single" w:sz="31" w:space="0" w:color="D2D2D2"/>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-186,929.10</w:t>
            </w:r>
          </w:p>
        </w:tc>
        <w:tc>
          <w:tcPr>
            <w:tcW w:w="1426" w:type="dxa"/>
            <w:tcBorders>
              <w:top w:val="single" w:sz="31"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-235,963.91</w:t>
            </w:r>
          </w:p>
        </w:tc>
        <w:tc>
          <w:tcPr>
            <w:tcW w:w="1426" w:type="dxa"/>
            <w:tcBorders>
              <w:top w:val="single" w:sz="31"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-394,369.55</w:t>
            </w:r>
          </w:p>
        </w:tc>
        <w:tc>
          <w:tcPr>
            <w:tcW w:w="992" w:type="dxa"/>
            <w:tcBorders>
              <w:top w:val="single" w:sz="31"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947" w:hRule="exact"/>
        </w:trPr>
        <w:tc>
          <w:tcPr>
            <w:tcW w:w="3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9" w:right="6"/>
              <w:jc w:val="both"/>
              <w:rPr>
                <w:rFonts w:ascii="宋体" w:hAnsi="宋体" w:cs="宋体" w:eastAsia="宋体" w:hint="default"/>
                <w:sz w:val="21"/>
                <w:szCs w:val="21"/>
              </w:rPr>
            </w:pPr>
            <w:r>
              <w:rPr>
                <w:rFonts w:ascii="宋体" w:hAnsi="宋体" w:cs="宋体" w:eastAsia="宋体" w:hint="default"/>
                <w:spacing w:val="-4"/>
                <w:sz w:val="21"/>
                <w:szCs w:val="21"/>
              </w:rPr>
              <w:t>计入当期损益的政府补助（与企业业务密切</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相关，按照国家统一标准定额或定量享受的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政府补助除外）</w:t>
            </w:r>
          </w:p>
        </w:tc>
        <w:tc>
          <w:tcPr>
            <w:tcW w:w="18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4,407,156.35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20,460,974.52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6,165,396.68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676" w:hRule="exact"/>
        </w:trPr>
        <w:tc>
          <w:tcPr>
            <w:tcW w:w="397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3" w:lineRule="auto"/>
              <w:ind w:left="9" w:right="6"/>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根据税收、会计等法律、法规的要求对当期</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损益进行一次性调整对当期损益的影响</w:t>
            </w:r>
          </w:p>
        </w:tc>
        <w:tc>
          <w:tcPr>
            <w:tcW w:w="1866" w:type="dxa"/>
            <w:tcBorders>
              <w:top w:val="single" w:sz="4" w:space="0" w:color="000000"/>
              <w:left w:val="single" w:sz="10" w:space="0" w:color="D2D2D2"/>
              <w:bottom w:val="single" w:sz="4" w:space="0" w:color="FFFFFF"/>
              <w:right w:val="single" w:sz="4" w:space="0" w:color="000000"/>
            </w:tcBorders>
          </w:tcPr>
          <w:p>
            <w:pPr/>
          </w:p>
        </w:tc>
        <w:tc>
          <w:tcPr>
            <w:tcW w:w="1426" w:type="dxa"/>
            <w:tcBorders>
              <w:top w:val="single" w:sz="4" w:space="0" w:color="000000"/>
              <w:left w:val="single" w:sz="4" w:space="0" w:color="000000"/>
              <w:bottom w:val="single" w:sz="4" w:space="0" w:color="FFFFFF"/>
              <w:right w:val="single" w:sz="4" w:space="0" w:color="000000"/>
            </w:tcBorders>
          </w:tcPr>
          <w:p>
            <w:pPr/>
          </w:p>
        </w:tc>
        <w:tc>
          <w:tcPr>
            <w:tcW w:w="142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9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97" w:hRule="exact"/>
        </w:trPr>
        <w:tc>
          <w:tcPr>
            <w:tcW w:w="397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3"/>
              <w:ind w:left="9"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866" w:type="dxa"/>
            <w:tcBorders>
              <w:top w:val="single" w:sz="4" w:space="0" w:color="FFFFFF"/>
              <w:left w:val="single" w:sz="10" w:space="0" w:color="D2D2D2"/>
              <w:bottom w:val="single" w:sz="4" w:space="0" w:color="000000"/>
              <w:right w:val="single" w:sz="4" w:space="0" w:color="000000"/>
            </w:tcBorders>
          </w:tcPr>
          <w:p>
            <w:pPr/>
          </w:p>
        </w:tc>
        <w:tc>
          <w:tcPr>
            <w:tcW w:w="1426" w:type="dxa"/>
            <w:tcBorders>
              <w:top w:val="single" w:sz="4" w:space="0" w:color="FFFFFF"/>
              <w:left w:val="single" w:sz="4" w:space="0" w:color="000000"/>
              <w:bottom w:val="single" w:sz="4" w:space="0" w:color="000000"/>
              <w:right w:val="single" w:sz="4" w:space="0" w:color="000000"/>
            </w:tcBorders>
          </w:tcPr>
          <w:p>
            <w:pPr/>
          </w:p>
        </w:tc>
        <w:tc>
          <w:tcPr>
            <w:tcW w:w="14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100"/>
                <w:sz w:val="21"/>
              </w:rPr>
              <w:t>-</w:t>
            </w:r>
          </w:p>
        </w:tc>
        <w:tc>
          <w:tcPr>
            <w:tcW w:w="99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121" w:hRule="exact"/>
        </w:trPr>
        <w:tc>
          <w:tcPr>
            <w:tcW w:w="3976" w:type="dxa"/>
            <w:tcBorders>
              <w:top w:val="single" w:sz="66" w:space="0" w:color="D2D2D2"/>
              <w:left w:val="single" w:sz="4" w:space="0" w:color="000000"/>
              <w:bottom w:val="nil" w:sz="6" w:space="0" w:color="auto"/>
              <w:right w:val="single" w:sz="4" w:space="0" w:color="000000"/>
            </w:tcBorders>
          </w:tcPr>
          <w:p>
            <w:pPr/>
          </w:p>
        </w:tc>
        <w:tc>
          <w:tcPr>
            <w:tcW w:w="1866" w:type="dxa"/>
            <w:vMerge w:val="restart"/>
            <w:tcBorders>
              <w:top w:val="single" w:sz="4" w:space="0" w:color="000000"/>
              <w:left w:val="single" w:sz="10" w:space="0" w:color="D2D2D2"/>
              <w:right w:val="single" w:sz="4" w:space="0" w:color="000000"/>
            </w:tcBorders>
          </w:tcPr>
          <w:p>
            <w:pPr>
              <w:pStyle w:val="TableParagraph"/>
              <w:spacing w:line="240" w:lineRule="auto" w:before="150"/>
              <w:ind w:left="733" w:right="0"/>
              <w:jc w:val="left"/>
              <w:rPr>
                <w:rFonts w:ascii="Times New Roman" w:hAnsi="Times New Roman" w:cs="Times New Roman" w:eastAsia="Times New Roman" w:hint="default"/>
                <w:sz w:val="21"/>
                <w:szCs w:val="21"/>
              </w:rPr>
            </w:pPr>
            <w:r>
              <w:rPr>
                <w:rFonts w:ascii="Times New Roman"/>
                <w:sz w:val="21"/>
              </w:rPr>
              <w:t>2,116,509.36</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50"/>
              <w:ind w:left="446" w:right="0"/>
              <w:jc w:val="left"/>
              <w:rPr>
                <w:rFonts w:ascii="Times New Roman" w:hAnsi="Times New Roman" w:cs="Times New Roman" w:eastAsia="Times New Roman" w:hint="default"/>
                <w:sz w:val="21"/>
                <w:szCs w:val="21"/>
              </w:rPr>
            </w:pPr>
            <w:r>
              <w:rPr>
                <w:rFonts w:ascii="Times New Roman"/>
                <w:sz w:val="21"/>
              </w:rPr>
              <w:t>527,515.01</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50"/>
              <w:ind w:left="446" w:right="0"/>
              <w:jc w:val="left"/>
              <w:rPr>
                <w:rFonts w:ascii="Times New Roman" w:hAnsi="Times New Roman" w:cs="Times New Roman" w:eastAsia="Times New Roman" w:hint="default"/>
                <w:sz w:val="21"/>
                <w:szCs w:val="21"/>
              </w:rPr>
            </w:pPr>
            <w:r>
              <w:rPr>
                <w:rFonts w:ascii="Times New Roman"/>
                <w:sz w:val="21"/>
              </w:rPr>
              <w:t>383,923.88</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56" w:hRule="exact"/>
        </w:trPr>
        <w:tc>
          <w:tcPr>
            <w:tcW w:w="39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66" w:type="dxa"/>
            <w:vMerge/>
            <w:tcBorders>
              <w:left w:val="single" w:sz="10" w:space="0" w:color="D2D2D2"/>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124" w:hRule="exact"/>
        </w:trPr>
        <w:tc>
          <w:tcPr>
            <w:tcW w:w="3976" w:type="dxa"/>
            <w:tcBorders>
              <w:top w:val="single" w:sz="67" w:space="0" w:color="D2D2D2"/>
              <w:left w:val="single" w:sz="4" w:space="0" w:color="000000"/>
              <w:bottom w:val="nil" w:sz="6" w:space="0" w:color="auto"/>
              <w:right w:val="single" w:sz="4" w:space="0" w:color="000000"/>
            </w:tcBorders>
          </w:tcPr>
          <w:p>
            <w:pPr/>
          </w:p>
        </w:tc>
        <w:tc>
          <w:tcPr>
            <w:tcW w:w="1866" w:type="dxa"/>
            <w:vMerge w:val="restart"/>
            <w:tcBorders>
              <w:top w:val="single" w:sz="4" w:space="0" w:color="000000"/>
              <w:left w:val="single" w:sz="10" w:space="0" w:color="D2D2D2"/>
              <w:right w:val="single" w:sz="4" w:space="0" w:color="000000"/>
            </w:tcBorders>
          </w:tcPr>
          <w:p>
            <w:pPr>
              <w:pStyle w:val="TableParagraph"/>
              <w:spacing w:line="240" w:lineRule="auto" w:before="150"/>
              <w:ind w:left="726" w:right="0"/>
              <w:jc w:val="left"/>
              <w:rPr>
                <w:rFonts w:ascii="Times New Roman" w:hAnsi="Times New Roman" w:cs="Times New Roman" w:eastAsia="Times New Roman" w:hint="default"/>
                <w:sz w:val="21"/>
                <w:szCs w:val="21"/>
              </w:rPr>
            </w:pPr>
            <w:r>
              <w:rPr>
                <w:rFonts w:ascii="Times New Roman"/>
                <w:sz w:val="21"/>
              </w:rPr>
              <w:t>8,385,947.38</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53"/>
              <w:ind w:left="290" w:right="0"/>
              <w:jc w:val="left"/>
              <w:rPr>
                <w:rFonts w:ascii="Times New Roman" w:hAnsi="Times New Roman" w:cs="Times New Roman" w:eastAsia="Times New Roman" w:hint="default"/>
                <w:sz w:val="21"/>
                <w:szCs w:val="21"/>
              </w:rPr>
            </w:pPr>
            <w:r>
              <w:rPr>
                <w:rFonts w:ascii="Times New Roman"/>
                <w:sz w:val="21"/>
              </w:rPr>
              <w:t>2,268,495.34</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21"/>
                <w:szCs w:val="21"/>
              </w:rPr>
            </w:pPr>
            <w:r>
              <w:rPr>
                <w:rFonts w:ascii="Times New Roman"/>
                <w:w w:val="100"/>
                <w:sz w:val="21"/>
              </w:rPr>
              <w:t>-</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94" w:hRule="exact"/>
        </w:trPr>
        <w:tc>
          <w:tcPr>
            <w:tcW w:w="39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866" w:type="dxa"/>
            <w:vMerge/>
            <w:tcBorders>
              <w:left w:val="single" w:sz="10" w:space="0" w:color="D2D2D2"/>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40" w:right="92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998"/>
        <w:gridCol w:w="1856"/>
        <w:gridCol w:w="1426"/>
        <w:gridCol w:w="1426"/>
        <w:gridCol w:w="992"/>
      </w:tblGrid>
      <w:tr>
        <w:trPr>
          <w:trHeight w:val="478" w:hRule="exact"/>
        </w:trPr>
        <w:tc>
          <w:tcPr>
            <w:tcW w:w="399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66"/>
              <w:ind w:left="20"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85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1,634,990.37</w:t>
            </w:r>
          </w:p>
        </w:tc>
        <w:tc>
          <w:tcPr>
            <w:tcW w:w="142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1"/>
                <w:szCs w:val="21"/>
              </w:rPr>
            </w:pPr>
            <w:r>
              <w:rPr>
                <w:rFonts w:ascii="Times New Roman"/>
                <w:spacing w:val="-1"/>
                <w:sz w:val="21"/>
              </w:rPr>
              <w:t>2,664,583.05</w:t>
            </w:r>
          </w:p>
        </w:tc>
        <w:tc>
          <w:tcPr>
            <w:tcW w:w="142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929,280.44</w:t>
            </w:r>
          </w:p>
        </w:tc>
        <w:tc>
          <w:tcPr>
            <w:tcW w:w="99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3"/>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399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66"/>
              <w:ind w:left="2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85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-109,294.19</w:t>
            </w:r>
          </w:p>
        </w:tc>
        <w:tc>
          <w:tcPr>
            <w:tcW w:w="14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1"/>
                <w:szCs w:val="21"/>
              </w:rPr>
            </w:pPr>
            <w:r>
              <w:rPr>
                <w:rFonts w:ascii="Times New Roman"/>
                <w:spacing w:val="-1"/>
                <w:sz w:val="21"/>
              </w:rPr>
              <w:t>122,578.28</w:t>
            </w:r>
          </w:p>
        </w:tc>
        <w:tc>
          <w:tcPr>
            <w:tcW w:w="14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-19,445.70</w:t>
            </w:r>
          </w:p>
        </w:tc>
        <w:tc>
          <w:tcPr>
            <w:tcW w:w="99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3"/>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399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5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13,196,987.81</w:t>
            </w:r>
          </w:p>
        </w:tc>
        <w:tc>
          <w:tcPr>
            <w:tcW w:w="14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1"/>
                <w:szCs w:val="21"/>
              </w:rPr>
            </w:pPr>
            <w:r>
              <w:rPr>
                <w:rFonts w:ascii="Times New Roman"/>
                <w:spacing w:val="-1"/>
                <w:sz w:val="21"/>
              </w:rPr>
              <w:t>20,233,859.63</w:t>
            </w:r>
          </w:p>
        </w:tc>
        <w:tc>
          <w:tcPr>
            <w:tcW w:w="14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2"/>
                <w:sz w:val="21"/>
              </w:rPr>
              <w:t>5,245,116.27</w:t>
            </w:r>
          </w:p>
        </w:tc>
        <w:tc>
          <w:tcPr>
            <w:tcW w:w="99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3"/>
              <w:ind w:right="18"/>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39"/>
        <w:ind w:left="633" w:right="138"/>
        <w:jc w:val="left"/>
      </w:pPr>
      <w:r>
        <w:rPr/>
        <w:t>对公司根据《公开发行证券的公司信息披露解释性公告第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w:t>
      </w:r>
    </w:p>
    <w:p>
      <w:pPr>
        <w:pStyle w:val="BodyText"/>
        <w:spacing w:line="338" w:lineRule="auto" w:before="135"/>
        <w:ind w:right="172"/>
        <w:jc w:val="left"/>
      </w:pPr>
      <w:r>
        <w:rPr/>
        <w:t>界定的非经常性损益项目，以及把《公开发行证券的公司信息披露解释性公告第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 经常性损益》中列举的非经常性损益项目界定为经常性损益的项目，应说明原因：</w:t>
      </w:r>
    </w:p>
    <w:p>
      <w:pPr>
        <w:pStyle w:val="BodyText"/>
        <w:spacing w:line="240" w:lineRule="auto"/>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877" w:footer="980" w:top="1100" w:bottom="1160" w:left="980" w:right="980"/>
        </w:sectPr>
      </w:pPr>
    </w:p>
    <w:p>
      <w:pPr>
        <w:spacing w:line="240" w:lineRule="auto" w:before="6"/>
        <w:rPr>
          <w:rFonts w:ascii="宋体" w:hAnsi="宋体" w:cs="宋体" w:eastAsia="宋体" w:hint="default"/>
          <w:sz w:val="28"/>
          <w:szCs w:val="28"/>
        </w:rPr>
      </w:pPr>
    </w:p>
    <w:p>
      <w:pPr>
        <w:pStyle w:val="Heading1"/>
        <w:tabs>
          <w:tab w:pos="4834" w:val="left" w:leader="none"/>
        </w:tabs>
        <w:spacing w:line="240" w:lineRule="auto"/>
        <w:ind w:left="3583" w:right="293"/>
        <w:jc w:val="left"/>
        <w:rPr>
          <w:b w:val="0"/>
          <w:bCs w:val="0"/>
        </w:rPr>
      </w:pPr>
      <w:bookmarkStart w:name="_bookmark2" w:id="3"/>
      <w:bookmarkEnd w:id="3"/>
      <w:r>
        <w:rPr>
          <w:b w:val="0"/>
          <w:bCs w:val="0"/>
        </w:rPr>
      </w:r>
      <w:r>
        <w:rPr>
          <w:spacing w:val="4"/>
          <w:w w:val="95"/>
        </w:rPr>
        <w:t>第三节</w:t>
        <w:tab/>
      </w:r>
      <w:r>
        <w:rPr>
          <w:spacing w:val="4"/>
        </w:rPr>
        <w:t>公司业务概要</w:t>
      </w:r>
      <w:r>
        <w:rPr>
          <w:b w:val="0"/>
          <w:bCs w:val="0"/>
          <w:spacing w:val="4"/>
        </w:rPr>
      </w:r>
    </w:p>
    <w:p>
      <w:pPr>
        <w:spacing w:line="690" w:lineRule="atLeast" w:before="69"/>
        <w:ind w:left="153" w:right="5693" w:firstLine="0"/>
        <w:jc w:val="left"/>
        <w:rPr>
          <w:rFonts w:ascii="宋体" w:hAnsi="宋体" w:cs="宋体" w:eastAsia="宋体" w:hint="default"/>
          <w:sz w:val="24"/>
          <w:szCs w:val="24"/>
        </w:rPr>
      </w:pP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sz w:val="24"/>
          <w:szCs w:val="24"/>
        </w:rPr>
        <w:t>公司是否需要遵守特殊行业的披露要求</w:t>
      </w:r>
    </w:p>
    <w:p>
      <w:pPr>
        <w:pStyle w:val="BodyText"/>
        <w:spacing w:line="240" w:lineRule="auto" w:before="154"/>
        <w:ind w:left="633" w:right="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Heading2"/>
        <w:spacing w:line="240" w:lineRule="auto" w:before="135"/>
        <w:ind w:left="635" w:right="293"/>
        <w:jc w:val="left"/>
        <w:rPr>
          <w:b w:val="0"/>
          <w:bCs w:val="0"/>
        </w:rPr>
      </w:pPr>
      <w:r>
        <w:rPr>
          <w:rFonts w:ascii="Times New Roman" w:hAnsi="Times New Roman" w:cs="Times New Roman" w:eastAsia="Times New Roman" w:hint="default"/>
        </w:rPr>
        <w:t>1</w:t>
      </w:r>
      <w:r>
        <w:rPr/>
        <w:t>、公司业务介绍</w:t>
      </w:r>
      <w:r>
        <w:rPr>
          <w:b w:val="0"/>
          <w:bCs w:val="0"/>
        </w:rPr>
      </w:r>
    </w:p>
    <w:p>
      <w:pPr>
        <w:pStyle w:val="BodyText"/>
        <w:spacing w:line="338" w:lineRule="auto" w:before="176"/>
        <w:ind w:right="153" w:firstLine="480"/>
        <w:jc w:val="both"/>
      </w:pPr>
      <w:r>
        <w:rPr/>
        <w:t>公司专注于从事专业的地理信息系统（</w:t>
      </w:r>
      <w:r>
        <w:rPr>
          <w:rFonts w:ascii="Times New Roman" w:hAnsi="Times New Roman" w:cs="Times New Roman" w:eastAsia="Times New Roman" w:hint="default"/>
        </w:rPr>
        <w:t>Geographic Information</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4"/>
        </w:rPr>
        <w:t>System</w:t>
      </w:r>
      <w:r>
        <w:rPr>
          <w:spacing w:val="-4"/>
        </w:rPr>
        <w:t>，</w:t>
      </w:r>
      <w:r>
        <w:rPr>
          <w:rFonts w:ascii="Times New Roman" w:hAnsi="Times New Roman" w:cs="Times New Roman" w:eastAsia="Times New Roman" w:hint="default"/>
          <w:spacing w:val="-4"/>
        </w:rPr>
        <w:t>GIS</w:t>
      </w:r>
      <w:r>
        <w:rPr>
          <w:spacing w:val="-4"/>
        </w:rPr>
        <w:t>）软件的研究</w:t>
      </w:r>
      <w:r>
        <w:rPr/>
        <w:t> 开发、产品销售和行业解决方案的提供，公司的经营活动主要围绕以下几块业务开展：</w:t>
      </w:r>
    </w:p>
    <w:p>
      <w:pPr>
        <w:spacing w:line="240" w:lineRule="auto" w:before="6"/>
        <w:rPr>
          <w:rFonts w:ascii="宋体" w:hAnsi="宋体" w:cs="宋体" w:eastAsia="宋体" w:hint="default"/>
          <w:sz w:val="10"/>
          <w:szCs w:val="10"/>
        </w:rPr>
      </w:pPr>
    </w:p>
    <w:p>
      <w:pPr>
        <w:spacing w:line="3306" w:lineRule="exact"/>
        <w:ind w:left="1477"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4803658" cy="209931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4803658" cy="2099310"/>
                    </a:xfrm>
                    <a:prstGeom prst="rect">
                      <a:avLst/>
                    </a:prstGeom>
                  </pic:spPr>
                </pic:pic>
              </a:graphicData>
            </a:graphic>
          </wp:inline>
        </w:drawing>
      </w:r>
      <w:r>
        <w:rPr>
          <w:rFonts w:ascii="宋体" w:hAnsi="宋体" w:cs="宋体" w:eastAsia="宋体" w:hint="default"/>
          <w:position w:val="-65"/>
          <w:sz w:val="20"/>
          <w:szCs w:val="20"/>
        </w:rPr>
      </w:r>
    </w:p>
    <w:p>
      <w:pPr>
        <w:pStyle w:val="Heading2"/>
        <w:spacing w:line="240" w:lineRule="auto" w:before="84"/>
        <w:ind w:left="635" w:right="293"/>
        <w:jc w:val="left"/>
        <w:rPr>
          <w:b w:val="0"/>
          <w:bCs w:val="0"/>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基础软件业务线</w:t>
      </w:r>
      <w:r>
        <w:rPr>
          <w:b w:val="0"/>
          <w:bCs w:val="0"/>
        </w:rPr>
      </w:r>
    </w:p>
    <w:p>
      <w:pPr>
        <w:pStyle w:val="BodyText"/>
        <w:spacing w:line="348" w:lineRule="auto" w:before="135"/>
        <w:ind w:right="153" w:firstLine="480"/>
        <w:jc w:val="both"/>
      </w:pP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基础软件是</w:t>
      </w:r>
      <w:r>
        <w:rPr>
          <w:spacing w:val="-62"/>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领域开发各行业地理信息相关应用的通用性平台软件。</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基础软件 是地理信息软件技术制高点，技术复杂度高，具有很强的通用性，可应用于上百个细分行业 </w:t>
      </w:r>
      <w:r>
        <w:rPr>
          <w:spacing w:val="-6"/>
          <w:w w:val="99"/>
        </w:rPr>
        <w:t>的软件应用开发，是地理信息的“操作系统”。</w:t>
      </w:r>
      <w:r>
        <w:rPr>
          <w:rFonts w:ascii="Times New Roman" w:hAnsi="Times New Roman" w:cs="Times New Roman" w:eastAsia="Times New Roman" w:hint="default"/>
          <w:spacing w:val="-6"/>
          <w:w w:val="99"/>
        </w:rPr>
        <w:t>GIS</w:t>
      </w:r>
      <w:r>
        <w:rPr>
          <w:rFonts w:ascii="Times New Roman" w:hAnsi="Times New Roman" w:cs="Times New Roman" w:eastAsia="Times New Roman" w:hint="default"/>
          <w:spacing w:val="22"/>
          <w:w w:val="99"/>
        </w:rPr>
        <w:t> </w:t>
      </w:r>
      <w:r>
        <w:rPr/>
        <w:t>基础软件是公司的核心业务。</w:t>
      </w:r>
    </w:p>
    <w:p>
      <w:pPr>
        <w:pStyle w:val="BodyText"/>
        <w:spacing w:line="348" w:lineRule="auto" w:before="16"/>
        <w:ind w:right="151" w:firstLine="480"/>
        <w:jc w:val="both"/>
      </w:pPr>
      <w:r>
        <w:rPr>
          <w:rFonts w:ascii="Times New Roman" w:hAnsi="Times New Roman" w:cs="Times New Roman" w:eastAsia="Times New Roman" w:hint="default"/>
        </w:rPr>
        <w:t>SuperMap</w:t>
      </w:r>
      <w:r>
        <w:rPr>
          <w:rFonts w:ascii="Times New Roman" w:hAnsi="Times New Roman" w:cs="Times New Roman" w:eastAsia="Times New Roman" w:hint="default"/>
          <w:spacing w:val="1"/>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系列软件是公司</w:t>
      </w:r>
      <w:r>
        <w:rPr>
          <w:spacing w:val="-59"/>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spacing w:val="-3"/>
        </w:rPr>
        <w:t>基础软件产品线，广泛应用于上百个细分行业。商业</w:t>
      </w:r>
      <w:r>
        <w:rPr/>
        <w:t> 模式主要通过集成在各行业应用开发商的解决方案中，提供给政府和大型企业等最终客户， 目前已有超过</w:t>
      </w:r>
      <w:r>
        <w:rPr>
          <w:spacing w:val="-62"/>
        </w:rPr>
        <w:t> </w:t>
      </w:r>
      <w:r>
        <w:rPr>
          <w:rFonts w:ascii="Times New Roman" w:hAnsi="Times New Roman" w:cs="Times New Roman" w:eastAsia="Times New Roman" w:hint="default"/>
        </w:rPr>
        <w:t>700</w:t>
      </w:r>
      <w:r>
        <w:rPr>
          <w:rFonts w:ascii="Times New Roman" w:hAnsi="Times New Roman" w:cs="Times New Roman" w:eastAsia="Times New Roman" w:hint="default"/>
          <w:spacing w:val="-1"/>
        </w:rPr>
        <w:t> </w:t>
      </w:r>
      <w:r>
        <w:rPr/>
        <w:t>家应用开发商合作伙伴，</w:t>
      </w:r>
      <w:r>
        <w:rPr>
          <w:rFonts w:ascii="Times New Roman" w:hAnsi="Times New Roman" w:cs="Times New Roman" w:eastAsia="Times New Roman" w:hint="default"/>
        </w:rPr>
        <w:t>80%</w:t>
      </w:r>
      <w:r>
        <w:rPr/>
        <w:t>的</w:t>
      </w:r>
      <w:r>
        <w:rPr>
          <w:spacing w:val="-61"/>
        </w:rPr>
        <w:t> </w:t>
      </w:r>
      <w:r>
        <w:rPr>
          <w:rFonts w:ascii="Times New Roman" w:hAnsi="Times New Roman" w:cs="Times New Roman" w:eastAsia="Times New Roman" w:hint="default"/>
        </w:rPr>
        <w:t>GIS </w:t>
      </w:r>
      <w:r>
        <w:rPr/>
        <w:t>基础软件订单来自合作伙伴。</w:t>
      </w:r>
    </w:p>
    <w:p>
      <w:pPr>
        <w:pStyle w:val="BodyText"/>
        <w:spacing w:line="338" w:lineRule="auto" w:before="16"/>
        <w:ind w:right="152" w:firstLine="480"/>
        <w:jc w:val="both"/>
      </w:pPr>
      <w:r>
        <w:rPr>
          <w:spacing w:val="-5"/>
        </w:rPr>
        <w:t>根据中国市场情报中心的调查报告，近年来</w:t>
      </w:r>
      <w:r>
        <w:rPr>
          <w:spacing w:val="-60"/>
        </w:rPr>
        <w:t> </w:t>
      </w:r>
      <w:r>
        <w:rPr>
          <w:rFonts w:ascii="Times New Roman" w:hAnsi="Times New Roman" w:cs="Times New Roman" w:eastAsia="Times New Roman" w:hint="default"/>
        </w:rPr>
        <w:t>SuperMap GIS</w:t>
      </w:r>
      <w:r>
        <w:rPr>
          <w:rFonts w:ascii="Times New Roman" w:hAnsi="Times New Roman" w:cs="Times New Roman" w:eastAsia="Times New Roman" w:hint="default"/>
          <w:spacing w:val="1"/>
        </w:rPr>
        <w:t> </w:t>
      </w:r>
      <w:r>
        <w:rPr/>
        <w:t>基础软件业务已经超过国外软 件品牌，稳居</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基础软件中国区市场份额第一。</w:t>
      </w:r>
    </w:p>
    <w:p>
      <w:pPr>
        <w:pStyle w:val="Heading2"/>
        <w:spacing w:line="240" w:lineRule="auto" w:before="27"/>
        <w:ind w:left="635" w:right="293"/>
        <w:jc w:val="left"/>
        <w:rPr>
          <w:b w:val="0"/>
          <w:bCs w:val="0"/>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应用软件业务线</w:t>
      </w:r>
      <w:r>
        <w:rPr>
          <w:b w:val="0"/>
          <w:bCs w:val="0"/>
        </w:rPr>
      </w:r>
    </w:p>
    <w:p>
      <w:pPr>
        <w:pStyle w:val="BodyText"/>
        <w:spacing w:line="338" w:lineRule="auto" w:before="135"/>
        <w:ind w:right="151" w:firstLine="480"/>
        <w:jc w:val="both"/>
      </w:pPr>
      <w:r>
        <w:rPr/>
        <w:t>基于领先的</w:t>
      </w:r>
      <w:r>
        <w:rPr>
          <w:spacing w:val="-67"/>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基础软件技术，公司还提供国内领先的</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应用软件产品、行业解决方 案与服务，目前主要围绕四大产品线开展业务：</w:t>
      </w:r>
    </w:p>
    <w:p>
      <w:pPr>
        <w:pStyle w:val="BodyText"/>
        <w:spacing w:line="357" w:lineRule="auto"/>
        <w:ind w:right="152" w:firstLine="480"/>
        <w:jc w:val="both"/>
      </w:pPr>
      <w:r>
        <w:rPr>
          <w:spacing w:val="-6"/>
        </w:rPr>
        <w:t>●大资源产品线：包括不动产登记与管理、自然资源登记与监管、土地利用调查与管理、</w:t>
      </w:r>
      <w:r>
        <w:rPr/>
        <w:t> 土地市场管理、房产交易房管理、多规合一、城乡规划和城市设计等；</w:t>
      </w:r>
    </w:p>
    <w:p>
      <w:pPr>
        <w:spacing w:after="0" w:line="357" w:lineRule="auto"/>
        <w:jc w:val="both"/>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before="26"/>
        <w:ind w:right="173" w:firstLine="480"/>
        <w:jc w:val="left"/>
      </w:pPr>
      <w:r>
        <w:rPr/>
        <w:t>●大智慧产品线：智慧城市时空信息云平台、智慧城管、智慧社管、智慧社区和智慧园 区；</w:t>
      </w:r>
    </w:p>
    <w:p>
      <w:pPr>
        <w:pStyle w:val="BodyText"/>
        <w:spacing w:line="240" w:lineRule="auto" w:before="36"/>
        <w:ind w:left="633" w:right="293"/>
        <w:jc w:val="left"/>
      </w:pPr>
      <w:r>
        <w:rPr/>
        <w:t>●大环境产品线：环保、气象和水利；</w:t>
      </w:r>
    </w:p>
    <w:p>
      <w:pPr>
        <w:pStyle w:val="BodyText"/>
        <w:spacing w:line="240" w:lineRule="auto" w:before="154"/>
        <w:ind w:left="633" w:right="293"/>
        <w:jc w:val="left"/>
      </w:pPr>
      <w:r>
        <w:rPr/>
        <w:t>●大国防产品线。</w:t>
      </w:r>
    </w:p>
    <w:p>
      <w:pPr>
        <w:pStyle w:val="Heading2"/>
        <w:spacing w:line="240" w:lineRule="auto" w:before="154"/>
        <w:ind w:left="635" w:right="293"/>
        <w:jc w:val="left"/>
        <w:rPr>
          <w:b w:val="0"/>
          <w:bCs w:val="0"/>
        </w:rPr>
      </w:pPr>
      <w:r>
        <w:rPr/>
        <w:t>（</w:t>
      </w:r>
      <w:r>
        <w:rPr>
          <w:rFonts w:ascii="Times New Roman" w:hAnsi="Times New Roman" w:cs="Times New Roman" w:eastAsia="Times New Roman" w:hint="default"/>
        </w:rPr>
        <w:t>3</w:t>
      </w:r>
      <w:r>
        <w:rPr/>
        <w:t>）国际业务线</w:t>
      </w:r>
      <w:r>
        <w:rPr>
          <w:b w:val="0"/>
          <w:bCs w:val="0"/>
        </w:rPr>
      </w:r>
    </w:p>
    <w:p>
      <w:pPr>
        <w:pStyle w:val="BodyText"/>
        <w:spacing w:line="338" w:lineRule="auto" w:before="135"/>
        <w:ind w:right="141" w:firstLine="480"/>
        <w:jc w:val="left"/>
      </w:pPr>
      <w:r>
        <w:rPr>
          <w:spacing w:val="-4"/>
        </w:rPr>
        <w:t>致力于国际市场的开拓与服务，面向全球用户提供外文版本的</w:t>
      </w:r>
      <w:r>
        <w:rPr>
          <w:spacing w:val="-56"/>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4"/>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基础平台产 品，并致力于将国内优秀的行业应用解决方案推广到国际市场。</w:t>
      </w:r>
    </w:p>
    <w:p>
      <w:pPr>
        <w:pStyle w:val="BodyText"/>
        <w:spacing w:line="348" w:lineRule="auto"/>
        <w:ind w:right="191" w:firstLine="480"/>
        <w:jc w:val="both"/>
      </w:pPr>
      <w:r>
        <w:rPr/>
        <w:t>如今，公司已成功进入亚洲、欧洲、非洲和南美洲等国家和地区，在日本东京成立了控 股孙公司，在其他</w:t>
      </w:r>
      <w:r>
        <w:rPr>
          <w:spacing w:val="-62"/>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多个国家发展了代理商，</w:t>
      </w:r>
      <w:r>
        <w:rPr>
          <w:rFonts w:ascii="Times New Roman" w:hAnsi="Times New Roman" w:cs="Times New Roman" w:eastAsia="Times New Roman" w:hint="default"/>
        </w:rPr>
        <w:t>SuperMap</w:t>
      </w:r>
      <w:r>
        <w:rPr>
          <w:rFonts w:ascii="Times New Roman" w:hAnsi="Times New Roman" w:cs="Times New Roman" w:eastAsia="Times New Roman" w:hint="default"/>
          <w:spacing w:val="-1"/>
        </w:rPr>
        <w:t> </w:t>
      </w:r>
      <w:r>
        <w:rPr>
          <w:rFonts w:ascii="Times New Roman" w:hAnsi="Times New Roman" w:cs="Times New Roman" w:eastAsia="Times New Roman" w:hint="default"/>
        </w:rPr>
        <w:t>GIS </w:t>
      </w:r>
      <w:r>
        <w:rPr/>
        <w:t>最终用户遍及</w:t>
      </w:r>
      <w:r>
        <w:rPr>
          <w:spacing w:val="-61"/>
        </w:rPr>
        <w:t> </w:t>
      </w:r>
      <w:r>
        <w:rPr>
          <w:rFonts w:ascii="Times New Roman" w:hAnsi="Times New Roman" w:cs="Times New Roman" w:eastAsia="Times New Roman" w:hint="default"/>
        </w:rPr>
        <w:t>150</w:t>
      </w:r>
      <w:r>
        <w:rPr>
          <w:rFonts w:ascii="Times New Roman" w:hAnsi="Times New Roman" w:cs="Times New Roman" w:eastAsia="Times New Roman" w:hint="default"/>
          <w:spacing w:val="-1"/>
        </w:rPr>
        <w:t> </w:t>
      </w:r>
      <w:r>
        <w:rPr/>
        <w:t>多个国家和 地区。</w:t>
      </w:r>
    </w:p>
    <w:p>
      <w:pPr>
        <w:pStyle w:val="Heading2"/>
        <w:spacing w:line="240" w:lineRule="auto" w:before="46"/>
        <w:ind w:left="635" w:right="293"/>
        <w:jc w:val="left"/>
        <w:rPr>
          <w:b w:val="0"/>
          <w:bCs w:val="0"/>
        </w:rPr>
      </w:pPr>
      <w:r>
        <w:rPr/>
        <w:t>（</w:t>
      </w:r>
      <w:r>
        <w:rPr>
          <w:rFonts w:ascii="Times New Roman" w:hAnsi="Times New Roman" w:cs="Times New Roman" w:eastAsia="Times New Roman" w:hint="default"/>
        </w:rPr>
        <w:t>4</w:t>
      </w:r>
      <w:r>
        <w:rPr/>
        <w:t>）云服务业务线</w:t>
      </w:r>
      <w:r>
        <w:rPr>
          <w:b w:val="0"/>
          <w:bCs w:val="0"/>
        </w:rPr>
      </w:r>
    </w:p>
    <w:p>
      <w:pPr>
        <w:pStyle w:val="BodyText"/>
        <w:spacing w:line="338" w:lineRule="auto" w:before="135"/>
        <w:ind w:right="139" w:firstLine="480"/>
        <w:jc w:val="left"/>
      </w:pPr>
      <w:r>
        <w:rPr/>
        <w:t>聚焦</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云服务业务，致力于创新的</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云服务。公司研发了</w:t>
      </w:r>
      <w:r>
        <w:rPr>
          <w:spacing w:val="-62"/>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2"/>
        </w:rPr>
        <w:t> </w:t>
      </w:r>
      <w:r>
        <w:rPr>
          <w:rFonts w:ascii="Times New Roman" w:hAnsi="Times New Roman" w:cs="Times New Roman" w:eastAsia="Times New Roman" w:hint="default"/>
        </w:rPr>
        <w:t>Online</w:t>
      </w:r>
      <w:r>
        <w:rPr>
          <w:rFonts w:ascii="Times New Roman" w:hAnsi="Times New Roman" w:cs="Times New Roman" w:eastAsia="Times New Roman" w:hint="default"/>
          <w:spacing w:val="-2"/>
        </w:rPr>
        <w:t> </w:t>
      </w:r>
      <w:r>
        <w:rPr/>
        <w:t>等</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t>云服务产品，通过</w:t>
      </w:r>
      <w:r>
        <w:rPr>
          <w:spacing w:val="-67"/>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数据上云，为行业用户提供在线</w:t>
      </w:r>
      <w:r>
        <w:rPr>
          <w:spacing w:val="-6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应用服务，为企业客户及合作伙 伴提供在线地图数据与</w:t>
      </w:r>
      <w:r>
        <w:rPr>
          <w:spacing w:val="-58"/>
        </w:rPr>
        <w:t> </w:t>
      </w:r>
      <w:r>
        <w:rPr>
          <w:rFonts w:ascii="Times New Roman" w:hAnsi="Times New Roman" w:cs="Times New Roman" w:eastAsia="Times New Roman" w:hint="default"/>
        </w:rPr>
        <w:t>API</w:t>
      </w:r>
      <w:r>
        <w:rPr>
          <w:rFonts w:ascii="Times New Roman" w:hAnsi="Times New Roman" w:cs="Times New Roman" w:eastAsia="Times New Roman" w:hint="default"/>
          <w:spacing w:val="-4"/>
        </w:rPr>
        <w:t> </w:t>
      </w:r>
      <w:r>
        <w:rPr>
          <w:spacing w:val="-8"/>
        </w:rPr>
        <w:t>服务，以及大众化的在线地图绘制和地理分析服务。公司旗下“地</w:t>
      </w:r>
      <w:r>
        <w:rPr>
          <w:w w:val="99"/>
        </w:rPr>
        <w:t> </w:t>
      </w:r>
      <w:r>
        <w:rPr/>
        <w:t>图慧”云</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应用服务门户目前已成为地理信息及互联网行业知名的云服务品牌。</w:t>
      </w:r>
    </w:p>
    <w:p>
      <w:pPr>
        <w:pStyle w:val="Heading2"/>
        <w:spacing w:line="240" w:lineRule="auto" w:before="27"/>
        <w:ind w:left="635" w:right="293"/>
        <w:jc w:val="left"/>
        <w:rPr>
          <w:b w:val="0"/>
          <w:bCs w:val="0"/>
        </w:rPr>
      </w:pPr>
      <w:r>
        <w:rPr>
          <w:rFonts w:ascii="Times New Roman" w:hAnsi="Times New Roman" w:cs="Times New Roman" w:eastAsia="Times New Roman" w:hint="default"/>
        </w:rPr>
        <w:t>2</w:t>
      </w:r>
      <w:r>
        <w:rPr/>
        <w:t>、业绩总体情况</w:t>
      </w:r>
      <w:r>
        <w:rPr>
          <w:b w:val="0"/>
          <w:bCs w:val="0"/>
        </w:rPr>
      </w:r>
    </w:p>
    <w:p>
      <w:pPr>
        <w:pStyle w:val="BodyText"/>
        <w:spacing w:line="345" w:lineRule="auto" w:before="136"/>
        <w:ind w:right="132" w:firstLine="48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9"/>
        </w:rPr>
        <w:t> </w:t>
      </w:r>
      <w:r>
        <w:rPr/>
        <w:t>年，在国家宏观经济企稳向</w:t>
      </w:r>
      <w:r>
        <w:rPr>
          <w:color w:val="181818"/>
        </w:rPr>
        <w:t>好、经济结构不断优化、改革开放不断突破、绿色发展</w:t>
      </w:r>
      <w:r>
        <w:rPr>
          <w:color w:val="181818"/>
        </w:rPr>
        <w:t> 深入人心的大背景下，我国地理信息产业继续保持着较好的增长势头。据中国地理信息产业 协会利用统计数据测算和大数据分析显示，</w:t>
      </w:r>
      <w:r>
        <w:rPr>
          <w:rFonts w:ascii="Times New Roman" w:hAnsi="Times New Roman" w:cs="Times New Roman" w:eastAsia="Times New Roman" w:hint="default"/>
          <w:color w:val="181818"/>
        </w:rPr>
        <w:t>2017 </w:t>
      </w:r>
      <w:r>
        <w:rPr>
          <w:color w:val="181818"/>
        </w:rPr>
        <w:t>年中国地理信息产业总产值预计达到</w:t>
      </w:r>
      <w:r>
        <w:rPr>
          <w:color w:val="181818"/>
          <w:spacing w:val="-59"/>
        </w:rPr>
        <w:t> </w:t>
      </w:r>
      <w:r>
        <w:rPr>
          <w:rFonts w:ascii="Times New Roman" w:hAnsi="Times New Roman" w:cs="Times New Roman" w:eastAsia="Times New Roman" w:hint="default"/>
          <w:color w:val="181818"/>
        </w:rPr>
        <w:t>5180 </w:t>
      </w:r>
      <w:r>
        <w:rPr>
          <w:color w:val="181818"/>
        </w:rPr>
        <w:t>亿元，同比增长</w:t>
      </w:r>
      <w:r>
        <w:rPr>
          <w:color w:val="181818"/>
          <w:spacing w:val="-62"/>
        </w:rPr>
        <w:t> </w:t>
      </w:r>
      <w:r>
        <w:rPr>
          <w:rFonts w:ascii="Times New Roman" w:hAnsi="Times New Roman" w:cs="Times New Roman" w:eastAsia="Times New Roman" w:hint="default"/>
          <w:color w:val="181818"/>
        </w:rPr>
        <w:t>18.8%</w:t>
      </w:r>
      <w:r>
        <w:rPr>
          <w:color w:val="181818"/>
        </w:rPr>
        <w:t>。</w:t>
      </w:r>
      <w:r>
        <w:rPr/>
      </w:r>
    </w:p>
    <w:p>
      <w:pPr>
        <w:pStyle w:val="BodyText"/>
        <w:spacing w:line="357" w:lineRule="auto" w:before="19"/>
        <w:ind w:right="191" w:firstLine="480"/>
        <w:jc w:val="both"/>
      </w:pPr>
      <w:r>
        <w:rPr>
          <w:color w:val="181818"/>
        </w:rPr>
        <w:t>在行业形势向好的背景下，公司加强了新产品研发，新一代产品紧跟新技术，引领行业 新发展，产品竞争力得到进一步提升；合作伙伴数量、质量快速增长，产单能力大幅提升； 集团各子公司加强融合，协同效应、放大效应得到进一步发挥；此外，加强了对外投资，在 拓宽业务发展的同时，对公司利润也产生了积极影响；据此，公司业务规模在报告期内不断 扩大，业务收入大幅增长。</w:t>
      </w:r>
      <w:r>
        <w:rPr/>
      </w:r>
    </w:p>
    <w:p>
      <w:pPr>
        <w:pStyle w:val="BodyText"/>
        <w:spacing w:line="338" w:lineRule="auto" w:before="36"/>
        <w:ind w:right="150" w:firstLine="480"/>
        <w:jc w:val="both"/>
      </w:pPr>
      <w:r>
        <w:rPr>
          <w:rFonts w:ascii="Times New Roman" w:hAnsi="Times New Roman" w:cs="Times New Roman" w:eastAsia="Times New Roman" w:hint="default"/>
          <w:color w:val="181818"/>
        </w:rPr>
        <w:t>2017</w:t>
      </w:r>
      <w:r>
        <w:rPr>
          <w:rFonts w:ascii="Times New Roman" w:hAnsi="Times New Roman" w:cs="Times New Roman" w:eastAsia="Times New Roman" w:hint="default"/>
          <w:color w:val="181818"/>
          <w:spacing w:val="-5"/>
        </w:rPr>
        <w:t> </w:t>
      </w:r>
      <w:r>
        <w:rPr>
          <w:color w:val="181818"/>
        </w:rPr>
        <w:t>年，公司实现营业收入</w:t>
      </w:r>
      <w:r>
        <w:rPr>
          <w:color w:val="181818"/>
          <w:spacing w:val="-64"/>
        </w:rPr>
        <w:t> </w:t>
      </w:r>
      <w:r>
        <w:rPr>
          <w:rFonts w:ascii="Times New Roman" w:hAnsi="Times New Roman" w:cs="Times New Roman" w:eastAsia="Times New Roman" w:hint="default"/>
        </w:rPr>
        <w:t>124,975.85</w:t>
      </w:r>
      <w:r>
        <w:rPr>
          <w:rFonts w:ascii="Times New Roman" w:hAnsi="Times New Roman" w:cs="Times New Roman" w:eastAsia="Times New Roman" w:hint="default"/>
          <w:spacing w:val="53"/>
        </w:rPr>
        <w:t> </w:t>
      </w:r>
      <w:r>
        <w:rPr>
          <w:color w:val="181818"/>
          <w:spacing w:val="-3"/>
        </w:rPr>
        <w:t>万元，同比增长</w:t>
      </w:r>
      <w:r>
        <w:rPr>
          <w:color w:val="181818"/>
          <w:spacing w:val="-64"/>
        </w:rPr>
        <w:t> </w:t>
      </w:r>
      <w:r>
        <w:rPr>
          <w:rFonts w:ascii="Times New Roman" w:hAnsi="Times New Roman" w:cs="Times New Roman" w:eastAsia="Times New Roman" w:hint="default"/>
          <w:color w:val="181818"/>
        </w:rPr>
        <w:t>50.00%</w:t>
      </w:r>
      <w:r>
        <w:rPr>
          <w:color w:val="181818"/>
        </w:rPr>
        <w:t>；营业利润</w:t>
      </w:r>
      <w:r>
        <w:rPr>
          <w:color w:val="181818"/>
          <w:spacing w:val="-64"/>
        </w:rPr>
        <w:t> </w:t>
      </w:r>
      <w:r>
        <w:rPr>
          <w:rFonts w:ascii="Times New Roman" w:hAnsi="Times New Roman" w:cs="Times New Roman" w:eastAsia="Times New Roman" w:hint="default"/>
        </w:rPr>
        <w:t>19,824.21</w:t>
      </w:r>
      <w:r>
        <w:rPr>
          <w:rFonts w:ascii="Times New Roman" w:hAnsi="Times New Roman" w:cs="Times New Roman" w:eastAsia="Times New Roman" w:hint="default"/>
          <w:spacing w:val="-4"/>
        </w:rPr>
        <w:t> </w:t>
      </w:r>
      <w:r>
        <w:rPr>
          <w:color w:val="181818"/>
        </w:rPr>
        <w:t>万 元，同比增长</w:t>
      </w:r>
      <w:r>
        <w:rPr>
          <w:color w:val="181818"/>
          <w:spacing w:val="-62"/>
        </w:rPr>
        <w:t> </w:t>
      </w:r>
      <w:r>
        <w:rPr>
          <w:rFonts w:ascii="Times New Roman" w:hAnsi="Times New Roman" w:cs="Times New Roman" w:eastAsia="Times New Roman" w:hint="default"/>
          <w:color w:val="181818"/>
        </w:rPr>
        <w:t>77.35%</w:t>
      </w:r>
      <w:r>
        <w:rPr>
          <w:color w:val="181818"/>
        </w:rPr>
        <w:t>；实现利润总额</w:t>
      </w:r>
      <w:r>
        <w:rPr>
          <w:color w:val="181818"/>
          <w:spacing w:val="-61"/>
        </w:rPr>
        <w:t> </w:t>
      </w:r>
      <w:r>
        <w:rPr>
          <w:rFonts w:ascii="Times New Roman" w:hAnsi="Times New Roman" w:cs="Times New Roman" w:eastAsia="Times New Roman" w:hint="default"/>
        </w:rPr>
        <w:t>20,329.70</w:t>
      </w:r>
      <w:r>
        <w:rPr>
          <w:rFonts w:ascii="Times New Roman" w:hAnsi="Times New Roman" w:cs="Times New Roman" w:eastAsia="Times New Roman" w:hint="default"/>
          <w:spacing w:val="-1"/>
        </w:rPr>
        <w:t> </w:t>
      </w:r>
      <w:r>
        <w:rPr>
          <w:color w:val="181818"/>
        </w:rPr>
        <w:t>万元，同比增长</w:t>
      </w:r>
      <w:r>
        <w:rPr>
          <w:color w:val="181818"/>
          <w:spacing w:val="-61"/>
        </w:rPr>
        <w:t> </w:t>
      </w:r>
      <w:r>
        <w:rPr>
          <w:rFonts w:ascii="Times New Roman" w:hAnsi="Times New Roman" w:cs="Times New Roman" w:eastAsia="Times New Roman" w:hint="default"/>
        </w:rPr>
        <w:t>39.38</w:t>
      </w:r>
      <w:r>
        <w:rPr>
          <w:rFonts w:ascii="Times New Roman" w:hAnsi="Times New Roman" w:cs="Times New Roman" w:eastAsia="Times New Roman" w:hint="default"/>
          <w:color w:val="181818"/>
        </w:rPr>
        <w:t>%</w:t>
      </w:r>
      <w:r>
        <w:rPr>
          <w:color w:val="181818"/>
        </w:rPr>
        <w:t>；归属于上市公司股 东的净利润</w:t>
      </w:r>
      <w:r>
        <w:rPr>
          <w:color w:val="181818"/>
          <w:spacing w:val="-62"/>
        </w:rPr>
        <w:t> </w:t>
      </w:r>
      <w:r>
        <w:rPr>
          <w:rFonts w:ascii="Times New Roman" w:hAnsi="Times New Roman" w:cs="Times New Roman" w:eastAsia="Times New Roman" w:hint="default"/>
        </w:rPr>
        <w:t>19,626.60</w:t>
      </w:r>
      <w:r>
        <w:rPr>
          <w:rFonts w:ascii="Times New Roman" w:hAnsi="Times New Roman" w:cs="Times New Roman" w:eastAsia="Times New Roman" w:hint="default"/>
          <w:spacing w:val="-1"/>
        </w:rPr>
        <w:t> </w:t>
      </w:r>
      <w:r>
        <w:rPr>
          <w:color w:val="181818"/>
        </w:rPr>
        <w:t>万元，同比增长</w:t>
      </w:r>
      <w:r>
        <w:rPr>
          <w:color w:val="181818"/>
          <w:spacing w:val="-61"/>
        </w:rPr>
        <w:t> </w:t>
      </w:r>
      <w:r>
        <w:rPr>
          <w:rFonts w:ascii="Times New Roman" w:hAnsi="Times New Roman" w:cs="Times New Roman" w:eastAsia="Times New Roman" w:hint="default"/>
        </w:rPr>
        <w:t>53.99</w:t>
      </w:r>
      <w:r>
        <w:rPr>
          <w:rFonts w:ascii="Times New Roman" w:hAnsi="Times New Roman" w:cs="Times New Roman" w:eastAsia="Times New Roman" w:hint="default"/>
          <w:color w:val="181818"/>
        </w:rPr>
        <w:t>%</w:t>
      </w:r>
      <w:r>
        <w:rPr>
          <w:color w:val="181818"/>
        </w:rPr>
        <w:t>；归属于上市公司普通股股东的扣除非经常性 损益的净利润</w:t>
      </w:r>
      <w:r>
        <w:rPr>
          <w:color w:val="181818"/>
          <w:spacing w:val="-60"/>
        </w:rPr>
        <w:t> </w:t>
      </w:r>
      <w:r>
        <w:rPr>
          <w:rFonts w:ascii="Times New Roman" w:hAnsi="Times New Roman" w:cs="Times New Roman" w:eastAsia="Times New Roman" w:hint="default"/>
        </w:rPr>
        <w:t>18,306.90</w:t>
      </w:r>
      <w:r>
        <w:rPr>
          <w:rFonts w:ascii="Times New Roman" w:hAnsi="Times New Roman" w:cs="Times New Roman" w:eastAsia="Times New Roman" w:hint="default"/>
          <w:spacing w:val="1"/>
        </w:rPr>
        <w:t> </w:t>
      </w:r>
      <w:r>
        <w:rPr>
          <w:color w:val="181818"/>
          <w:spacing w:val="-5"/>
        </w:rPr>
        <w:t>万元，同比增长</w:t>
      </w:r>
      <w:r>
        <w:rPr>
          <w:color w:val="181818"/>
          <w:spacing w:val="-59"/>
        </w:rPr>
        <w:t> </w:t>
      </w:r>
      <w:r>
        <w:rPr>
          <w:rFonts w:ascii="Times New Roman" w:hAnsi="Times New Roman" w:cs="Times New Roman" w:eastAsia="Times New Roman" w:hint="default"/>
          <w:spacing w:val="-4"/>
        </w:rPr>
        <w:t>70.75</w:t>
      </w:r>
      <w:r>
        <w:rPr>
          <w:rFonts w:ascii="Times New Roman" w:hAnsi="Times New Roman" w:cs="Times New Roman" w:eastAsia="Times New Roman" w:hint="default"/>
          <w:color w:val="181818"/>
          <w:spacing w:val="-4"/>
        </w:rPr>
        <w:t>%</w:t>
      </w:r>
      <w:r>
        <w:rPr>
          <w:color w:val="181818"/>
          <w:spacing w:val="-4"/>
        </w:rPr>
        <w:t>。</w:t>
      </w:r>
      <w:r>
        <w:rPr>
          <w:rFonts w:ascii="Times New Roman" w:hAnsi="Times New Roman" w:cs="Times New Roman" w:eastAsia="Times New Roman" w:hint="default"/>
          <w:color w:val="181818"/>
          <w:spacing w:val="-4"/>
        </w:rPr>
        <w:t>2017</w:t>
      </w:r>
      <w:r>
        <w:rPr>
          <w:rFonts w:ascii="Times New Roman" w:hAnsi="Times New Roman" w:cs="Times New Roman" w:eastAsia="Times New Roman" w:hint="default"/>
          <w:color w:val="181818"/>
          <w:spacing w:val="1"/>
        </w:rPr>
        <w:t> </w:t>
      </w:r>
      <w:r>
        <w:rPr>
          <w:color w:val="181818"/>
        </w:rPr>
        <w:t>年公司实现新签合同额</w:t>
      </w:r>
      <w:r>
        <w:rPr>
          <w:color w:val="181818"/>
          <w:spacing w:val="-59"/>
        </w:rPr>
        <w:t> </w:t>
      </w:r>
      <w:r>
        <w:rPr>
          <w:rFonts w:ascii="Times New Roman" w:hAnsi="Times New Roman" w:cs="Times New Roman" w:eastAsia="Times New Roman" w:hint="default"/>
          <w:color w:val="181818"/>
        </w:rPr>
        <w:t>18</w:t>
      </w:r>
      <w:r>
        <w:rPr>
          <w:rFonts w:ascii="Times New Roman" w:hAnsi="Times New Roman" w:cs="Times New Roman" w:eastAsia="Times New Roman" w:hint="default"/>
          <w:color w:val="181818"/>
          <w:spacing w:val="1"/>
        </w:rPr>
        <w:t> </w:t>
      </w:r>
      <w:r>
        <w:rPr>
          <w:color w:val="181818"/>
          <w:spacing w:val="-7"/>
        </w:rPr>
        <w:t>亿元，同比</w:t>
      </w:r>
      <w:r>
        <w:rPr>
          <w:spacing w:val="-7"/>
        </w:rPr>
      </w:r>
    </w:p>
    <w:p>
      <w:pPr>
        <w:spacing w:after="0" w:line="338" w:lineRule="auto"/>
        <w:jc w:val="both"/>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240" w:lineRule="auto" w:before="26"/>
        <w:ind w:left="213" w:right="0"/>
        <w:jc w:val="left"/>
      </w:pPr>
      <w:r>
        <w:rPr>
          <w:color w:val="181818"/>
        </w:rPr>
        <w:t>增长约</w:t>
      </w:r>
      <w:r>
        <w:rPr>
          <w:color w:val="181818"/>
          <w:spacing w:val="-61"/>
        </w:rPr>
        <w:t> </w:t>
      </w:r>
      <w:r>
        <w:rPr>
          <w:rFonts w:ascii="Times New Roman" w:hAnsi="Times New Roman" w:cs="Times New Roman" w:eastAsia="Times New Roman" w:hint="default"/>
          <w:color w:val="181818"/>
        </w:rPr>
        <w:t>40%</w:t>
      </w:r>
      <w:r>
        <w:rPr>
          <w:color w:val="181818"/>
        </w:rPr>
        <w:t>。</w:t>
      </w:r>
      <w:r>
        <w:rPr/>
      </w:r>
    </w:p>
    <w:p>
      <w:pPr>
        <w:pStyle w:val="Heading2"/>
        <w:spacing w:line="240" w:lineRule="auto" w:before="136"/>
        <w:ind w:left="695" w:right="0"/>
        <w:jc w:val="left"/>
        <w:rPr>
          <w:b w:val="0"/>
          <w:bCs w:val="0"/>
        </w:rPr>
      </w:pPr>
      <w:r>
        <w:rPr>
          <w:rFonts w:ascii="Times New Roman" w:hAnsi="Times New Roman" w:cs="Times New Roman" w:eastAsia="Times New Roman" w:hint="default"/>
          <w:color w:val="181818"/>
        </w:rPr>
        <w:t>3</w:t>
      </w:r>
      <w:r>
        <w:rPr>
          <w:color w:val="181818"/>
        </w:rPr>
        <w:t>、行业情况</w:t>
      </w:r>
      <w:r>
        <w:rPr>
          <w:b w:val="0"/>
          <w:bCs w:val="0"/>
        </w:rPr>
      </w:r>
    </w:p>
    <w:p>
      <w:pPr>
        <w:pStyle w:val="BodyText"/>
        <w:spacing w:line="350" w:lineRule="auto" w:before="135"/>
        <w:ind w:left="213" w:right="233" w:firstLine="48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spacing w:val="-10"/>
          <w:w w:val="100"/>
        </w:rPr>
        <w:t>月，国家发展改革委印发《</w:t>
      </w:r>
      <w:r>
        <w:rPr>
          <w:rFonts w:ascii="Times New Roman" w:hAnsi="Times New Roman" w:cs="Times New Roman" w:eastAsia="Times New Roman" w:hint="default"/>
          <w:spacing w:val="-10"/>
          <w:w w:val="100"/>
        </w:rPr>
        <w:t>“</w:t>
      </w:r>
      <w:r>
        <w:rPr>
          <w:spacing w:val="-10"/>
          <w:w w:val="100"/>
        </w:rPr>
        <w:t>十三五</w:t>
      </w:r>
      <w:r>
        <w:rPr>
          <w:rFonts w:ascii="Times New Roman" w:hAnsi="Times New Roman" w:cs="Times New Roman" w:eastAsia="Times New Roman" w:hint="default"/>
          <w:spacing w:val="-10"/>
          <w:w w:val="100"/>
        </w:rPr>
        <w:t>”</w:t>
      </w:r>
      <w:r>
        <w:rPr>
          <w:spacing w:val="-10"/>
          <w:w w:val="100"/>
        </w:rPr>
        <w:t>国家政务信息化工程建设规划》，要求在</w:t>
      </w:r>
      <w:r>
        <w:rPr>
          <w:rFonts w:ascii="Times New Roman" w:hAnsi="Times New Roman" w:cs="Times New Roman" w:eastAsia="Times New Roman" w:hint="default"/>
          <w:spacing w:val="-10"/>
          <w:w w:val="100"/>
        </w:rPr>
        <w:t>“</w:t>
      </w:r>
      <w:r>
        <w:rPr>
          <w:spacing w:val="-10"/>
          <w:w w:val="100"/>
        </w:rPr>
        <w:t>十</w:t>
      </w:r>
      <w:r>
        <w:rPr/>
        <w:t> </w:t>
      </w:r>
      <w:r>
        <w:rPr>
          <w:spacing w:val="-4"/>
        </w:rPr>
        <w:t>三五</w:t>
      </w:r>
      <w:r>
        <w:rPr>
          <w:rFonts w:ascii="Times New Roman" w:hAnsi="Times New Roman" w:cs="Times New Roman" w:eastAsia="Times New Roman" w:hint="default"/>
          <w:spacing w:val="-4"/>
        </w:rPr>
        <w:t>”</w:t>
      </w:r>
      <w:r>
        <w:rPr>
          <w:spacing w:val="-4"/>
        </w:rPr>
        <w:t>时期，必须在落实《政务信息系统整合共享实施方案》（国办发〔</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39</w:t>
      </w:r>
      <w:r>
        <w:rPr>
          <w:rFonts w:ascii="Times New Roman" w:hAnsi="Times New Roman" w:cs="Times New Roman" w:eastAsia="Times New Roman" w:hint="default"/>
          <w:spacing w:val="22"/>
        </w:rPr>
        <w:t> </w:t>
      </w:r>
      <w:r>
        <w:rPr>
          <w:spacing w:val="-1"/>
        </w:rPr>
        <w:t>号）文件基</w:t>
      </w:r>
      <w:r>
        <w:rPr>
          <w:spacing w:val="-116"/>
        </w:rPr>
        <w:t> </w:t>
      </w:r>
      <w:r>
        <w:rPr>
          <w:spacing w:val="-116"/>
        </w:rPr>
      </w:r>
      <w:r>
        <w:rPr/>
        <w:t>础之上，按照《规划》要求系统性推进政务信息系统整合与创新，将国家政务信息化工程打 造成为政务信息系统支撑工作的助推器和检验改革成效的新手段。要深入推进政务信息化建 设的集约整合和共享共用，深化国家基础信息资源开发利用，推进国家重要信息系统建设， 统筹整合新增业务系统及已有存量信息系统。</w:t>
      </w:r>
    </w:p>
    <w:p>
      <w:pPr>
        <w:pStyle w:val="BodyText"/>
        <w:spacing w:line="357" w:lineRule="auto" w:before="44"/>
        <w:ind w:left="213" w:right="0" w:firstLine="480"/>
        <w:jc w:val="left"/>
      </w:pPr>
      <w:r>
        <w:rPr>
          <w:spacing w:val="-3"/>
        </w:rPr>
        <w:t>信息化建设继续保持高速的发展态势由此可见，随着一系列重大信息化工程的启动实施，</w:t>
      </w:r>
      <w:r>
        <w:rPr/>
        <w:t> 我国各行各业信息化建设浪潮将得以推动。</w:t>
      </w:r>
    </w:p>
    <w:p>
      <w:pPr>
        <w:pStyle w:val="BodyText"/>
        <w:spacing w:line="357" w:lineRule="auto" w:before="36"/>
        <w:ind w:left="213" w:right="233" w:firstLine="480"/>
        <w:jc w:val="both"/>
      </w:pPr>
      <w:r>
        <w:rPr>
          <w:spacing w:val="-6"/>
        </w:rPr>
        <w:t>此外，随着第三次全国土地调查、自然资源登记、智慧城市建设、多规合一、城市设计、</w:t>
      </w:r>
      <w:r>
        <w:rPr/>
        <w:t> 军民融合、国防现代化建设、政务大数据共享交换平台建设、国土空间基础信息平台建设等 项目启动或落地，将给公司所处的行业带来广阔的发展空间。</w:t>
      </w:r>
    </w:p>
    <w:p>
      <w:pPr>
        <w:pStyle w:val="BodyText"/>
        <w:spacing w:line="357" w:lineRule="auto" w:before="36"/>
        <w:ind w:left="213" w:right="271" w:firstLine="480"/>
        <w:jc w:val="both"/>
      </w:pPr>
      <w:r>
        <w:rPr/>
        <w:t>未来，公司将不断提升、巩固公司的技术优势地位，不断加强市场开拓以及产业整合， 推动公司加速发展。</w:t>
      </w:r>
    </w:p>
    <w:p>
      <w:pPr>
        <w:spacing w:line="240" w:lineRule="auto" w:before="11"/>
        <w:rPr>
          <w:rFonts w:ascii="宋体" w:hAnsi="宋体" w:cs="宋体" w:eastAsia="宋体" w:hint="default"/>
          <w:sz w:val="19"/>
          <w:szCs w:val="19"/>
        </w:rPr>
      </w:pPr>
    </w:p>
    <w:p>
      <w:pPr>
        <w:pStyle w:val="Heading2"/>
        <w:spacing w:line="240" w:lineRule="auto"/>
        <w:ind w:left="213" w:right="0"/>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8"/>
          <w:szCs w:val="28"/>
        </w:rPr>
      </w:pPr>
    </w:p>
    <w:p>
      <w:pPr>
        <w:pStyle w:val="Heading2"/>
        <w:spacing w:line="240" w:lineRule="auto"/>
        <w:ind w:left="213"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0" w:type="dxa"/>
        <w:tblLayout w:type="fixed"/>
        <w:tblCellMar>
          <w:top w:w="0" w:type="dxa"/>
          <w:left w:w="0" w:type="dxa"/>
          <w:bottom w:w="0" w:type="dxa"/>
          <w:right w:w="0" w:type="dxa"/>
        </w:tblCellMar>
        <w:tblLook w:val="01E0"/>
      </w:tblPr>
      <w:tblGrid>
        <w:gridCol w:w="2204"/>
        <w:gridCol w:w="7653"/>
      </w:tblGrid>
      <w:tr>
        <w:trPr>
          <w:trHeight w:val="323"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主要资产</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重大变化说明</w:t>
            </w:r>
            <w:r>
              <w:rPr>
                <w:rFonts w:ascii="宋体" w:hAnsi="宋体" w:cs="宋体" w:eastAsia="宋体" w:hint="default"/>
                <w:sz w:val="21"/>
                <w:szCs w:val="21"/>
              </w:rPr>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股权资产</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公司收购上海数慧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固定资产</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1" w:right="0"/>
              <w:jc w:val="left"/>
              <w:rPr>
                <w:rFonts w:ascii="宋体" w:hAnsi="宋体" w:cs="宋体" w:eastAsia="宋体" w:hint="default"/>
                <w:sz w:val="21"/>
                <w:szCs w:val="21"/>
              </w:rPr>
            </w:pPr>
            <w:r>
              <w:rPr>
                <w:rFonts w:ascii="宋体" w:hAnsi="宋体" w:cs="宋体" w:eastAsia="宋体" w:hint="default"/>
                <w:sz w:val="21"/>
                <w:szCs w:val="21"/>
              </w:rPr>
              <w:t>未发生重大变化，较年初下降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5.99%</w:t>
            </w:r>
            <w:r>
              <w:rPr>
                <w:rFonts w:ascii="宋体" w:hAnsi="宋体" w:cs="宋体" w:eastAsia="宋体" w:hint="default"/>
                <w:sz w:val="21"/>
                <w:szCs w:val="21"/>
              </w:rPr>
              <w:t>。</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无形资产</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无形资产较年初增长</w:t>
            </w:r>
            <w:r>
              <w:rPr>
                <w:rFonts w:ascii="宋体" w:hAnsi="宋体" w:cs="宋体" w:eastAsia="宋体" w:hint="default"/>
                <w:spacing w:val="12"/>
                <w:sz w:val="21"/>
                <w:szCs w:val="21"/>
              </w:rPr>
              <w:t> </w:t>
            </w:r>
            <w:r>
              <w:rPr>
                <w:rFonts w:ascii="Times New Roman" w:hAnsi="Times New Roman" w:cs="Times New Roman" w:eastAsia="Times New Roman" w:hint="default"/>
                <w:spacing w:val="-2"/>
                <w:sz w:val="21"/>
                <w:szCs w:val="21"/>
              </w:rPr>
              <w:t>41.95%</w:t>
            </w:r>
            <w:r>
              <w:rPr>
                <w:rFonts w:ascii="宋体" w:hAnsi="宋体" w:cs="宋体" w:eastAsia="宋体" w:hint="default"/>
                <w:spacing w:val="-2"/>
                <w:sz w:val="21"/>
                <w:szCs w:val="21"/>
              </w:rPr>
              <w:t>，主要系开发支出资本化结转至无形资产所致。</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可供出售金融资产</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1" w:right="0"/>
              <w:jc w:val="left"/>
              <w:rPr>
                <w:rFonts w:ascii="宋体" w:hAnsi="宋体" w:cs="宋体" w:eastAsia="宋体" w:hint="default"/>
                <w:sz w:val="21"/>
                <w:szCs w:val="21"/>
              </w:rPr>
            </w:pPr>
            <w:r>
              <w:rPr>
                <w:rFonts w:ascii="宋体" w:hAnsi="宋体" w:cs="宋体" w:eastAsia="宋体" w:hint="default"/>
                <w:sz w:val="21"/>
                <w:szCs w:val="21"/>
              </w:rPr>
              <w:t>未发生重大变化，较年初下降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0.01%</w:t>
            </w:r>
            <w:r>
              <w:rPr>
                <w:rFonts w:ascii="宋体" w:hAnsi="宋体" w:cs="宋体" w:eastAsia="宋体" w:hint="default"/>
                <w:sz w:val="21"/>
                <w:szCs w:val="21"/>
              </w:rPr>
              <w:t>。</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在建工程</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在建工程较年初增长</w:t>
            </w:r>
            <w:r>
              <w:rPr>
                <w:rFonts w:ascii="宋体" w:hAnsi="宋体" w:cs="宋体" w:eastAsia="宋体" w:hint="default"/>
                <w:spacing w:val="9"/>
                <w:sz w:val="21"/>
                <w:szCs w:val="21"/>
              </w:rPr>
              <w:t> </w:t>
            </w:r>
            <w:r>
              <w:rPr>
                <w:rFonts w:ascii="Times New Roman" w:hAnsi="Times New Roman" w:cs="Times New Roman" w:eastAsia="Times New Roman" w:hint="default"/>
                <w:spacing w:val="-2"/>
                <w:sz w:val="21"/>
                <w:szCs w:val="21"/>
              </w:rPr>
              <w:t>5,922.00%</w:t>
            </w:r>
            <w:r>
              <w:rPr>
                <w:rFonts w:ascii="宋体" w:hAnsi="宋体" w:cs="宋体" w:eastAsia="宋体" w:hint="default"/>
                <w:spacing w:val="-2"/>
                <w:sz w:val="21"/>
                <w:szCs w:val="21"/>
              </w:rPr>
              <w:t>，主要系成都超图大厦建设项目所致。</w:t>
            </w:r>
          </w:p>
        </w:tc>
      </w:tr>
      <w:tr>
        <w:trPr>
          <w:trHeight w:val="324"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b/>
                <w:bCs/>
                <w:sz w:val="21"/>
                <w:szCs w:val="21"/>
              </w:rPr>
              <w:t>商誉</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较年初增长</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33.62%</w:t>
            </w:r>
            <w:r>
              <w:rPr>
                <w:rFonts w:ascii="宋体" w:hAnsi="宋体" w:cs="宋体" w:eastAsia="宋体" w:hint="default"/>
                <w:sz w:val="21"/>
                <w:szCs w:val="21"/>
              </w:rPr>
              <w:t>，主要系收购上海数慧所致。</w:t>
            </w:r>
          </w:p>
        </w:tc>
      </w:tr>
    </w:tbl>
    <w:p>
      <w:pPr>
        <w:spacing w:line="240" w:lineRule="auto" w:before="13"/>
        <w:rPr>
          <w:rFonts w:ascii="宋体" w:hAnsi="宋体" w:cs="宋体" w:eastAsia="宋体" w:hint="default"/>
          <w:b/>
          <w:bCs/>
          <w:sz w:val="23"/>
          <w:szCs w:val="23"/>
        </w:rPr>
      </w:pPr>
    </w:p>
    <w:p>
      <w:pPr>
        <w:pStyle w:val="Heading2"/>
        <w:spacing w:line="240" w:lineRule="auto" w:before="26"/>
        <w:ind w:left="213"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33"/>
          <w:szCs w:val="33"/>
        </w:rPr>
      </w:pPr>
    </w:p>
    <w:p>
      <w:pPr>
        <w:spacing w:line="499" w:lineRule="auto" w:before="0"/>
        <w:ind w:left="213" w:right="673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三、核心竞争力分析</w:t>
      </w:r>
      <w:r>
        <w:rPr>
          <w:rFonts w:ascii="宋体" w:hAnsi="宋体" w:cs="宋体" w:eastAsia="宋体" w:hint="default"/>
          <w:sz w:val="24"/>
          <w:szCs w:val="24"/>
        </w:rPr>
      </w:r>
    </w:p>
    <w:p>
      <w:pPr>
        <w:pStyle w:val="BodyText"/>
        <w:spacing w:line="240" w:lineRule="auto" w:before="115"/>
        <w:ind w:left="573" w:right="0"/>
        <w:jc w:val="left"/>
      </w:pPr>
      <w:r>
        <w:rPr/>
        <w:t>公司是否需要遵守特殊行业的披露要求</w:t>
      </w:r>
    </w:p>
    <w:p>
      <w:pPr>
        <w:spacing w:after="0" w:line="240" w:lineRule="auto"/>
        <w:jc w:val="left"/>
        <w:sectPr>
          <w:pgSz w:w="11910" w:h="16840"/>
          <w:pgMar w:header="877" w:footer="980" w:top="1100" w:bottom="1160" w:left="920" w:right="900"/>
        </w:sectPr>
      </w:pPr>
    </w:p>
    <w:p>
      <w:pPr>
        <w:spacing w:line="240" w:lineRule="auto" w:before="7"/>
        <w:rPr>
          <w:rFonts w:ascii="宋体" w:hAnsi="宋体" w:cs="宋体" w:eastAsia="宋体" w:hint="default"/>
          <w:sz w:val="25"/>
          <w:szCs w:val="25"/>
        </w:rPr>
      </w:pPr>
    </w:p>
    <w:p>
      <w:pPr>
        <w:pStyle w:val="BodyText"/>
        <w:spacing w:line="240" w:lineRule="auto" w:before="26"/>
        <w:ind w:left="633" w:right="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Heading2"/>
        <w:spacing w:line="240" w:lineRule="auto" w:before="136"/>
        <w:ind w:left="635" w:right="293"/>
        <w:jc w:val="left"/>
        <w:rPr>
          <w:b w:val="0"/>
          <w:bCs w:val="0"/>
        </w:rPr>
      </w:pPr>
      <w:r>
        <w:rPr>
          <w:rFonts w:ascii="Times New Roman" w:hAnsi="Times New Roman" w:cs="Times New Roman" w:eastAsia="Times New Roman" w:hint="default"/>
        </w:rPr>
        <w:t>1</w:t>
      </w:r>
      <w:r>
        <w:rPr/>
        <w:t>、技术优势</w:t>
      </w:r>
      <w:r>
        <w:rPr>
          <w:b w:val="0"/>
          <w:bCs w:val="0"/>
        </w:rPr>
      </w:r>
    </w:p>
    <w:p>
      <w:pPr>
        <w:spacing w:line="338" w:lineRule="auto" w:before="135"/>
        <w:ind w:left="633" w:right="17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）先进科学的研发管理体系，确保提供高品质、高效率的产品</w:t>
      </w:r>
      <w:r>
        <w:rPr>
          <w:rFonts w:ascii="宋体" w:hAnsi="宋体" w:cs="宋体" w:eastAsia="宋体" w:hint="default"/>
          <w:b/>
          <w:bCs/>
          <w:w w:val="99"/>
          <w:sz w:val="24"/>
          <w:szCs w:val="24"/>
        </w:rPr>
        <w:t> </w:t>
      </w:r>
      <w:r>
        <w:rPr>
          <w:rFonts w:ascii="宋体" w:hAnsi="宋体" w:cs="宋体" w:eastAsia="宋体" w:hint="default"/>
          <w:sz w:val="24"/>
          <w:szCs w:val="24"/>
        </w:rPr>
        <w:t>经过多年的不断完善、改进和积累，公司研发创造了精益敏捷研发管理体系，该体系将</w:t>
      </w:r>
    </w:p>
    <w:p>
      <w:pPr>
        <w:pStyle w:val="BodyText"/>
        <w:spacing w:line="338" w:lineRule="auto"/>
        <w:ind w:right="148"/>
        <w:jc w:val="left"/>
      </w:pPr>
      <w:r>
        <w:rPr>
          <w:spacing w:val="-2"/>
        </w:rPr>
        <w:t>精益质量管控模式与敏捷研发模式完美融合，为业界独创，被誉为</w:t>
      </w:r>
      <w:r>
        <w:rPr>
          <w:rFonts w:ascii="Times New Roman" w:hAnsi="Times New Roman" w:cs="Times New Roman" w:eastAsia="Times New Roman" w:hint="default"/>
          <w:spacing w:val="-2"/>
        </w:rPr>
        <w:t>“</w:t>
      </w:r>
      <w:r>
        <w:rPr>
          <w:spacing w:val="-2"/>
        </w:rPr>
        <w:t>国内乃至国际软件行业最</w:t>
      </w:r>
      <w:r>
        <w:rPr>
          <w:spacing w:val="-106"/>
        </w:rPr>
        <w:t> </w:t>
      </w:r>
      <w:r>
        <w:rPr/>
        <w:t>先进的研发质控系统</w:t>
      </w:r>
      <w:r>
        <w:rPr>
          <w:rFonts w:ascii="Times New Roman" w:hAnsi="Times New Roman" w:cs="Times New Roman" w:eastAsia="Times New Roman" w:hint="default"/>
        </w:rPr>
        <w:t>”</w:t>
      </w:r>
      <w:r>
        <w:rPr/>
        <w:t>，并引领软件研发管理创新潮流。</w:t>
      </w:r>
    </w:p>
    <w:p>
      <w:pPr>
        <w:pStyle w:val="BodyText"/>
        <w:spacing w:line="350" w:lineRule="auto" w:before="27"/>
        <w:ind w:right="153" w:firstLine="480"/>
        <w:jc w:val="both"/>
      </w:pPr>
      <w:r>
        <w:rPr/>
        <w:t>为提升产品品质，公司融入了精益质量体系，该体系由自动测试、代码审查和持续集成 </w:t>
      </w:r>
      <w:r>
        <w:rPr>
          <w:spacing w:val="-5"/>
        </w:rPr>
        <w:t>构成，构建了基于持续集成和自动化测试技术的“测试农场”，</w:t>
      </w:r>
      <w:r>
        <w:rPr>
          <w:rFonts w:ascii="Times New Roman" w:hAnsi="Times New Roman" w:cs="Times New Roman" w:eastAsia="Times New Roman" w:hint="default"/>
          <w:spacing w:val="-5"/>
        </w:rPr>
        <w:t>5</w:t>
      </w:r>
      <w:r>
        <w:rPr>
          <w:rFonts w:ascii="Times New Roman" w:hAnsi="Times New Roman" w:cs="Times New Roman" w:eastAsia="Times New Roman" w:hint="default"/>
        </w:rPr>
        <w:t> </w:t>
      </w:r>
      <w:r>
        <w:rPr/>
        <w:t>万多个测试程序 </w:t>
      </w:r>
      <w:r>
        <w:rPr>
          <w:rFonts w:ascii="Times New Roman" w:hAnsi="Times New Roman" w:cs="Times New Roman" w:eastAsia="Times New Roman" w:hint="default"/>
          <w:spacing w:val="-1"/>
        </w:rPr>
        <w:t>7x24</w:t>
      </w:r>
      <w:r>
        <w:rPr>
          <w:rFonts w:ascii="Times New Roman" w:hAnsi="Times New Roman" w:cs="Times New Roman" w:eastAsia="Times New Roman" w:hint="default"/>
          <w:spacing w:val="7"/>
        </w:rPr>
        <w:t> </w:t>
      </w:r>
      <w:r>
        <w:rPr>
          <w:spacing w:val="-3"/>
        </w:rPr>
        <w:t>小时 </w:t>
      </w:r>
      <w:r>
        <w:rPr/>
        <w:t>运行，自动测试，自动报错提示开发工程师修改缺陷，能够有效配置和合理使用资源，对产</w:t>
      </w:r>
      <w:r>
        <w:rPr>
          <w:spacing w:val="-88"/>
        </w:rPr>
        <w:t> </w:t>
      </w:r>
      <w:r>
        <w:rPr>
          <w:spacing w:val="-88"/>
        </w:rPr>
      </w:r>
      <w:r>
        <w:rPr/>
        <w:t>品的质量管理更严格。</w:t>
      </w:r>
    </w:p>
    <w:p>
      <w:pPr>
        <w:pStyle w:val="Heading2"/>
        <w:spacing w:line="240" w:lineRule="auto" w:before="43"/>
        <w:ind w:left="635" w:right="293"/>
        <w:jc w:val="left"/>
        <w:rPr>
          <w:b w:val="0"/>
          <w:bCs w:val="0"/>
        </w:rPr>
      </w:pPr>
      <w:r>
        <w:rPr/>
        <w:t>（</w:t>
      </w:r>
      <w:r>
        <w:rPr>
          <w:rFonts w:ascii="Times New Roman" w:hAnsi="Times New Roman" w:cs="Times New Roman" w:eastAsia="Times New Roman" w:hint="default"/>
        </w:rPr>
        <w:t>2</w:t>
      </w:r>
      <w:r>
        <w:rPr/>
        <w:t>）领先的产品技术</w:t>
      </w:r>
      <w:r>
        <w:rPr>
          <w:b w:val="0"/>
          <w:bCs w:val="0"/>
        </w:rPr>
      </w:r>
    </w:p>
    <w:p>
      <w:pPr>
        <w:pStyle w:val="BodyText"/>
        <w:spacing w:line="338" w:lineRule="auto" w:before="135"/>
        <w:ind w:right="155" w:firstLine="480"/>
        <w:jc w:val="both"/>
      </w:pPr>
      <w:r>
        <w:rPr/>
        <w:t>公司的</w:t>
      </w:r>
      <w:r>
        <w:rPr>
          <w:spacing w:val="-70"/>
        </w:rPr>
        <w:t> </w:t>
      </w:r>
      <w:r>
        <w:rPr>
          <w:rFonts w:ascii="Times New Roman" w:hAnsi="Times New Roman" w:cs="Times New Roman" w:eastAsia="Times New Roman" w:hint="default"/>
        </w:rPr>
        <w:t>GIS</w:t>
      </w:r>
      <w:r>
        <w:rPr>
          <w:rFonts w:ascii="Times New Roman" w:hAnsi="Times New Roman" w:cs="Times New Roman" w:eastAsia="Times New Roman" w:hint="default"/>
          <w:spacing w:val="-9"/>
        </w:rPr>
        <w:t> </w:t>
      </w:r>
      <w:r>
        <w:rPr/>
        <w:t>技术起点高，软件技术架构先进，在</w:t>
      </w:r>
      <w:r>
        <w:rPr>
          <w:spacing w:val="-69"/>
        </w:rPr>
        <w:t> </w:t>
      </w:r>
      <w:r>
        <w:rPr>
          <w:rFonts w:ascii="Times New Roman" w:hAnsi="Times New Roman" w:cs="Times New Roman" w:eastAsia="Times New Roman" w:hint="default"/>
        </w:rPr>
        <w:t>GIS</w:t>
      </w:r>
      <w:r>
        <w:rPr>
          <w:rFonts w:ascii="Times New Roman" w:hAnsi="Times New Roman" w:cs="Times New Roman" w:eastAsia="Times New Roman" w:hint="default"/>
          <w:spacing w:val="-9"/>
        </w:rPr>
        <w:t> </w:t>
      </w:r>
      <w:r>
        <w:rPr/>
        <w:t>技术发展中，公司的组件式</w:t>
      </w:r>
      <w:r>
        <w:rPr>
          <w:spacing w:val="-69"/>
        </w:rPr>
        <w:t> </w:t>
      </w:r>
      <w:r>
        <w:rPr>
          <w:rFonts w:ascii="Times New Roman" w:hAnsi="Times New Roman" w:cs="Times New Roman" w:eastAsia="Times New Roman" w:hint="default"/>
        </w:rPr>
        <w:t>GIS</w:t>
      </w:r>
      <w:r>
        <w:rPr>
          <w:rFonts w:ascii="Times New Roman" w:hAnsi="Times New Roman" w:cs="Times New Roman" w:eastAsia="Times New Roman" w:hint="default"/>
          <w:spacing w:val="-9"/>
        </w:rPr>
        <w:t> </w:t>
      </w:r>
      <w:r>
        <w:rPr/>
        <w:t>技 </w:t>
      </w:r>
      <w:r>
        <w:rPr>
          <w:spacing w:val="-5"/>
        </w:rPr>
        <w:t>术、服务式</w:t>
      </w:r>
      <w:r>
        <w:rPr>
          <w:spacing w:val="-66"/>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技术都走在业界的前列，跨平台</w:t>
      </w:r>
      <w:r>
        <w:rPr>
          <w:spacing w:val="-64"/>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技术方面公司更是开了</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基础软件的 先河，并建立起了长久的差异化优势，基于此，公司现在在跨平台</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技术、二三维一体化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技术、云端一体化</w:t>
      </w:r>
      <w:r>
        <w:rPr>
          <w:spacing w:val="-60"/>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技术和大数据</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技术方面在业界确立了领先地位，形成了公司 在</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市场的独特竞争优势。</w:t>
      </w:r>
    </w:p>
    <w:p>
      <w:pPr>
        <w:spacing w:line="240" w:lineRule="auto" w:before="9"/>
        <w:rPr>
          <w:rFonts w:ascii="宋体" w:hAnsi="宋体" w:cs="宋体" w:eastAsia="宋体" w:hint="default"/>
          <w:sz w:val="2"/>
          <w:szCs w:val="2"/>
        </w:rPr>
      </w:pPr>
    </w:p>
    <w:p>
      <w:pPr>
        <w:spacing w:line="3940" w:lineRule="exact"/>
        <w:ind w:left="1553"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4618874" cy="250202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4618874" cy="2502027"/>
                    </a:xfrm>
                    <a:prstGeom prst="rect">
                      <a:avLst/>
                    </a:prstGeom>
                  </pic:spPr>
                </pic:pic>
              </a:graphicData>
            </a:graphic>
          </wp:inline>
        </w:drawing>
      </w:r>
      <w:r>
        <w:rPr>
          <w:rFonts w:ascii="宋体" w:hAnsi="宋体" w:cs="宋体" w:eastAsia="宋体" w:hint="default"/>
          <w:position w:val="-78"/>
          <w:sz w:val="20"/>
          <w:szCs w:val="20"/>
        </w:rPr>
      </w:r>
    </w:p>
    <w:p>
      <w:pPr>
        <w:pStyle w:val="BodyText"/>
        <w:spacing w:line="348" w:lineRule="auto" w:before="109"/>
        <w:ind w:right="153" w:firstLine="48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年，公司发布了重大升级版本</w:t>
      </w:r>
      <w:r>
        <w:rPr>
          <w:spacing w:val="-61"/>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rFonts w:ascii="Times New Roman" w:hAnsi="Times New Roman" w:cs="Times New Roman" w:eastAsia="Times New Roman" w:hint="default"/>
        </w:rPr>
        <w:t>9D</w:t>
      </w:r>
      <w:r>
        <w:rPr/>
        <w:t>，全面拥抱空间大数据技术：提供 了对带位置或者隐含位置的大数据进行处理分析和可视化的通用方法，降低了空间大数据处 理的门槛，让数百家二次开发商可以开展大数据相关业务。同时，还基于分布式存储和分布 式计算框架等</w:t>
      </w:r>
      <w:r>
        <w:rPr>
          <w:spacing w:val="-90"/>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32"/>
        </w:rPr>
        <w:t> </w:t>
      </w:r>
      <w:r>
        <w:rPr/>
        <w:t>大数据技术，重构了针对传统空间数据管理和分析的软件架构，数十倍提高 海量传统空间数据的处理分析性能。</w:t>
      </w:r>
    </w:p>
    <w:p>
      <w:pPr>
        <w:spacing w:after="0" w:line="348" w:lineRule="auto"/>
        <w:jc w:val="both"/>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2" w:lineRule="auto" w:before="26"/>
        <w:ind w:right="98" w:firstLine="480"/>
        <w:jc w:val="left"/>
      </w:pPr>
      <w:r>
        <w:rPr/>
        <w:t>公司高度重视技术创新和科研投入，研发投入占营业收入的比例一直保持较高的水平， 基础软件的研发人员规模在全球的</w:t>
      </w:r>
      <w:r>
        <w:rPr>
          <w:spacing w:val="-54"/>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8"/>
          <w:w w:val="99"/>
        </w:rPr>
        <w:t> </w:t>
      </w:r>
      <w:r>
        <w:rPr>
          <w:spacing w:val="-5"/>
        </w:rPr>
        <w:t>平台研发队伍中位于前列。公司还先后承担了科技部、</w:t>
      </w:r>
      <w:r>
        <w:rPr/>
        <w:t> 国家发改委、工信部和北京市科委等多个重大科技攻关项目及产业化专项，多次参与地理信 息技术标准委员会、国家测绘局、工信部等技术规范及标准的制定，荣获了众多科技奖励， 极大推动了公司核心技术的提升。</w:t>
      </w:r>
    </w:p>
    <w:p>
      <w:pPr>
        <w:pStyle w:val="BodyText"/>
        <w:spacing w:line="338" w:lineRule="auto" w:before="161"/>
        <w:ind w:left="633" w:right="253" w:firstLine="2"/>
        <w:jc w:val="left"/>
      </w:pPr>
      <w:r>
        <w:rPr>
          <w:rFonts w:ascii="Times New Roman" w:hAnsi="Times New Roman" w:cs="Times New Roman" w:eastAsia="Times New Roman" w:hint="default"/>
          <w:b/>
          <w:bCs/>
        </w:rPr>
        <w:t>2</w:t>
      </w:r>
      <w:r>
        <w:rPr>
          <w:rFonts w:ascii="宋体" w:hAnsi="宋体" w:cs="宋体" w:eastAsia="宋体" w:hint="default"/>
          <w:b/>
          <w:bCs/>
        </w:rPr>
        <w:t>、品牌优势</w:t>
      </w:r>
      <w:r>
        <w:rPr>
          <w:rFonts w:ascii="宋体" w:hAnsi="宋体" w:cs="宋体" w:eastAsia="宋体" w:hint="default"/>
          <w:b/>
          <w:bCs/>
          <w:w w:val="99"/>
        </w:rPr>
        <w:t> </w:t>
      </w:r>
      <w:r>
        <w:rPr/>
        <w:t>经过多年的积累和建设，公司在行业内形成了突出的品牌优势。在产业链最具核心技术</w:t>
      </w:r>
    </w:p>
    <w:p>
      <w:pPr>
        <w:pStyle w:val="BodyText"/>
        <w:spacing w:line="348" w:lineRule="auto"/>
        <w:ind w:right="232"/>
        <w:jc w:val="both"/>
      </w:pPr>
      <w:r>
        <w:rPr>
          <w:spacing w:val="-3"/>
        </w:rPr>
        <w:t>的</w:t>
      </w:r>
      <w:r>
        <w:rPr>
          <w:rFonts w:ascii="Times New Roman" w:hAnsi="Times New Roman" w:cs="Times New Roman" w:eastAsia="Times New Roman" w:hint="default"/>
          <w:spacing w:val="-3"/>
        </w:rPr>
        <w:t>GIS</w:t>
      </w:r>
      <w:r>
        <w:rPr>
          <w:spacing w:val="-3"/>
        </w:rPr>
        <w:t>基础软件领域，无论技术水平还是市场份额，公司均处于国内领先水平。公司经过多年</w:t>
      </w:r>
      <w:r>
        <w:rPr>
          <w:spacing w:val="-105"/>
        </w:rPr>
        <w:t> </w:t>
      </w:r>
      <w:r>
        <w:rPr>
          <w:spacing w:val="-105"/>
        </w:rPr>
      </w:r>
      <w:r>
        <w:rPr/>
        <w:t>的国内市场及国际化开拓，不仅赢得了众多用户，形成多项典型成功案例，也大幅度提升了 公司在国内市场的品牌影响力。</w:t>
      </w:r>
    </w:p>
    <w:p>
      <w:pPr>
        <w:pStyle w:val="BodyText"/>
        <w:spacing w:line="357" w:lineRule="auto" w:before="46"/>
        <w:ind w:right="271" w:firstLine="480"/>
        <w:jc w:val="both"/>
      </w:pPr>
      <w:r>
        <w:rPr/>
        <w:t>公司本着诚信经营的原则，十分关注客户满意度和顾客口碑，不断改进创新研发管理体 系、项目管理体系以及售前售后服务体系，通过提供优质产品和高质量服务来提高客户满意 度。公司积累的客户资源及与增值开发商之间的深度合作，一方面有力推动了公司技术水平 的不断提高和服务手段的不断改进，另一方面也保障了业务的持续稳定发展，为公司进一步 拓展新的市场空间、保持稳定的增长奠定了坚实的基础。</w:t>
      </w:r>
    </w:p>
    <w:p>
      <w:pPr>
        <w:pStyle w:val="BodyText"/>
        <w:spacing w:line="338" w:lineRule="auto" w:before="36"/>
        <w:ind w:left="633" w:right="253" w:firstLine="2"/>
        <w:jc w:val="left"/>
      </w:pPr>
      <w:r>
        <w:rPr>
          <w:rFonts w:ascii="Times New Roman" w:hAnsi="Times New Roman" w:cs="Times New Roman" w:eastAsia="Times New Roman" w:hint="default"/>
          <w:b/>
          <w:bCs/>
        </w:rPr>
        <w:t>3</w:t>
      </w:r>
      <w:r>
        <w:rPr>
          <w:rFonts w:ascii="宋体" w:hAnsi="宋体" w:cs="宋体" w:eastAsia="宋体" w:hint="default"/>
          <w:b/>
          <w:bCs/>
        </w:rPr>
        <w:t>、营销优势</w:t>
      </w:r>
      <w:r>
        <w:rPr>
          <w:rFonts w:ascii="宋体" w:hAnsi="宋体" w:cs="宋体" w:eastAsia="宋体" w:hint="default"/>
          <w:b/>
          <w:bCs/>
          <w:w w:val="99"/>
        </w:rPr>
        <w:t> </w:t>
      </w:r>
      <w:r>
        <w:rPr/>
        <w:t>公司产品适用范围广，在政务信息化领域的众多方面以及多个行业均有广泛应用。根据</w:t>
      </w:r>
    </w:p>
    <w:p>
      <w:pPr>
        <w:pStyle w:val="BodyText"/>
        <w:spacing w:line="348" w:lineRule="auto"/>
        <w:ind w:right="228"/>
        <w:jc w:val="both"/>
      </w:pPr>
      <w:r>
        <w:rPr>
          <w:spacing w:val="-3"/>
        </w:rPr>
        <w:t>行业特点和发展战略，公司实行精细化营销，密织营销网络，截至目前，公司在国内有</w:t>
      </w:r>
      <w:r>
        <w:rPr>
          <w:spacing w:val="-43"/>
        </w:rPr>
        <w:t> </w:t>
      </w:r>
      <w:r>
        <w:rPr>
          <w:rFonts w:ascii="Times New Roman" w:hAnsi="Times New Roman" w:cs="Times New Roman" w:eastAsia="Times New Roman" w:hint="default"/>
        </w:rPr>
        <w:t>19</w:t>
      </w:r>
      <w:r>
        <w:rPr>
          <w:rFonts w:ascii="Times New Roman" w:hAnsi="Times New Roman" w:cs="Times New Roman" w:eastAsia="Times New Roman" w:hint="default"/>
          <w:spacing w:val="14"/>
        </w:rPr>
        <w:t> </w:t>
      </w:r>
      <w:r>
        <w:rPr/>
        <w:t>家</w:t>
      </w:r>
      <w:r>
        <w:rPr>
          <w:spacing w:val="-118"/>
        </w:rPr>
        <w:t> </w:t>
      </w:r>
      <w:r>
        <w:rPr/>
        <w:t>全资及控股子公司，分公司及办事处的营销网络遍布全国，为用户以及合作伙伴提供了良好 的本地化服务以及长期的技术支持。</w:t>
      </w:r>
    </w:p>
    <w:p>
      <w:pPr>
        <w:pStyle w:val="BodyText"/>
        <w:spacing w:line="350" w:lineRule="auto" w:before="46"/>
        <w:ind w:right="95" w:firstLine="48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年，公司对超图信息为主的应用业务群进行组织结构变革创新，营销体系根据区域 设立九大客户中心，将以前的营销中心改为客户中心，从客户角度出发，注重客户体验，进</w:t>
      </w:r>
      <w:r>
        <w:rPr>
          <w:spacing w:val="-90"/>
        </w:rPr>
        <w:t> </w:t>
      </w:r>
      <w:r>
        <w:rPr>
          <w:spacing w:val="-90"/>
        </w:rPr>
      </w:r>
      <w:r>
        <w:rPr/>
        <w:t>一步提升服务意识，增强服务品质。此外，公司成立了专门的合作伙伴部，专门负责包括开</w:t>
      </w:r>
      <w:r>
        <w:rPr>
          <w:spacing w:val="-89"/>
        </w:rPr>
        <w:t> </w:t>
      </w:r>
      <w:r>
        <w:rPr>
          <w:spacing w:val="-89"/>
        </w:rPr>
      </w:r>
      <w:r>
        <w:rPr>
          <w:spacing w:val="-2"/>
        </w:rPr>
        <w:t>发商在内的合作伙伴开拓以及提升合作伙伴整体营销能力，从而延伸了公司的整体营销能力。</w:t>
      </w:r>
      <w:r>
        <w:rPr/>
        <w:t> 截至</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spacing w:val="-3"/>
        </w:rPr>
        <w:t>年末，公司合作伙伴达</w:t>
      </w:r>
      <w:r>
        <w:rPr>
          <w:spacing w:val="-57"/>
        </w:rPr>
        <w:t> </w:t>
      </w:r>
      <w:r>
        <w:rPr>
          <w:rFonts w:ascii="Times New Roman" w:hAnsi="Times New Roman" w:cs="Times New Roman" w:eastAsia="Times New Roman" w:hint="default"/>
        </w:rPr>
        <w:t>700</w:t>
      </w:r>
      <w:r>
        <w:rPr>
          <w:rFonts w:ascii="Times New Roman" w:hAnsi="Times New Roman" w:cs="Times New Roman" w:eastAsia="Times New Roman" w:hint="default"/>
          <w:spacing w:val="3"/>
        </w:rPr>
        <w:t> </w:t>
      </w:r>
      <w:r>
        <w:rPr>
          <w:spacing w:val="-3"/>
        </w:rPr>
        <w:t>余家，通过多维细分市场的精耕细作，公司的综合营销</w:t>
      </w:r>
      <w:r>
        <w:rPr>
          <w:spacing w:val="-113"/>
        </w:rPr>
        <w:t> </w:t>
      </w:r>
      <w:r>
        <w:rPr>
          <w:spacing w:val="-113"/>
        </w:rPr>
      </w:r>
      <w:r>
        <w:rPr/>
        <w:t>能力快速提升。</w:t>
      </w:r>
    </w:p>
    <w:p>
      <w:pPr>
        <w:pStyle w:val="Heading2"/>
        <w:spacing w:line="240" w:lineRule="auto" w:before="43"/>
        <w:ind w:left="635" w:right="98"/>
        <w:jc w:val="left"/>
        <w:rPr>
          <w:b w:val="0"/>
          <w:bCs w:val="0"/>
        </w:rPr>
      </w:pPr>
      <w:r>
        <w:rPr>
          <w:rFonts w:ascii="Times New Roman" w:hAnsi="Times New Roman" w:cs="Times New Roman" w:eastAsia="Times New Roman" w:hint="default"/>
        </w:rPr>
        <w:t>4</w:t>
      </w:r>
      <w:r>
        <w:rPr/>
        <w:t>、深刻的行业理解优势</w:t>
      </w:r>
      <w:r>
        <w:rPr>
          <w:b w:val="0"/>
          <w:bCs w:val="0"/>
        </w:rPr>
      </w:r>
    </w:p>
    <w:p>
      <w:pPr>
        <w:pStyle w:val="BodyText"/>
        <w:spacing w:line="338" w:lineRule="auto" w:before="135"/>
        <w:ind w:right="224" w:firstLine="480"/>
        <w:jc w:val="left"/>
      </w:pPr>
      <w:r>
        <w:rPr/>
        <w:t>作为国际知名的</w:t>
      </w:r>
      <w:r>
        <w:rPr>
          <w:spacing w:val="-69"/>
        </w:rPr>
        <w:t> </w:t>
      </w:r>
      <w:r>
        <w:rPr>
          <w:rFonts w:ascii="Times New Roman" w:hAnsi="Times New Roman" w:cs="Times New Roman" w:eastAsia="Times New Roman" w:hint="default"/>
        </w:rPr>
        <w:t>GIS</w:t>
      </w:r>
      <w:r>
        <w:rPr>
          <w:rFonts w:ascii="Times New Roman" w:hAnsi="Times New Roman" w:cs="Times New Roman" w:eastAsia="Times New Roman" w:hint="default"/>
          <w:spacing w:val="-8"/>
        </w:rPr>
        <w:t> </w:t>
      </w:r>
      <w:r>
        <w:rPr/>
        <w:t>软件与服务提供商、国内</w:t>
      </w:r>
      <w:r>
        <w:rPr>
          <w:spacing w:val="-69"/>
        </w:rPr>
        <w:t> </w:t>
      </w:r>
      <w:r>
        <w:rPr>
          <w:rFonts w:ascii="Times New Roman" w:hAnsi="Times New Roman" w:cs="Times New Roman" w:eastAsia="Times New Roman" w:hint="default"/>
        </w:rPr>
        <w:t>GIS</w:t>
      </w:r>
      <w:r>
        <w:rPr>
          <w:rFonts w:ascii="Times New Roman" w:hAnsi="Times New Roman" w:cs="Times New Roman" w:eastAsia="Times New Roman" w:hint="default"/>
          <w:spacing w:val="-8"/>
        </w:rPr>
        <w:t> </w:t>
      </w:r>
      <w:r>
        <w:rPr/>
        <w:t>领军企业，公司占据国内</w:t>
      </w:r>
      <w:r>
        <w:rPr>
          <w:spacing w:val="-69"/>
        </w:rPr>
        <w:t> </w:t>
      </w:r>
      <w:r>
        <w:rPr>
          <w:rFonts w:ascii="Times New Roman" w:hAnsi="Times New Roman" w:cs="Times New Roman" w:eastAsia="Times New Roman" w:hint="default"/>
        </w:rPr>
        <w:t>GIS</w:t>
      </w:r>
      <w:r>
        <w:rPr>
          <w:rFonts w:ascii="Times New Roman" w:hAnsi="Times New Roman" w:cs="Times New Roman" w:eastAsia="Times New Roman" w:hint="default"/>
          <w:spacing w:val="-8"/>
        </w:rPr>
        <w:t> </w:t>
      </w:r>
      <w:r>
        <w:rPr/>
        <w:t>基础软 件市场份额第一，为智慧城市、不动产管理、资源环境和国防等领域提供了优秀的应用平台</w:t>
      </w:r>
    </w:p>
    <w:p>
      <w:pPr>
        <w:spacing w:after="0" w:line="338" w:lineRule="auto"/>
        <w:jc w:val="left"/>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48" w:lineRule="auto" w:before="26"/>
        <w:ind w:right="164"/>
        <w:jc w:val="both"/>
      </w:pPr>
      <w:r>
        <w:rPr/>
        <w:t>产品和解决方案，成为了中国</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走向国际的先行者和领导者。经过二十年技术储备和行业 资源积累，公司在国土、智慧城市、统计、房产、测绘等领域积累了非常丰富的经验，对行 业应用有着更为深刻的理解。</w:t>
      </w:r>
    </w:p>
    <w:p>
      <w:pPr>
        <w:pStyle w:val="BodyText"/>
        <w:spacing w:line="240" w:lineRule="auto" w:before="46"/>
        <w:ind w:left="633" w:right="0"/>
        <w:jc w:val="left"/>
      </w:pPr>
      <w:r>
        <w:rPr/>
        <w:t>公司已连续</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spacing w:val="-3"/>
        </w:rPr>
        <w:t>年蝉联中国地理信息产业优秀工程奖。根据地理信息产业协会的评选，超</w:t>
      </w:r>
    </w:p>
    <w:p>
      <w:pPr>
        <w:pStyle w:val="BodyText"/>
        <w:spacing w:line="240" w:lineRule="auto" w:before="135"/>
        <w:ind w:right="0"/>
        <w:jc w:val="both"/>
      </w:pPr>
      <w:r>
        <w:rPr/>
        <w:t>图集团位列</w:t>
      </w:r>
      <w:r>
        <w:rPr>
          <w:spacing w:val="-61"/>
        </w:rPr>
        <w:t> </w:t>
      </w:r>
      <w:r>
        <w:rPr>
          <w:rFonts w:ascii="Times New Roman" w:hAnsi="Times New Roman" w:cs="Times New Roman" w:eastAsia="Times New Roman" w:hint="default"/>
        </w:rPr>
        <w:t>2017 </w:t>
      </w:r>
      <w:r>
        <w:rPr/>
        <w:t>中国地理信息产业百强企业第五名，在</w:t>
      </w:r>
      <w:r>
        <w:rPr>
          <w:spacing w:val="-59"/>
        </w:rPr>
        <w:t> </w:t>
      </w:r>
      <w:r>
        <w:rPr>
          <w:rFonts w:ascii="Times New Roman" w:hAnsi="Times New Roman" w:cs="Times New Roman" w:eastAsia="Times New Roman" w:hint="default"/>
        </w:rPr>
        <w:t>2017 </w:t>
      </w:r>
      <w:r>
        <w:rPr/>
        <w:t>中国地理信息产业优秀工程奖</w:t>
      </w:r>
    </w:p>
    <w:p>
      <w:pPr>
        <w:pStyle w:val="BodyText"/>
        <w:spacing w:line="338" w:lineRule="auto" w:before="135"/>
        <w:ind w:right="152"/>
        <w:jc w:val="both"/>
      </w:pPr>
      <w:r>
        <w:rPr/>
        <w:t>的评选中斩获了</w:t>
      </w:r>
      <w:r>
        <w:rPr>
          <w:spacing w:val="-61"/>
        </w:rPr>
        <w:t> </w:t>
      </w:r>
      <w:r>
        <w:rPr>
          <w:rFonts w:ascii="Times New Roman" w:hAnsi="Times New Roman" w:cs="Times New Roman" w:eastAsia="Times New Roman" w:hint="default"/>
        </w:rPr>
        <w:t>6 </w:t>
      </w:r>
      <w:r>
        <w:rPr/>
        <w:t>金</w:t>
      </w:r>
      <w:r>
        <w:rPr>
          <w:spacing w:val="-60"/>
        </w:rPr>
        <w:t> </w:t>
      </w:r>
      <w:r>
        <w:rPr>
          <w:rFonts w:ascii="Times New Roman" w:hAnsi="Times New Roman" w:cs="Times New Roman" w:eastAsia="Times New Roman" w:hint="default"/>
        </w:rPr>
        <w:t>15 </w:t>
      </w:r>
      <w:r>
        <w:rPr/>
        <w:t>银</w:t>
      </w:r>
      <w:r>
        <w:rPr>
          <w:spacing w:val="-60"/>
        </w:rPr>
        <w:t> </w:t>
      </w:r>
      <w:r>
        <w:rPr>
          <w:rFonts w:ascii="Times New Roman" w:hAnsi="Times New Roman" w:cs="Times New Roman" w:eastAsia="Times New Roman" w:hint="default"/>
        </w:rPr>
        <w:t>4 </w:t>
      </w:r>
      <w:r>
        <w:rPr>
          <w:spacing w:val="-3"/>
        </w:rPr>
        <w:t>铜的佳绩。公司厚积薄发，锐意进取，形成了其独特的核心竞争</w:t>
      </w:r>
      <w:r>
        <w:rPr/>
        <w:t> 力。</w:t>
      </w:r>
    </w:p>
    <w:p>
      <w:pPr>
        <w:spacing w:after="0" w:line="338" w:lineRule="auto"/>
        <w:jc w:val="both"/>
        <w:sectPr>
          <w:pgSz w:w="11910" w:h="16840"/>
          <w:pgMar w:header="877" w:footer="980" w:top="1100" w:bottom="1160" w:left="980" w:right="980"/>
        </w:sectPr>
      </w:pPr>
    </w:p>
    <w:p>
      <w:pPr>
        <w:spacing w:line="240" w:lineRule="auto" w:before="6"/>
        <w:rPr>
          <w:rFonts w:ascii="宋体" w:hAnsi="宋体" w:cs="宋体" w:eastAsia="宋体" w:hint="default"/>
          <w:sz w:val="28"/>
          <w:szCs w:val="28"/>
        </w:rPr>
      </w:pPr>
    </w:p>
    <w:p>
      <w:pPr>
        <w:pStyle w:val="Heading1"/>
        <w:tabs>
          <w:tab w:pos="4346" w:val="left" w:leader="none"/>
        </w:tabs>
        <w:spacing w:line="240" w:lineRule="auto"/>
        <w:ind w:left="3096" w:right="98"/>
        <w:jc w:val="left"/>
        <w:rPr>
          <w:b w:val="0"/>
          <w:bCs w:val="0"/>
        </w:rPr>
      </w:pPr>
      <w:bookmarkStart w:name="_bookmark3" w:id="4"/>
      <w:bookmarkEnd w:id="4"/>
      <w:r>
        <w:rPr>
          <w:b w:val="0"/>
          <w:bCs w:val="0"/>
        </w:rPr>
      </w:r>
      <w:r>
        <w:rPr>
          <w:spacing w:val="4"/>
          <w:w w:val="95"/>
        </w:rPr>
        <w:t>第四节</w:t>
        <w:tab/>
      </w:r>
      <w:r>
        <w:rPr>
          <w:spacing w:val="5"/>
        </w:rPr>
        <w:t>经营情况讨论与分析</w:t>
      </w:r>
      <w:r>
        <w:rPr>
          <w:b w:val="0"/>
          <w:bCs w:val="0"/>
          <w:spacing w:val="5"/>
        </w:rPr>
      </w:r>
    </w:p>
    <w:p>
      <w:pPr>
        <w:spacing w:line="240" w:lineRule="auto" w:before="0"/>
        <w:rPr>
          <w:rFonts w:ascii="宋体" w:hAnsi="宋体" w:cs="宋体" w:eastAsia="宋体" w:hint="default"/>
          <w:b/>
          <w:bCs/>
          <w:sz w:val="20"/>
          <w:szCs w:val="20"/>
        </w:rPr>
      </w:pPr>
    </w:p>
    <w:p>
      <w:pPr>
        <w:pStyle w:val="Heading2"/>
        <w:spacing w:line="240" w:lineRule="auto" w:before="183"/>
        <w:ind w:right="98"/>
        <w:jc w:val="left"/>
        <w:rPr>
          <w:b w:val="0"/>
          <w:bCs w:val="0"/>
        </w:rPr>
      </w:pPr>
      <w:r>
        <w:rPr/>
        <w:t>一、概述</w:t>
      </w:r>
      <w:r>
        <w:rPr>
          <w:b w:val="0"/>
          <w:bCs w:val="0"/>
        </w:rPr>
      </w:r>
    </w:p>
    <w:p>
      <w:pPr>
        <w:spacing w:line="240" w:lineRule="auto" w:before="11"/>
        <w:rPr>
          <w:rFonts w:ascii="宋体" w:hAnsi="宋体" w:cs="宋体" w:eastAsia="宋体" w:hint="default"/>
          <w:b/>
          <w:bCs/>
          <w:sz w:val="28"/>
          <w:szCs w:val="28"/>
        </w:rPr>
      </w:pPr>
    </w:p>
    <w:p>
      <w:pPr>
        <w:pStyle w:val="BodyText"/>
        <w:spacing w:line="348" w:lineRule="auto" w:before="0"/>
        <w:ind w:right="232" w:firstLine="480"/>
        <w:jc w:val="both"/>
      </w:pPr>
      <w:r>
        <w:rPr>
          <w:rFonts w:ascii="Times New Roman" w:hAnsi="Times New Roman" w:cs="Times New Roman" w:eastAsia="Times New Roman" w:hint="default"/>
        </w:rPr>
        <w:t>2017 </w:t>
      </w:r>
      <w:r>
        <w:rPr/>
        <w:t>年，公司紧紧围绕超图 </w:t>
      </w:r>
      <w:r>
        <w:rPr>
          <w:rFonts w:ascii="Times New Roman" w:hAnsi="Times New Roman" w:cs="Times New Roman" w:eastAsia="Times New Roman" w:hint="default"/>
        </w:rPr>
        <w:t>2.0</w:t>
      </w:r>
      <w:r>
        <w:rPr>
          <w:rFonts w:ascii="Times New Roman" w:hAnsi="Times New Roman" w:cs="Times New Roman" w:eastAsia="Times New Roman" w:hint="default"/>
          <w:spacing w:val="-24"/>
        </w:rPr>
        <w:t> </w:t>
      </w:r>
      <w:r>
        <w:rPr/>
        <w:t>战略的战略愿景，加强市场拓展力度，提升企业管理能 力，全力推进公司战略落地，专注打磨产品与服务品质，在技术创新、市场开拓等方面均实</w:t>
      </w:r>
      <w:r>
        <w:rPr>
          <w:spacing w:val="-91"/>
        </w:rPr>
        <w:t> </w:t>
      </w:r>
      <w:r>
        <w:rPr>
          <w:spacing w:val="-91"/>
        </w:rPr>
      </w:r>
      <w:r>
        <w:rPr/>
        <w:t>现了新的突破。</w:t>
      </w:r>
    </w:p>
    <w:p>
      <w:pPr>
        <w:pStyle w:val="Heading2"/>
        <w:spacing w:line="240" w:lineRule="auto" w:before="46"/>
        <w:ind w:left="635" w:right="98"/>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地理智慧，数据驱动</w:t>
      </w:r>
      <w:r>
        <w:rPr>
          <w:rFonts w:ascii="Times New Roman" w:hAnsi="Times New Roman" w:cs="Times New Roman" w:eastAsia="Times New Roman" w:hint="default"/>
        </w:rPr>
        <w:t>”</w:t>
      </w:r>
      <w:r>
        <w:rPr/>
        <w:t>主题大会召开，基础软件重大升级</w:t>
      </w:r>
      <w:r>
        <w:rPr>
          <w:b w:val="0"/>
          <w:bCs w:val="0"/>
        </w:rPr>
      </w:r>
    </w:p>
    <w:p>
      <w:pPr>
        <w:pStyle w:val="BodyText"/>
        <w:spacing w:line="340" w:lineRule="auto" w:before="135"/>
        <w:ind w:right="231" w:firstLine="48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24-25 </w:t>
      </w:r>
      <w:r>
        <w:rPr>
          <w:spacing w:val="-6"/>
        </w:rPr>
        <w:t>日，以</w:t>
      </w:r>
      <w:r>
        <w:rPr>
          <w:rFonts w:ascii="Times New Roman" w:hAnsi="Times New Roman" w:cs="Times New Roman" w:eastAsia="Times New Roman" w:hint="default"/>
          <w:spacing w:val="-6"/>
        </w:rPr>
        <w:t>“</w:t>
      </w:r>
      <w:r>
        <w:rPr>
          <w:spacing w:val="-6"/>
        </w:rPr>
        <w:t>地理智慧，数据驱动</w:t>
      </w:r>
      <w:r>
        <w:rPr>
          <w:rFonts w:ascii="Times New Roman" w:hAnsi="Times New Roman" w:cs="Times New Roman" w:eastAsia="Times New Roman" w:hint="default"/>
          <w:spacing w:val="-6"/>
        </w:rPr>
        <w:t>”</w:t>
      </w:r>
      <w:r>
        <w:rPr>
          <w:spacing w:val="-6"/>
        </w:rPr>
        <w:t>为主题的</w:t>
      </w:r>
      <w:r>
        <w:rPr>
          <w:spacing w:val="-60"/>
        </w:rPr>
        <w:t> </w:t>
      </w:r>
      <w:r>
        <w:rPr>
          <w:rFonts w:ascii="Times New Roman" w:hAnsi="Times New Roman" w:cs="Times New Roman" w:eastAsia="Times New Roman" w:hint="default"/>
        </w:rPr>
        <w:t>2017 GIS</w:t>
      </w:r>
      <w:r>
        <w:rPr>
          <w:rFonts w:ascii="Times New Roman" w:hAnsi="Times New Roman" w:cs="Times New Roman" w:eastAsia="Times New Roman" w:hint="default"/>
          <w:spacing w:val="1"/>
        </w:rPr>
        <w:t> </w:t>
      </w:r>
      <w:r>
        <w:rPr/>
        <w:t>软件技术大会在北京 召开。两天的会议时间中，来自主管部门、科研机构和互联网、软件企业的百余名专家分享</w:t>
      </w:r>
      <w:r>
        <w:rPr>
          <w:spacing w:val="-91"/>
        </w:rPr>
        <w:t> </w:t>
      </w:r>
      <w:r>
        <w:rPr>
          <w:spacing w:val="-91"/>
        </w:rPr>
      </w:r>
      <w:r>
        <w:rPr/>
        <w:t>了 </w:t>
      </w:r>
      <w:r>
        <w:rPr>
          <w:rFonts w:ascii="Times New Roman" w:hAnsi="Times New Roman" w:cs="Times New Roman" w:eastAsia="Times New Roman" w:hint="default"/>
        </w:rPr>
        <w:t>150</w:t>
      </w:r>
      <w:r>
        <w:rPr>
          <w:rFonts w:ascii="Times New Roman" w:hAnsi="Times New Roman" w:cs="Times New Roman" w:eastAsia="Times New Roman" w:hint="default"/>
          <w:spacing w:val="-22"/>
        </w:rPr>
        <w:t> </w:t>
      </w:r>
      <w:r>
        <w:rPr/>
        <w:t>余场报告，吸引来自海内外的专业人士上万人次，在线观看数超过两万人。大会设立 分论坛</w:t>
      </w:r>
      <w:r>
        <w:rPr>
          <w:spacing w:val="-59"/>
        </w:rPr>
        <w:t> </w:t>
      </w:r>
      <w:r>
        <w:rPr>
          <w:rFonts w:ascii="Times New Roman" w:hAnsi="Times New Roman" w:cs="Times New Roman" w:eastAsia="Times New Roman" w:hint="default"/>
        </w:rPr>
        <w:t>14 </w:t>
      </w:r>
      <w:r>
        <w:rPr>
          <w:spacing w:val="-8"/>
        </w:rPr>
        <w:t>个，就空间大数据和新一代三维</w:t>
      </w:r>
      <w:r>
        <w:rPr>
          <w:spacing w:val="-59"/>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5"/>
          <w:w w:val="99"/>
        </w:rPr>
        <w:t> </w:t>
      </w:r>
      <w:r>
        <w:rPr/>
        <w:t>技术的发展及其在各个领域的应用进行深入探 讨。分论坛报告展示了新型智慧城市、新兴测绘和不动产与国土资源管理等传统</w:t>
      </w:r>
      <w:r>
        <w:rPr>
          <w:spacing w:val="-56"/>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强需求 行业的创新成果，针对城市大数据、社会经济大数据等课题进行了专题研讨，并探讨了</w:t>
      </w:r>
      <w:r>
        <w:rPr>
          <w:spacing w:val="-58"/>
        </w:rPr>
        <w:t> </w:t>
      </w:r>
      <w:r>
        <w:rPr>
          <w:rFonts w:ascii="Times New Roman" w:hAnsi="Times New Roman" w:cs="Times New Roman" w:eastAsia="Times New Roman" w:hint="default"/>
        </w:rPr>
        <w:t>BIM</w:t>
      </w:r>
      <w:r>
        <w:rPr>
          <w:rFonts w:ascii="Times New Roman" w:hAnsi="Times New Roman" w:cs="Times New Roman" w:eastAsia="Times New Roman" w:hint="default"/>
          <w:w w:val="99"/>
        </w:rPr>
        <w:t> </w:t>
      </w:r>
      <w:r>
        <w:rPr/>
        <w:t>与智慧设施、智慧农业、智慧交通、在线</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与企业应用等新兴热点领域的发展动态。</w:t>
      </w:r>
    </w:p>
    <w:p>
      <w:pPr>
        <w:pStyle w:val="BodyText"/>
        <w:spacing w:line="338" w:lineRule="auto" w:before="24"/>
        <w:ind w:right="98" w:firstLine="480"/>
        <w:jc w:val="left"/>
      </w:pPr>
      <w:r>
        <w:rPr/>
        <w:t>会上，公司正式发布</w:t>
      </w:r>
      <w:r>
        <w:rPr>
          <w:spacing w:val="-62"/>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rFonts w:ascii="Times New Roman" w:hAnsi="Times New Roman" w:cs="Times New Roman" w:eastAsia="Times New Roman" w:hint="default"/>
        </w:rPr>
        <w:t>9D</w:t>
      </w:r>
      <w:r>
        <w:rPr>
          <w:rFonts w:ascii="Times New Roman" w:hAnsi="Times New Roman" w:cs="Times New Roman" w:eastAsia="Times New Roman" w:hint="default"/>
          <w:spacing w:val="-2"/>
        </w:rPr>
        <w:t> </w:t>
      </w:r>
      <w:r>
        <w:rPr/>
        <w:t>版本，对公司基础软件进行重大升级。</w:t>
      </w:r>
      <w:r>
        <w:rPr>
          <w:rFonts w:ascii="Times New Roman" w:hAnsi="Times New Roman" w:cs="Times New Roman" w:eastAsia="Times New Roman" w:hint="default"/>
        </w:rPr>
        <w:t>SuperMap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w w:val="99"/>
        </w:rPr>
        <w:t>9D</w:t>
      </w:r>
      <w:r>
        <w:rPr>
          <w:rFonts w:ascii="Times New Roman" w:hAnsi="Times New Roman" w:cs="Times New Roman" w:eastAsia="Times New Roman" w:hint="default"/>
          <w:spacing w:val="-14"/>
          <w:w w:val="99"/>
        </w:rPr>
        <w:t> </w:t>
      </w:r>
      <w:r>
        <w:rPr/>
        <w:t>是公司研发的新一代</w:t>
      </w:r>
      <w:r>
        <w:rPr>
          <w:spacing w:val="-72"/>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12"/>
          <w:w w:val="99"/>
        </w:rPr>
        <w:t> </w:t>
      </w:r>
      <w:r>
        <w:rPr>
          <w:spacing w:val="-14"/>
        </w:rPr>
        <w:t>平台，融合了跨平台</w:t>
      </w:r>
      <w:r>
        <w:rPr>
          <w:spacing w:val="-72"/>
        </w:rPr>
        <w:t> </w:t>
      </w:r>
      <w:r>
        <w:rPr>
          <w:rFonts w:ascii="Times New Roman" w:hAnsi="Times New Roman" w:cs="Times New Roman" w:eastAsia="Times New Roman" w:hint="default"/>
          <w:spacing w:val="-14"/>
          <w:w w:val="99"/>
        </w:rPr>
        <w:t>GIS</w:t>
      </w:r>
      <w:r>
        <w:rPr>
          <w:spacing w:val="-14"/>
          <w:w w:val="99"/>
        </w:rPr>
        <w:t>、云端一体化</w:t>
      </w:r>
      <w:r>
        <w:rPr>
          <w:spacing w:val="-72"/>
          <w:w w:val="99"/>
        </w:rPr>
        <w:t> </w:t>
      </w:r>
      <w:r>
        <w:rPr>
          <w:rFonts w:ascii="Times New Roman" w:hAnsi="Times New Roman" w:cs="Times New Roman" w:eastAsia="Times New Roman" w:hint="default"/>
          <w:spacing w:val="-14"/>
          <w:w w:val="99"/>
        </w:rPr>
        <w:t>GIS</w:t>
      </w:r>
      <w:r>
        <w:rPr>
          <w:spacing w:val="-14"/>
          <w:w w:val="99"/>
        </w:rPr>
        <w:t>、新一代三维</w:t>
      </w:r>
      <w:r>
        <w:rPr>
          <w:spacing w:val="-72"/>
          <w:w w:val="99"/>
        </w:rPr>
        <w:t> </w:t>
      </w:r>
      <w:r>
        <w:rPr>
          <w:rFonts w:ascii="Times New Roman" w:hAnsi="Times New Roman" w:cs="Times New Roman" w:eastAsia="Times New Roman" w:hint="default"/>
          <w:spacing w:val="-1"/>
          <w:w w:val="99"/>
        </w:rPr>
        <w:t>GIS</w:t>
      </w:r>
      <w:r>
        <w:rPr>
          <w:spacing w:val="-1"/>
          <w:w w:val="99"/>
        </w:rPr>
        <w:t>、</w:t>
      </w:r>
      <w:r>
        <w:rPr>
          <w:spacing w:val="-115"/>
          <w:w w:val="99"/>
        </w:rPr>
        <w:t> </w:t>
      </w:r>
      <w:r>
        <w:rPr/>
        <w:t>空间大数据四大技术体系，全面兼容国产软、硬件，满足多行业、多层次的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应用需求。 全新的产品体系包含了云</w:t>
      </w:r>
      <w:r>
        <w:rPr>
          <w:spacing w:val="-52"/>
        </w:rPr>
        <w:t> </w:t>
      </w:r>
      <w:r>
        <w:rPr>
          <w:rFonts w:ascii="Times New Roman" w:hAnsi="Times New Roman" w:cs="Times New Roman" w:eastAsia="Times New Roman" w:hint="default"/>
        </w:rPr>
        <w:t>GIS</w:t>
      </w:r>
      <w:r>
        <w:rPr>
          <w:rFonts w:ascii="Times New Roman" w:hAnsi="Times New Roman" w:cs="Times New Roman" w:eastAsia="Times New Roman" w:hint="default"/>
          <w:spacing w:val="8"/>
        </w:rPr>
        <w:t> </w:t>
      </w:r>
      <w:r>
        <w:rPr/>
        <w:t>平台，支持</w:t>
      </w:r>
      <w:r>
        <w:rPr>
          <w:spacing w:val="-52"/>
        </w:rPr>
        <w:t> </w:t>
      </w:r>
      <w:r>
        <w:rPr>
          <w:rFonts w:ascii="Times New Roman" w:hAnsi="Times New Roman" w:cs="Times New Roman" w:eastAsia="Times New Roman" w:hint="default"/>
        </w:rPr>
        <w:t>PC</w:t>
      </w:r>
      <w:r>
        <w:rPr>
          <w:rFonts w:ascii="Times New Roman" w:hAnsi="Times New Roman" w:cs="Times New Roman" w:eastAsia="Times New Roman" w:hint="default"/>
          <w:spacing w:val="5"/>
        </w:rPr>
        <w:t> </w:t>
      </w:r>
      <w:r>
        <w:rPr/>
        <w:t>端、移动端、浏览器端的多种</w:t>
      </w:r>
      <w:r>
        <w:rPr>
          <w:spacing w:val="-52"/>
        </w:rPr>
        <w:t> </w:t>
      </w:r>
      <w:r>
        <w:rPr>
          <w:rFonts w:ascii="Times New Roman" w:hAnsi="Times New Roman" w:cs="Times New Roman" w:eastAsia="Times New Roman" w:hint="default"/>
        </w:rPr>
        <w:t>GIS</w:t>
      </w:r>
      <w:r>
        <w:rPr>
          <w:rFonts w:ascii="Times New Roman" w:hAnsi="Times New Roman" w:cs="Times New Roman" w:eastAsia="Times New Roman" w:hint="default"/>
          <w:spacing w:val="8"/>
        </w:rPr>
        <w:t> </w:t>
      </w:r>
      <w:r>
        <w:rPr/>
        <w:t>开发平台， 全面拥抱空间大数据。</w:t>
      </w:r>
    </w:p>
    <w:p>
      <w:pPr>
        <w:spacing w:line="338" w:lineRule="auto" w:before="55"/>
        <w:ind w:left="633" w:right="98" w:firstLine="6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、持续开拓应用市场，业务快速增长</w:t>
      </w:r>
      <w:r>
        <w:rPr>
          <w:rFonts w:ascii="宋体" w:hAnsi="宋体" w:cs="宋体" w:eastAsia="宋体" w:hint="default"/>
          <w:b/>
          <w:bCs/>
          <w:w w:val="99"/>
          <w:sz w:val="24"/>
          <w:szCs w:val="24"/>
        </w:rPr>
        <w:t> </w:t>
      </w:r>
      <w:r>
        <w:rPr>
          <w:rFonts w:ascii="宋体" w:hAnsi="宋体" w:cs="宋体" w:eastAsia="宋体" w:hint="default"/>
          <w:sz w:val="24"/>
          <w:szCs w:val="24"/>
        </w:rPr>
        <w:t>报告期内，公司在国土资源信息化领域持续发力，保持了不动产登记业务的领先地位。</w:t>
      </w:r>
    </w:p>
    <w:p>
      <w:pPr>
        <w:pStyle w:val="BodyText"/>
        <w:spacing w:line="357" w:lineRule="auto"/>
        <w:ind w:right="98"/>
        <w:jc w:val="left"/>
      </w:pPr>
      <w:r>
        <w:rPr/>
        <w:t>积极加大智慧城市以及时空信息云平台建设业务市场份额，并通过外延并购将业务范围拓展</w:t>
      </w:r>
      <w:r>
        <w:rPr>
          <w:spacing w:val="-88"/>
        </w:rPr>
        <w:t> </w:t>
      </w:r>
      <w:r>
        <w:rPr>
          <w:spacing w:val="-88"/>
        </w:rPr>
      </w:r>
      <w:r>
        <w:rPr/>
        <w:t>到城市规划应用领域。</w:t>
      </w:r>
    </w:p>
    <w:p>
      <w:pPr>
        <w:pStyle w:val="BodyText"/>
        <w:spacing w:line="352" w:lineRule="auto" w:before="37"/>
        <w:ind w:right="232" w:firstLine="480"/>
        <w:jc w:val="both"/>
      </w:pPr>
      <w:r>
        <w:rPr/>
        <w:t>报告期内，公司持续夯实不动产登记基础业务，升级扩展相关系统功能，目前不动产登 记解决方案已经成功应用于全国各地，截至</w:t>
      </w:r>
      <w:r>
        <w:rPr>
          <w:spacing w:val="-6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年末，公司及子公司累积为</w:t>
      </w:r>
      <w:r>
        <w:rPr>
          <w:spacing w:val="-6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6"/>
        </w:rPr>
        <w:t> </w:t>
      </w:r>
      <w:r>
        <w:rPr/>
        <w:t>余个省市 县区的不动产登记业务提供了支撑，保障了相关省、区、市、县以不动产登记簿为核心，以</w:t>
      </w:r>
      <w:r>
        <w:rPr>
          <w:spacing w:val="-89"/>
        </w:rPr>
        <w:t> </w:t>
      </w:r>
      <w:r>
        <w:rPr>
          <w:spacing w:val="-89"/>
        </w:rPr>
      </w:r>
      <w:r>
        <w:rPr/>
        <w:t>宗地为基础，以不动产单元为基本单位的数据整合及数据库建设，形成空间参考一致、数据</w:t>
      </w:r>
      <w:r>
        <w:rPr>
          <w:spacing w:val="-91"/>
        </w:rPr>
        <w:t> </w:t>
      </w:r>
      <w:r>
        <w:rPr>
          <w:spacing w:val="-91"/>
        </w:rPr>
      </w:r>
      <w:r>
        <w:rPr/>
        <w:t>关联关系正确、历史信息完整的不动产登记数据库。智慧城市时空信息云平台建设方面，公</w:t>
      </w:r>
      <w:r>
        <w:rPr>
          <w:spacing w:val="-91"/>
        </w:rPr>
        <w:t> </w:t>
      </w:r>
      <w:r>
        <w:rPr>
          <w:spacing w:val="-91"/>
        </w:rPr>
      </w:r>
      <w:r>
        <w:rPr/>
        <w:t>司紧抓巨大的市场机遇，积极构建云与</w:t>
      </w:r>
      <w:r>
        <w:rPr>
          <w:spacing w:val="-5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结合的技术支撑体系，与北京市规划委员会西城</w:t>
      </w:r>
    </w:p>
    <w:p>
      <w:pPr>
        <w:spacing w:after="0" w:line="352" w:lineRule="auto"/>
        <w:jc w:val="both"/>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50" w:lineRule="auto" w:before="26"/>
        <w:ind w:right="115"/>
        <w:jc w:val="both"/>
      </w:pPr>
      <w:r>
        <w:rPr/>
        <w:t>分局合作建设了具有西城区特色的智慧城市时空信息云平台，并顺利完成了国家试点项目智</w:t>
      </w:r>
      <w:r>
        <w:rPr>
          <w:spacing w:val="-91"/>
        </w:rPr>
        <w:t> </w:t>
      </w:r>
      <w:r>
        <w:rPr>
          <w:spacing w:val="-91"/>
        </w:rPr>
      </w:r>
      <w:r>
        <w:rPr>
          <w:spacing w:val="-5"/>
        </w:rPr>
        <w:t>慧柳州时空信息云平台、智慧重庆时空信息云平台项目验收工作，项目获得专家组高度好评。</w:t>
      </w:r>
      <w:r>
        <w:rPr>
          <w:spacing w:val="-117"/>
        </w:rPr>
        <w:t> </w:t>
      </w:r>
      <w:r>
        <w:rPr>
          <w:spacing w:val="-117"/>
        </w:rPr>
      </w:r>
      <w:r>
        <w:rPr/>
        <w:t>公司紧抓国家空间规划体系建设及</w:t>
      </w:r>
      <w:r>
        <w:rPr>
          <w:rFonts w:ascii="Times New Roman" w:hAnsi="Times New Roman" w:cs="Times New Roman" w:eastAsia="Times New Roman" w:hint="default"/>
        </w:rPr>
        <w:t>“</w:t>
      </w:r>
      <w:r>
        <w:rPr/>
        <w:t>多规合一</w:t>
      </w:r>
      <w:r>
        <w:rPr>
          <w:rFonts w:ascii="Times New Roman" w:hAnsi="Times New Roman" w:cs="Times New Roman" w:eastAsia="Times New Roman" w:hint="default"/>
        </w:rPr>
        <w:t>”</w:t>
      </w:r>
      <w:r>
        <w:rPr/>
        <w:t>等市场机遇，围绕公司战略目标，于</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 </w:t>
      </w:r>
      <w:r>
        <w:rPr/>
        <w:t>月收购了上海数慧系统技术有限公司</w:t>
      </w:r>
      <w:r>
        <w:rPr>
          <w:spacing w:val="-48"/>
        </w:rPr>
        <w:t> </w:t>
      </w:r>
      <w:r>
        <w:rPr>
          <w:rFonts w:ascii="Times New Roman" w:hAnsi="Times New Roman" w:cs="Times New Roman" w:eastAsia="Times New Roman" w:hint="default"/>
        </w:rPr>
        <w:t>100%</w:t>
      </w:r>
      <w:r>
        <w:rPr/>
        <w:t>股权，完成了公司面向城市规划领域的投资布局。</w:t>
      </w:r>
    </w:p>
    <w:p>
      <w:pPr>
        <w:spacing w:line="338" w:lineRule="auto" w:before="13"/>
        <w:ind w:left="633" w:right="216" w:firstLine="6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、深入本地市场，探索国际化新模式</w:t>
      </w:r>
      <w:r>
        <w:rPr>
          <w:rFonts w:ascii="宋体" w:hAnsi="宋体" w:cs="宋体" w:eastAsia="宋体" w:hint="default"/>
          <w:b/>
          <w:bCs/>
          <w:w w:val="99"/>
          <w:sz w:val="24"/>
          <w:szCs w:val="24"/>
        </w:rPr>
        <w:t> </w:t>
      </w:r>
      <w:r>
        <w:rPr>
          <w:rFonts w:ascii="宋体" w:hAnsi="宋体" w:cs="宋体" w:eastAsia="宋体" w:hint="default"/>
          <w:spacing w:val="-10"/>
          <w:sz w:val="24"/>
          <w:szCs w:val="24"/>
        </w:rPr>
        <w:t>根据市场调查机构数据，全球地理信息市场规模广阔，预计</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2021 </w:t>
      </w:r>
      <w:r>
        <w:rPr>
          <w:rFonts w:ascii="宋体" w:hAnsi="宋体" w:cs="宋体" w:eastAsia="宋体" w:hint="default"/>
          <w:spacing w:val="-1"/>
          <w:sz w:val="24"/>
          <w:szCs w:val="24"/>
        </w:rPr>
        <w:t>年可达到</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739.1 </w:t>
      </w:r>
      <w:r>
        <w:rPr>
          <w:rFonts w:ascii="宋体" w:hAnsi="宋体" w:cs="宋体" w:eastAsia="宋体" w:hint="default"/>
          <w:sz w:val="24"/>
          <w:szCs w:val="24"/>
        </w:rPr>
        <w:t>亿美元，</w:t>
      </w:r>
    </w:p>
    <w:p>
      <w:pPr>
        <w:pStyle w:val="BodyText"/>
        <w:spacing w:line="348" w:lineRule="auto" w:before="27"/>
        <w:ind w:right="231"/>
        <w:jc w:val="both"/>
      </w:pPr>
      <w:r>
        <w:rPr/>
        <w:t>年复合增长率为</w:t>
      </w:r>
      <w:r>
        <w:rPr>
          <w:spacing w:val="11"/>
        </w:rPr>
        <w:t> </w:t>
      </w:r>
      <w:r>
        <w:rPr>
          <w:rFonts w:ascii="Times New Roman" w:hAnsi="Times New Roman" w:cs="Times New Roman" w:eastAsia="Times New Roman" w:hint="default"/>
        </w:rPr>
        <w:t>19.2%</w:t>
      </w:r>
      <w:r>
        <w:rPr/>
        <w:t>。近年来，在一带一路的政策驱动引导下，企业出海迎来了巨大的发 展机遇。</w:t>
      </w:r>
      <w:r>
        <w:rPr>
          <w:rFonts w:ascii="Times New Roman" w:hAnsi="Times New Roman" w:cs="Times New Roman" w:eastAsia="Times New Roman" w:hint="default"/>
        </w:rPr>
        <w:t>2017</w:t>
      </w:r>
      <w:r>
        <w:rPr>
          <w:rFonts w:ascii="Times New Roman" w:hAnsi="Times New Roman" w:cs="Times New Roman" w:eastAsia="Times New Roman" w:hint="default"/>
          <w:spacing w:val="-21"/>
        </w:rPr>
        <w:t> </w:t>
      </w:r>
      <w:r>
        <w:rPr/>
        <w:t>年，公司紧抓一带一路建设机遇，在海外市场持续投入并积极探索本地化团队 建设和运营。报告期内，公司在马来西亚和印度尼西亚建立了本地团队，全面支持当地合作</w:t>
      </w:r>
      <w:r>
        <w:rPr>
          <w:spacing w:val="-87"/>
        </w:rPr>
        <w:t> </w:t>
      </w:r>
      <w:r>
        <w:rPr>
          <w:spacing w:val="-87"/>
        </w:rPr>
      </w:r>
      <w:r>
        <w:rPr/>
        <w:t>伙伴解决方案落地和实施。公司通过完善代理商网络、扩充合作伙伴体系，建立高校合作，</w:t>
      </w:r>
      <w:r>
        <w:rPr>
          <w:spacing w:val="-91"/>
        </w:rPr>
        <w:t> </w:t>
      </w:r>
      <w:r>
        <w:rPr>
          <w:spacing w:val="-91"/>
        </w:rPr>
      </w:r>
      <w:r>
        <w:rPr/>
        <w:t>密集开展多样化市场活动以及竖立标杆项目等多种方式，进一步提升了公司品牌在国际市场</w:t>
      </w:r>
      <w:r>
        <w:rPr>
          <w:spacing w:val="-91"/>
        </w:rPr>
        <w:t> </w:t>
      </w:r>
      <w:r>
        <w:rPr>
          <w:spacing w:val="-91"/>
        </w:rPr>
      </w:r>
      <w:r>
        <w:rPr>
          <w:spacing w:val="-3"/>
        </w:rPr>
        <w:t>的认可度。公司所承接的马来西亚砂拉越州政府信息共享平台项目荣获</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年地理信息产业 优秀工程奖金奖，是超图国际化应用的又一成功典范。</w:t>
      </w:r>
    </w:p>
    <w:p>
      <w:pPr>
        <w:pStyle w:val="Heading2"/>
        <w:spacing w:line="240" w:lineRule="auto" w:before="46"/>
        <w:ind w:left="635" w:right="98"/>
        <w:jc w:val="left"/>
        <w:rPr>
          <w:b w:val="0"/>
          <w:bCs w:val="0"/>
        </w:rPr>
      </w:pPr>
      <w:r>
        <w:rPr>
          <w:rFonts w:ascii="Times New Roman" w:hAnsi="Times New Roman" w:cs="Times New Roman" w:eastAsia="Times New Roman" w:hint="default"/>
        </w:rPr>
        <w:t>4</w:t>
      </w:r>
      <w:r>
        <w:rPr/>
        <w:t>、聚焦</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云服务业务，深入探索模式创新驱动业务增长</w:t>
      </w:r>
      <w:r>
        <w:rPr>
          <w:b w:val="0"/>
          <w:bCs w:val="0"/>
        </w:rPr>
      </w:r>
    </w:p>
    <w:p>
      <w:pPr>
        <w:pStyle w:val="BodyText"/>
        <w:spacing w:line="340" w:lineRule="auto" w:before="135"/>
        <w:ind w:right="230" w:firstLine="480"/>
        <w:jc w:val="both"/>
      </w:pPr>
      <w:r>
        <w:rPr>
          <w:spacing w:val="-7"/>
        </w:rPr>
        <w:t>报告期内，公司加大</w:t>
      </w:r>
      <w:r>
        <w:rPr>
          <w:spacing w:val="-57"/>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3"/>
        </w:rPr>
        <w:t> </w:t>
      </w:r>
      <w:r>
        <w:rPr>
          <w:rFonts w:ascii="Times New Roman" w:hAnsi="Times New Roman" w:cs="Times New Roman" w:eastAsia="Times New Roman" w:hint="default"/>
        </w:rPr>
        <w:t>Online</w:t>
      </w:r>
      <w:r>
        <w:rPr>
          <w:rFonts w:ascii="Times New Roman" w:hAnsi="Times New Roman" w:cs="Times New Roman" w:eastAsia="Times New Roman" w:hint="default"/>
          <w:spacing w:val="3"/>
        </w:rPr>
        <w:t> </w:t>
      </w:r>
      <w:r>
        <w:rPr>
          <w:spacing w:val="-3"/>
        </w:rPr>
        <w:t>等云服务产品的研发和营销力度，向行业用户及企</w:t>
      </w:r>
      <w:r>
        <w:rPr/>
        <w:t> 业客户提供云存储、云分析、云应用等解决方案及服务。公司旗下地图慧作为</w:t>
      </w:r>
      <w:r>
        <w:rPr>
          <w:spacing w:val="-57"/>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行业首创 </w:t>
      </w:r>
      <w:r>
        <w:rPr>
          <w:spacing w:val="-3"/>
        </w:rPr>
        <w:t>的互联网产品，打造了地图</w:t>
      </w:r>
      <w:r>
        <w:rPr>
          <w:rFonts w:ascii="Times New Roman" w:hAnsi="Times New Roman" w:cs="Times New Roman" w:eastAsia="Times New Roman" w:hint="default"/>
          <w:spacing w:val="-3"/>
        </w:rPr>
        <w:t>+</w:t>
      </w:r>
      <w:r>
        <w:rPr>
          <w:spacing w:val="-3"/>
        </w:rPr>
        <w:t>的全新概念。为了扩展中小企业市场，满足各行业用户对地图应</w:t>
      </w:r>
      <w:r>
        <w:rPr>
          <w:spacing w:val="-94"/>
        </w:rPr>
        <w:t> </w:t>
      </w:r>
      <w:r>
        <w:rPr>
          <w:spacing w:val="-94"/>
        </w:rPr>
      </w:r>
      <w:r>
        <w:rPr/>
        <w:t>用的不同需求，地图慧将在线</w:t>
      </w:r>
      <w:r>
        <w:rPr>
          <w:spacing w:val="-5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的创新模式应用到企业服务当中。报告期内，地图慧依托 超图软件</w:t>
      </w:r>
      <w:r>
        <w:rPr>
          <w:spacing w:val="-57"/>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spacing w:val="-7"/>
        </w:rPr>
        <w:t>平台厂商的优势，通过对市场需求进行精准的细分，不断打磨产品、提升技术，</w:t>
      </w:r>
      <w:r>
        <w:rPr/>
        <w:t> 发布了地图慧</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spacing w:val="-5"/>
        </w:rPr>
        <w:t>产品。新一代产品为企业提供专业、可靠、便捷的地图服务，在网店管理、</w:t>
      </w:r>
      <w:r>
        <w:rPr/>
        <w:t> 区划管理、智能分单、多路线规划、人员监控和移动端支持方面进行了优化升级，并采用了</w:t>
      </w:r>
      <w:r>
        <w:rPr>
          <w:spacing w:val="-91"/>
        </w:rPr>
        <w:t> </w:t>
      </w:r>
      <w:r>
        <w:rPr>
          <w:spacing w:val="-91"/>
        </w:rPr>
      </w:r>
      <w:r>
        <w:rPr/>
        <w:t>按照用户需求选择功能并按年按模块的付费方式，引领</w:t>
      </w:r>
      <w:r>
        <w:rPr>
          <w:spacing w:val="-62"/>
        </w:rPr>
        <w:t> </w:t>
      </w:r>
      <w:r>
        <w:rPr>
          <w:rFonts w:ascii="Times New Roman" w:hAnsi="Times New Roman" w:cs="Times New Roman" w:eastAsia="Times New Roman" w:hint="default"/>
        </w:rPr>
        <w:t>SaaS</w:t>
      </w:r>
      <w:r>
        <w:rPr>
          <w:rFonts w:ascii="Times New Roman" w:hAnsi="Times New Roman" w:cs="Times New Roman" w:eastAsia="Times New Roman" w:hint="default"/>
          <w:spacing w:val="-1"/>
        </w:rPr>
        <w:t> </w:t>
      </w:r>
      <w:r>
        <w:rPr/>
        <w:t>企业地图新模式。</w:t>
      </w:r>
    </w:p>
    <w:p>
      <w:pPr>
        <w:pStyle w:val="BodyText"/>
        <w:spacing w:line="345" w:lineRule="auto" w:before="24"/>
        <w:ind w:right="230" w:firstLine="480"/>
        <w:jc w:val="both"/>
      </w:pPr>
      <w:r>
        <w:rPr/>
        <w:t>目前，地图慧注册用户突破</w:t>
      </w:r>
      <w:r>
        <w:rPr>
          <w:spacing w:val="-69"/>
        </w:rPr>
        <w:t> </w:t>
      </w:r>
      <w:r>
        <w:rPr>
          <w:rFonts w:ascii="Times New Roman" w:hAnsi="Times New Roman" w:cs="Times New Roman" w:eastAsia="Times New Roman" w:hint="default"/>
        </w:rPr>
        <w:t>70</w:t>
      </w:r>
      <w:r>
        <w:rPr>
          <w:rFonts w:ascii="Times New Roman" w:hAnsi="Times New Roman" w:cs="Times New Roman" w:eastAsia="Times New Roman" w:hint="default"/>
          <w:spacing w:val="-9"/>
        </w:rPr>
        <w:t> </w:t>
      </w:r>
      <w:r>
        <w:rPr/>
        <w:t>万，企业注册用户数量达到</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spacing w:val="-4"/>
        </w:rPr>
        <w:t>万以上。报告期内，地图慧</w:t>
      </w:r>
      <w:r>
        <w:rPr/>
        <w:t> 进一步加强了市场开拓力度，有力的扩展了业务应用领域，用户范围由传统的物流、家电行</w:t>
      </w:r>
      <w:r>
        <w:rPr>
          <w:spacing w:val="-91"/>
        </w:rPr>
        <w:t> </w:t>
      </w:r>
      <w:r>
        <w:rPr>
          <w:spacing w:val="-91"/>
        </w:rPr>
      </w:r>
      <w:r>
        <w:rPr>
          <w:spacing w:val="-3"/>
        </w:rPr>
        <w:t>业扩展到房地产、银行、餐饮、零售行业。凭借创新产品以及优质服务，地图慧荣获 </w:t>
      </w:r>
      <w:r>
        <w:rPr>
          <w:rFonts w:ascii="Times New Roman" w:hAnsi="Times New Roman" w:cs="Times New Roman" w:eastAsia="Times New Roman" w:hint="default"/>
        </w:rPr>
        <w:t>2017</w:t>
      </w:r>
      <w:r>
        <w:rPr>
          <w:rFonts w:ascii="Times New Roman" w:hAnsi="Times New Roman" w:cs="Times New Roman" w:eastAsia="Times New Roman" w:hint="default"/>
          <w:spacing w:val="-29"/>
        </w:rPr>
        <w:t> </w:t>
      </w:r>
      <w:r>
        <w:rPr/>
        <w:t>年 度中国</w:t>
      </w:r>
      <w:r>
        <w:rPr>
          <w:spacing w:val="-58"/>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1"/>
        </w:rPr>
        <w:t> </w:t>
      </w:r>
      <w:r>
        <w:rPr/>
        <w:t>互联网最新产品奖及创新中国</w:t>
      </w:r>
      <w:r>
        <w:rPr>
          <w:spacing w:val="-60"/>
        </w:rPr>
        <w:t> </w:t>
      </w:r>
      <w:r>
        <w:rPr>
          <w:rFonts w:ascii="Times New Roman" w:hAnsi="Times New Roman" w:cs="Times New Roman" w:eastAsia="Times New Roman" w:hint="default"/>
        </w:rPr>
        <w:t>2017 </w:t>
      </w:r>
      <w:r>
        <w:rPr/>
        <w:t>年最具成长性科技项目等荣誉。</w:t>
      </w:r>
    </w:p>
    <w:p>
      <w:pPr>
        <w:pStyle w:val="Heading2"/>
        <w:spacing w:line="240" w:lineRule="auto" w:before="19"/>
        <w:ind w:left="635" w:right="98"/>
        <w:jc w:val="left"/>
        <w:rPr>
          <w:b w:val="0"/>
          <w:bCs w:val="0"/>
        </w:rPr>
      </w:pPr>
      <w:r>
        <w:rPr>
          <w:rFonts w:ascii="Times New Roman" w:hAnsi="Times New Roman" w:cs="Times New Roman" w:eastAsia="Times New Roman" w:hint="default"/>
        </w:rPr>
        <w:t>5</w:t>
      </w:r>
      <w:r>
        <w:rPr/>
        <w:t>、加强内控管理，进一步提升管理效率</w:t>
      </w:r>
      <w:r>
        <w:rPr>
          <w:b w:val="0"/>
          <w:bCs w:val="0"/>
        </w:rPr>
      </w:r>
    </w:p>
    <w:p>
      <w:pPr>
        <w:pStyle w:val="BodyText"/>
        <w:spacing w:line="240" w:lineRule="auto" w:before="135"/>
        <w:ind w:left="633" w:right="98"/>
        <w:jc w:val="left"/>
      </w:pPr>
      <w:r>
        <w:rPr/>
        <w:t>报告期内，公司围绕超图 </w:t>
      </w:r>
      <w:r>
        <w:rPr>
          <w:rFonts w:ascii="Times New Roman" w:hAnsi="Times New Roman" w:cs="Times New Roman" w:eastAsia="Times New Roman" w:hint="default"/>
        </w:rPr>
        <w:t>2.0</w:t>
      </w:r>
      <w:r>
        <w:rPr>
          <w:rFonts w:ascii="Times New Roman" w:hAnsi="Times New Roman" w:cs="Times New Roman" w:eastAsia="Times New Roman" w:hint="default"/>
          <w:spacing w:val="37"/>
        </w:rPr>
        <w:t> </w:t>
      </w:r>
      <w:r>
        <w:rPr/>
        <w:t>战略，加快组织架构的调整以及完善，信息中心搭建了流</w:t>
      </w:r>
    </w:p>
    <w:p>
      <w:pPr>
        <w:pStyle w:val="BodyText"/>
        <w:spacing w:line="240" w:lineRule="auto" w:before="135"/>
        <w:ind w:right="0"/>
        <w:jc w:val="both"/>
      </w:pPr>
      <w:r>
        <w:rPr/>
        <w:t>程问题管理系统，启动了超图 </w:t>
      </w:r>
      <w:r>
        <w:rPr>
          <w:rFonts w:ascii="Times New Roman" w:hAnsi="Times New Roman" w:cs="Times New Roman" w:eastAsia="Times New Roman" w:hint="default"/>
        </w:rPr>
        <w:t>2.0</w:t>
      </w:r>
      <w:r>
        <w:rPr>
          <w:rFonts w:ascii="Times New Roman" w:hAnsi="Times New Roman" w:cs="Times New Roman" w:eastAsia="Times New Roman" w:hint="default"/>
          <w:spacing w:val="38"/>
        </w:rPr>
        <w:t> </w:t>
      </w:r>
      <w:r>
        <w:rPr/>
        <w:t>流程再造，对公司流程进行了全面的审计，进一步梳理优</w:t>
      </w:r>
    </w:p>
    <w:p>
      <w:pPr>
        <w:spacing w:after="0" w:line="240" w:lineRule="auto"/>
        <w:jc w:val="both"/>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38" w:lineRule="auto" w:before="26"/>
        <w:ind w:right="134"/>
        <w:jc w:val="left"/>
      </w:pPr>
      <w:r>
        <w:rPr/>
        <w:t>化公司流程以适应公司集团化发展；进一步完善内部</w:t>
      </w:r>
      <w:r>
        <w:rPr>
          <w:spacing w:val="-66"/>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8"/>
        </w:rPr>
        <w:t> </w:t>
      </w:r>
      <w:r>
        <w:rPr>
          <w:spacing w:val="-3"/>
        </w:rPr>
        <w:t>系统建设，启动了人力资源系统、财</w:t>
      </w:r>
      <w:r>
        <w:rPr/>
        <w:t> 务办公系统和</w:t>
      </w:r>
      <w:r>
        <w:rPr>
          <w:spacing w:val="-61"/>
        </w:rPr>
        <w:t> </w:t>
      </w:r>
      <w:r>
        <w:rPr>
          <w:rFonts w:ascii="Times New Roman" w:hAnsi="Times New Roman" w:cs="Times New Roman" w:eastAsia="Times New Roman" w:hint="default"/>
        </w:rPr>
        <w:t>OA</w:t>
      </w:r>
      <w:r>
        <w:rPr>
          <w:rFonts w:ascii="Times New Roman" w:hAnsi="Times New Roman" w:cs="Times New Roman" w:eastAsia="Times New Roman" w:hint="default"/>
          <w:spacing w:val="-1"/>
        </w:rPr>
        <w:t> </w:t>
      </w:r>
      <w:r>
        <w:rPr/>
        <w:t>系统更新工作，打造集团化信息体系，进一步提升了集团管理效率。</w:t>
      </w:r>
    </w:p>
    <w:p>
      <w:pPr>
        <w:spacing w:line="240" w:lineRule="auto" w:before="1"/>
        <w:rPr>
          <w:rFonts w:ascii="宋体" w:hAnsi="宋体" w:cs="宋体" w:eastAsia="宋体" w:hint="default"/>
          <w:sz w:val="19"/>
          <w:szCs w:val="19"/>
        </w:rPr>
      </w:pPr>
    </w:p>
    <w:p>
      <w:pPr>
        <w:spacing w:before="0"/>
        <w:ind w:left="153" w:right="293" w:firstLine="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b/>
          <w:bCs/>
          <w:sz w:val="24"/>
          <w:szCs w:val="24"/>
        </w:rPr>
        <w:t>主营业务分析</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pStyle w:val="Heading2"/>
        <w:spacing w:line="240" w:lineRule="auto"/>
        <w:ind w:right="293"/>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293"/>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4"/>
        <w:rPr>
          <w:rFonts w:ascii="宋体" w:hAnsi="宋体" w:cs="宋体" w:eastAsia="宋体" w:hint="default"/>
          <w:sz w:val="33"/>
          <w:szCs w:val="33"/>
        </w:rPr>
      </w:pPr>
    </w:p>
    <w:p>
      <w:pPr>
        <w:pStyle w:val="Heading2"/>
        <w:spacing w:line="240" w:lineRule="auto"/>
        <w:ind w:right="293"/>
        <w:jc w:val="left"/>
        <w:rPr>
          <w:b w:val="0"/>
          <w:bCs w:val="0"/>
        </w:rPr>
      </w:pPr>
      <w:r>
        <w:rPr>
          <w:rFonts w:ascii="Times New Roman" w:hAnsi="Times New Roman" w:cs="Times New Roman" w:eastAsia="Times New Roman" w:hint="default"/>
        </w:rPr>
        <w:t>2</w:t>
      </w:r>
      <w:r>
        <w:rPr/>
        <w:t>、收入与成本</w:t>
      </w:r>
      <w:r>
        <w:rPr>
          <w:b w:val="0"/>
          <w:bCs w:val="0"/>
        </w:rPr>
      </w:r>
    </w:p>
    <w:p>
      <w:pPr>
        <w:spacing w:line="750" w:lineRule="atLeast" w:before="18"/>
        <w:ind w:left="393" w:right="4253" w:hanging="24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）营业收入构成</w:t>
      </w:r>
      <w:r>
        <w:rPr>
          <w:rFonts w:ascii="宋体" w:hAnsi="宋体" w:cs="宋体" w:eastAsia="宋体" w:hint="default"/>
          <w:b/>
          <w:bCs/>
          <w:w w:val="99"/>
          <w:sz w:val="24"/>
          <w:szCs w:val="24"/>
        </w:rPr>
        <w:t> </w:t>
      </w:r>
      <w:r>
        <w:rPr>
          <w:rFonts w:ascii="宋体" w:hAnsi="宋体" w:cs="宋体" w:eastAsia="宋体" w:hint="default"/>
          <w:sz w:val="24"/>
          <w:szCs w:val="24"/>
        </w:rPr>
        <w:t>公司是否需要遵守光伏产业链相关业的披露要求：</w:t>
      </w:r>
    </w:p>
    <w:p>
      <w:pPr>
        <w:pStyle w:val="BodyText"/>
        <w:spacing w:line="240" w:lineRule="auto" w:before="154"/>
        <w:ind w:left="633" w:right="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338" w:lineRule="auto" w:before="135"/>
        <w:ind w:right="173" w:firstLine="240"/>
        <w:jc w:val="left"/>
      </w:pPr>
      <w:r>
        <w:rPr>
          <w:spacing w:val="-4"/>
        </w:rPr>
        <w:t>公司是否需遵守《深圳证券交易所创业板行业信息披露指引第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上市公司从事广播 电影电视业务》的披露要求：</w:t>
      </w:r>
    </w:p>
    <w:p>
      <w:pPr>
        <w:pStyle w:val="BodyText"/>
        <w:spacing w:line="240" w:lineRule="auto"/>
        <w:ind w:left="633" w:right="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338" w:lineRule="auto" w:before="136"/>
        <w:ind w:right="173" w:firstLine="240"/>
        <w:jc w:val="left"/>
      </w:pPr>
      <w:r>
        <w:rPr>
          <w:spacing w:val="-4"/>
        </w:rPr>
        <w:t>公司是否需遵守《深圳证券交易所创业板行业信息披露指引第 </w:t>
      </w: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上市公司从事互联 网游戏业务》的披露要求：</w:t>
      </w:r>
    </w:p>
    <w:p>
      <w:pPr>
        <w:pStyle w:val="BodyText"/>
        <w:spacing w:line="240" w:lineRule="auto"/>
        <w:ind w:left="633" w:right="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240" w:lineRule="auto" w:before="135"/>
        <w:ind w:left="393" w:right="0"/>
        <w:jc w:val="left"/>
        <w:rPr>
          <w:rFonts w:ascii="Times New Roman" w:hAnsi="Times New Roman" w:cs="Times New Roman" w:eastAsia="Times New Roman" w:hint="default"/>
        </w:rPr>
      </w:pPr>
      <w:r>
        <w:rPr>
          <w:spacing w:val="-3"/>
        </w:rPr>
        <w:t>公司是否需遵守《深圳证券交易所创业板行业信息披露指引第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7"/>
        </w:rPr>
        <w:t> </w:t>
      </w:r>
      <w:r>
        <w:rPr>
          <w:rFonts w:ascii="Times New Roman" w:hAnsi="Times New Roman" w:cs="Times New Roman" w:eastAsia="Times New Roman" w:hint="default"/>
        </w:rPr>
        <w:t>LED</w:t>
      </w:r>
    </w:p>
    <w:p>
      <w:pPr>
        <w:pStyle w:val="BodyText"/>
        <w:spacing w:line="240" w:lineRule="auto" w:before="133"/>
        <w:ind w:right="293"/>
        <w:jc w:val="left"/>
      </w:pPr>
      <w:r>
        <w:rPr/>
        <w:t>产为链相关业务》的披露要求：</w:t>
      </w:r>
    </w:p>
    <w:p>
      <w:pPr>
        <w:pStyle w:val="BodyText"/>
        <w:spacing w:line="240" w:lineRule="auto" w:before="154"/>
        <w:ind w:left="633" w:right="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338" w:lineRule="auto" w:before="135"/>
        <w:ind w:right="232" w:firstLine="240"/>
        <w:jc w:val="left"/>
      </w:pPr>
      <w:r>
        <w:rPr/>
        <w:t>公司是否需遵守《深圳证券交易所创业板行业信息披露指引第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 疗器械业务》的披露要求：</w:t>
      </w:r>
    </w:p>
    <w:p>
      <w:pPr>
        <w:pStyle w:val="BodyText"/>
        <w:spacing w:line="338" w:lineRule="auto" w:before="56"/>
        <w:ind w:left="633" w:right="7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营业收入整体情况：</w:t>
      </w:r>
    </w:p>
    <w:p>
      <w:pPr>
        <w:spacing w:before="81"/>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29" w:type="dxa"/>
        <w:tblLayout w:type="fixed"/>
        <w:tblCellMar>
          <w:top w:w="0" w:type="dxa"/>
          <w:left w:w="0" w:type="dxa"/>
          <w:bottom w:w="0" w:type="dxa"/>
          <w:right w:w="0" w:type="dxa"/>
        </w:tblCellMar>
        <w:tblLook w:val="01E0"/>
      </w:tblPr>
      <w:tblGrid>
        <w:gridCol w:w="1210"/>
        <w:gridCol w:w="2429"/>
        <w:gridCol w:w="1613"/>
        <w:gridCol w:w="1885"/>
        <w:gridCol w:w="1265"/>
        <w:gridCol w:w="1268"/>
      </w:tblGrid>
      <w:tr>
        <w:trPr>
          <w:trHeight w:val="348" w:hRule="exact"/>
        </w:trPr>
        <w:tc>
          <w:tcPr>
            <w:tcW w:w="1210" w:type="dxa"/>
            <w:vMerge w:val="restart"/>
            <w:tcBorders>
              <w:top w:val="single" w:sz="8" w:space="0" w:color="000000"/>
              <w:left w:val="single" w:sz="8" w:space="0" w:color="000000"/>
              <w:right w:val="single" w:sz="8" w:space="0" w:color="000000"/>
            </w:tcBorders>
            <w:shd w:val="clear" w:color="auto" w:fill="D9D9D9"/>
          </w:tcPr>
          <w:p>
            <w:pPr>
              <w:pStyle w:val="TableParagraph"/>
              <w:spacing w:line="273" w:lineRule="auto" w:before="170"/>
              <w:ind w:left="383" w:right="170" w:hanging="209"/>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合计</w:t>
            </w:r>
          </w:p>
        </w:tc>
        <w:tc>
          <w:tcPr>
            <w:tcW w:w="4043"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3149"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2016 </w:t>
            </w:r>
            <w:r>
              <w:rPr>
                <w:rFonts w:ascii="宋体" w:hAnsi="宋体" w:cs="宋体" w:eastAsia="宋体" w:hint="default"/>
                <w:b/>
                <w:bCs/>
                <w:sz w:val="21"/>
                <w:szCs w:val="21"/>
              </w:rPr>
              <w:t>年</w:t>
            </w:r>
            <w:r>
              <w:rPr>
                <w:rFonts w:ascii="宋体" w:hAnsi="宋体" w:cs="宋体" w:eastAsia="宋体" w:hint="default"/>
                <w:sz w:val="21"/>
                <w:szCs w:val="21"/>
              </w:rPr>
            </w:r>
          </w:p>
        </w:tc>
        <w:tc>
          <w:tcPr>
            <w:tcW w:w="1268"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644" w:hRule="exact"/>
        </w:trPr>
        <w:tc>
          <w:tcPr>
            <w:tcW w:w="1210" w:type="dxa"/>
            <w:vMerge/>
            <w:tcBorders>
              <w:left w:val="single" w:sz="8" w:space="0" w:color="000000"/>
              <w:bottom w:val="nil" w:sz="6" w:space="0" w:color="auto"/>
              <w:right w:val="single" w:sz="8" w:space="0" w:color="000000"/>
            </w:tcBorders>
            <w:shd w:val="clear" w:color="auto" w:fill="D9D9D9"/>
          </w:tcPr>
          <w:p>
            <w:pPr/>
          </w:p>
        </w:tc>
        <w:tc>
          <w:tcPr>
            <w:tcW w:w="242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43"/>
              <w:ind w:left="60" w:right="0"/>
              <w:jc w:val="left"/>
              <w:rPr>
                <w:rFonts w:ascii="宋体" w:hAnsi="宋体" w:cs="宋体" w:eastAsia="宋体" w:hint="default"/>
                <w:sz w:val="21"/>
                <w:szCs w:val="21"/>
              </w:rPr>
            </w:pPr>
            <w:r>
              <w:rPr>
                <w:rFonts w:ascii="宋体" w:hAnsi="宋体" w:cs="宋体" w:eastAsia="宋体" w:hint="default"/>
                <w:b/>
                <w:bCs/>
                <w:sz w:val="21"/>
                <w:szCs w:val="21"/>
              </w:rPr>
              <w:t>占营业收入比重</w:t>
            </w:r>
            <w:r>
              <w:rPr>
                <w:rFonts w:ascii="宋体" w:hAnsi="宋体" w:cs="宋体" w:eastAsia="宋体" w:hint="default"/>
                <w:sz w:val="21"/>
                <w:szCs w:val="21"/>
              </w:rPr>
            </w:r>
          </w:p>
        </w:tc>
        <w:tc>
          <w:tcPr>
            <w:tcW w:w="188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6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3" w:lineRule="auto"/>
              <w:ind w:left="410" w:right="91" w:hanging="315"/>
              <w:jc w:val="left"/>
              <w:rPr>
                <w:rFonts w:ascii="宋体" w:hAnsi="宋体" w:cs="宋体" w:eastAsia="宋体" w:hint="default"/>
                <w:sz w:val="21"/>
                <w:szCs w:val="21"/>
              </w:rPr>
            </w:pPr>
            <w:r>
              <w:rPr>
                <w:rFonts w:ascii="宋体" w:hAnsi="宋体" w:cs="宋体" w:eastAsia="宋体" w:hint="default"/>
                <w:b/>
                <w:bCs/>
                <w:sz w:val="21"/>
                <w:szCs w:val="21"/>
              </w:rPr>
              <w:t>占营业收入</w:t>
            </w:r>
            <w:r>
              <w:rPr>
                <w:rFonts w:ascii="宋体" w:hAnsi="宋体" w:cs="宋体" w:eastAsia="宋体" w:hint="default"/>
                <w:b/>
                <w:bCs/>
                <w:w w:val="100"/>
                <w:sz w:val="21"/>
                <w:szCs w:val="21"/>
              </w:rPr>
              <w:t> </w:t>
            </w:r>
            <w:r>
              <w:rPr>
                <w:rFonts w:ascii="宋体" w:hAnsi="宋体" w:cs="宋体" w:eastAsia="宋体" w:hint="default"/>
                <w:b/>
                <w:bCs/>
                <w:sz w:val="21"/>
                <w:szCs w:val="21"/>
              </w:rPr>
              <w:t>比重</w:t>
            </w:r>
            <w:r>
              <w:rPr>
                <w:rFonts w:ascii="宋体" w:hAnsi="宋体" w:cs="宋体" w:eastAsia="宋体" w:hint="default"/>
                <w:sz w:val="21"/>
                <w:szCs w:val="21"/>
              </w:rPr>
            </w:r>
          </w:p>
        </w:tc>
        <w:tc>
          <w:tcPr>
            <w:tcW w:w="1268" w:type="dxa"/>
            <w:vMerge/>
            <w:tcBorders>
              <w:left w:val="single" w:sz="8" w:space="0" w:color="000000"/>
              <w:bottom w:val="nil" w:sz="6" w:space="0" w:color="auto"/>
              <w:right w:val="single" w:sz="8" w:space="0" w:color="000000"/>
            </w:tcBorders>
            <w:shd w:val="clear" w:color="auto" w:fill="D9D9D9"/>
          </w:tcPr>
          <w:p>
            <w:pPr/>
          </w:p>
        </w:tc>
      </w:tr>
    </w:tbl>
    <w:p>
      <w:pPr>
        <w:spacing w:after="0"/>
        <w:sectPr>
          <w:pgSz w:w="11910" w:h="16840"/>
          <w:pgMar w:header="877" w:footer="980" w:top="1100" w:bottom="1160" w:left="980" w:right="980"/>
        </w:sectPr>
      </w:pPr>
    </w:p>
    <w:p>
      <w:pPr>
        <w:spacing w:line="240" w:lineRule="auto" w:before="11"/>
        <w:rPr>
          <w:rFonts w:ascii="宋体" w:hAnsi="宋体" w:cs="宋体" w:eastAsia="宋体" w:hint="default"/>
          <w:sz w:val="23"/>
          <w:szCs w:val="23"/>
        </w:rPr>
      </w:pPr>
    </w:p>
    <w:tbl>
      <w:tblPr>
        <w:tblW w:w="0" w:type="auto"/>
        <w:jc w:val="left"/>
        <w:tblInd w:w="129" w:type="dxa"/>
        <w:tblLayout w:type="fixed"/>
        <w:tblCellMar>
          <w:top w:w="0" w:type="dxa"/>
          <w:left w:w="0" w:type="dxa"/>
          <w:bottom w:w="0" w:type="dxa"/>
          <w:right w:w="0" w:type="dxa"/>
        </w:tblCellMar>
        <w:tblLook w:val="01E0"/>
      </w:tblPr>
      <w:tblGrid>
        <w:gridCol w:w="1210"/>
        <w:gridCol w:w="2429"/>
        <w:gridCol w:w="1613"/>
        <w:gridCol w:w="1885"/>
        <w:gridCol w:w="1265"/>
        <w:gridCol w:w="1268"/>
      </w:tblGrid>
      <w:tr>
        <w:trPr>
          <w:trHeight w:val="574" w:hRule="exact"/>
        </w:trPr>
        <w:tc>
          <w:tcPr>
            <w:tcW w:w="1210" w:type="dxa"/>
            <w:tcBorders>
              <w:top w:val="nil" w:sz="6" w:space="0" w:color="auto"/>
              <w:left w:val="single" w:sz="8" w:space="0" w:color="000000"/>
              <w:bottom w:val="single" w:sz="8" w:space="0" w:color="000000"/>
              <w:right w:val="single" w:sz="8" w:space="0" w:color="000000"/>
            </w:tcBorders>
            <w:shd w:val="clear" w:color="auto" w:fill="D9D9D9"/>
          </w:tcPr>
          <w:p>
            <w:pPr/>
          </w:p>
        </w:tc>
        <w:tc>
          <w:tcPr>
            <w:tcW w:w="2429" w:type="dxa"/>
            <w:tcBorders>
              <w:top w:val="nil" w:sz="6" w:space="0" w:color="auto"/>
              <w:left w:val="single" w:sz="8" w:space="0" w:color="000000"/>
              <w:bottom w:val="single" w:sz="8" w:space="0" w:color="000000"/>
              <w:right w:val="single" w:sz="8" w:space="0" w:color="000000"/>
            </w:tcBorders>
            <w:shd w:val="clear" w:color="auto" w:fill="D9D9D9"/>
          </w:tcPr>
          <w:p>
            <w:pPr>
              <w:pStyle w:val="TableParagraph"/>
              <w:spacing w:line="240" w:lineRule="auto" w:before="169"/>
              <w:ind w:left="470" w:right="0"/>
              <w:jc w:val="left"/>
              <w:rPr>
                <w:rFonts w:ascii="Times New Roman" w:hAnsi="Times New Roman" w:cs="Times New Roman" w:eastAsia="Times New Roman" w:hint="default"/>
                <w:sz w:val="21"/>
                <w:szCs w:val="21"/>
              </w:rPr>
            </w:pPr>
            <w:r>
              <w:rPr>
                <w:rFonts w:ascii="Times New Roman"/>
                <w:sz w:val="21"/>
              </w:rPr>
              <w:t>1,249,758,548.46</w:t>
            </w:r>
          </w:p>
        </w:tc>
        <w:tc>
          <w:tcPr>
            <w:tcW w:w="1613" w:type="dxa"/>
            <w:tcBorders>
              <w:top w:val="nil" w:sz="6" w:space="0" w:color="auto"/>
              <w:left w:val="single" w:sz="8" w:space="0" w:color="000000"/>
              <w:bottom w:val="single" w:sz="8" w:space="0" w:color="000000"/>
              <w:right w:val="single" w:sz="8" w:space="0" w:color="000000"/>
            </w:tcBorders>
            <w:shd w:val="clear" w:color="auto" w:fill="D9D9D9"/>
          </w:tcPr>
          <w:p>
            <w:pPr>
              <w:pStyle w:val="TableParagraph"/>
              <w:spacing w:line="240" w:lineRule="auto" w:before="169"/>
              <w:ind w:left="7" w:right="0"/>
              <w:jc w:val="center"/>
              <w:rPr>
                <w:rFonts w:ascii="Times New Roman" w:hAnsi="Times New Roman" w:cs="Times New Roman" w:eastAsia="Times New Roman" w:hint="default"/>
                <w:sz w:val="21"/>
                <w:szCs w:val="21"/>
              </w:rPr>
            </w:pPr>
            <w:r>
              <w:rPr>
                <w:rFonts w:ascii="Times New Roman"/>
                <w:sz w:val="21"/>
              </w:rPr>
              <w:t>100%</w:t>
            </w:r>
          </w:p>
        </w:tc>
        <w:tc>
          <w:tcPr>
            <w:tcW w:w="1885" w:type="dxa"/>
            <w:tcBorders>
              <w:top w:val="nil" w:sz="6" w:space="0" w:color="auto"/>
              <w:left w:val="single" w:sz="8" w:space="0" w:color="000000"/>
              <w:bottom w:val="single" w:sz="8" w:space="0" w:color="000000"/>
              <w:right w:val="single" w:sz="8" w:space="0" w:color="000000"/>
            </w:tcBorders>
            <w:shd w:val="clear" w:color="auto" w:fill="D9D9D9"/>
          </w:tcPr>
          <w:p>
            <w:pPr>
              <w:pStyle w:val="TableParagraph"/>
              <w:spacing w:line="240" w:lineRule="auto" w:before="169"/>
              <w:ind w:left="275" w:right="0"/>
              <w:jc w:val="left"/>
              <w:rPr>
                <w:rFonts w:ascii="Times New Roman" w:hAnsi="Times New Roman" w:cs="Times New Roman" w:eastAsia="Times New Roman" w:hint="default"/>
                <w:sz w:val="21"/>
                <w:szCs w:val="21"/>
              </w:rPr>
            </w:pPr>
            <w:r>
              <w:rPr>
                <w:rFonts w:ascii="Times New Roman"/>
                <w:sz w:val="21"/>
              </w:rPr>
              <w:t>833,150,645.25</w:t>
            </w:r>
          </w:p>
        </w:tc>
        <w:tc>
          <w:tcPr>
            <w:tcW w:w="1265" w:type="dxa"/>
            <w:tcBorders>
              <w:top w:val="nil" w:sz="6" w:space="0" w:color="auto"/>
              <w:left w:val="single" w:sz="8" w:space="0" w:color="000000"/>
              <w:bottom w:val="single" w:sz="8" w:space="0" w:color="000000"/>
              <w:right w:val="single" w:sz="8" w:space="0" w:color="000000"/>
            </w:tcBorders>
            <w:shd w:val="clear" w:color="auto" w:fill="D9D9D9"/>
          </w:tcPr>
          <w:p>
            <w:pPr>
              <w:pStyle w:val="TableParagraph"/>
              <w:spacing w:line="240" w:lineRule="auto" w:before="169"/>
              <w:ind w:left="376" w:right="0"/>
              <w:jc w:val="left"/>
              <w:rPr>
                <w:rFonts w:ascii="Times New Roman" w:hAnsi="Times New Roman" w:cs="Times New Roman" w:eastAsia="Times New Roman" w:hint="default"/>
                <w:sz w:val="21"/>
                <w:szCs w:val="21"/>
              </w:rPr>
            </w:pPr>
            <w:r>
              <w:rPr>
                <w:rFonts w:ascii="Times New Roman"/>
                <w:sz w:val="21"/>
              </w:rPr>
              <w:t>100%</w:t>
            </w:r>
          </w:p>
        </w:tc>
        <w:tc>
          <w:tcPr>
            <w:tcW w:w="1268" w:type="dxa"/>
            <w:tcBorders>
              <w:top w:val="nil" w:sz="6" w:space="0" w:color="auto"/>
              <w:left w:val="single" w:sz="8" w:space="0" w:color="000000"/>
              <w:bottom w:val="single" w:sz="8" w:space="0" w:color="000000"/>
              <w:right w:val="single" w:sz="8" w:space="0" w:color="000000"/>
            </w:tcBorders>
            <w:shd w:val="clear" w:color="auto" w:fill="D9D9D9"/>
          </w:tcPr>
          <w:p>
            <w:pPr>
              <w:pStyle w:val="TableParagraph"/>
              <w:spacing w:line="240" w:lineRule="auto" w:before="169"/>
              <w:ind w:left="300" w:right="0"/>
              <w:jc w:val="left"/>
              <w:rPr>
                <w:rFonts w:ascii="Times New Roman" w:hAnsi="Times New Roman" w:cs="Times New Roman" w:eastAsia="Times New Roman" w:hint="default"/>
                <w:sz w:val="21"/>
                <w:szCs w:val="21"/>
              </w:rPr>
            </w:pPr>
            <w:r>
              <w:rPr>
                <w:rFonts w:ascii="Times New Roman"/>
                <w:sz w:val="21"/>
              </w:rPr>
              <w:t>50.00%</w:t>
            </w:r>
          </w:p>
        </w:tc>
      </w:tr>
      <w:tr>
        <w:trPr>
          <w:trHeight w:val="348" w:hRule="exact"/>
        </w:trPr>
        <w:tc>
          <w:tcPr>
            <w:tcW w:w="9669" w:type="dxa"/>
            <w:gridSpan w:val="6"/>
            <w:tcBorders>
              <w:top w:val="single" w:sz="8" w:space="0" w:color="000000"/>
              <w:left w:val="single" w:sz="8" w:space="0" w:color="000000"/>
              <w:bottom w:val="single" w:sz="8" w:space="0" w:color="000000"/>
              <w:right w:val="nil" w:sz="6" w:space="0" w:color="auto"/>
            </w:tcBorders>
            <w:shd w:val="clear" w:color="auto" w:fill="D9D9D9"/>
          </w:tcPr>
          <w:p>
            <w:pPr>
              <w:pStyle w:val="TableParagraph"/>
              <w:spacing w:line="240" w:lineRule="auto" w:before="4"/>
              <w:ind w:right="7"/>
              <w:jc w:val="center"/>
              <w:rPr>
                <w:rFonts w:ascii="宋体" w:hAnsi="宋体" w:cs="宋体" w:eastAsia="宋体" w:hint="default"/>
                <w:sz w:val="21"/>
                <w:szCs w:val="21"/>
              </w:rPr>
            </w:pPr>
            <w:r>
              <w:rPr>
                <w:rFonts w:ascii="宋体" w:hAnsi="宋体" w:cs="宋体" w:eastAsia="宋体" w:hint="default"/>
                <w:b/>
                <w:bCs/>
                <w:sz w:val="21"/>
                <w:szCs w:val="21"/>
              </w:rPr>
              <w:t>分行业</w:t>
            </w:r>
            <w:r>
              <w:rPr>
                <w:rFonts w:ascii="宋体" w:hAnsi="宋体" w:cs="宋体" w:eastAsia="宋体" w:hint="default"/>
                <w:sz w:val="21"/>
                <w:szCs w:val="21"/>
              </w:rPr>
            </w:r>
          </w:p>
        </w:tc>
      </w:tr>
      <w:tr>
        <w:trPr>
          <w:trHeight w:val="413" w:hRule="exact"/>
        </w:trPr>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2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1,230,785,737.30</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98.48%</w:t>
            </w:r>
          </w:p>
        </w:tc>
        <w:tc>
          <w:tcPr>
            <w:tcW w:w="1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816,844,927.44</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98.04%</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50.68%</w:t>
            </w:r>
          </w:p>
        </w:tc>
      </w:tr>
      <w:tr>
        <w:trPr>
          <w:trHeight w:val="419" w:hRule="exact"/>
        </w:trPr>
        <w:tc>
          <w:tcPr>
            <w:tcW w:w="1210" w:type="dxa"/>
            <w:tcBorders>
              <w:top w:val="single" w:sz="8" w:space="0" w:color="000000"/>
              <w:left w:val="single" w:sz="8" w:space="0" w:color="000000"/>
              <w:bottom w:val="single" w:sz="14" w:space="0" w:color="000000"/>
              <w:right w:val="single" w:sz="8"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其他业务</w:t>
            </w:r>
          </w:p>
        </w:tc>
        <w:tc>
          <w:tcPr>
            <w:tcW w:w="2429" w:type="dxa"/>
            <w:tcBorders>
              <w:top w:val="single" w:sz="8" w:space="0" w:color="000000"/>
              <w:left w:val="single" w:sz="8" w:space="0" w:color="000000"/>
              <w:bottom w:val="single" w:sz="14"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pacing w:val="-2"/>
                <w:sz w:val="21"/>
              </w:rPr>
              <w:t>18,972,811.16</w:t>
            </w:r>
          </w:p>
        </w:tc>
        <w:tc>
          <w:tcPr>
            <w:tcW w:w="1613" w:type="dxa"/>
            <w:tcBorders>
              <w:top w:val="single" w:sz="8" w:space="0" w:color="000000"/>
              <w:left w:val="single" w:sz="8" w:space="0" w:color="000000"/>
              <w:bottom w:val="single" w:sz="14"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1.52%</w:t>
            </w:r>
          </w:p>
        </w:tc>
        <w:tc>
          <w:tcPr>
            <w:tcW w:w="1885" w:type="dxa"/>
            <w:tcBorders>
              <w:top w:val="single" w:sz="8" w:space="0" w:color="000000"/>
              <w:left w:val="single" w:sz="8" w:space="0" w:color="000000"/>
              <w:bottom w:val="single" w:sz="14"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16,305,717.81</w:t>
            </w:r>
          </w:p>
        </w:tc>
        <w:tc>
          <w:tcPr>
            <w:tcW w:w="1265" w:type="dxa"/>
            <w:tcBorders>
              <w:top w:val="single" w:sz="8" w:space="0" w:color="000000"/>
              <w:left w:val="single" w:sz="8" w:space="0" w:color="000000"/>
              <w:bottom w:val="single" w:sz="14"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1.96%</w:t>
            </w:r>
          </w:p>
        </w:tc>
        <w:tc>
          <w:tcPr>
            <w:tcW w:w="1268" w:type="dxa"/>
            <w:tcBorders>
              <w:top w:val="single" w:sz="8" w:space="0" w:color="000000"/>
              <w:left w:val="single" w:sz="8" w:space="0" w:color="000000"/>
              <w:bottom w:val="single" w:sz="14"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16.36%</w:t>
            </w:r>
          </w:p>
        </w:tc>
      </w:tr>
      <w:tr>
        <w:trPr>
          <w:trHeight w:val="340" w:hRule="exact"/>
        </w:trPr>
        <w:tc>
          <w:tcPr>
            <w:tcW w:w="9669" w:type="dxa"/>
            <w:gridSpan w:val="6"/>
            <w:tcBorders>
              <w:top w:val="single" w:sz="8" w:space="0" w:color="000000"/>
              <w:left w:val="single" w:sz="8" w:space="0" w:color="000000"/>
              <w:bottom w:val="single" w:sz="8" w:space="0" w:color="000000"/>
              <w:right w:val="nil" w:sz="6" w:space="0" w:color="auto"/>
            </w:tcBorders>
            <w:shd w:val="clear" w:color="auto" w:fill="D9D9D9"/>
          </w:tcPr>
          <w:p>
            <w:pPr>
              <w:pStyle w:val="TableParagraph"/>
              <w:spacing w:line="271" w:lineRule="exact"/>
              <w:ind w:right="219"/>
              <w:jc w:val="center"/>
              <w:rPr>
                <w:rFonts w:ascii="宋体" w:hAnsi="宋体" w:cs="宋体" w:eastAsia="宋体" w:hint="default"/>
                <w:sz w:val="21"/>
                <w:szCs w:val="21"/>
              </w:rPr>
            </w:pPr>
            <w:r>
              <w:rPr>
                <w:rFonts w:ascii="宋体" w:hAnsi="宋体" w:cs="宋体" w:eastAsia="宋体" w:hint="default"/>
                <w:b/>
                <w:bCs/>
                <w:sz w:val="21"/>
                <w:szCs w:val="21"/>
              </w:rPr>
              <w:t>分产品</w:t>
            </w:r>
            <w:r>
              <w:rPr>
                <w:rFonts w:ascii="宋体" w:hAnsi="宋体" w:cs="宋体" w:eastAsia="宋体" w:hint="default"/>
                <w:sz w:val="21"/>
                <w:szCs w:val="21"/>
              </w:rPr>
            </w:r>
          </w:p>
        </w:tc>
      </w:tr>
      <w:tr>
        <w:trPr>
          <w:trHeight w:val="413" w:hRule="exact"/>
        </w:trPr>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GIS </w:t>
            </w:r>
            <w:r>
              <w:rPr>
                <w:rFonts w:ascii="宋体" w:hAnsi="宋体" w:cs="宋体" w:eastAsia="宋体" w:hint="default"/>
                <w:sz w:val="21"/>
                <w:szCs w:val="21"/>
              </w:rPr>
              <w:t>软件</w:t>
            </w:r>
          </w:p>
        </w:tc>
        <w:tc>
          <w:tcPr>
            <w:tcW w:w="2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1,199,170,370.49</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95.95%</w:t>
            </w:r>
          </w:p>
        </w:tc>
        <w:tc>
          <w:tcPr>
            <w:tcW w:w="1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759,275,107.61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91.13%</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57.94%</w:t>
            </w:r>
          </w:p>
        </w:tc>
      </w:tr>
      <w:tr>
        <w:trPr>
          <w:trHeight w:val="643" w:hRule="exact"/>
        </w:trPr>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left="278" w:right="81" w:hanging="195"/>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软件配</w:t>
            </w:r>
            <w:r>
              <w:rPr>
                <w:rFonts w:ascii="宋体" w:hAnsi="宋体" w:cs="宋体" w:eastAsia="宋体" w:hint="default"/>
                <w:w w:val="100"/>
                <w:sz w:val="21"/>
                <w:szCs w:val="21"/>
              </w:rPr>
              <w:t> </w:t>
            </w:r>
            <w:r>
              <w:rPr>
                <w:rFonts w:ascii="宋体" w:hAnsi="宋体" w:cs="宋体" w:eastAsia="宋体" w:hint="default"/>
                <w:sz w:val="21"/>
                <w:szCs w:val="21"/>
              </w:rPr>
              <w:t>套产品</w:t>
            </w:r>
          </w:p>
        </w:tc>
        <w:tc>
          <w:tcPr>
            <w:tcW w:w="2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pacing w:val="-1"/>
                <w:sz w:val="21"/>
              </w:rPr>
              <w:t>31,615,366.81</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2.53%</w:t>
            </w:r>
          </w:p>
        </w:tc>
        <w:tc>
          <w:tcPr>
            <w:tcW w:w="1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57,569,819.83</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6.91%</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2"/>
              <w:jc w:val="right"/>
              <w:rPr>
                <w:rFonts w:ascii="Times New Roman" w:hAnsi="Times New Roman" w:cs="Times New Roman" w:eastAsia="Times New Roman" w:hint="default"/>
                <w:sz w:val="21"/>
                <w:szCs w:val="21"/>
              </w:rPr>
            </w:pPr>
            <w:r>
              <w:rPr>
                <w:rFonts w:ascii="Times New Roman"/>
                <w:spacing w:val="-1"/>
                <w:sz w:val="21"/>
              </w:rPr>
              <w:t>-45.08%</w:t>
            </w:r>
          </w:p>
        </w:tc>
      </w:tr>
      <w:tr>
        <w:trPr>
          <w:trHeight w:val="420" w:hRule="exact"/>
        </w:trPr>
        <w:tc>
          <w:tcPr>
            <w:tcW w:w="1210" w:type="dxa"/>
            <w:tcBorders>
              <w:top w:val="single" w:sz="8" w:space="0" w:color="000000"/>
              <w:left w:val="single" w:sz="8" w:space="0" w:color="000000"/>
              <w:bottom w:val="single" w:sz="13" w:space="0" w:color="000000"/>
              <w:right w:val="single" w:sz="8"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其他业务</w:t>
            </w:r>
          </w:p>
        </w:tc>
        <w:tc>
          <w:tcPr>
            <w:tcW w:w="2429" w:type="dxa"/>
            <w:tcBorders>
              <w:top w:val="single" w:sz="8" w:space="0" w:color="000000"/>
              <w:left w:val="single" w:sz="8" w:space="0" w:color="000000"/>
              <w:bottom w:val="single" w:sz="13"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pacing w:val="-2"/>
                <w:sz w:val="21"/>
              </w:rPr>
              <w:t>18,972,811.16</w:t>
            </w:r>
          </w:p>
        </w:tc>
        <w:tc>
          <w:tcPr>
            <w:tcW w:w="1613" w:type="dxa"/>
            <w:tcBorders>
              <w:top w:val="single" w:sz="8" w:space="0" w:color="000000"/>
              <w:left w:val="single" w:sz="8" w:space="0" w:color="000000"/>
              <w:bottom w:val="single" w:sz="13"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1.52%</w:t>
            </w:r>
          </w:p>
        </w:tc>
        <w:tc>
          <w:tcPr>
            <w:tcW w:w="1885" w:type="dxa"/>
            <w:tcBorders>
              <w:top w:val="single" w:sz="8" w:space="0" w:color="000000"/>
              <w:left w:val="single" w:sz="8" w:space="0" w:color="000000"/>
              <w:bottom w:val="single" w:sz="13"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16,305,717.81</w:t>
            </w:r>
          </w:p>
        </w:tc>
        <w:tc>
          <w:tcPr>
            <w:tcW w:w="1265" w:type="dxa"/>
            <w:tcBorders>
              <w:top w:val="single" w:sz="8" w:space="0" w:color="000000"/>
              <w:left w:val="single" w:sz="8" w:space="0" w:color="000000"/>
              <w:bottom w:val="single" w:sz="13"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1.96%</w:t>
            </w:r>
          </w:p>
        </w:tc>
        <w:tc>
          <w:tcPr>
            <w:tcW w:w="1268" w:type="dxa"/>
            <w:tcBorders>
              <w:top w:val="single" w:sz="8" w:space="0" w:color="000000"/>
              <w:left w:val="single" w:sz="8" w:space="0" w:color="000000"/>
              <w:bottom w:val="single" w:sz="13"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16.36%</w:t>
            </w:r>
          </w:p>
        </w:tc>
      </w:tr>
      <w:tr>
        <w:trPr>
          <w:trHeight w:val="339" w:hRule="exact"/>
        </w:trPr>
        <w:tc>
          <w:tcPr>
            <w:tcW w:w="9669" w:type="dxa"/>
            <w:gridSpan w:val="6"/>
            <w:tcBorders>
              <w:top w:val="single" w:sz="8" w:space="0" w:color="000000"/>
              <w:left w:val="single" w:sz="8" w:space="0" w:color="000000"/>
              <w:bottom w:val="single" w:sz="8" w:space="0" w:color="000000"/>
              <w:right w:val="single" w:sz="4" w:space="0" w:color="000000"/>
            </w:tcBorders>
            <w:shd w:val="clear" w:color="auto" w:fill="D9D9D9"/>
          </w:tcPr>
          <w:p>
            <w:pPr>
              <w:pStyle w:val="TableParagraph"/>
              <w:spacing w:line="270" w:lineRule="exact"/>
              <w:ind w:right="214"/>
              <w:jc w:val="center"/>
              <w:rPr>
                <w:rFonts w:ascii="宋体" w:hAnsi="宋体" w:cs="宋体" w:eastAsia="宋体" w:hint="default"/>
                <w:sz w:val="21"/>
                <w:szCs w:val="21"/>
              </w:rPr>
            </w:pPr>
            <w:r>
              <w:rPr>
                <w:rFonts w:ascii="宋体" w:hAnsi="宋体" w:cs="宋体" w:eastAsia="宋体" w:hint="default"/>
                <w:b/>
                <w:bCs/>
                <w:sz w:val="21"/>
                <w:szCs w:val="21"/>
              </w:rPr>
              <w:t>分地区</w:t>
            </w:r>
            <w:r>
              <w:rPr>
                <w:rFonts w:ascii="宋体" w:hAnsi="宋体" w:cs="宋体" w:eastAsia="宋体" w:hint="default"/>
                <w:sz w:val="21"/>
                <w:szCs w:val="21"/>
              </w:rPr>
            </w:r>
          </w:p>
        </w:tc>
      </w:tr>
      <w:tr>
        <w:trPr>
          <w:trHeight w:val="413" w:hRule="exact"/>
        </w:trPr>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2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pacing w:val="-1"/>
                <w:sz w:val="21"/>
              </w:rPr>
              <w:t>148,826,149.36</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pacing w:val="-2"/>
                <w:sz w:val="21"/>
              </w:rPr>
              <w:t>11.91%</w:t>
            </w:r>
          </w:p>
        </w:tc>
        <w:tc>
          <w:tcPr>
            <w:tcW w:w="1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89,132,770.45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10.70%</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66.97%</w:t>
            </w:r>
          </w:p>
        </w:tc>
      </w:tr>
      <w:tr>
        <w:trPr>
          <w:trHeight w:val="410" w:hRule="exact"/>
        </w:trPr>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华东</w:t>
            </w:r>
          </w:p>
        </w:tc>
        <w:tc>
          <w:tcPr>
            <w:tcW w:w="2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2"/>
                <w:sz w:val="21"/>
              </w:rPr>
              <w:t>465,011,235.81</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37.21%</w:t>
            </w:r>
          </w:p>
        </w:tc>
        <w:tc>
          <w:tcPr>
            <w:tcW w:w="1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267,079,795.09</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32.06%</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pacing w:val="-2"/>
                <w:sz w:val="21"/>
              </w:rPr>
              <w:t>74.11%</w:t>
            </w:r>
          </w:p>
        </w:tc>
      </w:tr>
      <w:tr>
        <w:trPr>
          <w:trHeight w:val="413" w:hRule="exact"/>
        </w:trPr>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华南</w:t>
            </w:r>
          </w:p>
        </w:tc>
        <w:tc>
          <w:tcPr>
            <w:tcW w:w="2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right"/>
              <w:rPr>
                <w:rFonts w:ascii="Times New Roman" w:hAnsi="Times New Roman" w:cs="Times New Roman" w:eastAsia="Times New Roman" w:hint="default"/>
                <w:sz w:val="21"/>
                <w:szCs w:val="21"/>
              </w:rPr>
            </w:pPr>
            <w:r>
              <w:rPr>
                <w:rFonts w:ascii="Times New Roman"/>
                <w:spacing w:val="-2"/>
                <w:sz w:val="21"/>
              </w:rPr>
              <w:t>160,114,394.71</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right"/>
              <w:rPr>
                <w:rFonts w:ascii="Times New Roman" w:hAnsi="Times New Roman" w:cs="Times New Roman" w:eastAsia="Times New Roman" w:hint="default"/>
                <w:sz w:val="21"/>
                <w:szCs w:val="21"/>
              </w:rPr>
            </w:pPr>
            <w:r>
              <w:rPr>
                <w:rFonts w:ascii="Times New Roman"/>
                <w:sz w:val="21"/>
              </w:rPr>
              <w:t>12.81%</w:t>
            </w:r>
          </w:p>
        </w:tc>
        <w:tc>
          <w:tcPr>
            <w:tcW w:w="1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right"/>
              <w:rPr>
                <w:rFonts w:ascii="Times New Roman" w:hAnsi="Times New Roman" w:cs="Times New Roman" w:eastAsia="Times New Roman" w:hint="default"/>
                <w:sz w:val="21"/>
                <w:szCs w:val="21"/>
              </w:rPr>
            </w:pPr>
            <w:r>
              <w:rPr>
                <w:rFonts w:ascii="Times New Roman"/>
                <w:spacing w:val="-1"/>
                <w:sz w:val="21"/>
              </w:rPr>
              <w:t>107,244,604.24</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right"/>
              <w:rPr>
                <w:rFonts w:ascii="Times New Roman" w:hAnsi="Times New Roman" w:cs="Times New Roman" w:eastAsia="Times New Roman" w:hint="default"/>
                <w:sz w:val="21"/>
                <w:szCs w:val="21"/>
              </w:rPr>
            </w:pPr>
            <w:r>
              <w:rPr>
                <w:rFonts w:ascii="Times New Roman"/>
                <w:sz w:val="21"/>
              </w:rPr>
              <w:t>12.87%</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right"/>
              <w:rPr>
                <w:rFonts w:ascii="Times New Roman" w:hAnsi="Times New Roman" w:cs="Times New Roman" w:eastAsia="Times New Roman" w:hint="default"/>
                <w:sz w:val="21"/>
                <w:szCs w:val="21"/>
              </w:rPr>
            </w:pPr>
            <w:r>
              <w:rPr>
                <w:rFonts w:ascii="Times New Roman"/>
                <w:sz w:val="21"/>
              </w:rPr>
              <w:t>49.30%</w:t>
            </w:r>
          </w:p>
        </w:tc>
      </w:tr>
      <w:tr>
        <w:trPr>
          <w:trHeight w:val="413" w:hRule="exact"/>
        </w:trPr>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华北</w:t>
            </w:r>
          </w:p>
        </w:tc>
        <w:tc>
          <w:tcPr>
            <w:tcW w:w="2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pacing w:val="-1"/>
                <w:sz w:val="21"/>
              </w:rPr>
              <w:t>134,802,360.07</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10.79%</w:t>
            </w:r>
          </w:p>
        </w:tc>
        <w:tc>
          <w:tcPr>
            <w:tcW w:w="1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80,107,034.20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9.61%</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68.28%</w:t>
            </w:r>
          </w:p>
        </w:tc>
      </w:tr>
      <w:tr>
        <w:trPr>
          <w:trHeight w:val="410" w:hRule="exact"/>
        </w:trPr>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华中</w:t>
            </w:r>
          </w:p>
        </w:tc>
        <w:tc>
          <w:tcPr>
            <w:tcW w:w="2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68,924,788.51</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5.52%</w:t>
            </w:r>
          </w:p>
        </w:tc>
        <w:tc>
          <w:tcPr>
            <w:tcW w:w="1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32,405,386.12</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3.89%</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pacing w:val="-2"/>
                <w:sz w:val="21"/>
              </w:rPr>
              <w:t>112.70%</w:t>
            </w:r>
          </w:p>
        </w:tc>
      </w:tr>
      <w:tr>
        <w:trPr>
          <w:trHeight w:val="413" w:hRule="exact"/>
        </w:trPr>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西北</w:t>
            </w:r>
          </w:p>
        </w:tc>
        <w:tc>
          <w:tcPr>
            <w:tcW w:w="2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right"/>
              <w:rPr>
                <w:rFonts w:ascii="Times New Roman" w:hAnsi="Times New Roman" w:cs="Times New Roman" w:eastAsia="Times New Roman" w:hint="default"/>
                <w:sz w:val="21"/>
                <w:szCs w:val="21"/>
              </w:rPr>
            </w:pPr>
            <w:r>
              <w:rPr>
                <w:rFonts w:ascii="Times New Roman"/>
                <w:spacing w:val="-1"/>
                <w:sz w:val="21"/>
              </w:rPr>
              <w:t>75,552,800.19</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right"/>
              <w:rPr>
                <w:rFonts w:ascii="Times New Roman" w:hAnsi="Times New Roman" w:cs="Times New Roman" w:eastAsia="Times New Roman" w:hint="default"/>
                <w:sz w:val="21"/>
                <w:szCs w:val="21"/>
              </w:rPr>
            </w:pPr>
            <w:r>
              <w:rPr>
                <w:rFonts w:ascii="Times New Roman"/>
                <w:sz w:val="21"/>
              </w:rPr>
              <w:t>6.05%</w:t>
            </w:r>
          </w:p>
        </w:tc>
        <w:tc>
          <w:tcPr>
            <w:tcW w:w="1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right"/>
              <w:rPr>
                <w:rFonts w:ascii="Times New Roman" w:hAnsi="Times New Roman" w:cs="Times New Roman" w:eastAsia="Times New Roman" w:hint="default"/>
                <w:sz w:val="21"/>
                <w:szCs w:val="21"/>
              </w:rPr>
            </w:pPr>
            <w:r>
              <w:rPr>
                <w:rFonts w:ascii="Times New Roman"/>
                <w:spacing w:val="-1"/>
                <w:sz w:val="21"/>
              </w:rPr>
              <w:t>79,762,326.47</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right"/>
              <w:rPr>
                <w:rFonts w:ascii="Times New Roman" w:hAnsi="Times New Roman" w:cs="Times New Roman" w:eastAsia="Times New Roman" w:hint="default"/>
                <w:sz w:val="21"/>
                <w:szCs w:val="21"/>
              </w:rPr>
            </w:pPr>
            <w:r>
              <w:rPr>
                <w:rFonts w:ascii="Times New Roman"/>
                <w:sz w:val="21"/>
              </w:rPr>
              <w:t>9.57%</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2"/>
              <w:jc w:val="right"/>
              <w:rPr>
                <w:rFonts w:ascii="Times New Roman" w:hAnsi="Times New Roman" w:cs="Times New Roman" w:eastAsia="Times New Roman" w:hint="default"/>
                <w:sz w:val="21"/>
                <w:szCs w:val="21"/>
              </w:rPr>
            </w:pPr>
            <w:r>
              <w:rPr>
                <w:rFonts w:ascii="Times New Roman"/>
                <w:spacing w:val="-1"/>
                <w:sz w:val="21"/>
              </w:rPr>
              <w:t>-5.28%</w:t>
            </w:r>
          </w:p>
        </w:tc>
      </w:tr>
      <w:tr>
        <w:trPr>
          <w:trHeight w:val="413" w:hRule="exact"/>
        </w:trPr>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东北</w:t>
            </w:r>
          </w:p>
        </w:tc>
        <w:tc>
          <w:tcPr>
            <w:tcW w:w="2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99,598,473.84</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7.95%</w:t>
            </w:r>
          </w:p>
        </w:tc>
        <w:tc>
          <w:tcPr>
            <w:tcW w:w="1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85,466,960.16</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10.26%</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16.53%</w:t>
            </w:r>
          </w:p>
        </w:tc>
      </w:tr>
      <w:tr>
        <w:trPr>
          <w:trHeight w:val="410" w:hRule="exact"/>
        </w:trPr>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西南</w:t>
            </w:r>
          </w:p>
        </w:tc>
        <w:tc>
          <w:tcPr>
            <w:tcW w:w="2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77,955,534.81</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6.24%</w:t>
            </w:r>
          </w:p>
        </w:tc>
        <w:tc>
          <w:tcPr>
            <w:tcW w:w="1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75,646,050.71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9.08%</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3.05%</w:t>
            </w:r>
          </w:p>
        </w:tc>
      </w:tr>
      <w:tr>
        <w:trPr>
          <w:trHeight w:val="413" w:hRule="exact"/>
        </w:trPr>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其他业务</w:t>
            </w:r>
          </w:p>
        </w:tc>
        <w:tc>
          <w:tcPr>
            <w:tcW w:w="2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1"/>
              <w:jc w:val="right"/>
              <w:rPr>
                <w:rFonts w:ascii="Times New Roman" w:hAnsi="Times New Roman" w:cs="Times New Roman" w:eastAsia="Times New Roman" w:hint="default"/>
                <w:sz w:val="21"/>
                <w:szCs w:val="21"/>
              </w:rPr>
            </w:pPr>
            <w:r>
              <w:rPr>
                <w:rFonts w:ascii="Times New Roman"/>
                <w:spacing w:val="-1"/>
                <w:sz w:val="21"/>
              </w:rPr>
              <w:t>18,972,811.16</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1"/>
              <w:jc w:val="right"/>
              <w:rPr>
                <w:rFonts w:ascii="Times New Roman" w:hAnsi="Times New Roman" w:cs="Times New Roman" w:eastAsia="Times New Roman" w:hint="default"/>
                <w:sz w:val="21"/>
                <w:szCs w:val="21"/>
              </w:rPr>
            </w:pPr>
            <w:r>
              <w:rPr>
                <w:rFonts w:ascii="Times New Roman"/>
                <w:sz w:val="21"/>
              </w:rPr>
              <w:t>1.52%</w:t>
            </w:r>
          </w:p>
        </w:tc>
        <w:tc>
          <w:tcPr>
            <w:tcW w:w="1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0"/>
              <w:jc w:val="right"/>
              <w:rPr>
                <w:rFonts w:ascii="Times New Roman" w:hAnsi="Times New Roman" w:cs="Times New Roman" w:eastAsia="Times New Roman" w:hint="default"/>
                <w:sz w:val="21"/>
                <w:szCs w:val="21"/>
              </w:rPr>
            </w:pPr>
            <w:r>
              <w:rPr>
                <w:rFonts w:ascii="Times New Roman"/>
                <w:spacing w:val="-1"/>
                <w:sz w:val="21"/>
              </w:rPr>
              <w:t>16,305,717.81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1"/>
              <w:jc w:val="right"/>
              <w:rPr>
                <w:rFonts w:ascii="Times New Roman" w:hAnsi="Times New Roman" w:cs="Times New Roman" w:eastAsia="Times New Roman" w:hint="default"/>
                <w:sz w:val="21"/>
                <w:szCs w:val="21"/>
              </w:rPr>
            </w:pPr>
            <w:r>
              <w:rPr>
                <w:rFonts w:ascii="Times New Roman"/>
                <w:sz w:val="21"/>
              </w:rPr>
              <w:t>1.96%</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1"/>
              <w:jc w:val="right"/>
              <w:rPr>
                <w:rFonts w:ascii="Times New Roman" w:hAnsi="Times New Roman" w:cs="Times New Roman" w:eastAsia="Times New Roman" w:hint="default"/>
                <w:sz w:val="21"/>
                <w:szCs w:val="21"/>
              </w:rPr>
            </w:pPr>
            <w:r>
              <w:rPr>
                <w:rFonts w:ascii="Times New Roman"/>
                <w:sz w:val="21"/>
              </w:rPr>
              <w:t>16.36%</w:t>
            </w:r>
          </w:p>
        </w:tc>
      </w:tr>
    </w:tbl>
    <w:p>
      <w:pPr>
        <w:spacing w:line="240" w:lineRule="auto" w:before="12"/>
        <w:rPr>
          <w:rFonts w:ascii="宋体" w:hAnsi="宋体" w:cs="宋体" w:eastAsia="宋体" w:hint="default"/>
          <w:sz w:val="23"/>
          <w:szCs w:val="23"/>
        </w:rPr>
      </w:pPr>
    </w:p>
    <w:p>
      <w:pPr>
        <w:pStyle w:val="Heading2"/>
        <w:spacing w:line="240" w:lineRule="auto" w:before="26"/>
        <w:ind w:right="293"/>
        <w:jc w:val="left"/>
        <w:rPr>
          <w:b w:val="0"/>
          <w:bCs w:val="0"/>
        </w:rPr>
      </w:pPr>
      <w:r>
        <w:rPr/>
        <w:t>（</w:t>
      </w:r>
      <w:r>
        <w:rPr>
          <w:rFonts w:ascii="Times New Roman" w:hAnsi="Times New Roman" w:cs="Times New Roman" w:eastAsia="Times New Roman" w:hint="default"/>
        </w:rPr>
        <w:t>2</w:t>
      </w:r>
      <w:r>
        <w:rPr/>
        <w:t>）占公司营业收入或营业利润</w:t>
      </w:r>
      <w:r>
        <w:rPr>
          <w:spacing w:val="-6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633" w:right="52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公司是否需要遵守特殊行业的披露要求</w:t>
      </w:r>
    </w:p>
    <w:p>
      <w:pPr>
        <w:pStyle w:val="BodyText"/>
        <w:spacing w:line="240" w:lineRule="auto"/>
        <w:ind w:left="633" w:right="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7"/>
        <w:rPr>
          <w:rFonts w:ascii="宋体" w:hAnsi="宋体" w:cs="宋体" w:eastAsia="宋体" w:hint="default"/>
          <w:sz w:val="9"/>
          <w:szCs w:val="9"/>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9"/>
          <w:szCs w:val="9"/>
        </w:rPr>
      </w:pPr>
    </w:p>
    <w:tbl>
      <w:tblPr>
        <w:tblW w:w="0" w:type="auto"/>
        <w:jc w:val="left"/>
        <w:tblInd w:w="129" w:type="dxa"/>
        <w:tblLayout w:type="fixed"/>
        <w:tblCellMar>
          <w:top w:w="0" w:type="dxa"/>
          <w:left w:w="0" w:type="dxa"/>
          <w:bottom w:w="0" w:type="dxa"/>
          <w:right w:w="0" w:type="dxa"/>
        </w:tblCellMar>
        <w:tblLook w:val="01E0"/>
      </w:tblPr>
      <w:tblGrid>
        <w:gridCol w:w="1046"/>
        <w:gridCol w:w="2348"/>
        <w:gridCol w:w="2093"/>
        <w:gridCol w:w="1044"/>
        <w:gridCol w:w="1047"/>
        <w:gridCol w:w="1046"/>
        <w:gridCol w:w="1044"/>
      </w:tblGrid>
      <w:tr>
        <w:trPr>
          <w:trHeight w:val="1283" w:hRule="exact"/>
        </w:trPr>
        <w:tc>
          <w:tcPr>
            <w:tcW w:w="104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4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09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16"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04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4"/>
              <w:ind w:right="16"/>
              <w:jc w:val="right"/>
              <w:rPr>
                <w:rFonts w:ascii="Times New Roman" w:hAnsi="Times New Roman" w:cs="Times New Roman" w:eastAsia="Times New Roman" w:hint="default"/>
                <w:sz w:val="21"/>
                <w:szCs w:val="21"/>
              </w:rPr>
            </w:pPr>
            <w:r>
              <w:rPr>
                <w:rFonts w:ascii="宋体" w:hAnsi="宋体" w:cs="宋体" w:eastAsia="宋体" w:hint="default"/>
                <w:b/>
                <w:bCs/>
                <w:spacing w:val="-1"/>
                <w:sz w:val="21"/>
                <w:szCs w:val="21"/>
              </w:rPr>
              <w:t>毛利率</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spacing w:val="-1"/>
                <w:sz w:val="21"/>
                <w:szCs w:val="21"/>
              </w:rPr>
            </w:r>
          </w:p>
        </w:tc>
        <w:tc>
          <w:tcPr>
            <w:tcW w:w="104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73" w:lineRule="auto" w:before="3"/>
              <w:ind w:left="94" w:right="86"/>
              <w:jc w:val="both"/>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b/>
                <w:bCs/>
                <w:w w:val="100"/>
                <w:sz w:val="21"/>
                <w:szCs w:val="21"/>
              </w:rPr>
              <w:t> </w:t>
            </w:r>
            <w:r>
              <w:rPr>
                <w:rFonts w:ascii="宋体" w:hAnsi="宋体" w:cs="宋体" w:eastAsia="宋体" w:hint="default"/>
                <w:b/>
                <w:bCs/>
                <w:sz w:val="21"/>
                <w:szCs w:val="21"/>
              </w:rPr>
              <w:t>比上年同</w:t>
            </w:r>
            <w:r>
              <w:rPr>
                <w:rFonts w:ascii="宋体" w:hAnsi="宋体" w:cs="宋体" w:eastAsia="宋体" w:hint="default"/>
                <w:b/>
                <w:bCs/>
                <w:w w:val="100"/>
                <w:sz w:val="21"/>
                <w:szCs w:val="21"/>
              </w:rPr>
              <w:t> </w:t>
            </w:r>
            <w:r>
              <w:rPr>
                <w:rFonts w:ascii="宋体" w:hAnsi="宋体" w:cs="宋体" w:eastAsia="宋体" w:hint="default"/>
                <w:b/>
                <w:bCs/>
                <w:sz w:val="21"/>
                <w:szCs w:val="21"/>
              </w:rPr>
              <w:t>期增减</w:t>
            </w:r>
            <w:r>
              <w:rPr>
                <w:rFonts w:ascii="宋体" w:hAnsi="宋体" w:cs="宋体" w:eastAsia="宋体" w:hint="default"/>
                <w:sz w:val="21"/>
                <w:szCs w:val="21"/>
              </w:rPr>
            </w:r>
          </w:p>
          <w:p>
            <w:pPr>
              <w:pStyle w:val="TableParagraph"/>
              <w:spacing w:line="240" w:lineRule="auto" w:before="7"/>
              <w:ind w:left="199"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04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73" w:lineRule="auto" w:before="3"/>
              <w:ind w:left="93" w:right="86"/>
              <w:jc w:val="both"/>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b/>
                <w:bCs/>
                <w:w w:val="100"/>
                <w:sz w:val="21"/>
                <w:szCs w:val="21"/>
              </w:rPr>
              <w:t> </w:t>
            </w:r>
            <w:r>
              <w:rPr>
                <w:rFonts w:ascii="宋体" w:hAnsi="宋体" w:cs="宋体" w:eastAsia="宋体" w:hint="default"/>
                <w:b/>
                <w:bCs/>
                <w:sz w:val="21"/>
                <w:szCs w:val="21"/>
              </w:rPr>
              <w:t>比上年同</w:t>
            </w:r>
            <w:r>
              <w:rPr>
                <w:rFonts w:ascii="宋体" w:hAnsi="宋体" w:cs="宋体" w:eastAsia="宋体" w:hint="default"/>
                <w:b/>
                <w:bCs/>
                <w:w w:val="100"/>
                <w:sz w:val="21"/>
                <w:szCs w:val="21"/>
              </w:rPr>
              <w:t> </w:t>
            </w:r>
            <w:r>
              <w:rPr>
                <w:rFonts w:ascii="宋体" w:hAnsi="宋体" w:cs="宋体" w:eastAsia="宋体" w:hint="default"/>
                <w:b/>
                <w:bCs/>
                <w:sz w:val="21"/>
                <w:szCs w:val="21"/>
              </w:rPr>
              <w:t>期增减</w:t>
            </w:r>
            <w:r>
              <w:rPr>
                <w:rFonts w:ascii="宋体" w:hAnsi="宋体" w:cs="宋体" w:eastAsia="宋体" w:hint="default"/>
                <w:sz w:val="21"/>
                <w:szCs w:val="21"/>
              </w:rPr>
            </w:r>
          </w:p>
          <w:p>
            <w:pPr>
              <w:pStyle w:val="TableParagraph"/>
              <w:spacing w:line="240" w:lineRule="auto" w:before="7"/>
              <w:ind w:left="199"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04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73" w:lineRule="auto" w:before="159"/>
              <w:ind w:left="7" w:right="-37" w:firstLine="84"/>
              <w:jc w:val="both"/>
              <w:rPr>
                <w:rFonts w:ascii="宋体" w:hAnsi="宋体" w:cs="宋体" w:eastAsia="宋体" w:hint="default"/>
                <w:sz w:val="21"/>
                <w:szCs w:val="21"/>
              </w:rPr>
            </w:pPr>
            <w:r>
              <w:rPr>
                <w:rFonts w:ascii="宋体" w:hAnsi="宋体" w:cs="宋体" w:eastAsia="宋体" w:hint="default"/>
                <w:b/>
                <w:bCs/>
                <w:sz w:val="21"/>
                <w:szCs w:val="21"/>
              </w:rPr>
              <w:t>毛利率比</w:t>
            </w:r>
            <w:r>
              <w:rPr>
                <w:rFonts w:ascii="宋体" w:hAnsi="宋体" w:cs="宋体" w:eastAsia="宋体" w:hint="default"/>
                <w:b/>
                <w:bCs/>
                <w:w w:val="100"/>
                <w:sz w:val="21"/>
                <w:szCs w:val="21"/>
              </w:rPr>
              <w:t> </w:t>
            </w:r>
            <w:r>
              <w:rPr>
                <w:rFonts w:ascii="宋体" w:hAnsi="宋体" w:cs="宋体" w:eastAsia="宋体" w:hint="default"/>
                <w:b/>
                <w:bCs/>
                <w:sz w:val="21"/>
                <w:szCs w:val="21"/>
              </w:rPr>
              <w:t>上年同期</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48" w:hRule="exact"/>
        </w:trPr>
        <w:tc>
          <w:tcPr>
            <w:tcW w:w="9669" w:type="dxa"/>
            <w:gridSpan w:val="7"/>
            <w:tcBorders>
              <w:top w:val="single" w:sz="8" w:space="0" w:color="000000"/>
              <w:left w:val="single" w:sz="8" w:space="0" w:color="000000"/>
              <w:bottom w:val="single" w:sz="8" w:space="0" w:color="000000"/>
              <w:right w:val="nil" w:sz="6" w:space="0" w:color="auto"/>
            </w:tcBorders>
            <w:shd w:val="clear" w:color="auto" w:fill="D2D2D2"/>
          </w:tcPr>
          <w:p>
            <w:pPr>
              <w:pStyle w:val="TableParagraph"/>
              <w:spacing w:line="240" w:lineRule="auto" w:before="4"/>
              <w:ind w:right="7"/>
              <w:jc w:val="center"/>
              <w:rPr>
                <w:rFonts w:ascii="宋体" w:hAnsi="宋体" w:cs="宋体" w:eastAsia="宋体" w:hint="default"/>
                <w:sz w:val="21"/>
                <w:szCs w:val="21"/>
              </w:rPr>
            </w:pPr>
            <w:r>
              <w:rPr>
                <w:rFonts w:ascii="宋体" w:hAnsi="宋体" w:cs="宋体" w:eastAsia="宋体" w:hint="default"/>
                <w:sz w:val="21"/>
                <w:szCs w:val="21"/>
              </w:rPr>
              <w:t>分行业</w:t>
            </w:r>
          </w:p>
        </w:tc>
      </w:tr>
      <w:tr>
        <w:trPr>
          <w:trHeight w:val="419" w:hRule="exact"/>
        </w:trPr>
        <w:tc>
          <w:tcPr>
            <w:tcW w:w="1046" w:type="dxa"/>
            <w:tcBorders>
              <w:top w:val="single" w:sz="8" w:space="0" w:color="000000"/>
              <w:left w:val="single" w:sz="8" w:space="0" w:color="000000"/>
              <w:bottom w:val="single" w:sz="14" w:space="0" w:color="000000"/>
              <w:right w:val="single" w:sz="8"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2348" w:type="dxa"/>
            <w:tcBorders>
              <w:top w:val="single" w:sz="8" w:space="0" w:color="000000"/>
              <w:left w:val="single" w:sz="8" w:space="0" w:color="000000"/>
              <w:bottom w:val="single" w:sz="14" w:space="0" w:color="000000"/>
              <w:right w:val="single" w:sz="8"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pacing w:val="-1"/>
                <w:sz w:val="21"/>
              </w:rPr>
              <w:t>1,230,785,737.30</w:t>
            </w:r>
          </w:p>
        </w:tc>
        <w:tc>
          <w:tcPr>
            <w:tcW w:w="2093" w:type="dxa"/>
            <w:tcBorders>
              <w:top w:val="single" w:sz="8" w:space="0" w:color="000000"/>
              <w:left w:val="single" w:sz="8" w:space="0" w:color="000000"/>
              <w:bottom w:val="single" w:sz="14"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505,957,386.76</w:t>
            </w:r>
          </w:p>
        </w:tc>
        <w:tc>
          <w:tcPr>
            <w:tcW w:w="1044" w:type="dxa"/>
            <w:tcBorders>
              <w:top w:val="single" w:sz="8" w:space="0" w:color="000000"/>
              <w:left w:val="single" w:sz="8" w:space="0" w:color="000000"/>
              <w:bottom w:val="single" w:sz="14"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58.89%</w:t>
            </w:r>
          </w:p>
        </w:tc>
        <w:tc>
          <w:tcPr>
            <w:tcW w:w="1047" w:type="dxa"/>
            <w:tcBorders>
              <w:top w:val="single" w:sz="8" w:space="0" w:color="000000"/>
              <w:left w:val="single" w:sz="8" w:space="0" w:color="000000"/>
              <w:bottom w:val="single" w:sz="14"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50.68%</w:t>
            </w:r>
          </w:p>
        </w:tc>
        <w:tc>
          <w:tcPr>
            <w:tcW w:w="1046" w:type="dxa"/>
            <w:tcBorders>
              <w:top w:val="single" w:sz="8" w:space="0" w:color="000000"/>
              <w:left w:val="single" w:sz="8" w:space="0" w:color="000000"/>
              <w:bottom w:val="single" w:sz="14"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68.28%</w:t>
            </w:r>
          </w:p>
        </w:tc>
        <w:tc>
          <w:tcPr>
            <w:tcW w:w="1044" w:type="dxa"/>
            <w:tcBorders>
              <w:top w:val="single" w:sz="8" w:space="0" w:color="000000"/>
              <w:left w:val="single" w:sz="8" w:space="0" w:color="000000"/>
              <w:bottom w:val="single" w:sz="14" w:space="0" w:color="000000"/>
              <w:right w:val="single" w:sz="8" w:space="0" w:color="000000"/>
            </w:tcBorders>
          </w:tcPr>
          <w:p>
            <w:pPr>
              <w:pStyle w:val="TableParagraph"/>
              <w:spacing w:line="240" w:lineRule="auto" w:before="75"/>
              <w:ind w:right="2"/>
              <w:jc w:val="right"/>
              <w:rPr>
                <w:rFonts w:ascii="Times New Roman" w:hAnsi="Times New Roman" w:cs="Times New Roman" w:eastAsia="Times New Roman" w:hint="default"/>
                <w:sz w:val="21"/>
                <w:szCs w:val="21"/>
              </w:rPr>
            </w:pPr>
            <w:r>
              <w:rPr>
                <w:rFonts w:ascii="Times New Roman"/>
                <w:spacing w:val="-1"/>
                <w:sz w:val="21"/>
              </w:rPr>
              <w:t>-4.30%</w:t>
            </w:r>
          </w:p>
        </w:tc>
      </w:tr>
      <w:tr>
        <w:trPr>
          <w:trHeight w:val="340" w:hRule="exact"/>
        </w:trPr>
        <w:tc>
          <w:tcPr>
            <w:tcW w:w="9669" w:type="dxa"/>
            <w:gridSpan w:val="7"/>
            <w:tcBorders>
              <w:top w:val="single" w:sz="8" w:space="0" w:color="000000"/>
              <w:left w:val="single" w:sz="8" w:space="0" w:color="000000"/>
              <w:bottom w:val="single" w:sz="8" w:space="0" w:color="000000"/>
              <w:right w:val="nil" w:sz="6" w:space="0" w:color="auto"/>
            </w:tcBorders>
            <w:shd w:val="clear" w:color="auto" w:fill="D2D2D2"/>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分产品</w:t>
            </w:r>
          </w:p>
        </w:tc>
      </w:tr>
      <w:tr>
        <w:trPr>
          <w:trHeight w:val="420" w:hRule="exact"/>
        </w:trPr>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GIS </w:t>
            </w:r>
            <w:r>
              <w:rPr>
                <w:rFonts w:ascii="宋体" w:hAnsi="宋体" w:cs="宋体" w:eastAsia="宋体" w:hint="default"/>
                <w:sz w:val="21"/>
                <w:szCs w:val="21"/>
              </w:rPr>
              <w:t>软件</w:t>
            </w:r>
          </w:p>
        </w:tc>
        <w:tc>
          <w:tcPr>
            <w:tcW w:w="23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pacing w:val="-1"/>
                <w:sz w:val="21"/>
              </w:rPr>
              <w:t>1,199,170,370.49</w:t>
            </w:r>
          </w:p>
        </w:tc>
        <w:tc>
          <w:tcPr>
            <w:tcW w:w="2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2"/>
              <w:jc w:val="right"/>
              <w:rPr>
                <w:rFonts w:ascii="Times New Roman" w:hAnsi="Times New Roman" w:cs="Times New Roman" w:eastAsia="Times New Roman" w:hint="default"/>
                <w:sz w:val="21"/>
                <w:szCs w:val="21"/>
              </w:rPr>
            </w:pPr>
            <w:r>
              <w:rPr>
                <w:rFonts w:ascii="Times New Roman"/>
                <w:spacing w:val="-2"/>
                <w:sz w:val="21"/>
              </w:rPr>
              <w:t>487,987,114.90</w:t>
            </w:r>
          </w:p>
        </w:tc>
        <w:tc>
          <w:tcPr>
            <w:tcW w:w="1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59.31%</w:t>
            </w:r>
          </w:p>
        </w:tc>
        <w:tc>
          <w:tcPr>
            <w:tcW w:w="10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57.94%</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90.34%</w:t>
            </w:r>
          </w:p>
        </w:tc>
        <w:tc>
          <w:tcPr>
            <w:tcW w:w="1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2"/>
              <w:jc w:val="right"/>
              <w:rPr>
                <w:rFonts w:ascii="Times New Roman" w:hAnsi="Times New Roman" w:cs="Times New Roman" w:eastAsia="Times New Roman" w:hint="default"/>
                <w:sz w:val="21"/>
                <w:szCs w:val="21"/>
              </w:rPr>
            </w:pPr>
            <w:r>
              <w:rPr>
                <w:rFonts w:ascii="Times New Roman"/>
                <w:spacing w:val="-1"/>
                <w:sz w:val="21"/>
              </w:rPr>
              <w:t>-6.93%</w:t>
            </w:r>
          </w:p>
        </w:tc>
      </w:tr>
      <w:tr>
        <w:trPr>
          <w:trHeight w:val="338" w:hRule="exact"/>
        </w:trPr>
        <w:tc>
          <w:tcPr>
            <w:tcW w:w="9669" w:type="dxa"/>
            <w:gridSpan w:val="7"/>
            <w:tcBorders>
              <w:top w:val="single" w:sz="8" w:space="0" w:color="000000"/>
              <w:left w:val="single" w:sz="8" w:space="0" w:color="000000"/>
              <w:bottom w:val="single" w:sz="8" w:space="0" w:color="000000"/>
              <w:right w:val="nil" w:sz="6" w:space="0" w:color="auto"/>
            </w:tcBorders>
            <w:shd w:val="clear" w:color="auto" w:fill="D2D2D2"/>
          </w:tcPr>
          <w:p>
            <w:pPr>
              <w:pStyle w:val="TableParagraph"/>
              <w:spacing w:line="269" w:lineRule="exact"/>
              <w:ind w:right="7"/>
              <w:jc w:val="center"/>
              <w:rPr>
                <w:rFonts w:ascii="宋体" w:hAnsi="宋体" w:cs="宋体" w:eastAsia="宋体" w:hint="default"/>
                <w:sz w:val="21"/>
                <w:szCs w:val="21"/>
              </w:rPr>
            </w:pPr>
            <w:r>
              <w:rPr>
                <w:rFonts w:ascii="宋体" w:hAnsi="宋体" w:cs="宋体" w:eastAsia="宋体" w:hint="default"/>
                <w:sz w:val="21"/>
                <w:szCs w:val="21"/>
              </w:rPr>
              <w:t>分地区</w:t>
            </w:r>
          </w:p>
        </w:tc>
      </w:tr>
    </w:tbl>
    <w:p>
      <w:pPr>
        <w:spacing w:after="0" w:line="269" w:lineRule="exact"/>
        <w:jc w:val="center"/>
        <w:rPr>
          <w:rFonts w:ascii="宋体" w:hAnsi="宋体" w:cs="宋体" w:eastAsia="宋体" w:hint="default"/>
          <w:sz w:val="21"/>
          <w:szCs w:val="21"/>
        </w:rPr>
        <w:sectPr>
          <w:pgSz w:w="11910" w:h="16840"/>
          <w:pgMar w:header="877" w:footer="980" w:top="1100" w:bottom="1160" w:left="980" w:right="980"/>
        </w:sectPr>
      </w:pPr>
    </w:p>
    <w:p>
      <w:pPr>
        <w:spacing w:line="240" w:lineRule="auto" w:before="11"/>
        <w:rPr>
          <w:rFonts w:ascii="宋体" w:hAnsi="宋体" w:cs="宋体" w:eastAsia="宋体" w:hint="default"/>
          <w:sz w:val="23"/>
          <w:szCs w:val="23"/>
        </w:rPr>
      </w:pPr>
    </w:p>
    <w:tbl>
      <w:tblPr>
        <w:tblW w:w="0" w:type="auto"/>
        <w:jc w:val="left"/>
        <w:tblInd w:w="129" w:type="dxa"/>
        <w:tblLayout w:type="fixed"/>
        <w:tblCellMar>
          <w:top w:w="0" w:type="dxa"/>
          <w:left w:w="0" w:type="dxa"/>
          <w:bottom w:w="0" w:type="dxa"/>
          <w:right w:w="0" w:type="dxa"/>
        </w:tblCellMar>
        <w:tblLook w:val="01E0"/>
      </w:tblPr>
      <w:tblGrid>
        <w:gridCol w:w="1046"/>
        <w:gridCol w:w="2348"/>
        <w:gridCol w:w="2093"/>
        <w:gridCol w:w="1044"/>
        <w:gridCol w:w="1047"/>
        <w:gridCol w:w="1046"/>
        <w:gridCol w:w="1044"/>
      </w:tblGrid>
      <w:tr>
        <w:trPr>
          <w:trHeight w:val="418" w:hRule="exact"/>
        </w:trPr>
        <w:tc>
          <w:tcPr>
            <w:tcW w:w="104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234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pacing w:val="-1"/>
                <w:sz w:val="21"/>
              </w:rPr>
              <w:t>148,826,149.36</w:t>
            </w:r>
          </w:p>
        </w:tc>
        <w:tc>
          <w:tcPr>
            <w:tcW w:w="209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9"/>
              <w:ind w:right="3"/>
              <w:jc w:val="right"/>
              <w:rPr>
                <w:rFonts w:ascii="Times New Roman" w:hAnsi="Times New Roman" w:cs="Times New Roman" w:eastAsia="Times New Roman" w:hint="default"/>
                <w:sz w:val="21"/>
                <w:szCs w:val="21"/>
              </w:rPr>
            </w:pPr>
            <w:r>
              <w:rPr>
                <w:rFonts w:ascii="Times New Roman"/>
                <w:spacing w:val="-1"/>
                <w:sz w:val="21"/>
              </w:rPr>
              <w:t>33,887,714.21</w:t>
            </w:r>
          </w:p>
        </w:tc>
        <w:tc>
          <w:tcPr>
            <w:tcW w:w="104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9"/>
              <w:ind w:right="1"/>
              <w:jc w:val="right"/>
              <w:rPr>
                <w:rFonts w:ascii="Times New Roman" w:hAnsi="Times New Roman" w:cs="Times New Roman" w:eastAsia="Times New Roman" w:hint="default"/>
                <w:sz w:val="21"/>
                <w:szCs w:val="21"/>
              </w:rPr>
            </w:pPr>
            <w:r>
              <w:rPr>
                <w:rFonts w:ascii="Times New Roman"/>
                <w:sz w:val="21"/>
              </w:rPr>
              <w:t>77.23%</w:t>
            </w:r>
          </w:p>
        </w:tc>
        <w:tc>
          <w:tcPr>
            <w:tcW w:w="104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9"/>
              <w:ind w:right="1"/>
              <w:jc w:val="right"/>
              <w:rPr>
                <w:rFonts w:ascii="Times New Roman" w:hAnsi="Times New Roman" w:cs="Times New Roman" w:eastAsia="Times New Roman" w:hint="default"/>
                <w:sz w:val="21"/>
                <w:szCs w:val="21"/>
              </w:rPr>
            </w:pPr>
            <w:r>
              <w:rPr>
                <w:rFonts w:ascii="Times New Roman"/>
                <w:sz w:val="21"/>
              </w:rPr>
              <w:t>66.97%</w:t>
            </w:r>
          </w:p>
        </w:tc>
        <w:tc>
          <w:tcPr>
            <w:tcW w:w="104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9"/>
              <w:ind w:right="1"/>
              <w:jc w:val="right"/>
              <w:rPr>
                <w:rFonts w:ascii="Times New Roman" w:hAnsi="Times New Roman" w:cs="Times New Roman" w:eastAsia="Times New Roman" w:hint="default"/>
                <w:sz w:val="21"/>
                <w:szCs w:val="21"/>
              </w:rPr>
            </w:pPr>
            <w:r>
              <w:rPr>
                <w:rFonts w:ascii="Times New Roman"/>
                <w:sz w:val="21"/>
              </w:rPr>
              <w:t>99.45%</w:t>
            </w:r>
          </w:p>
        </w:tc>
        <w:tc>
          <w:tcPr>
            <w:tcW w:w="104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9"/>
              <w:ind w:right="2"/>
              <w:jc w:val="right"/>
              <w:rPr>
                <w:rFonts w:ascii="Times New Roman" w:hAnsi="Times New Roman" w:cs="Times New Roman" w:eastAsia="Times New Roman" w:hint="default"/>
                <w:sz w:val="21"/>
                <w:szCs w:val="21"/>
              </w:rPr>
            </w:pPr>
            <w:r>
              <w:rPr>
                <w:rFonts w:ascii="Times New Roman"/>
                <w:spacing w:val="-1"/>
                <w:sz w:val="21"/>
              </w:rPr>
              <w:t>-3.71%</w:t>
            </w:r>
          </w:p>
        </w:tc>
      </w:tr>
      <w:tr>
        <w:trPr>
          <w:trHeight w:val="410" w:hRule="exact"/>
        </w:trPr>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华东</w:t>
            </w:r>
          </w:p>
        </w:tc>
        <w:tc>
          <w:tcPr>
            <w:tcW w:w="23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pacing w:val="-2"/>
                <w:sz w:val="21"/>
              </w:rPr>
              <w:t>465,011,235.81</w:t>
            </w:r>
          </w:p>
        </w:tc>
        <w:tc>
          <w:tcPr>
            <w:tcW w:w="2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189,259,572.97</w:t>
            </w:r>
          </w:p>
        </w:tc>
        <w:tc>
          <w:tcPr>
            <w:tcW w:w="1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59.30%</w:t>
            </w:r>
          </w:p>
        </w:tc>
        <w:tc>
          <w:tcPr>
            <w:tcW w:w="10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pacing w:val="-2"/>
                <w:sz w:val="21"/>
              </w:rPr>
              <w:t>74.11%</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97.30%</w:t>
            </w:r>
          </w:p>
        </w:tc>
        <w:tc>
          <w:tcPr>
            <w:tcW w:w="1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2"/>
              <w:jc w:val="right"/>
              <w:rPr>
                <w:rFonts w:ascii="Times New Roman" w:hAnsi="Times New Roman" w:cs="Times New Roman" w:eastAsia="Times New Roman" w:hint="default"/>
                <w:sz w:val="21"/>
                <w:szCs w:val="21"/>
              </w:rPr>
            </w:pPr>
            <w:r>
              <w:rPr>
                <w:rFonts w:ascii="Times New Roman"/>
                <w:spacing w:val="-1"/>
                <w:sz w:val="21"/>
              </w:rPr>
              <w:t>-4.78%</w:t>
            </w:r>
          </w:p>
        </w:tc>
      </w:tr>
      <w:tr>
        <w:trPr>
          <w:trHeight w:val="413" w:hRule="exact"/>
        </w:trPr>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华南</w:t>
            </w:r>
          </w:p>
        </w:tc>
        <w:tc>
          <w:tcPr>
            <w:tcW w:w="23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3"/>
              <w:jc w:val="right"/>
              <w:rPr>
                <w:rFonts w:ascii="Times New Roman" w:hAnsi="Times New Roman" w:cs="Times New Roman" w:eastAsia="Times New Roman" w:hint="default"/>
                <w:sz w:val="21"/>
                <w:szCs w:val="21"/>
              </w:rPr>
            </w:pPr>
            <w:r>
              <w:rPr>
                <w:rFonts w:ascii="Times New Roman"/>
                <w:spacing w:val="-2"/>
                <w:sz w:val="21"/>
              </w:rPr>
              <w:t>160,114,394.71</w:t>
            </w:r>
          </w:p>
        </w:tc>
        <w:tc>
          <w:tcPr>
            <w:tcW w:w="2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3"/>
              <w:jc w:val="right"/>
              <w:rPr>
                <w:rFonts w:ascii="Times New Roman" w:hAnsi="Times New Roman" w:cs="Times New Roman" w:eastAsia="Times New Roman" w:hint="default"/>
                <w:sz w:val="21"/>
                <w:szCs w:val="21"/>
              </w:rPr>
            </w:pPr>
            <w:r>
              <w:rPr>
                <w:rFonts w:ascii="Times New Roman"/>
                <w:spacing w:val="-1"/>
                <w:sz w:val="21"/>
              </w:rPr>
              <w:t>61,996,293.63</w:t>
            </w:r>
          </w:p>
        </w:tc>
        <w:tc>
          <w:tcPr>
            <w:tcW w:w="1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right"/>
              <w:rPr>
                <w:rFonts w:ascii="Times New Roman" w:hAnsi="Times New Roman" w:cs="Times New Roman" w:eastAsia="Times New Roman" w:hint="default"/>
                <w:sz w:val="21"/>
                <w:szCs w:val="21"/>
              </w:rPr>
            </w:pPr>
            <w:r>
              <w:rPr>
                <w:rFonts w:ascii="Times New Roman"/>
                <w:sz w:val="21"/>
              </w:rPr>
              <w:t>61.28%</w:t>
            </w:r>
          </w:p>
        </w:tc>
        <w:tc>
          <w:tcPr>
            <w:tcW w:w="10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right"/>
              <w:rPr>
                <w:rFonts w:ascii="Times New Roman" w:hAnsi="Times New Roman" w:cs="Times New Roman" w:eastAsia="Times New Roman" w:hint="default"/>
                <w:sz w:val="21"/>
                <w:szCs w:val="21"/>
              </w:rPr>
            </w:pPr>
            <w:r>
              <w:rPr>
                <w:rFonts w:ascii="Times New Roman"/>
                <w:sz w:val="21"/>
              </w:rPr>
              <w:t>79.42%</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right"/>
              <w:rPr>
                <w:rFonts w:ascii="Times New Roman" w:hAnsi="Times New Roman" w:cs="Times New Roman" w:eastAsia="Times New Roman" w:hint="default"/>
                <w:sz w:val="21"/>
                <w:szCs w:val="21"/>
              </w:rPr>
            </w:pPr>
            <w:r>
              <w:rPr>
                <w:rFonts w:ascii="Times New Roman"/>
                <w:sz w:val="21"/>
              </w:rPr>
              <w:t>98.73%</w:t>
            </w:r>
          </w:p>
        </w:tc>
        <w:tc>
          <w:tcPr>
            <w:tcW w:w="1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2"/>
              <w:jc w:val="right"/>
              <w:rPr>
                <w:rFonts w:ascii="Times New Roman" w:hAnsi="Times New Roman" w:cs="Times New Roman" w:eastAsia="Times New Roman" w:hint="default"/>
                <w:sz w:val="21"/>
                <w:szCs w:val="21"/>
              </w:rPr>
            </w:pPr>
            <w:r>
              <w:rPr>
                <w:rFonts w:ascii="Times New Roman"/>
                <w:spacing w:val="-1"/>
                <w:sz w:val="21"/>
              </w:rPr>
              <w:t>-3.76%</w:t>
            </w:r>
          </w:p>
        </w:tc>
      </w:tr>
      <w:tr>
        <w:trPr>
          <w:trHeight w:val="413" w:hRule="exact"/>
        </w:trPr>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华北</w:t>
            </w:r>
          </w:p>
        </w:tc>
        <w:tc>
          <w:tcPr>
            <w:tcW w:w="23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134,802,360.07</w:t>
            </w:r>
          </w:p>
        </w:tc>
        <w:tc>
          <w:tcPr>
            <w:tcW w:w="2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pacing w:val="-1"/>
                <w:sz w:val="21"/>
              </w:rPr>
              <w:t>64,624,251.42</w:t>
            </w:r>
          </w:p>
        </w:tc>
        <w:tc>
          <w:tcPr>
            <w:tcW w:w="1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52.06%</w:t>
            </w:r>
          </w:p>
        </w:tc>
        <w:tc>
          <w:tcPr>
            <w:tcW w:w="10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68.28%</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85.96%</w:t>
            </w:r>
          </w:p>
        </w:tc>
        <w:tc>
          <w:tcPr>
            <w:tcW w:w="1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2"/>
              <w:jc w:val="right"/>
              <w:rPr>
                <w:rFonts w:ascii="Times New Roman" w:hAnsi="Times New Roman" w:cs="Times New Roman" w:eastAsia="Times New Roman" w:hint="default"/>
                <w:sz w:val="21"/>
                <w:szCs w:val="21"/>
              </w:rPr>
            </w:pPr>
            <w:r>
              <w:rPr>
                <w:rFonts w:ascii="Times New Roman"/>
                <w:spacing w:val="-1"/>
                <w:sz w:val="21"/>
              </w:rPr>
              <w:t>-4.56%</w:t>
            </w:r>
          </w:p>
        </w:tc>
      </w:tr>
    </w:tbl>
    <w:p>
      <w:pPr>
        <w:pStyle w:val="BodyText"/>
        <w:spacing w:line="338" w:lineRule="auto" w:before="39"/>
        <w:ind w:right="512" w:firstLine="420"/>
        <w:jc w:val="left"/>
      </w:pPr>
      <w:r>
        <w:rPr/>
        <w:t>公司主营业务数据统计口径在报告期发生调整的情况下，公司最近</w:t>
      </w:r>
      <w:r>
        <w:rPr>
          <w:spacing w:val="-59"/>
        </w:rPr>
        <w:t> </w:t>
      </w:r>
      <w:r>
        <w:rPr>
          <w:rFonts w:ascii="Times New Roman" w:hAnsi="Times New Roman" w:cs="Times New Roman" w:eastAsia="Times New Roman" w:hint="default"/>
        </w:rPr>
        <w:t>1 </w:t>
      </w:r>
      <w:r>
        <w:rPr/>
        <w:t>年按报告期末口径 调整后的主营业务数据</w:t>
      </w:r>
    </w:p>
    <w:p>
      <w:pPr>
        <w:pStyle w:val="BodyText"/>
        <w:spacing w:line="240" w:lineRule="auto"/>
        <w:ind w:left="633" w:right="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right="512"/>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33"/>
          <w:szCs w:val="33"/>
        </w:rPr>
      </w:pPr>
    </w:p>
    <w:p>
      <w:pPr>
        <w:pStyle w:val="BodyText"/>
        <w:spacing w:line="240" w:lineRule="auto" w:before="0"/>
        <w:ind w:left="633" w:right="5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4"/>
        <w:rPr>
          <w:rFonts w:ascii="宋体" w:hAnsi="宋体" w:cs="宋体" w:eastAsia="宋体" w:hint="default"/>
          <w:sz w:val="33"/>
          <w:szCs w:val="33"/>
        </w:rPr>
      </w:pPr>
    </w:p>
    <w:p>
      <w:pPr>
        <w:pStyle w:val="Heading2"/>
        <w:spacing w:line="240" w:lineRule="auto"/>
        <w:ind w:right="512"/>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right="512"/>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0" w:right="431"/>
        <w:jc w:val="right"/>
      </w:pPr>
      <w:r>
        <w:rPr/>
        <w:t>单位：元</w:t>
      </w:r>
    </w:p>
    <w:p>
      <w:pPr>
        <w:spacing w:line="240" w:lineRule="auto" w:before="1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214"/>
        <w:gridCol w:w="1918"/>
        <w:gridCol w:w="2064"/>
        <w:gridCol w:w="1481"/>
        <w:gridCol w:w="1841"/>
        <w:gridCol w:w="1433"/>
      </w:tblGrid>
      <w:tr>
        <w:trPr>
          <w:trHeight w:val="346" w:hRule="exact"/>
        </w:trPr>
        <w:tc>
          <w:tcPr>
            <w:tcW w:w="1214"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b/>
                <w:bCs/>
                <w:sz w:val="21"/>
                <w:szCs w:val="21"/>
              </w:rPr>
              <w:t>产品分类</w:t>
            </w:r>
            <w:r>
              <w:rPr>
                <w:rFonts w:ascii="宋体" w:hAnsi="宋体" w:cs="宋体" w:eastAsia="宋体" w:hint="default"/>
                <w:sz w:val="21"/>
                <w:szCs w:val="21"/>
              </w:rPr>
            </w:r>
          </w:p>
        </w:tc>
        <w:tc>
          <w:tcPr>
            <w:tcW w:w="3983"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
              <w:ind w:left="4"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3322"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2016 </w:t>
            </w:r>
            <w:r>
              <w:rPr>
                <w:rFonts w:ascii="宋体" w:hAnsi="宋体" w:cs="宋体" w:eastAsia="宋体" w:hint="default"/>
                <w:b/>
                <w:bCs/>
                <w:sz w:val="21"/>
                <w:szCs w:val="21"/>
              </w:rPr>
              <w:t>年</w:t>
            </w:r>
            <w:r>
              <w:rPr>
                <w:rFonts w:ascii="宋体" w:hAnsi="宋体" w:cs="宋体" w:eastAsia="宋体" w:hint="default"/>
                <w:sz w:val="21"/>
                <w:szCs w:val="21"/>
              </w:rPr>
            </w:r>
          </w:p>
        </w:tc>
        <w:tc>
          <w:tcPr>
            <w:tcW w:w="1433"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571" w:hRule="exact"/>
        </w:trPr>
        <w:tc>
          <w:tcPr>
            <w:tcW w:w="1214" w:type="dxa"/>
            <w:vMerge/>
            <w:tcBorders>
              <w:left w:val="single" w:sz="8" w:space="0" w:color="000000"/>
              <w:bottom w:val="single" w:sz="4" w:space="0" w:color="000000"/>
              <w:right w:val="single" w:sz="8" w:space="0" w:color="000000"/>
            </w:tcBorders>
            <w:shd w:val="clear" w:color="auto" w:fill="D9D9D9"/>
          </w:tcPr>
          <w:p>
            <w:pPr/>
          </w:p>
        </w:tc>
        <w:tc>
          <w:tcPr>
            <w:tcW w:w="191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06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b/>
                <w:bCs/>
                <w:sz w:val="21"/>
                <w:szCs w:val="21"/>
              </w:rPr>
              <w:t>占营业成本比重</w:t>
            </w:r>
            <w:r>
              <w:rPr>
                <w:rFonts w:ascii="宋体" w:hAnsi="宋体" w:cs="宋体" w:eastAsia="宋体" w:hint="default"/>
                <w:sz w:val="21"/>
                <w:szCs w:val="21"/>
              </w:rPr>
            </w:r>
          </w:p>
        </w:tc>
        <w:tc>
          <w:tcPr>
            <w:tcW w:w="148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841" w:type="dxa"/>
            <w:tcBorders>
              <w:top w:val="single" w:sz="8" w:space="0" w:color="000000"/>
              <w:left w:val="single" w:sz="8" w:space="0" w:color="000000"/>
              <w:bottom w:val="single" w:sz="4" w:space="0" w:color="000000"/>
              <w:right w:val="single" w:sz="8" w:space="0" w:color="000000"/>
            </w:tcBorders>
            <w:shd w:val="clear" w:color="auto" w:fill="D9D9D9"/>
          </w:tcPr>
          <w:p>
            <w:pPr>
              <w:pStyle w:val="TableParagraph"/>
              <w:spacing w:line="240" w:lineRule="auto" w:before="107"/>
              <w:ind w:left="7" w:right="0"/>
              <w:jc w:val="center"/>
              <w:rPr>
                <w:rFonts w:ascii="宋体" w:hAnsi="宋体" w:cs="宋体" w:eastAsia="宋体" w:hint="default"/>
                <w:sz w:val="21"/>
                <w:szCs w:val="21"/>
              </w:rPr>
            </w:pPr>
            <w:r>
              <w:rPr>
                <w:rFonts w:ascii="宋体" w:hAnsi="宋体" w:cs="宋体" w:eastAsia="宋体" w:hint="default"/>
                <w:b/>
                <w:bCs/>
                <w:sz w:val="21"/>
                <w:szCs w:val="21"/>
              </w:rPr>
              <w:t>占营业成本比重</w:t>
            </w:r>
            <w:r>
              <w:rPr>
                <w:rFonts w:ascii="宋体" w:hAnsi="宋体" w:cs="宋体" w:eastAsia="宋体" w:hint="default"/>
                <w:sz w:val="21"/>
                <w:szCs w:val="21"/>
              </w:rPr>
            </w:r>
          </w:p>
        </w:tc>
        <w:tc>
          <w:tcPr>
            <w:tcW w:w="1433" w:type="dxa"/>
            <w:vMerge/>
            <w:tcBorders>
              <w:left w:val="single" w:sz="8" w:space="0" w:color="000000"/>
              <w:bottom w:val="single" w:sz="4" w:space="0" w:color="000000"/>
              <w:right w:val="single" w:sz="8" w:space="0" w:color="000000"/>
            </w:tcBorders>
            <w:shd w:val="clear" w:color="auto" w:fill="D9D9D9"/>
          </w:tcPr>
          <w:p>
            <w:pPr/>
          </w:p>
        </w:tc>
      </w:tr>
      <w:tr>
        <w:trPr>
          <w:trHeight w:val="336" w:hRule="exact"/>
        </w:trPr>
        <w:tc>
          <w:tcPr>
            <w:tcW w:w="1214" w:type="dxa"/>
            <w:tcBorders>
              <w:top w:val="single" w:sz="4" w:space="0" w:color="000000"/>
              <w:left w:val="single" w:sz="8" w:space="0" w:color="000000"/>
              <w:bottom w:val="single" w:sz="8" w:space="0" w:color="000000"/>
              <w:right w:val="single" w:sz="8" w:space="0" w:color="000000"/>
            </w:tcBorders>
            <w:shd w:val="clear" w:color="auto" w:fill="D9D9D9"/>
          </w:tcPr>
          <w:p>
            <w:pPr>
              <w:pStyle w:val="TableParagraph"/>
              <w:spacing w:line="288" w:lineRule="exact"/>
              <w:ind w:left="18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GIS</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软件</w:t>
            </w:r>
            <w:r>
              <w:rPr>
                <w:rFonts w:ascii="宋体" w:hAnsi="宋体" w:cs="宋体" w:eastAsia="宋体" w:hint="default"/>
                <w:sz w:val="21"/>
                <w:szCs w:val="21"/>
              </w:rPr>
            </w:r>
          </w:p>
        </w:tc>
        <w:tc>
          <w:tcPr>
            <w:tcW w:w="191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9"/>
              <w:ind w:right="128"/>
              <w:jc w:val="right"/>
              <w:rPr>
                <w:rFonts w:ascii="Times New Roman" w:hAnsi="Times New Roman" w:cs="Times New Roman" w:eastAsia="Times New Roman" w:hint="default"/>
                <w:sz w:val="21"/>
                <w:szCs w:val="21"/>
              </w:rPr>
            </w:pPr>
            <w:r>
              <w:rPr>
                <w:rFonts w:ascii="Times New Roman"/>
                <w:spacing w:val="-1"/>
                <w:sz w:val="21"/>
              </w:rPr>
              <w:t>487,987,114.90</w:t>
            </w:r>
          </w:p>
        </w:tc>
        <w:tc>
          <w:tcPr>
            <w:tcW w:w="206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96.45%</w:t>
            </w:r>
          </w:p>
        </w:tc>
        <w:tc>
          <w:tcPr>
            <w:tcW w:w="148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9"/>
              <w:ind w:right="128"/>
              <w:jc w:val="right"/>
              <w:rPr>
                <w:rFonts w:ascii="Times New Roman" w:hAnsi="Times New Roman" w:cs="Times New Roman" w:eastAsia="Times New Roman" w:hint="default"/>
                <w:sz w:val="21"/>
                <w:szCs w:val="21"/>
              </w:rPr>
            </w:pPr>
            <w:r>
              <w:rPr>
                <w:rFonts w:ascii="Times New Roman"/>
                <w:spacing w:val="-1"/>
                <w:sz w:val="21"/>
              </w:rPr>
              <w:t>256,374,955.30</w:t>
            </w:r>
          </w:p>
        </w:tc>
        <w:tc>
          <w:tcPr>
            <w:tcW w:w="1841" w:type="dxa"/>
            <w:tcBorders>
              <w:top w:val="single" w:sz="4"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85.27%</w:t>
            </w:r>
          </w:p>
        </w:tc>
        <w:tc>
          <w:tcPr>
            <w:tcW w:w="1433" w:type="dxa"/>
            <w:tcBorders>
              <w:top w:val="single" w:sz="4"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90.34%</w:t>
            </w:r>
          </w:p>
        </w:tc>
      </w:tr>
      <w:tr>
        <w:trPr>
          <w:trHeight w:val="646" w:hRule="exact"/>
        </w:trPr>
        <w:tc>
          <w:tcPr>
            <w:tcW w:w="121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56" w:lineRule="auto"/>
              <w:ind w:left="280" w:right="69" w:hanging="20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GIS</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软件配</w:t>
            </w:r>
            <w:r>
              <w:rPr>
                <w:rFonts w:ascii="宋体" w:hAnsi="宋体" w:cs="宋体" w:eastAsia="宋体" w:hint="default"/>
                <w:b/>
                <w:bCs/>
                <w:w w:val="100"/>
                <w:sz w:val="21"/>
                <w:szCs w:val="21"/>
              </w:rPr>
              <w:t> </w:t>
            </w:r>
            <w:r>
              <w:rPr>
                <w:rFonts w:ascii="宋体" w:hAnsi="宋体" w:cs="宋体" w:eastAsia="宋体" w:hint="default"/>
                <w:b/>
                <w:bCs/>
                <w:sz w:val="21"/>
                <w:szCs w:val="21"/>
              </w:rPr>
              <w:t>套产品</w:t>
            </w:r>
            <w:r>
              <w:rPr>
                <w:rFonts w:ascii="宋体" w:hAnsi="宋体" w:cs="宋体" w:eastAsia="宋体" w:hint="default"/>
                <w:sz w:val="21"/>
                <w:szCs w:val="21"/>
              </w:rPr>
            </w:r>
          </w:p>
        </w:tc>
        <w:tc>
          <w:tcPr>
            <w:tcW w:w="191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28"/>
              <w:jc w:val="right"/>
              <w:rPr>
                <w:rFonts w:ascii="Times New Roman" w:hAnsi="Times New Roman" w:cs="Times New Roman" w:eastAsia="Times New Roman" w:hint="default"/>
                <w:sz w:val="21"/>
                <w:szCs w:val="21"/>
              </w:rPr>
            </w:pPr>
            <w:r>
              <w:rPr>
                <w:rFonts w:ascii="Times New Roman"/>
                <w:spacing w:val="-1"/>
                <w:sz w:val="21"/>
              </w:rPr>
              <w:t>17,970,271.86</w:t>
            </w:r>
          </w:p>
        </w:tc>
        <w:tc>
          <w:tcPr>
            <w:tcW w:w="206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3.55%</w:t>
            </w:r>
          </w:p>
        </w:tc>
        <w:tc>
          <w:tcPr>
            <w:tcW w:w="148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28"/>
              <w:jc w:val="right"/>
              <w:rPr>
                <w:rFonts w:ascii="Times New Roman" w:hAnsi="Times New Roman" w:cs="Times New Roman" w:eastAsia="Times New Roman" w:hint="default"/>
                <w:sz w:val="21"/>
                <w:szCs w:val="21"/>
              </w:rPr>
            </w:pPr>
            <w:r>
              <w:rPr>
                <w:rFonts w:ascii="Times New Roman"/>
                <w:spacing w:val="-1"/>
                <w:sz w:val="21"/>
              </w:rPr>
              <w:t>44,295,204.93</w:t>
            </w:r>
          </w:p>
        </w:tc>
        <w:tc>
          <w:tcPr>
            <w:tcW w:w="184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14.73%</w:t>
            </w:r>
          </w:p>
        </w:tc>
        <w:tc>
          <w:tcPr>
            <w:tcW w:w="1433" w:type="dxa"/>
            <w:tcBorders>
              <w:top w:val="single" w:sz="8" w:space="0" w:color="000000"/>
              <w:left w:val="single" w:sz="8" w:space="0" w:color="000000"/>
              <w:bottom w:val="single" w:sz="4" w:space="0" w:color="000000"/>
              <w:right w:val="single" w:sz="8"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-59.43%</w:t>
            </w:r>
          </w:p>
        </w:tc>
      </w:tr>
    </w:tbl>
    <w:p>
      <w:pPr>
        <w:spacing w:line="240" w:lineRule="auto" w:before="12"/>
        <w:rPr>
          <w:rFonts w:ascii="宋体" w:hAnsi="宋体" w:cs="宋体" w:eastAsia="宋体" w:hint="default"/>
          <w:sz w:val="23"/>
          <w:szCs w:val="23"/>
        </w:rPr>
      </w:pPr>
    </w:p>
    <w:p>
      <w:pPr>
        <w:pStyle w:val="Heading2"/>
        <w:spacing w:line="240" w:lineRule="auto" w:before="26"/>
        <w:ind w:right="512"/>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63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w:t>
      </w:r>
      <w:r>
        <w:rPr>
          <w:spacing w:val="-6"/>
        </w:rPr>
        <w:t>报告期内，公司新设浙江超图信息技术有限公司以及河南超图信息技术有限公司，此外，</w:t>
      </w:r>
    </w:p>
    <w:p>
      <w:pPr>
        <w:pStyle w:val="BodyText"/>
        <w:spacing w:line="338" w:lineRule="auto"/>
        <w:ind w:right="453"/>
        <w:jc w:val="left"/>
      </w:pPr>
      <w:r>
        <w:rPr/>
        <w:t>非同一控制下收购上海数慧系统技术有限公司（详细内容参见公司于</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17 </w:t>
      </w:r>
      <w:r>
        <w:rPr/>
        <w:t>日披露 </w:t>
      </w:r>
      <w:r>
        <w:rPr>
          <w:spacing w:val="-6"/>
        </w:rPr>
        <w:t>于巨潮资讯网上的相关公告），导致合并范围增加。</w:t>
      </w:r>
    </w:p>
    <w:p>
      <w:pPr>
        <w:spacing w:after="0" w:line="338" w:lineRule="auto"/>
        <w:jc w:val="left"/>
        <w:sectPr>
          <w:pgSz w:w="11910" w:h="16840"/>
          <w:pgMar w:header="877" w:footer="980" w:top="1100" w:bottom="1160" w:left="980" w:right="700"/>
        </w:sectPr>
      </w:pPr>
    </w:p>
    <w:p>
      <w:pPr>
        <w:spacing w:line="240" w:lineRule="auto" w:before="7"/>
        <w:rPr>
          <w:rFonts w:ascii="宋体" w:hAnsi="宋体" w:cs="宋体" w:eastAsia="宋体" w:hint="default"/>
          <w:sz w:val="25"/>
          <w:szCs w:val="25"/>
        </w:rPr>
      </w:pPr>
    </w:p>
    <w:p>
      <w:pPr>
        <w:pStyle w:val="Heading2"/>
        <w:spacing w:line="240" w:lineRule="auto" w:before="26"/>
        <w:ind w:right="29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spacing w:line="554" w:lineRule="auto" w:before="0"/>
        <w:ind w:left="633" w:right="5798" w:hanging="480"/>
        <w:jc w:val="left"/>
        <w:rPr>
          <w:rFonts w:ascii="宋体" w:hAnsi="宋体" w:cs="宋体" w:eastAsia="宋体" w:hint="default"/>
          <w:sz w:val="24"/>
          <w:szCs w:val="24"/>
        </w:rPr>
      </w:pPr>
      <w:r>
        <w:rPr/>
        <w:pict>
          <v:shape style="position:absolute;margin-left:56.484001pt;margin-top:59.85564pt;width:479.2pt;height:64.4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79"/>
                    <w:gridCol w:w="3191"/>
                  </w:tblGrid>
                  <w:tr>
                    <w:trPr>
                      <w:trHeight w:val="517" w:hRule="exact"/>
                    </w:trPr>
                    <w:tc>
                      <w:tcPr>
                        <w:tcW w:w="6379" w:type="dxa"/>
                        <w:tcBorders>
                          <w:top w:val="single" w:sz="4" w:space="0" w:color="000000"/>
                          <w:left w:val="single" w:sz="4" w:space="0" w:color="000000"/>
                          <w:bottom w:val="single" w:sz="36" w:space="0" w:color="FFFFFF"/>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b/>
                            <w:bCs/>
                            <w:sz w:val="21"/>
                            <w:szCs w:val="21"/>
                          </w:rPr>
                          <w:t>前五名客户合计销售金额（元）</w:t>
                        </w:r>
                        <w:r>
                          <w:rPr>
                            <w:rFonts w:ascii="宋体" w:hAnsi="宋体" w:cs="宋体" w:eastAsia="宋体" w:hint="default"/>
                            <w:sz w:val="21"/>
                            <w:szCs w:val="21"/>
                          </w:rPr>
                        </w:r>
                      </w:p>
                    </w:tc>
                    <w:tc>
                      <w:tcPr>
                        <w:tcW w:w="3191" w:type="dxa"/>
                        <w:tcBorders>
                          <w:top w:val="single" w:sz="4" w:space="0" w:color="000000"/>
                          <w:left w:val="single" w:sz="4" w:space="0" w:color="000000"/>
                          <w:bottom w:val="single" w:sz="36" w:space="0" w:color="FFFFFF"/>
                          <w:right w:val="single" w:sz="4" w:space="0" w:color="000000"/>
                        </w:tcBorders>
                      </w:tcPr>
                      <w:p>
                        <w:pPr>
                          <w:pStyle w:val="TableParagraph"/>
                          <w:spacing w:line="240" w:lineRule="auto" w:before="111"/>
                          <w:ind w:left="1195" w:right="0"/>
                          <w:jc w:val="left"/>
                          <w:rPr>
                            <w:rFonts w:ascii="Times New Roman" w:hAnsi="Times New Roman" w:cs="Times New Roman" w:eastAsia="Times New Roman" w:hint="default"/>
                            <w:sz w:val="21"/>
                            <w:szCs w:val="21"/>
                          </w:rPr>
                        </w:pPr>
                        <w:r>
                          <w:rPr>
                            <w:rFonts w:ascii="Times New Roman"/>
                            <w:sz w:val="21"/>
                          </w:rPr>
                          <w:t>92,604,421.08</w:t>
                        </w:r>
                      </w:p>
                    </w:tc>
                  </w:tr>
                  <w:tr>
                    <w:trPr>
                      <w:trHeight w:val="438" w:hRule="exact"/>
                    </w:trPr>
                    <w:tc>
                      <w:tcPr>
                        <w:tcW w:w="6379" w:type="dxa"/>
                        <w:tcBorders>
                          <w:top w:val="single" w:sz="36" w:space="0" w:color="FFFFFF"/>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前五名客户合计销售金额占年度销售总额比例</w:t>
                        </w:r>
                        <w:r>
                          <w:rPr>
                            <w:rFonts w:ascii="宋体" w:hAnsi="宋体" w:cs="宋体" w:eastAsia="宋体" w:hint="default"/>
                            <w:sz w:val="21"/>
                            <w:szCs w:val="21"/>
                          </w:rPr>
                        </w:r>
                      </w:p>
                    </w:tc>
                    <w:tc>
                      <w:tcPr>
                        <w:tcW w:w="3191" w:type="dxa"/>
                        <w:tcBorders>
                          <w:top w:val="single" w:sz="36" w:space="0" w:color="FFFFFF"/>
                          <w:left w:val="single" w:sz="4" w:space="0" w:color="000000"/>
                          <w:bottom w:val="single" w:sz="4" w:space="0" w:color="000000"/>
                          <w:right w:val="single" w:sz="4" w:space="0" w:color="000000"/>
                        </w:tcBorders>
                      </w:tcPr>
                      <w:p>
                        <w:pPr>
                          <w:pStyle w:val="TableParagraph"/>
                          <w:spacing w:line="240" w:lineRule="auto" w:before="32"/>
                          <w:ind w:left="423" w:right="0"/>
                          <w:jc w:val="center"/>
                          <w:rPr>
                            <w:rFonts w:ascii="Times New Roman" w:hAnsi="Times New Roman" w:cs="Times New Roman" w:eastAsia="Times New Roman" w:hint="default"/>
                            <w:sz w:val="21"/>
                            <w:szCs w:val="21"/>
                          </w:rPr>
                        </w:pPr>
                        <w:r>
                          <w:rPr>
                            <w:rFonts w:ascii="Times New Roman"/>
                            <w:sz w:val="21"/>
                          </w:rPr>
                          <w:t>7.41%</w:t>
                        </w:r>
                      </w:p>
                    </w:tc>
                  </w:tr>
                  <w:tr>
                    <w:trPr>
                      <w:trHeight w:val="323" w:hRule="exact"/>
                    </w:trPr>
                    <w:tc>
                      <w:tcPr>
                        <w:tcW w:w="6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b/>
                            <w:bCs/>
                            <w:sz w:val="21"/>
                            <w:szCs w:val="21"/>
                          </w:rPr>
                          <w:t>前五名客户销售额中关联方销售额占年度销售总额比例</w:t>
                        </w:r>
                        <w:r>
                          <w:rPr>
                            <w:rFonts w:ascii="宋体" w:hAnsi="宋体" w:cs="宋体" w:eastAsia="宋体"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w w:val="100"/>
                            <w:sz w:val="21"/>
                          </w:rPr>
                          <w:t>-</w:t>
                        </w:r>
                      </w:p>
                    </w:tc>
                  </w:tr>
                </w:tbl>
                <w:p>
                  <w:pPr/>
                </w:p>
              </w:txbxContent>
            </v:textbox>
            <w10:wrap type="none"/>
          </v:shape>
        </w:pict>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）主要销售客户和主要供应商情况</w:t>
      </w:r>
      <w:r>
        <w:rPr>
          <w:rFonts w:ascii="宋体" w:hAnsi="宋体" w:cs="宋体" w:eastAsia="宋体" w:hint="default"/>
          <w:b/>
          <w:bCs/>
          <w:w w:val="99"/>
          <w:sz w:val="24"/>
          <w:szCs w:val="24"/>
        </w:rPr>
        <w:t> </w:t>
      </w:r>
      <w:r>
        <w:rPr>
          <w:rFonts w:ascii="宋体" w:hAnsi="宋体" w:cs="宋体" w:eastAsia="宋体" w:hint="default"/>
          <w:sz w:val="24"/>
          <w:szCs w:val="24"/>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26"/>
        <w:ind w:left="633" w:right="293"/>
        <w:jc w:val="left"/>
      </w:pPr>
      <w:r>
        <w:rPr/>
        <w:t>公司前</w:t>
      </w:r>
      <w:r>
        <w:rPr>
          <w:spacing w:val="-61"/>
        </w:rPr>
        <w:t> </w:t>
      </w:r>
      <w:r>
        <w:rPr>
          <w:rFonts w:ascii="Times New Roman" w:hAnsi="Times New Roman" w:cs="Times New Roman" w:eastAsia="Times New Roman" w:hint="default"/>
        </w:rPr>
        <w:t>5 </w:t>
      </w:r>
      <w:r>
        <w:rPr/>
        <w:t>大客户资料</w:t>
      </w:r>
    </w:p>
    <w:p>
      <w:pPr>
        <w:spacing w:line="240" w:lineRule="auto" w:before="7"/>
        <w:rPr>
          <w:rFonts w:ascii="宋体" w:hAnsi="宋体" w:cs="宋体" w:eastAsia="宋体" w:hint="default"/>
          <w:sz w:val="9"/>
          <w:szCs w:val="9"/>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276"/>
        <w:gridCol w:w="3191"/>
      </w:tblGrid>
      <w:tr>
        <w:trPr>
          <w:trHeight w:val="362" w:hRule="exact"/>
        </w:trPr>
        <w:tc>
          <w:tcPr>
            <w:tcW w:w="80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30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27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left="499" w:right="0"/>
              <w:jc w:val="left"/>
              <w:rPr>
                <w:rFonts w:ascii="宋体" w:hAnsi="宋体" w:cs="宋体" w:eastAsia="宋体" w:hint="default"/>
                <w:sz w:val="21"/>
                <w:szCs w:val="21"/>
              </w:rPr>
            </w:pPr>
            <w:r>
              <w:rPr>
                <w:rFonts w:ascii="宋体" w:hAnsi="宋体" w:cs="宋体" w:eastAsia="宋体" w:hint="default"/>
                <w:b/>
                <w:bCs/>
                <w:sz w:val="21"/>
                <w:szCs w:val="21"/>
              </w:rPr>
              <w:t>销售额（元）</w:t>
            </w:r>
            <w:r>
              <w:rPr>
                <w:rFonts w:ascii="宋体" w:hAnsi="宋体" w:cs="宋体" w:eastAsia="宋体" w:hint="default"/>
                <w:sz w:val="21"/>
                <w:szCs w:val="21"/>
              </w:rPr>
            </w:r>
          </w:p>
        </w:tc>
        <w:tc>
          <w:tcPr>
            <w:tcW w:w="319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left="638" w:right="0"/>
              <w:jc w:val="left"/>
              <w:rPr>
                <w:rFonts w:ascii="宋体" w:hAnsi="宋体" w:cs="宋体" w:eastAsia="宋体" w:hint="default"/>
                <w:sz w:val="21"/>
                <w:szCs w:val="21"/>
              </w:rPr>
            </w:pPr>
            <w:r>
              <w:rPr>
                <w:rFonts w:ascii="宋体" w:hAnsi="宋体" w:cs="宋体" w:eastAsia="宋体" w:hint="default"/>
                <w:b/>
                <w:bCs/>
                <w:sz w:val="21"/>
                <w:szCs w:val="21"/>
              </w:rPr>
              <w:t>占年度销售总额比例</w:t>
            </w:r>
            <w:r>
              <w:rPr>
                <w:rFonts w:ascii="宋体" w:hAnsi="宋体" w:cs="宋体" w:eastAsia="宋体" w:hint="default"/>
                <w:sz w:val="21"/>
                <w:szCs w:val="21"/>
              </w:rPr>
            </w:r>
          </w:p>
        </w:tc>
      </w:tr>
      <w:tr>
        <w:trPr>
          <w:trHeight w:val="479"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1</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3"/>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314"/>
              <w:jc w:val="right"/>
              <w:rPr>
                <w:rFonts w:ascii="Times New Roman" w:hAnsi="Times New Roman" w:cs="Times New Roman" w:eastAsia="Times New Roman" w:hint="default"/>
                <w:sz w:val="21"/>
                <w:szCs w:val="21"/>
              </w:rPr>
            </w:pPr>
            <w:r>
              <w:rPr>
                <w:rFonts w:ascii="Times New Roman"/>
                <w:spacing w:val="-1"/>
                <w:sz w:val="21"/>
              </w:rPr>
              <w:t>23,231,203.78</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left="423" w:right="0"/>
              <w:jc w:val="center"/>
              <w:rPr>
                <w:rFonts w:ascii="Times New Roman" w:hAnsi="Times New Roman" w:cs="Times New Roman" w:eastAsia="Times New Roman" w:hint="default"/>
                <w:sz w:val="21"/>
                <w:szCs w:val="21"/>
              </w:rPr>
            </w:pPr>
            <w:r>
              <w:rPr>
                <w:rFonts w:ascii="Times New Roman"/>
                <w:sz w:val="21"/>
              </w:rPr>
              <w:t>1.86%</w:t>
            </w:r>
          </w:p>
        </w:tc>
      </w:tr>
      <w:tr>
        <w:trPr>
          <w:trHeight w:val="478"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2</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314"/>
              <w:jc w:val="right"/>
              <w:rPr>
                <w:rFonts w:ascii="Times New Roman" w:hAnsi="Times New Roman" w:cs="Times New Roman" w:eastAsia="Times New Roman" w:hint="default"/>
                <w:sz w:val="21"/>
                <w:szCs w:val="21"/>
              </w:rPr>
            </w:pPr>
            <w:r>
              <w:rPr>
                <w:rFonts w:ascii="Times New Roman"/>
                <w:spacing w:val="-1"/>
                <w:sz w:val="21"/>
              </w:rPr>
              <w:t>22,481,922.64</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left="423" w:right="0"/>
              <w:jc w:val="center"/>
              <w:rPr>
                <w:rFonts w:ascii="Times New Roman" w:hAnsi="Times New Roman" w:cs="Times New Roman" w:eastAsia="Times New Roman" w:hint="default"/>
                <w:sz w:val="21"/>
                <w:szCs w:val="21"/>
              </w:rPr>
            </w:pPr>
            <w:r>
              <w:rPr>
                <w:rFonts w:ascii="Times New Roman"/>
                <w:sz w:val="21"/>
              </w:rPr>
              <w:t>1.80%</w:t>
            </w:r>
          </w:p>
        </w:tc>
      </w:tr>
      <w:tr>
        <w:trPr>
          <w:trHeight w:val="478"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3</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314"/>
              <w:jc w:val="right"/>
              <w:rPr>
                <w:rFonts w:ascii="Times New Roman" w:hAnsi="Times New Roman" w:cs="Times New Roman" w:eastAsia="Times New Roman" w:hint="default"/>
                <w:sz w:val="21"/>
                <w:szCs w:val="21"/>
              </w:rPr>
            </w:pPr>
            <w:r>
              <w:rPr>
                <w:rFonts w:ascii="Times New Roman"/>
                <w:spacing w:val="-1"/>
                <w:sz w:val="21"/>
              </w:rPr>
              <w:t>21,750,000.00</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left="423" w:right="0"/>
              <w:jc w:val="center"/>
              <w:rPr>
                <w:rFonts w:ascii="Times New Roman" w:hAnsi="Times New Roman" w:cs="Times New Roman" w:eastAsia="Times New Roman" w:hint="default"/>
                <w:sz w:val="21"/>
                <w:szCs w:val="21"/>
              </w:rPr>
            </w:pPr>
            <w:r>
              <w:rPr>
                <w:rFonts w:ascii="Times New Roman"/>
                <w:sz w:val="21"/>
              </w:rPr>
              <w:t>1.74%</w:t>
            </w:r>
          </w:p>
        </w:tc>
      </w:tr>
      <w:tr>
        <w:trPr>
          <w:trHeight w:val="478"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4</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314"/>
              <w:jc w:val="right"/>
              <w:rPr>
                <w:rFonts w:ascii="Times New Roman" w:hAnsi="Times New Roman" w:cs="Times New Roman" w:eastAsia="Times New Roman" w:hint="default"/>
                <w:sz w:val="21"/>
                <w:szCs w:val="21"/>
              </w:rPr>
            </w:pPr>
            <w:r>
              <w:rPr>
                <w:rFonts w:ascii="Times New Roman"/>
                <w:spacing w:val="-1"/>
                <w:sz w:val="21"/>
              </w:rPr>
              <w:t>12,738,667.01</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left="423" w:right="0"/>
              <w:jc w:val="center"/>
              <w:rPr>
                <w:rFonts w:ascii="Times New Roman" w:hAnsi="Times New Roman" w:cs="Times New Roman" w:eastAsia="Times New Roman" w:hint="default"/>
                <w:sz w:val="21"/>
                <w:szCs w:val="21"/>
              </w:rPr>
            </w:pPr>
            <w:r>
              <w:rPr>
                <w:rFonts w:ascii="Times New Roman"/>
                <w:sz w:val="21"/>
              </w:rPr>
              <w:t>1.02%</w:t>
            </w:r>
          </w:p>
        </w:tc>
      </w:tr>
      <w:tr>
        <w:trPr>
          <w:trHeight w:val="479"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w w:val="100"/>
                <w:sz w:val="21"/>
              </w:rPr>
              <w:t>5</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5"/>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314"/>
              <w:jc w:val="right"/>
              <w:rPr>
                <w:rFonts w:ascii="Times New Roman" w:hAnsi="Times New Roman" w:cs="Times New Roman" w:eastAsia="Times New Roman" w:hint="default"/>
                <w:sz w:val="21"/>
                <w:szCs w:val="21"/>
              </w:rPr>
            </w:pPr>
            <w:r>
              <w:rPr>
                <w:rFonts w:ascii="Times New Roman"/>
                <w:spacing w:val="-1"/>
                <w:sz w:val="21"/>
              </w:rPr>
              <w:t>12,402,627.65</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left="423" w:right="0"/>
              <w:jc w:val="center"/>
              <w:rPr>
                <w:rFonts w:ascii="Times New Roman" w:hAnsi="Times New Roman" w:cs="Times New Roman" w:eastAsia="Times New Roman" w:hint="default"/>
                <w:sz w:val="21"/>
                <w:szCs w:val="21"/>
              </w:rPr>
            </w:pPr>
            <w:r>
              <w:rPr>
                <w:rFonts w:ascii="Times New Roman"/>
                <w:sz w:val="21"/>
              </w:rPr>
              <w:t>0.99%</w:t>
            </w:r>
          </w:p>
        </w:tc>
      </w:tr>
      <w:tr>
        <w:trPr>
          <w:trHeight w:val="437" w:hRule="exact"/>
        </w:trPr>
        <w:tc>
          <w:tcPr>
            <w:tcW w:w="80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30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72"/>
              <w:ind w:right="2"/>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2276"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70"/>
              <w:ind w:right="314"/>
              <w:jc w:val="right"/>
              <w:rPr>
                <w:rFonts w:ascii="Times New Roman" w:hAnsi="Times New Roman" w:cs="Times New Roman" w:eastAsia="Times New Roman" w:hint="default"/>
                <w:sz w:val="21"/>
                <w:szCs w:val="21"/>
              </w:rPr>
            </w:pPr>
            <w:r>
              <w:rPr>
                <w:rFonts w:ascii="Times New Roman"/>
                <w:spacing w:val="-1"/>
                <w:sz w:val="21"/>
              </w:rPr>
              <w:t>92,604,421.08</w:t>
            </w:r>
          </w:p>
        </w:tc>
        <w:tc>
          <w:tcPr>
            <w:tcW w:w="319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0"/>
              <w:ind w:left="423" w:right="0"/>
              <w:jc w:val="center"/>
              <w:rPr>
                <w:rFonts w:ascii="Times New Roman" w:hAnsi="Times New Roman" w:cs="Times New Roman" w:eastAsia="Times New Roman" w:hint="default"/>
                <w:sz w:val="21"/>
                <w:szCs w:val="21"/>
              </w:rPr>
            </w:pPr>
            <w:r>
              <w:rPr>
                <w:rFonts w:ascii="Times New Roman"/>
                <w:sz w:val="21"/>
              </w:rPr>
              <w:t>7.41%</w:t>
            </w:r>
          </w:p>
        </w:tc>
      </w:tr>
    </w:tbl>
    <w:p>
      <w:pPr>
        <w:pStyle w:val="BodyText"/>
        <w:spacing w:line="240" w:lineRule="auto" w:before="39"/>
        <w:ind w:left="633" w:right="293"/>
        <w:jc w:val="left"/>
      </w:pPr>
      <w:r>
        <w:rPr/>
        <w:t>主要客户的其他情况说明</w:t>
      </w:r>
    </w:p>
    <w:p>
      <w:pPr>
        <w:pStyle w:val="BodyText"/>
        <w:spacing w:line="338" w:lineRule="auto" w:before="154"/>
        <w:ind w:left="633" w:right="7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6379"/>
        <w:gridCol w:w="3191"/>
      </w:tblGrid>
      <w:tr>
        <w:trPr>
          <w:trHeight w:val="517" w:hRule="exact"/>
        </w:trPr>
        <w:tc>
          <w:tcPr>
            <w:tcW w:w="6379" w:type="dxa"/>
            <w:tcBorders>
              <w:top w:val="single" w:sz="4" w:space="0" w:color="000000"/>
              <w:left w:val="single" w:sz="4" w:space="0" w:color="000000"/>
              <w:bottom w:val="single" w:sz="36" w:space="0" w:color="FFFFFF"/>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b/>
                <w:bCs/>
                <w:sz w:val="21"/>
                <w:szCs w:val="21"/>
              </w:rPr>
              <w:t>前五名供应商合计采购金额（元）</w:t>
            </w:r>
            <w:r>
              <w:rPr>
                <w:rFonts w:ascii="宋体" w:hAnsi="宋体" w:cs="宋体" w:eastAsia="宋体" w:hint="default"/>
                <w:sz w:val="21"/>
                <w:szCs w:val="21"/>
              </w:rPr>
            </w:r>
          </w:p>
        </w:tc>
        <w:tc>
          <w:tcPr>
            <w:tcW w:w="3191" w:type="dxa"/>
            <w:tcBorders>
              <w:top w:val="single" w:sz="4" w:space="0" w:color="000000"/>
              <w:left w:val="single" w:sz="4" w:space="0" w:color="000000"/>
              <w:bottom w:val="single" w:sz="36" w:space="0" w:color="FFFFFF"/>
              <w:right w:val="single" w:sz="4" w:space="0" w:color="000000"/>
            </w:tcBorders>
          </w:tcPr>
          <w:p>
            <w:pPr>
              <w:pStyle w:val="TableParagraph"/>
              <w:spacing w:line="240" w:lineRule="auto" w:before="92"/>
              <w:ind w:left="1140" w:right="0"/>
              <w:jc w:val="left"/>
              <w:rPr>
                <w:rFonts w:ascii="Times New Roman" w:hAnsi="Times New Roman" w:cs="Times New Roman" w:eastAsia="Times New Roman" w:hint="default"/>
                <w:sz w:val="24"/>
                <w:szCs w:val="24"/>
              </w:rPr>
            </w:pPr>
            <w:r>
              <w:rPr>
                <w:rFonts w:ascii="Times New Roman"/>
                <w:sz w:val="24"/>
              </w:rPr>
              <w:t>32,547,218.82</w:t>
            </w:r>
          </w:p>
        </w:tc>
      </w:tr>
      <w:tr>
        <w:trPr>
          <w:trHeight w:val="438" w:hRule="exact"/>
        </w:trPr>
        <w:tc>
          <w:tcPr>
            <w:tcW w:w="6379" w:type="dxa"/>
            <w:tcBorders>
              <w:top w:val="single" w:sz="36" w:space="0" w:color="FFFFFF"/>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前五名供应商合计采购金额占年度采购总额比例</w:t>
            </w:r>
            <w:r>
              <w:rPr>
                <w:rFonts w:ascii="宋体" w:hAnsi="宋体" w:cs="宋体" w:eastAsia="宋体" w:hint="default"/>
                <w:sz w:val="21"/>
                <w:szCs w:val="21"/>
              </w:rPr>
            </w:r>
          </w:p>
        </w:tc>
        <w:tc>
          <w:tcPr>
            <w:tcW w:w="3191" w:type="dxa"/>
            <w:tcBorders>
              <w:top w:val="single" w:sz="36" w:space="0" w:color="FFFFFF"/>
              <w:left w:val="single" w:sz="4" w:space="0" w:color="000000"/>
              <w:bottom w:val="single" w:sz="4" w:space="0" w:color="000000"/>
              <w:right w:val="single" w:sz="4" w:space="0" w:color="000000"/>
            </w:tcBorders>
          </w:tcPr>
          <w:p>
            <w:pPr>
              <w:pStyle w:val="TableParagraph"/>
              <w:spacing w:line="240" w:lineRule="auto" w:before="13"/>
              <w:ind w:left="1519" w:right="0"/>
              <w:jc w:val="left"/>
              <w:rPr>
                <w:rFonts w:ascii="Times New Roman" w:hAnsi="Times New Roman" w:cs="Times New Roman" w:eastAsia="Times New Roman" w:hint="default"/>
                <w:sz w:val="24"/>
                <w:szCs w:val="24"/>
              </w:rPr>
            </w:pPr>
            <w:r>
              <w:rPr>
                <w:rFonts w:ascii="Times New Roman"/>
                <w:sz w:val="24"/>
              </w:rPr>
              <w:t>6.39%</w:t>
            </w:r>
          </w:p>
        </w:tc>
      </w:tr>
      <w:tr>
        <w:trPr>
          <w:trHeight w:val="323" w:hRule="exact"/>
        </w:trPr>
        <w:tc>
          <w:tcPr>
            <w:tcW w:w="6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前五名供应商采购额中关联方采购额占年度采购总额比例</w:t>
            </w:r>
            <w:r>
              <w:rPr>
                <w:rFonts w:ascii="宋体" w:hAnsi="宋体" w:cs="宋体" w:eastAsia="宋体"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bl>
    <w:p>
      <w:pPr>
        <w:pStyle w:val="BodyText"/>
        <w:spacing w:line="240" w:lineRule="auto" w:before="57"/>
        <w:ind w:left="633" w:right="293"/>
        <w:jc w:val="left"/>
      </w:pPr>
      <w:r>
        <w:rPr/>
        <w:t>公司前</w:t>
      </w:r>
      <w:r>
        <w:rPr>
          <w:spacing w:val="-61"/>
        </w:rPr>
        <w:t> </w:t>
      </w:r>
      <w:r>
        <w:rPr>
          <w:rFonts w:ascii="Times New Roman" w:hAnsi="Times New Roman" w:cs="Times New Roman" w:eastAsia="Times New Roman" w:hint="default"/>
        </w:rPr>
        <w:t>5 </w:t>
      </w:r>
      <w:r>
        <w:rPr/>
        <w:t>名供应商资料</w:t>
      </w:r>
    </w:p>
    <w:p>
      <w:pPr>
        <w:spacing w:line="240" w:lineRule="auto" w:before="7"/>
        <w:rPr>
          <w:rFonts w:ascii="宋体" w:hAnsi="宋体" w:cs="宋体" w:eastAsia="宋体" w:hint="default"/>
          <w:sz w:val="9"/>
          <w:szCs w:val="9"/>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790"/>
        <w:gridCol w:w="3303"/>
        <w:gridCol w:w="2276"/>
        <w:gridCol w:w="3191"/>
      </w:tblGrid>
      <w:tr>
        <w:trPr>
          <w:trHeight w:val="362" w:hRule="exact"/>
        </w:trPr>
        <w:tc>
          <w:tcPr>
            <w:tcW w:w="79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11"/>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30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供应商名称</w:t>
            </w:r>
            <w:r>
              <w:rPr>
                <w:rFonts w:ascii="宋体" w:hAnsi="宋体" w:cs="宋体" w:eastAsia="宋体" w:hint="default"/>
                <w:sz w:val="21"/>
                <w:szCs w:val="21"/>
              </w:rPr>
            </w:r>
          </w:p>
        </w:tc>
        <w:tc>
          <w:tcPr>
            <w:tcW w:w="227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left="499" w:right="0"/>
              <w:jc w:val="left"/>
              <w:rPr>
                <w:rFonts w:ascii="宋体" w:hAnsi="宋体" w:cs="宋体" w:eastAsia="宋体" w:hint="default"/>
                <w:sz w:val="21"/>
                <w:szCs w:val="21"/>
              </w:rPr>
            </w:pPr>
            <w:r>
              <w:rPr>
                <w:rFonts w:ascii="宋体" w:hAnsi="宋体" w:cs="宋体" w:eastAsia="宋体" w:hint="default"/>
                <w:b/>
                <w:bCs/>
                <w:sz w:val="21"/>
                <w:szCs w:val="21"/>
              </w:rPr>
              <w:t>采购额（元）</w:t>
            </w:r>
            <w:r>
              <w:rPr>
                <w:rFonts w:ascii="宋体" w:hAnsi="宋体" w:cs="宋体" w:eastAsia="宋体" w:hint="default"/>
                <w:sz w:val="21"/>
                <w:szCs w:val="21"/>
              </w:rPr>
            </w:r>
          </w:p>
        </w:tc>
        <w:tc>
          <w:tcPr>
            <w:tcW w:w="319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占年度采购总额比例</w:t>
            </w:r>
            <w:r>
              <w:rPr>
                <w:rFonts w:ascii="宋体" w:hAnsi="宋体" w:cs="宋体" w:eastAsia="宋体" w:hint="default"/>
                <w:sz w:val="21"/>
                <w:szCs w:val="21"/>
              </w:rPr>
            </w:r>
          </w:p>
        </w:tc>
      </w:tr>
      <w:tr>
        <w:trPr>
          <w:trHeight w:val="479" w:hRule="exact"/>
        </w:trPr>
        <w:tc>
          <w:tcPr>
            <w:tcW w:w="79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0"/>
              <w:ind w:right="11"/>
              <w:jc w:val="center"/>
              <w:rPr>
                <w:rFonts w:ascii="Times New Roman" w:hAnsi="Times New Roman" w:cs="Times New Roman" w:eastAsia="Times New Roman" w:hint="default"/>
                <w:sz w:val="21"/>
                <w:szCs w:val="21"/>
              </w:rPr>
            </w:pPr>
            <w:r>
              <w:rPr>
                <w:rFonts w:ascii="Times New Roman"/>
                <w:w w:val="100"/>
                <w:sz w:val="21"/>
              </w:rPr>
              <w:t>1</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3"/>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2"/>
                <w:sz w:val="21"/>
              </w:rPr>
              <w:t>11,410,893.68</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21"/>
              <w:jc w:val="center"/>
              <w:rPr>
                <w:rFonts w:ascii="Times New Roman" w:hAnsi="Times New Roman" w:cs="Times New Roman" w:eastAsia="Times New Roman" w:hint="default"/>
                <w:sz w:val="21"/>
                <w:szCs w:val="21"/>
              </w:rPr>
            </w:pPr>
            <w:r>
              <w:rPr>
                <w:rFonts w:ascii="Times New Roman"/>
                <w:sz w:val="21"/>
              </w:rPr>
              <w:t>2.24%</w:t>
            </w:r>
          </w:p>
        </w:tc>
      </w:tr>
      <w:tr>
        <w:trPr>
          <w:trHeight w:val="478" w:hRule="exact"/>
        </w:trPr>
        <w:tc>
          <w:tcPr>
            <w:tcW w:w="79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1"/>
              <w:ind w:right="11"/>
              <w:jc w:val="center"/>
              <w:rPr>
                <w:rFonts w:ascii="Times New Roman" w:hAnsi="Times New Roman" w:cs="Times New Roman" w:eastAsia="Times New Roman" w:hint="default"/>
                <w:sz w:val="21"/>
                <w:szCs w:val="21"/>
              </w:rPr>
            </w:pPr>
            <w:r>
              <w:rPr>
                <w:rFonts w:ascii="Times New Roman"/>
                <w:w w:val="100"/>
                <w:sz w:val="21"/>
              </w:rPr>
              <w:t>2</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4"/>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6,513,699.27</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21"/>
              <w:jc w:val="center"/>
              <w:rPr>
                <w:rFonts w:ascii="Times New Roman" w:hAnsi="Times New Roman" w:cs="Times New Roman" w:eastAsia="Times New Roman" w:hint="default"/>
                <w:sz w:val="21"/>
                <w:szCs w:val="21"/>
              </w:rPr>
            </w:pPr>
            <w:r>
              <w:rPr>
                <w:rFonts w:ascii="Times New Roman"/>
                <w:sz w:val="21"/>
              </w:rPr>
              <w:t>1.28%</w:t>
            </w:r>
          </w:p>
        </w:tc>
      </w:tr>
      <w:tr>
        <w:trPr>
          <w:trHeight w:val="436" w:hRule="exact"/>
        </w:trPr>
        <w:tc>
          <w:tcPr>
            <w:tcW w:w="79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71"/>
              <w:ind w:right="11"/>
              <w:jc w:val="center"/>
              <w:rPr>
                <w:rFonts w:ascii="Times New Roman" w:hAnsi="Times New Roman" w:cs="Times New Roman" w:eastAsia="Times New Roman" w:hint="default"/>
                <w:sz w:val="21"/>
                <w:szCs w:val="21"/>
              </w:rPr>
            </w:pPr>
            <w:r>
              <w:rPr>
                <w:rFonts w:ascii="Times New Roman"/>
                <w:w w:val="100"/>
                <w:sz w:val="21"/>
              </w:rPr>
              <w:t>3</w:t>
            </w:r>
          </w:p>
        </w:tc>
        <w:tc>
          <w:tcPr>
            <w:tcW w:w="3303" w:type="dxa"/>
            <w:tcBorders>
              <w:top w:val="single" w:sz="4" w:space="0" w:color="FFFFFF"/>
              <w:left w:val="single" w:sz="10" w:space="0" w:color="D2D2D2"/>
              <w:bottom w:val="single" w:sz="4" w:space="0" w:color="000000"/>
              <w:right w:val="single" w:sz="4" w:space="0" w:color="000000"/>
            </w:tcBorders>
          </w:tcPr>
          <w:p>
            <w:pPr>
              <w:pStyle w:val="TableParagraph"/>
              <w:spacing w:line="240" w:lineRule="auto" w:before="24"/>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p>
        </w:tc>
        <w:tc>
          <w:tcPr>
            <w:tcW w:w="22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5,768,123.34</w:t>
            </w:r>
          </w:p>
        </w:tc>
        <w:tc>
          <w:tcPr>
            <w:tcW w:w="319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9"/>
              <w:ind w:right="21"/>
              <w:jc w:val="center"/>
              <w:rPr>
                <w:rFonts w:ascii="Times New Roman" w:hAnsi="Times New Roman" w:cs="Times New Roman" w:eastAsia="Times New Roman" w:hint="default"/>
                <w:sz w:val="21"/>
                <w:szCs w:val="21"/>
              </w:rPr>
            </w:pPr>
            <w:r>
              <w:rPr>
                <w:rFonts w:ascii="Times New Roman"/>
                <w:sz w:val="21"/>
              </w:rPr>
              <w:t>1.13%</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276"/>
        <w:gridCol w:w="3191"/>
      </w:tblGrid>
      <w:tr>
        <w:trPr>
          <w:trHeight w:val="478" w:hRule="exact"/>
        </w:trPr>
        <w:tc>
          <w:tcPr>
            <w:tcW w:w="80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4</w:t>
            </w:r>
          </w:p>
        </w:tc>
        <w:tc>
          <w:tcPr>
            <w:tcW w:w="3303" w:type="dxa"/>
            <w:tcBorders>
              <w:top w:val="single" w:sz="4" w:space="0" w:color="000000"/>
              <w:left w:val="single" w:sz="10" w:space="0" w:color="D2D2D2"/>
              <w:bottom w:val="single" w:sz="4" w:space="0" w:color="FFFFFF"/>
              <w:right w:val="single" w:sz="4" w:space="0" w:color="000000"/>
            </w:tcBorders>
          </w:tcPr>
          <w:p>
            <w:pPr>
              <w:pStyle w:val="TableParagraph"/>
              <w:spacing w:line="240" w:lineRule="auto" w:before="24"/>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tc>
        <w:tc>
          <w:tcPr>
            <w:tcW w:w="227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5,231,377.36</w:t>
            </w:r>
          </w:p>
        </w:tc>
        <w:tc>
          <w:tcPr>
            <w:tcW w:w="319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9"/>
              <w:ind w:left="1306" w:right="0"/>
              <w:jc w:val="left"/>
              <w:rPr>
                <w:rFonts w:ascii="Times New Roman" w:hAnsi="Times New Roman" w:cs="Times New Roman" w:eastAsia="Times New Roman" w:hint="default"/>
                <w:sz w:val="21"/>
                <w:szCs w:val="21"/>
              </w:rPr>
            </w:pPr>
            <w:r>
              <w:rPr>
                <w:rFonts w:ascii="Times New Roman"/>
                <w:sz w:val="21"/>
              </w:rPr>
              <w:t>1.03%</w:t>
            </w:r>
          </w:p>
        </w:tc>
      </w:tr>
      <w:tr>
        <w:trPr>
          <w:trHeight w:val="478"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5</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4"/>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3,623,125.17</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left="1306" w:right="0"/>
              <w:jc w:val="left"/>
              <w:rPr>
                <w:rFonts w:ascii="Times New Roman" w:hAnsi="Times New Roman" w:cs="Times New Roman" w:eastAsia="Times New Roman" w:hint="default"/>
                <w:sz w:val="21"/>
                <w:szCs w:val="21"/>
              </w:rPr>
            </w:pPr>
            <w:r>
              <w:rPr>
                <w:rFonts w:ascii="Times New Roman"/>
                <w:sz w:val="21"/>
              </w:rPr>
              <w:t>0.71%</w:t>
            </w:r>
          </w:p>
        </w:tc>
      </w:tr>
      <w:tr>
        <w:trPr>
          <w:trHeight w:val="438" w:hRule="exact"/>
        </w:trPr>
        <w:tc>
          <w:tcPr>
            <w:tcW w:w="80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30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74"/>
              <w:ind w:right="2"/>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2276"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32,547,218.82</w:t>
            </w:r>
          </w:p>
        </w:tc>
        <w:tc>
          <w:tcPr>
            <w:tcW w:w="319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9"/>
              <w:ind w:left="1306" w:right="0"/>
              <w:jc w:val="left"/>
              <w:rPr>
                <w:rFonts w:ascii="Times New Roman" w:hAnsi="Times New Roman" w:cs="Times New Roman" w:eastAsia="Times New Roman" w:hint="default"/>
                <w:sz w:val="21"/>
                <w:szCs w:val="21"/>
              </w:rPr>
            </w:pPr>
            <w:r>
              <w:rPr>
                <w:rFonts w:ascii="Times New Roman"/>
                <w:sz w:val="21"/>
              </w:rPr>
              <w:t>6.39%</w:t>
            </w:r>
          </w:p>
        </w:tc>
      </w:tr>
    </w:tbl>
    <w:p>
      <w:pPr>
        <w:pStyle w:val="BodyText"/>
        <w:spacing w:line="240" w:lineRule="auto" w:before="39"/>
        <w:ind w:left="633" w:right="293"/>
        <w:jc w:val="left"/>
      </w:pPr>
      <w:r>
        <w:rPr/>
        <w:t>主要供应商的其他情况说明</w:t>
      </w:r>
    </w:p>
    <w:p>
      <w:pPr>
        <w:pStyle w:val="BodyText"/>
        <w:spacing w:line="240" w:lineRule="auto" w:before="154"/>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right="29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51"/>
        <w:jc w:val="right"/>
      </w:pPr>
      <w:r>
        <w:rPr/>
        <w:t>单位：元</w:t>
      </w:r>
    </w:p>
    <w:p>
      <w:pPr>
        <w:spacing w:line="240" w:lineRule="auto" w:before="11"/>
        <w:rPr>
          <w:rFonts w:ascii="宋体" w:hAnsi="宋体" w:cs="宋体" w:eastAsia="宋体" w:hint="default"/>
          <w:sz w:val="8"/>
          <w:szCs w:val="8"/>
        </w:rPr>
      </w:pPr>
    </w:p>
    <w:tbl>
      <w:tblPr>
        <w:tblW w:w="0" w:type="auto"/>
        <w:jc w:val="left"/>
        <w:tblInd w:w="184" w:type="dxa"/>
        <w:tblLayout w:type="fixed"/>
        <w:tblCellMar>
          <w:top w:w="0" w:type="dxa"/>
          <w:left w:w="0" w:type="dxa"/>
          <w:bottom w:w="0" w:type="dxa"/>
          <w:right w:w="0" w:type="dxa"/>
        </w:tblCellMar>
        <w:tblLook w:val="01E0"/>
      </w:tblPr>
      <w:tblGrid>
        <w:gridCol w:w="1274"/>
        <w:gridCol w:w="1844"/>
        <w:gridCol w:w="1560"/>
        <w:gridCol w:w="1274"/>
        <w:gridCol w:w="3615"/>
      </w:tblGrid>
      <w:tr>
        <w:trPr>
          <w:trHeight w:val="322" w:hRule="exact"/>
        </w:trPr>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57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2017 </w:t>
            </w:r>
            <w:r>
              <w:rPr>
                <w:rFonts w:ascii="宋体" w:hAnsi="宋体" w:cs="宋体" w:eastAsia="宋体" w:hint="default"/>
                <w:b/>
                <w:bCs/>
                <w:sz w:val="21"/>
                <w:szCs w:val="21"/>
              </w:rPr>
              <w:t>年</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71" w:right="0"/>
              <w:jc w:val="left"/>
              <w:rPr>
                <w:rFonts w:ascii="宋体" w:hAnsi="宋体" w:cs="宋体" w:eastAsia="宋体" w:hint="default"/>
                <w:sz w:val="21"/>
                <w:szCs w:val="21"/>
              </w:rPr>
            </w:pPr>
            <w:r>
              <w:rPr>
                <w:rFonts w:ascii="宋体" w:hAnsi="宋体" w:cs="宋体" w:eastAsia="宋体" w:hint="default"/>
                <w:b/>
                <w:bCs/>
                <w:sz w:val="21"/>
                <w:szCs w:val="21"/>
              </w:rPr>
              <w:t>重大变动说明</w:t>
            </w:r>
            <w:r>
              <w:rPr>
                <w:rFonts w:ascii="宋体" w:hAnsi="宋体" w:cs="宋体" w:eastAsia="宋体" w:hint="default"/>
                <w:sz w:val="21"/>
                <w:szCs w:val="21"/>
              </w:rPr>
            </w:r>
          </w:p>
        </w:tc>
      </w:tr>
      <w:tr>
        <w:trPr>
          <w:trHeight w:val="63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155,240,147.96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113,928,371.94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36.26%</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4"/>
              <w:jc w:val="left"/>
              <w:rPr>
                <w:rFonts w:ascii="宋体" w:hAnsi="宋体" w:cs="宋体" w:eastAsia="宋体" w:hint="default"/>
                <w:sz w:val="21"/>
                <w:szCs w:val="21"/>
              </w:rPr>
            </w:pPr>
            <w:r>
              <w:rPr>
                <w:rFonts w:ascii="宋体" w:hAnsi="宋体" w:cs="宋体" w:eastAsia="宋体" w:hint="default"/>
                <w:spacing w:val="-2"/>
                <w:sz w:val="21"/>
                <w:szCs w:val="21"/>
              </w:rPr>
              <w:t>主要系业务规模增长及合并上海数慧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销售费用所致</w:t>
            </w:r>
          </w:p>
        </w:tc>
      </w:tr>
      <w:tr>
        <w:trPr>
          <w:trHeight w:val="63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403,303,038.42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285,795,871.36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41.12%</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4"/>
              <w:jc w:val="left"/>
              <w:rPr>
                <w:rFonts w:ascii="宋体" w:hAnsi="宋体" w:cs="宋体" w:eastAsia="宋体" w:hint="default"/>
                <w:sz w:val="21"/>
                <w:szCs w:val="21"/>
              </w:rPr>
            </w:pPr>
            <w:r>
              <w:rPr>
                <w:rFonts w:ascii="宋体" w:hAnsi="宋体" w:cs="宋体" w:eastAsia="宋体" w:hint="default"/>
                <w:spacing w:val="-2"/>
                <w:sz w:val="21"/>
                <w:szCs w:val="21"/>
              </w:rPr>
              <w:t>主要系业务规模增长及合并上海数慧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管理费用所致</w:t>
            </w:r>
          </w:p>
        </w:tc>
      </w:tr>
      <w:tr>
        <w:trPr>
          <w:trHeight w:val="63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2,973,521.87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949,814.50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213.06%</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4"/>
              <w:jc w:val="left"/>
              <w:rPr>
                <w:rFonts w:ascii="宋体" w:hAnsi="宋体" w:cs="宋体" w:eastAsia="宋体" w:hint="default"/>
                <w:sz w:val="21"/>
                <w:szCs w:val="21"/>
              </w:rPr>
            </w:pPr>
            <w:r>
              <w:rPr>
                <w:rFonts w:ascii="宋体" w:hAnsi="宋体" w:cs="宋体" w:eastAsia="宋体" w:hint="default"/>
                <w:spacing w:val="-2"/>
                <w:sz w:val="21"/>
                <w:szCs w:val="21"/>
              </w:rPr>
              <w:t>主要系股权收购款未确认融资费用本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期摊销增加所致</w:t>
            </w:r>
          </w:p>
        </w:tc>
      </w:tr>
    </w:tbl>
    <w:p>
      <w:pPr>
        <w:spacing w:line="240" w:lineRule="auto" w:before="12"/>
        <w:rPr>
          <w:rFonts w:ascii="宋体" w:hAnsi="宋体" w:cs="宋体" w:eastAsia="宋体" w:hint="default"/>
          <w:sz w:val="23"/>
          <w:szCs w:val="23"/>
        </w:rPr>
      </w:pPr>
    </w:p>
    <w:p>
      <w:pPr>
        <w:pStyle w:val="Heading2"/>
        <w:spacing w:line="240" w:lineRule="auto" w:before="26"/>
        <w:ind w:right="29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5"/>
        <w:ind w:right="151" w:firstLine="480"/>
        <w:jc w:val="both"/>
      </w:pPr>
      <w:r>
        <w:rPr/>
        <w:t>报告期内，公司顺应</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w:t>
      </w:r>
      <w:r>
        <w:rPr>
          <w:spacing w:val="-29"/>
        </w:rPr>
        <w:t> </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等新技术，着重开发和推广适应新技术特点 的解决方案和技术服务，研发发布了公司新一代产品</w:t>
      </w:r>
      <w:r>
        <w:rPr>
          <w:rFonts w:ascii="Times New Roman" w:hAnsi="Times New Roman" w:cs="Times New Roman" w:eastAsia="Times New Roman" w:hint="default"/>
        </w:rPr>
        <w:t>——</w:t>
      </w:r>
      <w:r>
        <w:rPr>
          <w:rFonts w:ascii="Times New Roman" w:hAnsi="Times New Roman" w:cs="Times New Roman" w:eastAsia="Times New Roman" w:hint="default"/>
        </w:rPr>
        <w:t>SuperMap GIS</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5"/>
        </w:rPr>
        <w:t>9D</w:t>
      </w:r>
      <w:r>
        <w:rPr>
          <w:spacing w:val="-5"/>
        </w:rPr>
        <w:t>，进一步提升了公</w:t>
      </w:r>
      <w:r>
        <w:rPr/>
        <w:t> 司核心竞争力，促进了业务的增长。</w:t>
      </w:r>
    </w:p>
    <w:p>
      <w:pPr>
        <w:pStyle w:val="BodyText"/>
        <w:spacing w:line="240" w:lineRule="auto"/>
        <w:ind w:left="633" w:right="293"/>
        <w:jc w:val="left"/>
      </w:pPr>
      <w:r>
        <w:rPr/>
        <w:t>近三年公司研发投入金额及占营业收入的比例</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0"/>
        <w:gridCol w:w="1992"/>
        <w:gridCol w:w="1983"/>
        <w:gridCol w:w="2393"/>
      </w:tblGrid>
      <w:tr>
        <w:trPr>
          <w:trHeight w:val="324"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65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64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3"/>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2015</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研发人员数量（人）</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2"/>
                <w:sz w:val="21"/>
              </w:rPr>
              <w:t>1133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418</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研发人员数量占比</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z w:val="21"/>
              </w:rPr>
              <w:t>36.85%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41.87%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40.70%</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研发投入金额（元）</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209,770,206.90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162,782,640.25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84,901,941.07</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14"/>
              <w:jc w:val="right"/>
              <w:rPr>
                <w:rFonts w:ascii="Times New Roman" w:hAnsi="Times New Roman" w:cs="Times New Roman" w:eastAsia="Times New Roman" w:hint="default"/>
                <w:sz w:val="21"/>
                <w:szCs w:val="21"/>
              </w:rPr>
            </w:pPr>
            <w:r>
              <w:rPr>
                <w:rFonts w:ascii="Times New Roman"/>
                <w:sz w:val="21"/>
              </w:rPr>
              <w:t>16.78%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z w:val="21"/>
              </w:rPr>
              <w:t>19.54%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8"/>
              <w:jc w:val="right"/>
              <w:rPr>
                <w:rFonts w:ascii="Times New Roman" w:hAnsi="Times New Roman" w:cs="Times New Roman" w:eastAsia="Times New Roman" w:hint="default"/>
                <w:sz w:val="21"/>
                <w:szCs w:val="21"/>
              </w:rPr>
            </w:pPr>
            <w:r>
              <w:rPr>
                <w:rFonts w:ascii="Times New Roman"/>
                <w:sz w:val="21"/>
              </w:rPr>
              <w:t>18.17%</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研发支出资本化的金额（元）</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34,333,428.76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29,496,842.87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19,538,954.36</w:t>
            </w:r>
          </w:p>
        </w:tc>
      </w:tr>
      <w:tr>
        <w:trPr>
          <w:trHeight w:val="636"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73" w:right="17" w:hanging="1157"/>
              <w:jc w:val="left"/>
              <w:rPr>
                <w:rFonts w:ascii="宋体" w:hAnsi="宋体" w:cs="宋体" w:eastAsia="宋体" w:hint="default"/>
                <w:sz w:val="21"/>
                <w:szCs w:val="21"/>
              </w:rPr>
            </w:pPr>
            <w:r>
              <w:rPr>
                <w:rFonts w:ascii="宋体" w:hAnsi="宋体" w:cs="宋体" w:eastAsia="宋体" w:hint="default"/>
                <w:spacing w:val="-2"/>
                <w:sz w:val="21"/>
                <w:szCs w:val="21"/>
              </w:rPr>
              <w:t>资本化研发支出占研发投入的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比例</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16.37%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23.01%</w:t>
            </w:r>
          </w:p>
        </w:tc>
      </w:tr>
      <w:tr>
        <w:trPr>
          <w:trHeight w:val="634"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67" w:right="17" w:hanging="1052"/>
              <w:jc w:val="left"/>
              <w:rPr>
                <w:rFonts w:ascii="宋体" w:hAnsi="宋体" w:cs="宋体" w:eastAsia="宋体" w:hint="default"/>
                <w:sz w:val="21"/>
                <w:szCs w:val="21"/>
              </w:rPr>
            </w:pPr>
            <w:r>
              <w:rPr>
                <w:rFonts w:ascii="宋体" w:hAnsi="宋体" w:cs="宋体" w:eastAsia="宋体" w:hint="default"/>
                <w:spacing w:val="-2"/>
                <w:sz w:val="21"/>
                <w:szCs w:val="21"/>
              </w:rPr>
              <w:t>资本化研发支出占当期净利润</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的比重</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18.15%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23.45%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33.24%</w:t>
            </w:r>
          </w:p>
        </w:tc>
      </w:tr>
    </w:tbl>
    <w:p>
      <w:pPr>
        <w:pStyle w:val="BodyText"/>
        <w:spacing w:line="240" w:lineRule="auto" w:before="39"/>
        <w:ind w:left="573" w:right="293"/>
        <w:jc w:val="left"/>
      </w:pPr>
      <w:r>
        <w:rPr/>
        <w:t>研发投入总额占营业收入的比重较上年发生显著变化的原因</w:t>
      </w:r>
    </w:p>
    <w:p>
      <w:pPr>
        <w:pStyle w:val="BodyText"/>
        <w:spacing w:line="240" w:lineRule="auto" w:before="154"/>
        <w:ind w:left="633" w:right="2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240" w:lineRule="auto" w:before="26"/>
        <w:ind w:left="633" w:right="293"/>
        <w:jc w:val="left"/>
      </w:pPr>
      <w:r>
        <w:rPr/>
        <w:t>研发投入资本化率大幅变动的原因及其合理性说明</w:t>
      </w:r>
    </w:p>
    <w:p>
      <w:pPr>
        <w:pStyle w:val="BodyText"/>
        <w:spacing w:line="240" w:lineRule="auto" w:before="154"/>
        <w:ind w:left="633" w:right="2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right="29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3260"/>
        <w:gridCol w:w="2148"/>
        <w:gridCol w:w="2144"/>
        <w:gridCol w:w="2146"/>
      </w:tblGrid>
      <w:tr>
        <w:trPr>
          <w:trHeight w:val="364" w:hRule="exact"/>
        </w:trPr>
        <w:tc>
          <w:tcPr>
            <w:tcW w:w="326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4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2017 </w:t>
            </w:r>
            <w:r>
              <w:rPr>
                <w:rFonts w:ascii="宋体" w:hAnsi="宋体" w:cs="宋体" w:eastAsia="宋体" w:hint="default"/>
                <w:b/>
                <w:bCs/>
                <w:sz w:val="21"/>
                <w:szCs w:val="21"/>
              </w:rPr>
              <w:t>年</w:t>
            </w:r>
            <w:r>
              <w:rPr>
                <w:rFonts w:ascii="宋体" w:hAnsi="宋体" w:cs="宋体" w:eastAsia="宋体" w:hint="default"/>
                <w:sz w:val="21"/>
                <w:szCs w:val="21"/>
              </w:rPr>
            </w:r>
          </w:p>
        </w:tc>
        <w:tc>
          <w:tcPr>
            <w:tcW w:w="214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8" w:lineRule="exact"/>
              <w:ind w:left="72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14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left="645"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478" w:hRule="exact"/>
        </w:trPr>
        <w:tc>
          <w:tcPr>
            <w:tcW w:w="326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1,456,432,874.85</w:t>
            </w:r>
          </w:p>
        </w:tc>
        <w:tc>
          <w:tcPr>
            <w:tcW w:w="214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left="799" w:right="0"/>
              <w:jc w:val="left"/>
              <w:rPr>
                <w:rFonts w:ascii="Times New Roman" w:hAnsi="Times New Roman" w:cs="Times New Roman" w:eastAsia="Times New Roman" w:hint="default"/>
                <w:sz w:val="21"/>
                <w:szCs w:val="21"/>
              </w:rPr>
            </w:pPr>
            <w:r>
              <w:rPr>
                <w:rFonts w:ascii="Times New Roman"/>
                <w:sz w:val="21"/>
              </w:rPr>
              <w:t>946,074,414.71</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18"/>
              <w:jc w:val="right"/>
              <w:rPr>
                <w:rFonts w:ascii="Times New Roman" w:hAnsi="Times New Roman" w:cs="Times New Roman" w:eastAsia="Times New Roman" w:hint="default"/>
                <w:sz w:val="21"/>
                <w:szCs w:val="21"/>
              </w:rPr>
            </w:pPr>
            <w:r>
              <w:rPr>
                <w:rFonts w:ascii="Times New Roman"/>
                <w:sz w:val="21"/>
              </w:rPr>
              <w:t>53.94%</w:t>
            </w:r>
          </w:p>
        </w:tc>
      </w:tr>
      <w:tr>
        <w:trPr>
          <w:trHeight w:val="478" w:hRule="exact"/>
        </w:trPr>
        <w:tc>
          <w:tcPr>
            <w:tcW w:w="326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1,207,072,041.94</w:t>
            </w:r>
          </w:p>
        </w:tc>
        <w:tc>
          <w:tcPr>
            <w:tcW w:w="214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left="799" w:right="0"/>
              <w:jc w:val="left"/>
              <w:rPr>
                <w:rFonts w:ascii="Times New Roman" w:hAnsi="Times New Roman" w:cs="Times New Roman" w:eastAsia="Times New Roman" w:hint="default"/>
                <w:sz w:val="21"/>
                <w:szCs w:val="21"/>
              </w:rPr>
            </w:pPr>
            <w:r>
              <w:rPr>
                <w:rFonts w:ascii="Times New Roman"/>
                <w:sz w:val="21"/>
              </w:rPr>
              <w:t>722,904,283.72</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18"/>
              <w:jc w:val="right"/>
              <w:rPr>
                <w:rFonts w:ascii="Times New Roman" w:hAnsi="Times New Roman" w:cs="Times New Roman" w:eastAsia="Times New Roman" w:hint="default"/>
                <w:sz w:val="21"/>
                <w:szCs w:val="21"/>
              </w:rPr>
            </w:pPr>
            <w:r>
              <w:rPr>
                <w:rFonts w:ascii="Times New Roman"/>
                <w:sz w:val="21"/>
              </w:rPr>
              <w:t>66.98%</w:t>
            </w:r>
          </w:p>
        </w:tc>
      </w:tr>
      <w:tr>
        <w:trPr>
          <w:trHeight w:val="479" w:hRule="exact"/>
        </w:trPr>
        <w:tc>
          <w:tcPr>
            <w:tcW w:w="326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5"/>
              <w:ind w:right="3"/>
              <w:jc w:val="center"/>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b/>
                <w:spacing w:val="-1"/>
                <w:sz w:val="21"/>
              </w:rPr>
              <w:t>249,360,832.91</w:t>
            </w:r>
            <w:r>
              <w:rPr>
                <w:rFonts w:ascii="Times New Roman"/>
                <w:spacing w:val="-1"/>
                <w:sz w:val="21"/>
              </w:rPr>
            </w:r>
          </w:p>
        </w:tc>
        <w:tc>
          <w:tcPr>
            <w:tcW w:w="214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4"/>
              <w:ind w:left="799" w:right="0"/>
              <w:jc w:val="left"/>
              <w:rPr>
                <w:rFonts w:ascii="Times New Roman" w:hAnsi="Times New Roman" w:cs="Times New Roman" w:eastAsia="Times New Roman" w:hint="default"/>
                <w:sz w:val="21"/>
                <w:szCs w:val="21"/>
              </w:rPr>
            </w:pPr>
            <w:r>
              <w:rPr>
                <w:rFonts w:ascii="Times New Roman"/>
                <w:b/>
                <w:sz w:val="21"/>
              </w:rPr>
              <w:t>223,170,130.99</w:t>
            </w:r>
            <w:r>
              <w:rPr>
                <w:rFonts w:ascii="Times New Roman"/>
                <w:sz w:val="21"/>
              </w:rPr>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21"/>
                <w:szCs w:val="21"/>
              </w:rPr>
            </w:pPr>
            <w:r>
              <w:rPr>
                <w:rFonts w:ascii="Times New Roman"/>
                <w:spacing w:val="-2"/>
                <w:sz w:val="21"/>
              </w:rPr>
              <w:t>11.74%</w:t>
            </w:r>
          </w:p>
        </w:tc>
      </w:tr>
      <w:tr>
        <w:trPr>
          <w:trHeight w:val="478" w:hRule="exact"/>
        </w:trPr>
        <w:tc>
          <w:tcPr>
            <w:tcW w:w="326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1"/>
                <w:sz w:val="21"/>
              </w:rPr>
              <w:t>323,955,706.31</w:t>
            </w:r>
          </w:p>
        </w:tc>
        <w:tc>
          <w:tcPr>
            <w:tcW w:w="214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left="799" w:right="0"/>
              <w:jc w:val="left"/>
              <w:rPr>
                <w:rFonts w:ascii="Times New Roman" w:hAnsi="Times New Roman" w:cs="Times New Roman" w:eastAsia="Times New Roman" w:hint="default"/>
                <w:sz w:val="21"/>
                <w:szCs w:val="21"/>
              </w:rPr>
            </w:pPr>
            <w:r>
              <w:rPr>
                <w:rFonts w:ascii="Times New Roman"/>
                <w:sz w:val="21"/>
              </w:rPr>
              <w:t>415,033,318.55</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pacing w:val="-1"/>
                <w:sz w:val="21"/>
              </w:rPr>
              <w:t>-21.94%</w:t>
            </w:r>
          </w:p>
        </w:tc>
      </w:tr>
      <w:tr>
        <w:trPr>
          <w:trHeight w:val="479" w:hRule="exact"/>
        </w:trPr>
        <w:tc>
          <w:tcPr>
            <w:tcW w:w="326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1"/>
                <w:sz w:val="21"/>
              </w:rPr>
              <w:t>498,571,358.71</w:t>
            </w:r>
          </w:p>
        </w:tc>
        <w:tc>
          <w:tcPr>
            <w:tcW w:w="214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left="799" w:right="0"/>
              <w:jc w:val="left"/>
              <w:rPr>
                <w:rFonts w:ascii="Times New Roman" w:hAnsi="Times New Roman" w:cs="Times New Roman" w:eastAsia="Times New Roman" w:hint="default"/>
                <w:sz w:val="21"/>
                <w:szCs w:val="21"/>
              </w:rPr>
            </w:pPr>
            <w:r>
              <w:rPr>
                <w:rFonts w:ascii="Times New Roman"/>
                <w:sz w:val="21"/>
              </w:rPr>
              <w:t>895,670,673.35</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pacing w:val="-1"/>
                <w:sz w:val="21"/>
              </w:rPr>
              <w:t>-44.34%</w:t>
            </w:r>
          </w:p>
        </w:tc>
      </w:tr>
      <w:tr>
        <w:trPr>
          <w:trHeight w:val="478" w:hRule="exact"/>
        </w:trPr>
        <w:tc>
          <w:tcPr>
            <w:tcW w:w="326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4"/>
              <w:ind w:right="3"/>
              <w:jc w:val="center"/>
              <w:rPr>
                <w:rFonts w:ascii="宋体" w:hAnsi="宋体" w:cs="宋体" w:eastAsia="宋体" w:hint="default"/>
                <w:sz w:val="21"/>
                <w:szCs w:val="21"/>
              </w:rPr>
            </w:pPr>
            <w:r>
              <w:rPr>
                <w:rFonts w:ascii="宋体" w:hAnsi="宋体" w:cs="宋体" w:eastAsia="宋体" w:hint="default"/>
                <w:b/>
                <w:bCs/>
                <w:sz w:val="21"/>
                <w:szCs w:val="21"/>
              </w:rPr>
              <w:t>投资活动产生的现金流量净额</w:t>
            </w:r>
            <w:r>
              <w:rPr>
                <w:rFonts w:ascii="宋体" w:hAnsi="宋体" w:cs="宋体" w:eastAsia="宋体" w:hint="default"/>
                <w:sz w:val="21"/>
                <w:szCs w:val="21"/>
              </w:rPr>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b/>
                <w:spacing w:val="-1"/>
                <w:sz w:val="21"/>
              </w:rPr>
              <w:t>-174,615,652.40</w:t>
            </w:r>
            <w:r>
              <w:rPr>
                <w:rFonts w:ascii="Times New Roman"/>
                <w:spacing w:val="-1"/>
                <w:sz w:val="21"/>
              </w:rPr>
            </w:r>
          </w:p>
        </w:tc>
        <w:tc>
          <w:tcPr>
            <w:tcW w:w="214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4"/>
              <w:ind w:left="729" w:right="0"/>
              <w:jc w:val="left"/>
              <w:rPr>
                <w:rFonts w:ascii="Times New Roman" w:hAnsi="Times New Roman" w:cs="Times New Roman" w:eastAsia="Times New Roman" w:hint="default"/>
                <w:sz w:val="21"/>
                <w:szCs w:val="21"/>
              </w:rPr>
            </w:pPr>
            <w:r>
              <w:rPr>
                <w:rFonts w:ascii="Times New Roman"/>
                <w:b/>
                <w:sz w:val="21"/>
              </w:rPr>
              <w:t>-480,637,354.80</w:t>
            </w:r>
            <w:r>
              <w:rPr>
                <w:rFonts w:ascii="Times New Roman"/>
                <w:sz w:val="21"/>
              </w:rPr>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-63.67%</w:t>
            </w:r>
          </w:p>
        </w:tc>
      </w:tr>
      <w:tr>
        <w:trPr>
          <w:trHeight w:val="478" w:hRule="exact"/>
        </w:trPr>
        <w:tc>
          <w:tcPr>
            <w:tcW w:w="326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360,000.00</w:t>
            </w:r>
          </w:p>
        </w:tc>
        <w:tc>
          <w:tcPr>
            <w:tcW w:w="214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left="799" w:right="0"/>
              <w:jc w:val="left"/>
              <w:rPr>
                <w:rFonts w:ascii="Times New Roman" w:hAnsi="Times New Roman" w:cs="Times New Roman" w:eastAsia="Times New Roman" w:hint="default"/>
                <w:sz w:val="21"/>
                <w:szCs w:val="21"/>
              </w:rPr>
            </w:pPr>
            <w:r>
              <w:rPr>
                <w:rFonts w:ascii="Times New Roman"/>
                <w:sz w:val="21"/>
              </w:rPr>
              <w:t>654,596,182.27</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-99.95%</w:t>
            </w:r>
          </w:p>
        </w:tc>
      </w:tr>
      <w:tr>
        <w:trPr>
          <w:trHeight w:val="478" w:hRule="exact"/>
        </w:trPr>
        <w:tc>
          <w:tcPr>
            <w:tcW w:w="326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48,845,606.34</w:t>
            </w:r>
          </w:p>
        </w:tc>
        <w:tc>
          <w:tcPr>
            <w:tcW w:w="214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left="799" w:right="0"/>
              <w:jc w:val="left"/>
              <w:rPr>
                <w:rFonts w:ascii="Times New Roman" w:hAnsi="Times New Roman" w:cs="Times New Roman" w:eastAsia="Times New Roman" w:hint="default"/>
                <w:sz w:val="21"/>
                <w:szCs w:val="21"/>
              </w:rPr>
            </w:pPr>
            <w:r>
              <w:rPr>
                <w:rFonts w:ascii="Times New Roman"/>
                <w:sz w:val="21"/>
              </w:rPr>
              <w:t>225,588,455.51</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-78.35%</w:t>
            </w:r>
          </w:p>
        </w:tc>
      </w:tr>
      <w:tr>
        <w:trPr>
          <w:trHeight w:val="479" w:hRule="exact"/>
        </w:trPr>
        <w:tc>
          <w:tcPr>
            <w:tcW w:w="326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4"/>
              <w:ind w:right="3"/>
              <w:jc w:val="center"/>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b/>
                <w:spacing w:val="-1"/>
                <w:sz w:val="21"/>
              </w:rPr>
              <w:t>-48,485,606.34</w:t>
            </w:r>
            <w:r>
              <w:rPr>
                <w:rFonts w:ascii="Times New Roman"/>
                <w:spacing w:val="-1"/>
                <w:sz w:val="21"/>
              </w:rPr>
            </w:r>
          </w:p>
        </w:tc>
        <w:tc>
          <w:tcPr>
            <w:tcW w:w="214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4"/>
              <w:ind w:left="799" w:right="0"/>
              <w:jc w:val="left"/>
              <w:rPr>
                <w:rFonts w:ascii="Times New Roman" w:hAnsi="Times New Roman" w:cs="Times New Roman" w:eastAsia="Times New Roman" w:hint="default"/>
                <w:sz w:val="21"/>
                <w:szCs w:val="21"/>
              </w:rPr>
            </w:pPr>
            <w:r>
              <w:rPr>
                <w:rFonts w:ascii="Times New Roman"/>
                <w:b/>
                <w:sz w:val="21"/>
              </w:rPr>
              <w:t>429,007,726.76</w:t>
            </w:r>
            <w:r>
              <w:rPr>
                <w:rFonts w:ascii="Times New Roman"/>
                <w:sz w:val="21"/>
              </w:rPr>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21"/>
                <w:szCs w:val="21"/>
              </w:rPr>
            </w:pPr>
            <w:r>
              <w:rPr>
                <w:rFonts w:ascii="Times New Roman"/>
                <w:spacing w:val="-3"/>
                <w:sz w:val="21"/>
              </w:rPr>
              <w:t>-111.30%</w:t>
            </w:r>
          </w:p>
        </w:tc>
      </w:tr>
      <w:tr>
        <w:trPr>
          <w:trHeight w:val="437" w:hRule="exact"/>
        </w:trPr>
        <w:tc>
          <w:tcPr>
            <w:tcW w:w="326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3"/>
              <w:ind w:right="3"/>
              <w:jc w:val="center"/>
              <w:rPr>
                <w:rFonts w:ascii="宋体" w:hAnsi="宋体" w:cs="宋体" w:eastAsia="宋体" w:hint="default"/>
                <w:sz w:val="21"/>
                <w:szCs w:val="21"/>
              </w:rPr>
            </w:pPr>
            <w:r>
              <w:rPr>
                <w:rFonts w:ascii="宋体" w:hAnsi="宋体" w:cs="宋体" w:eastAsia="宋体" w:hint="default"/>
                <w:b/>
                <w:bCs/>
                <w:sz w:val="21"/>
                <w:szCs w:val="21"/>
              </w:rPr>
              <w:t>现金及现金等价物净增加额</w:t>
            </w:r>
            <w:r>
              <w:rPr>
                <w:rFonts w:ascii="宋体" w:hAnsi="宋体" w:cs="宋体" w:eastAsia="宋体" w:hint="default"/>
                <w:sz w:val="21"/>
                <w:szCs w:val="21"/>
              </w:rPr>
            </w:r>
          </w:p>
        </w:tc>
        <w:tc>
          <w:tcPr>
            <w:tcW w:w="2148" w:type="dxa"/>
            <w:tcBorders>
              <w:top w:val="single" w:sz="4" w:space="0" w:color="FFFFFF"/>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b/>
                <w:spacing w:val="-1"/>
                <w:sz w:val="21"/>
              </w:rPr>
              <w:t>25,700,507.02</w:t>
            </w:r>
            <w:r>
              <w:rPr>
                <w:rFonts w:ascii="Times New Roman"/>
                <w:spacing w:val="-1"/>
                <w:sz w:val="21"/>
              </w:rPr>
            </w:r>
          </w:p>
        </w:tc>
        <w:tc>
          <w:tcPr>
            <w:tcW w:w="214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2"/>
              <w:ind w:left="799" w:right="0"/>
              <w:jc w:val="left"/>
              <w:rPr>
                <w:rFonts w:ascii="Times New Roman" w:hAnsi="Times New Roman" w:cs="Times New Roman" w:eastAsia="Times New Roman" w:hint="default"/>
                <w:sz w:val="21"/>
                <w:szCs w:val="21"/>
              </w:rPr>
            </w:pPr>
            <w:r>
              <w:rPr>
                <w:rFonts w:ascii="Times New Roman"/>
                <w:b/>
                <w:sz w:val="21"/>
              </w:rPr>
              <w:t>172,280,128.79</w:t>
            </w:r>
            <w:r>
              <w:rPr>
                <w:rFonts w:ascii="Times New Roman"/>
                <w:sz w:val="21"/>
              </w:rPr>
            </w:r>
          </w:p>
        </w:tc>
        <w:tc>
          <w:tcPr>
            <w:tcW w:w="214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pacing w:val="-1"/>
                <w:sz w:val="21"/>
              </w:rPr>
              <w:t>-85.08%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633" w:right="293"/>
        <w:jc w:val="left"/>
      </w:pPr>
      <w:r>
        <w:rPr/>
        <w:t>相关数据同比发生重大变动的主要影响因素说明</w:t>
      </w:r>
    </w:p>
    <w:p>
      <w:pPr>
        <w:pStyle w:val="BodyText"/>
        <w:spacing w:line="240" w:lineRule="auto" w:before="154"/>
        <w:ind w:left="633" w:right="293"/>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5"/>
        <w:ind w:right="138" w:firstLine="480"/>
        <w:jc w:val="left"/>
      </w:pPr>
      <w:r>
        <w:rPr>
          <w:rFonts w:ascii="Times New Roman" w:hAnsi="Times New Roman" w:cs="Times New Roman" w:eastAsia="Times New Roman" w:hint="default"/>
          <w:spacing w:val="-3"/>
        </w:rPr>
        <w:t>1</w:t>
      </w:r>
      <w:r>
        <w:rPr>
          <w:spacing w:val="-3"/>
        </w:rPr>
        <w:t>、经营活动产生的现金流入同比增长</w:t>
      </w:r>
      <w:r>
        <w:rPr>
          <w:rFonts w:ascii="Times New Roman" w:hAnsi="Times New Roman" w:cs="Times New Roman" w:eastAsia="Times New Roman" w:hint="default"/>
          <w:spacing w:val="-3"/>
        </w:rPr>
        <w:t>53.94%</w:t>
      </w:r>
      <w:r>
        <w:rPr>
          <w:spacing w:val="-3"/>
        </w:rPr>
        <w:t>，主要原因系本期营业额增加，同时加大对</w:t>
      </w:r>
      <w:r>
        <w:rPr/>
        <w:t> 回款考核力度，通过多种手段催收应收款以及合并上海数慧所致；</w:t>
      </w:r>
    </w:p>
    <w:p>
      <w:pPr>
        <w:pStyle w:val="BodyText"/>
        <w:spacing w:line="338" w:lineRule="auto"/>
        <w:ind w:right="140" w:firstLine="436"/>
        <w:jc w:val="left"/>
      </w:pPr>
      <w:r>
        <w:rPr>
          <w:rFonts w:ascii="Times New Roman" w:hAnsi="Times New Roman" w:cs="Times New Roman" w:eastAsia="Times New Roman" w:hint="default"/>
          <w:spacing w:val="-3"/>
        </w:rPr>
        <w:t>2</w:t>
      </w:r>
      <w:r>
        <w:rPr>
          <w:spacing w:val="-3"/>
        </w:rPr>
        <w:t>、经营活动产生的现金流出同比增长</w:t>
      </w:r>
      <w:r>
        <w:rPr>
          <w:spacing w:val="-32"/>
        </w:rPr>
        <w:t> </w:t>
      </w:r>
      <w:r>
        <w:rPr>
          <w:rFonts w:ascii="Times New Roman" w:hAnsi="Times New Roman" w:cs="Times New Roman" w:eastAsia="Times New Roman" w:hint="default"/>
          <w:spacing w:val="-4"/>
        </w:rPr>
        <w:t>66.98%</w:t>
      </w:r>
      <w:r>
        <w:rPr>
          <w:spacing w:val="-4"/>
        </w:rPr>
        <w:t>，主要原因系本期公司业务规模增加，相应</w:t>
      </w:r>
      <w:r>
        <w:rPr/>
        <w:t> 外包费及人员成本增加以及合并上海数慧所致；</w:t>
      </w:r>
    </w:p>
    <w:p>
      <w:pPr>
        <w:pStyle w:val="BodyText"/>
        <w:spacing w:line="240" w:lineRule="auto" w:before="56"/>
        <w:ind w:left="633" w:right="293"/>
        <w:jc w:val="left"/>
      </w:pPr>
      <w:r>
        <w:rPr>
          <w:rFonts w:ascii="Times New Roman" w:hAnsi="Times New Roman" w:cs="Times New Roman" w:eastAsia="Times New Roman" w:hint="default"/>
        </w:rPr>
        <w:t>3</w:t>
      </w:r>
      <w:r>
        <w:rPr/>
        <w:t>、投资活动现金流出同比减少</w:t>
      </w:r>
      <w:r>
        <w:rPr>
          <w:rFonts w:ascii="Times New Roman" w:hAnsi="Times New Roman" w:cs="Times New Roman" w:eastAsia="Times New Roman" w:hint="default"/>
        </w:rPr>
        <w:t>44.34%</w:t>
      </w:r>
      <w:r>
        <w:rPr/>
        <w:t>，主要原因系本期股权转让款支付减少所致；</w:t>
      </w:r>
    </w:p>
    <w:p>
      <w:pPr>
        <w:pStyle w:val="BodyText"/>
        <w:spacing w:line="240" w:lineRule="auto" w:before="135"/>
        <w:ind w:left="633" w:right="202"/>
        <w:jc w:val="left"/>
      </w:pPr>
      <w:r>
        <w:rPr>
          <w:rFonts w:ascii="Times New Roman" w:hAnsi="Times New Roman" w:cs="Times New Roman" w:eastAsia="Times New Roman" w:hint="default"/>
        </w:rPr>
        <w:t>4</w:t>
      </w:r>
      <w:r>
        <w:rPr/>
        <w:t>、筹资活动现金流入同比减少</w:t>
      </w:r>
      <w:r>
        <w:rPr>
          <w:rFonts w:ascii="Times New Roman" w:hAnsi="Times New Roman" w:cs="Times New Roman" w:eastAsia="Times New Roman" w:hint="default"/>
        </w:rPr>
        <w:t>99.95%</w:t>
      </w:r>
      <w:r>
        <w:rPr/>
        <w:t>，主要原因系本期未发生募集资金等活动所致；</w:t>
      </w:r>
    </w:p>
    <w:p>
      <w:pPr>
        <w:pStyle w:val="BodyText"/>
        <w:spacing w:line="240" w:lineRule="auto" w:before="135"/>
        <w:ind w:left="633" w:right="293"/>
        <w:jc w:val="left"/>
      </w:pPr>
      <w:r>
        <w:rPr>
          <w:rFonts w:ascii="Times New Roman" w:hAnsi="Times New Roman" w:cs="Times New Roman" w:eastAsia="Times New Roman" w:hint="default"/>
        </w:rPr>
        <w:t>5</w:t>
      </w:r>
      <w:r>
        <w:rPr/>
        <w:t>、筹资活动现金流出同比减少</w:t>
      </w:r>
      <w:r>
        <w:rPr>
          <w:rFonts w:ascii="Times New Roman" w:hAnsi="Times New Roman" w:cs="Times New Roman" w:eastAsia="Times New Roman" w:hint="default"/>
        </w:rPr>
        <w:t>78.35%</w:t>
      </w:r>
      <w:r>
        <w:rPr/>
        <w:t>，主要原因系本未发生募集资金等活动所致。</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240" w:lineRule="auto" w:before="0"/>
        <w:ind w:left="633" w:right="293"/>
        <w:jc w:val="left"/>
      </w:pPr>
      <w:r>
        <w:rPr/>
        <w:t>报告期内公司经营活动产生的现金净流量与本年度净利润存在重大差异的原因说明</w:t>
      </w:r>
    </w:p>
    <w:p>
      <w:pPr>
        <w:pStyle w:val="BodyText"/>
        <w:spacing w:line="240" w:lineRule="auto" w:before="154"/>
        <w:ind w:left="633" w:right="2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left="233" w:right="0"/>
        <w:jc w:val="left"/>
        <w:rPr>
          <w:b w:val="0"/>
          <w:bCs w:val="0"/>
        </w:rPr>
      </w:pPr>
      <w:r>
        <w:rPr/>
        <w:t>三、非主营业务情况</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before="0"/>
        <w:ind w:left="7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7"/>
        <w:rPr>
          <w:rFonts w:ascii="宋体" w:hAnsi="宋体" w:cs="宋体" w:eastAsia="宋体" w:hint="default"/>
          <w:sz w:val="9"/>
          <w:szCs w:val="9"/>
        </w:rPr>
      </w:pPr>
    </w:p>
    <w:p>
      <w:pPr>
        <w:spacing w:before="36"/>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229" w:type="dxa"/>
        <w:tblLayout w:type="fixed"/>
        <w:tblCellMar>
          <w:top w:w="0" w:type="dxa"/>
          <w:left w:w="0" w:type="dxa"/>
          <w:bottom w:w="0" w:type="dxa"/>
          <w:right w:w="0" w:type="dxa"/>
        </w:tblCellMar>
        <w:tblLook w:val="01E0"/>
      </w:tblPr>
      <w:tblGrid>
        <w:gridCol w:w="1842"/>
        <w:gridCol w:w="1419"/>
        <w:gridCol w:w="1702"/>
        <w:gridCol w:w="3118"/>
        <w:gridCol w:w="1488"/>
      </w:tblGrid>
      <w:tr>
        <w:trPr>
          <w:trHeight w:val="634"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b/>
                <w:bCs/>
                <w:sz w:val="21"/>
                <w:szCs w:val="21"/>
              </w:rPr>
              <w:t>占利润总额比例</w:t>
            </w:r>
            <w:r>
              <w:rPr>
                <w:rFonts w:ascii="宋体" w:hAnsi="宋体" w:cs="宋体" w:eastAsia="宋体" w:hint="default"/>
                <w:sz w:val="21"/>
                <w:szCs w:val="21"/>
              </w:rPr>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921" w:right="0"/>
              <w:jc w:val="left"/>
              <w:rPr>
                <w:rFonts w:ascii="宋体" w:hAnsi="宋体" w:cs="宋体" w:eastAsia="宋体" w:hint="default"/>
                <w:sz w:val="21"/>
                <w:szCs w:val="21"/>
              </w:rPr>
            </w:pPr>
            <w:r>
              <w:rPr>
                <w:rFonts w:ascii="宋体" w:hAnsi="宋体" w:cs="宋体" w:eastAsia="宋体" w:hint="default"/>
                <w:b/>
                <w:bCs/>
                <w:sz w:val="21"/>
                <w:szCs w:val="21"/>
              </w:rPr>
              <w:t>形成原因说明</w:t>
            </w:r>
            <w:r>
              <w:rPr>
                <w:rFonts w:ascii="宋体" w:hAnsi="宋体" w:cs="宋体" w:eastAsia="宋体" w:hint="default"/>
                <w:sz w:val="21"/>
                <w:szCs w:val="21"/>
              </w:rPr>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28" w:right="105" w:hanging="423"/>
              <w:jc w:val="left"/>
              <w:rPr>
                <w:rFonts w:ascii="宋体" w:hAnsi="宋体" w:cs="宋体" w:eastAsia="宋体" w:hint="default"/>
                <w:sz w:val="21"/>
                <w:szCs w:val="21"/>
              </w:rPr>
            </w:pPr>
            <w:r>
              <w:rPr>
                <w:rFonts w:ascii="宋体" w:hAnsi="宋体" w:cs="宋体" w:eastAsia="宋体" w:hint="default"/>
                <w:b/>
                <w:bCs/>
                <w:sz w:val="21"/>
                <w:szCs w:val="21"/>
              </w:rPr>
              <w:t>是否具有可持</w:t>
            </w:r>
            <w:r>
              <w:rPr>
                <w:rFonts w:ascii="宋体" w:hAnsi="宋体" w:cs="宋体" w:eastAsia="宋体" w:hint="default"/>
                <w:b/>
                <w:bCs/>
                <w:spacing w:val="-104"/>
                <w:sz w:val="21"/>
                <w:szCs w:val="21"/>
              </w:rPr>
              <w:t> </w:t>
            </w:r>
            <w:r>
              <w:rPr>
                <w:rFonts w:ascii="宋体" w:hAnsi="宋体" w:cs="宋体" w:eastAsia="宋体" w:hint="default"/>
                <w:b/>
                <w:bCs/>
                <w:sz w:val="21"/>
                <w:szCs w:val="21"/>
              </w:rPr>
              <w:t>续性</w:t>
            </w:r>
            <w:r>
              <w:rPr>
                <w:rFonts w:ascii="宋体" w:hAnsi="宋体" w:cs="宋体" w:eastAsia="宋体" w:hint="default"/>
                <w:sz w:val="21"/>
                <w:szCs w:val="21"/>
              </w:rPr>
            </w:r>
          </w:p>
        </w:tc>
      </w:tr>
      <w:tr>
        <w:trPr>
          <w:trHeight w:val="634" w:hRule="exact"/>
        </w:trPr>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投资收益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9,087,404.68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4.47%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39"/>
              <w:jc w:val="left"/>
              <w:rPr>
                <w:rFonts w:ascii="宋体" w:hAnsi="宋体" w:cs="宋体" w:eastAsia="宋体" w:hint="default"/>
                <w:sz w:val="21"/>
                <w:szCs w:val="21"/>
              </w:rPr>
            </w:pPr>
            <w:r>
              <w:rPr>
                <w:rFonts w:ascii="宋体" w:hAnsi="宋体" w:cs="宋体" w:eastAsia="宋体" w:hint="default"/>
                <w:spacing w:val="-2"/>
                <w:sz w:val="21"/>
                <w:szCs w:val="21"/>
              </w:rPr>
              <w:t>现金管理投资于保本型理财产品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的收益</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842"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公允价值变动损益</w:t>
            </w:r>
          </w:p>
        </w:tc>
        <w:tc>
          <w:tcPr>
            <w:tcW w:w="141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311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34"/>
              <w:ind w:left="21" w:right="0"/>
              <w:jc w:val="left"/>
              <w:rPr>
                <w:rFonts w:ascii="Times New Roman" w:hAnsi="Times New Roman" w:cs="Times New Roman" w:eastAsia="Times New Roman" w:hint="default"/>
                <w:sz w:val="21"/>
                <w:szCs w:val="21"/>
              </w:rPr>
            </w:pPr>
            <w:r>
              <w:rPr>
                <w:rFonts w:ascii="Times New Roman"/>
                <w:w w:val="100"/>
                <w:sz w:val="21"/>
              </w:rPr>
              <w:t>-</w:t>
            </w:r>
          </w:p>
        </w:tc>
        <w:tc>
          <w:tcPr>
            <w:tcW w:w="148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1842"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资产减值</w:t>
            </w:r>
          </w:p>
        </w:tc>
        <w:tc>
          <w:tcPr>
            <w:tcW w:w="141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2,555,412.40</w:t>
            </w:r>
          </w:p>
        </w:tc>
        <w:tc>
          <w:tcPr>
            <w:tcW w:w="170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z w:val="21"/>
              </w:rPr>
              <w:t>1.26%</w:t>
            </w:r>
          </w:p>
        </w:tc>
        <w:tc>
          <w:tcPr>
            <w:tcW w:w="311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6"/>
              <w:ind w:left="21" w:right="0"/>
              <w:jc w:val="left"/>
              <w:rPr>
                <w:rFonts w:ascii="宋体" w:hAnsi="宋体" w:cs="宋体" w:eastAsia="宋体" w:hint="default"/>
                <w:sz w:val="21"/>
                <w:szCs w:val="21"/>
              </w:rPr>
            </w:pPr>
            <w:r>
              <w:rPr>
                <w:rFonts w:ascii="宋体" w:hAnsi="宋体" w:cs="宋体" w:eastAsia="宋体" w:hint="default"/>
                <w:sz w:val="21"/>
                <w:szCs w:val="21"/>
              </w:rPr>
              <w:t>商誉减值及坏账损失</w:t>
            </w:r>
          </w:p>
        </w:tc>
        <w:tc>
          <w:tcPr>
            <w:tcW w:w="148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8" w:hRule="exact"/>
        </w:trPr>
        <w:tc>
          <w:tcPr>
            <w:tcW w:w="1842"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67"/>
              <w:ind w:left="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41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5,108,706.84</w:t>
            </w:r>
          </w:p>
        </w:tc>
        <w:tc>
          <w:tcPr>
            <w:tcW w:w="170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z w:val="21"/>
              </w:rPr>
              <w:t>2.51%</w:t>
            </w:r>
          </w:p>
        </w:tc>
        <w:tc>
          <w:tcPr>
            <w:tcW w:w="311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7"/>
              <w:ind w:left="21" w:right="0"/>
              <w:jc w:val="left"/>
              <w:rPr>
                <w:rFonts w:ascii="宋体" w:hAnsi="宋体" w:cs="宋体" w:eastAsia="宋体" w:hint="default"/>
                <w:sz w:val="21"/>
                <w:szCs w:val="21"/>
              </w:rPr>
            </w:pPr>
            <w:r>
              <w:rPr>
                <w:rFonts w:ascii="宋体" w:hAnsi="宋体" w:cs="宋体" w:eastAsia="宋体" w:hint="default"/>
                <w:sz w:val="21"/>
                <w:szCs w:val="21"/>
              </w:rPr>
              <w:t>主要为政府补助</w:t>
            </w:r>
          </w:p>
        </w:tc>
        <w:tc>
          <w:tcPr>
            <w:tcW w:w="148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80" w:hRule="exact"/>
        </w:trPr>
        <w:tc>
          <w:tcPr>
            <w:tcW w:w="1842"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141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pacing w:val="-1"/>
                <w:sz w:val="21"/>
              </w:rPr>
              <w:t>53,809.28</w:t>
            </w:r>
          </w:p>
        </w:tc>
        <w:tc>
          <w:tcPr>
            <w:tcW w:w="170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z w:val="21"/>
              </w:rPr>
              <w:t>0.03%</w:t>
            </w:r>
          </w:p>
        </w:tc>
        <w:tc>
          <w:tcPr>
            <w:tcW w:w="311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6"/>
              <w:ind w:left="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8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
        <w:rPr>
          <w:rFonts w:ascii="宋体" w:hAnsi="宋体" w:cs="宋体" w:eastAsia="宋体" w:hint="default"/>
          <w:sz w:val="18"/>
          <w:szCs w:val="18"/>
        </w:rPr>
      </w:pPr>
    </w:p>
    <w:p>
      <w:pPr>
        <w:pStyle w:val="Heading2"/>
        <w:spacing w:line="240" w:lineRule="auto" w:before="26"/>
        <w:ind w:left="233"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8"/>
          <w:szCs w:val="28"/>
        </w:rPr>
      </w:pPr>
    </w:p>
    <w:p>
      <w:pPr>
        <w:pStyle w:val="Heading2"/>
        <w:spacing w:line="240" w:lineRule="auto"/>
        <w:ind w:left="233"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2713"/>
        <w:gridCol w:w="1952"/>
        <w:gridCol w:w="1066"/>
        <w:gridCol w:w="1731"/>
        <w:gridCol w:w="1332"/>
        <w:gridCol w:w="1064"/>
      </w:tblGrid>
      <w:tr>
        <w:trPr>
          <w:trHeight w:val="412" w:hRule="exact"/>
        </w:trPr>
        <w:tc>
          <w:tcPr>
            <w:tcW w:w="2713"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17"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9"/>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2017 </w:t>
            </w:r>
            <w:r>
              <w:rPr>
                <w:rFonts w:ascii="宋体" w:hAnsi="宋体" w:cs="宋体" w:eastAsia="宋体" w:hint="default"/>
                <w:b/>
                <w:bCs/>
                <w:sz w:val="21"/>
                <w:szCs w:val="21"/>
              </w:rPr>
              <w:t>年末</w:t>
            </w:r>
            <w:r>
              <w:rPr>
                <w:rFonts w:ascii="宋体" w:hAnsi="宋体" w:cs="宋体" w:eastAsia="宋体" w:hint="default"/>
                <w:sz w:val="21"/>
                <w:szCs w:val="21"/>
              </w:rPr>
            </w:r>
          </w:p>
        </w:tc>
        <w:tc>
          <w:tcPr>
            <w:tcW w:w="3063"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9"/>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2016 </w:t>
            </w:r>
            <w:r>
              <w:rPr>
                <w:rFonts w:ascii="宋体" w:hAnsi="宋体" w:cs="宋体" w:eastAsia="宋体" w:hint="default"/>
                <w:b/>
                <w:bCs/>
                <w:sz w:val="21"/>
                <w:szCs w:val="21"/>
              </w:rPr>
              <w:t>年末</w:t>
            </w:r>
            <w:r>
              <w:rPr>
                <w:rFonts w:ascii="宋体" w:hAnsi="宋体" w:cs="宋体" w:eastAsia="宋体" w:hint="default"/>
                <w:sz w:val="21"/>
                <w:szCs w:val="21"/>
              </w:rPr>
            </w:r>
          </w:p>
        </w:tc>
        <w:tc>
          <w:tcPr>
            <w:tcW w:w="1064"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29"/>
              <w:ind w:left="100" w:right="0"/>
              <w:jc w:val="left"/>
              <w:rPr>
                <w:rFonts w:ascii="宋体" w:hAnsi="宋体" w:cs="宋体" w:eastAsia="宋体" w:hint="default"/>
                <w:sz w:val="21"/>
                <w:szCs w:val="21"/>
              </w:rPr>
            </w:pPr>
            <w:r>
              <w:rPr>
                <w:rFonts w:ascii="宋体" w:hAnsi="宋体" w:cs="宋体" w:eastAsia="宋体" w:hint="default"/>
                <w:b/>
                <w:bCs/>
                <w:sz w:val="21"/>
                <w:szCs w:val="21"/>
              </w:rPr>
              <w:t>比重增减</w:t>
            </w:r>
            <w:r>
              <w:rPr>
                <w:rFonts w:ascii="宋体" w:hAnsi="宋体" w:cs="宋体" w:eastAsia="宋体" w:hint="default"/>
                <w:sz w:val="21"/>
                <w:szCs w:val="21"/>
              </w:rPr>
            </w:r>
          </w:p>
        </w:tc>
      </w:tr>
      <w:tr>
        <w:trPr>
          <w:trHeight w:val="725" w:hRule="exact"/>
        </w:trPr>
        <w:tc>
          <w:tcPr>
            <w:tcW w:w="2713" w:type="dxa"/>
            <w:vMerge/>
            <w:tcBorders>
              <w:left w:val="single" w:sz="8" w:space="0" w:color="000000"/>
              <w:bottom w:val="single" w:sz="8" w:space="0" w:color="000000"/>
              <w:right w:val="single" w:sz="8" w:space="0" w:color="000000"/>
            </w:tcBorders>
            <w:shd w:val="clear" w:color="auto" w:fill="D9D9D9"/>
          </w:tcPr>
          <w:p>
            <w:pPr/>
          </w:p>
        </w:tc>
        <w:tc>
          <w:tcPr>
            <w:tcW w:w="195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6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3" w:lineRule="auto" w:before="28"/>
              <w:ind w:left="312" w:right="98" w:hanging="212"/>
              <w:jc w:val="left"/>
              <w:rPr>
                <w:rFonts w:ascii="宋体" w:hAnsi="宋体" w:cs="宋体" w:eastAsia="宋体" w:hint="default"/>
                <w:sz w:val="21"/>
                <w:szCs w:val="21"/>
              </w:rPr>
            </w:pPr>
            <w:r>
              <w:rPr>
                <w:rFonts w:ascii="宋体" w:hAnsi="宋体" w:cs="宋体" w:eastAsia="宋体" w:hint="default"/>
                <w:b/>
                <w:bCs/>
                <w:sz w:val="21"/>
                <w:szCs w:val="21"/>
              </w:rPr>
              <w:t>占总资产</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73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3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3" w:lineRule="auto" w:before="28"/>
              <w:ind w:left="549" w:right="125" w:hanging="420"/>
              <w:jc w:val="left"/>
              <w:rPr>
                <w:rFonts w:ascii="宋体" w:hAnsi="宋体" w:cs="宋体" w:eastAsia="宋体" w:hint="default"/>
                <w:sz w:val="21"/>
                <w:szCs w:val="21"/>
              </w:rPr>
            </w:pPr>
            <w:r>
              <w:rPr>
                <w:rFonts w:ascii="宋体" w:hAnsi="宋体" w:cs="宋体" w:eastAsia="宋体" w:hint="default"/>
                <w:b/>
                <w:bCs/>
                <w:sz w:val="21"/>
                <w:szCs w:val="21"/>
              </w:rPr>
              <w:t>占总资产比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064" w:type="dxa"/>
            <w:vMerge/>
            <w:tcBorders>
              <w:left w:val="single" w:sz="8" w:space="0" w:color="000000"/>
              <w:bottom w:val="single" w:sz="8" w:space="0" w:color="000000"/>
              <w:right w:val="single" w:sz="8" w:space="0" w:color="000000"/>
            </w:tcBorders>
            <w:shd w:val="clear" w:color="auto" w:fill="D9D9D9"/>
          </w:tcPr>
          <w:p>
            <w:pPr/>
          </w:p>
        </w:tc>
      </w:tr>
      <w:tr>
        <w:trPr>
          <w:trHeight w:val="410"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561,680,511.43</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21.36%</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532,675,048.16</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24.28%</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pacing w:val="-1"/>
                <w:sz w:val="21"/>
              </w:rPr>
              <w:t>-2.92%</w:t>
            </w:r>
          </w:p>
        </w:tc>
      </w:tr>
      <w:tr>
        <w:trPr>
          <w:trHeight w:val="413"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4,117,040.00</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z w:val="21"/>
              </w:rPr>
              <w:t>0.16%</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1,940,823.90</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z w:val="21"/>
              </w:rPr>
              <w:t>0.09%</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z w:val="21"/>
              </w:rPr>
              <w:t>0.07%</w:t>
            </w:r>
          </w:p>
        </w:tc>
      </w:tr>
      <w:tr>
        <w:trPr>
          <w:trHeight w:val="581"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413,357,441.58</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15.72%</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296,103,530.04</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13.49%</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2.23%</w:t>
            </w:r>
          </w:p>
        </w:tc>
      </w:tr>
      <w:tr>
        <w:trPr>
          <w:trHeight w:val="410"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8,722,865.50</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0.33%</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10,580,787.60</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0.48%</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pacing w:val="-1"/>
                <w:sz w:val="21"/>
              </w:rPr>
              <w:t>-0.15%</w:t>
            </w:r>
          </w:p>
        </w:tc>
      </w:tr>
      <w:tr>
        <w:trPr>
          <w:trHeight w:val="581"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76,867,761.00</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2.92%</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55,332,086.68</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2.52%</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0.40%</w:t>
            </w:r>
          </w:p>
        </w:tc>
      </w:tr>
      <w:tr>
        <w:trPr>
          <w:trHeight w:val="581"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10,552,114.06</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0.40%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5,026,468.38</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0.23%</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0.17%</w:t>
            </w:r>
          </w:p>
        </w:tc>
      </w:tr>
      <w:tr>
        <w:trPr>
          <w:trHeight w:val="579"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其他流动资产</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394,847,392.11</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15.01%</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315,310,123.30</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14.37%</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0.64%</w:t>
            </w:r>
          </w:p>
        </w:tc>
      </w:tr>
      <w:tr>
        <w:trPr>
          <w:trHeight w:val="581"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流动资产合计</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1,470,145,125.68</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55.90%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1,216,968,868.06</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55.46%</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0.44%</w:t>
            </w:r>
          </w:p>
        </w:tc>
      </w:tr>
      <w:tr>
        <w:trPr>
          <w:trHeight w:val="581"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3,012,155.43</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0.11%</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3,012,514.11</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0.14%</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-0.03%</w:t>
            </w:r>
          </w:p>
        </w:tc>
      </w:tr>
      <w:tr>
        <w:trPr>
          <w:trHeight w:val="410"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长期应收款</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w w:val="100"/>
                <w:sz w:val="21"/>
              </w:rPr>
              <w:t>-</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0.00%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748,284.23</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0.03%</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pacing w:val="-1"/>
                <w:sz w:val="21"/>
              </w:rPr>
              <w:t>-0.03%</w:t>
            </w:r>
          </w:p>
        </w:tc>
      </w:tr>
      <w:tr>
        <w:trPr>
          <w:trHeight w:val="413"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1,948,820.21</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z w:val="21"/>
              </w:rPr>
              <w:t>0.07%</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1,100,435.95</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z w:val="21"/>
              </w:rPr>
              <w:t>0.05%</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z w:val="21"/>
              </w:rPr>
              <w:t>0.02%</w:t>
            </w:r>
          </w:p>
        </w:tc>
      </w:tr>
      <w:tr>
        <w:trPr>
          <w:trHeight w:val="413"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投资性房地产</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121,539,879.37</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4.62%</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123,947,832.48</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5.65%</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pacing w:val="-1"/>
                <w:sz w:val="21"/>
              </w:rPr>
              <w:t>-1.03%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00" w:right="900"/>
        </w:sectPr>
      </w:pPr>
    </w:p>
    <w:p>
      <w:pPr>
        <w:spacing w:line="240" w:lineRule="auto" w:before="11"/>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2713"/>
        <w:gridCol w:w="1952"/>
        <w:gridCol w:w="1066"/>
        <w:gridCol w:w="1731"/>
        <w:gridCol w:w="1332"/>
        <w:gridCol w:w="1064"/>
      </w:tblGrid>
      <w:tr>
        <w:trPr>
          <w:trHeight w:val="401" w:hRule="exact"/>
        </w:trPr>
        <w:tc>
          <w:tcPr>
            <w:tcW w:w="2713" w:type="dxa"/>
            <w:tcBorders>
              <w:top w:val="nil" w:sz="6" w:space="0" w:color="auto"/>
              <w:left w:val="single" w:sz="8" w:space="0" w:color="000000"/>
              <w:bottom w:val="single" w:sz="8" w:space="0" w:color="000000"/>
              <w:right w:val="single" w:sz="8" w:space="0" w:color="000000"/>
            </w:tcBorders>
            <w:shd w:val="clear" w:color="auto" w:fill="D9D9D9"/>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95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165,287,617.58</w:t>
            </w:r>
          </w:p>
        </w:tc>
        <w:tc>
          <w:tcPr>
            <w:tcW w:w="106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6.29%</w:t>
            </w:r>
          </w:p>
        </w:tc>
        <w:tc>
          <w:tcPr>
            <w:tcW w:w="173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175,820,535.56</w:t>
            </w:r>
          </w:p>
        </w:tc>
        <w:tc>
          <w:tcPr>
            <w:tcW w:w="133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8.01%</w:t>
            </w:r>
          </w:p>
        </w:tc>
        <w:tc>
          <w:tcPr>
            <w:tcW w:w="106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pacing w:val="-1"/>
                <w:sz w:val="21"/>
              </w:rPr>
              <w:t>-1.72%</w:t>
            </w:r>
          </w:p>
        </w:tc>
      </w:tr>
      <w:tr>
        <w:trPr>
          <w:trHeight w:val="413"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14,912,976.25</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z w:val="21"/>
              </w:rPr>
              <w:t>0.57%</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247,641.52</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z w:val="21"/>
              </w:rPr>
              <w:t>0.01%</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z w:val="21"/>
              </w:rPr>
              <w:t>0.56%</w:t>
            </w:r>
          </w:p>
        </w:tc>
      </w:tr>
      <w:tr>
        <w:trPr>
          <w:trHeight w:val="581"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120,737,801.57</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4.59%</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85,056,057.57</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3.88%</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0.71%</w:t>
            </w:r>
          </w:p>
        </w:tc>
      </w:tr>
      <w:tr>
        <w:trPr>
          <w:trHeight w:val="578"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开发支出</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11,116,674.61</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0.42%</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46,748,751.52</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2.13%</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-1.71%</w:t>
            </w:r>
          </w:p>
        </w:tc>
      </w:tr>
      <w:tr>
        <w:trPr>
          <w:trHeight w:val="581"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商誉</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707,269,877.25</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26.90%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529,300,601.06</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24.12%</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2.78%</w:t>
            </w:r>
          </w:p>
        </w:tc>
      </w:tr>
      <w:tr>
        <w:trPr>
          <w:trHeight w:val="413"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长期待摊费用</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1,651,966.61</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0.06%</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1,674,214.81</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0.08%</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pacing w:val="-1"/>
                <w:sz w:val="21"/>
              </w:rPr>
              <w:t>-0.02%</w:t>
            </w:r>
          </w:p>
        </w:tc>
      </w:tr>
      <w:tr>
        <w:trPr>
          <w:trHeight w:val="410"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10,875,192.58</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0.41%</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9,645,154.98</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0.44%</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pacing w:val="-1"/>
                <w:sz w:val="21"/>
              </w:rPr>
              <w:t>-0.03%</w:t>
            </w:r>
          </w:p>
        </w:tc>
      </w:tr>
      <w:tr>
        <w:trPr>
          <w:trHeight w:val="413"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其他非流动资产</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1,230,000.00</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z w:val="21"/>
              </w:rPr>
              <w:t>0.05%</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w w:val="100"/>
                <w:sz w:val="21"/>
              </w:rPr>
              <w:t>-</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z w:val="21"/>
              </w:rPr>
              <w:t>0.00%</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z w:val="21"/>
              </w:rPr>
              <w:t>0.05%</w:t>
            </w:r>
          </w:p>
        </w:tc>
      </w:tr>
      <w:tr>
        <w:trPr>
          <w:trHeight w:val="413"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非流动资产合计</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1,159,582,961.46</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44.10%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977,302,023.79</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44.54%</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pacing w:val="-1"/>
                <w:sz w:val="21"/>
              </w:rPr>
              <w:t>-0.44%</w:t>
            </w:r>
          </w:p>
        </w:tc>
      </w:tr>
      <w:tr>
        <w:trPr>
          <w:trHeight w:val="413" w:hRule="exact"/>
        </w:trPr>
        <w:tc>
          <w:tcPr>
            <w:tcW w:w="271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2,629,728,087.14</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100.00%</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2,194,270,891.85</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100.00%</w:t>
            </w:r>
          </w:p>
        </w:tc>
        <w:tc>
          <w:tcPr>
            <w:tcW w:w="1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338" w:lineRule="auto" w:before="39"/>
        <w:ind w:left="713" w:right="396"/>
        <w:jc w:val="left"/>
      </w:pPr>
      <w:r>
        <w:rPr/>
        <w:pict>
          <v:group style="position:absolute;margin-left:51.84pt;margin-top:-231.288391pt;width:134.7pt;height:230.25pt;mso-position-horizontal-relative:page;mso-position-vertical-relative:paragraph;z-index:-999040" coordorigin="1037,-4626" coordsize="2694,4605">
            <v:group style="position:absolute;left:1037;top:-4626;width:97;height:392" coordorigin="1037,-4626" coordsize="97,392">
              <v:shape style="position:absolute;left:1037;top:-4626;width:97;height:392" coordorigin="1037,-4626" coordsize="97,392" path="m1037,-4234l1133,-4234,1133,-4626,1037,-4626,1037,-4234xe" filled="true" fillcolor="#d9d9d9" stroked="false">
                <v:path arrowok="t"/>
                <v:fill type="solid"/>
              </v:shape>
            </v:group>
            <v:group style="position:absolute;left:3632;top:-4626;width:99;height:392" coordorigin="3632,-4626" coordsize="99,392">
              <v:shape style="position:absolute;left:3632;top:-4626;width:99;height:392" coordorigin="3632,-4626" coordsize="99,392" path="m3632,-4234l3731,-4234,3731,-4626,3632,-4626,3632,-4234xe" filled="true" fillcolor="#d9d9d9" stroked="false">
                <v:path arrowok="t"/>
                <v:fill type="solid"/>
              </v:shape>
            </v:group>
            <v:group style="position:absolute;left:1133;top:-4626;width:2499;height:392" coordorigin="1133,-4626" coordsize="2499,392">
              <v:shape style="position:absolute;left:1133;top:-4626;width:2499;height:392" coordorigin="1133,-4626" coordsize="2499,392" path="m1133,-4234l3632,-4234,3632,-4626,1133,-4626,1133,-4234xe" filled="true" fillcolor="#d9d9d9" stroked="false">
                <v:path arrowok="t"/>
                <v:fill type="solid"/>
              </v:shape>
            </v:group>
            <v:group style="position:absolute;left:1037;top:-4212;width:97;height:392" coordorigin="1037,-4212" coordsize="97,392">
              <v:shape style="position:absolute;left:1037;top:-4212;width:97;height:392" coordorigin="1037,-4212" coordsize="97,392" path="m1037,-3821l1133,-3821,1133,-4212,1037,-4212,1037,-3821xe" filled="true" fillcolor="#d9d9d9" stroked="false">
                <v:path arrowok="t"/>
                <v:fill type="solid"/>
              </v:shape>
            </v:group>
            <v:group style="position:absolute;left:3632;top:-4212;width:99;height:392" coordorigin="3632,-4212" coordsize="99,392">
              <v:shape style="position:absolute;left:3632;top:-4212;width:99;height:392" coordorigin="3632,-4212" coordsize="99,392" path="m3632,-3821l3731,-3821,3731,-4212,3632,-4212,3632,-3821xe" filled="true" fillcolor="#d9d9d9" stroked="false">
                <v:path arrowok="t"/>
                <v:fill type="solid"/>
              </v:shape>
            </v:group>
            <v:group style="position:absolute;left:1133;top:-4212;width:2499;height:392" coordorigin="1133,-4212" coordsize="2499,392">
              <v:shape style="position:absolute;left:1133;top:-4212;width:2499;height:392" coordorigin="1133,-4212" coordsize="2499,392" path="m1133,-3821l3632,-3821,3632,-4212,1133,-4212,1133,-3821xe" filled="true" fillcolor="#d9d9d9" stroked="false">
                <v:path arrowok="t"/>
                <v:fill type="solid"/>
              </v:shape>
            </v:group>
            <v:group style="position:absolute;left:1037;top:-3802;width:2694;height:168" coordorigin="1037,-3802" coordsize="2694,168">
              <v:shape style="position:absolute;left:1037;top:-3802;width:2694;height:168" coordorigin="1037,-3802" coordsize="2694,168" path="m1037,-3634l3731,-3634,3731,-3802,1037,-3802,1037,-3634xe" filled="true" fillcolor="#d9d9d9" stroked="false">
                <v:path arrowok="t"/>
                <v:fill type="solid"/>
              </v:shape>
            </v:group>
            <v:group style="position:absolute;left:1037;top:-3634;width:97;height:394" coordorigin="1037,-3634" coordsize="97,394">
              <v:shape style="position:absolute;left:1037;top:-3634;width:97;height:394" coordorigin="1037,-3634" coordsize="97,394" path="m1037,-3240l1133,-3240,1133,-3634,1037,-3634,1037,-3240xe" filled="true" fillcolor="#d9d9d9" stroked="false">
                <v:path arrowok="t"/>
                <v:fill type="solid"/>
              </v:shape>
            </v:group>
            <v:group style="position:absolute;left:3632;top:-3634;width:99;height:394" coordorigin="3632,-3634" coordsize="99,394">
              <v:shape style="position:absolute;left:3632;top:-3634;width:99;height:394" coordorigin="3632,-3634" coordsize="99,394" path="m3632,-3240l3731,-3240,3731,-3634,3632,-3634,3632,-3240xe" filled="true" fillcolor="#d9d9d9" stroked="false">
                <v:path arrowok="t"/>
                <v:fill type="solid"/>
              </v:shape>
            </v:group>
            <v:group style="position:absolute;left:1133;top:-3634;width:2499;height:394" coordorigin="1133,-3634" coordsize="2499,394">
              <v:shape style="position:absolute;left:1133;top:-3634;width:2499;height:394" coordorigin="1133,-3634" coordsize="2499,394" path="m1133,-3240l3632,-3240,3632,-3634,1133,-3634,1133,-3240xe" filled="true" fillcolor="#d9d9d9" stroked="false">
                <v:path arrowok="t"/>
                <v:fill type="solid"/>
              </v:shape>
            </v:group>
            <v:group style="position:absolute;left:1037;top:-3221;width:2694;height:168" coordorigin="1037,-3221" coordsize="2694,168">
              <v:shape style="position:absolute;left:1037;top:-3221;width:2694;height:168" coordorigin="1037,-3221" coordsize="2694,168" path="m1037,-3053l3731,-3053,3731,-3221,1037,-3221,1037,-3053xe" filled="true" fillcolor="#d9d9d9" stroked="false">
                <v:path arrowok="t"/>
                <v:fill type="solid"/>
              </v:shape>
            </v:group>
            <v:group style="position:absolute;left:1037;top:-3053;width:97;height:392" coordorigin="1037,-3053" coordsize="97,392">
              <v:shape style="position:absolute;left:1037;top:-3053;width:97;height:392" coordorigin="1037,-3053" coordsize="97,392" path="m1037,-2662l1133,-2662,1133,-3053,1037,-3053,1037,-2662xe" filled="true" fillcolor="#d9d9d9" stroked="false">
                <v:path arrowok="t"/>
                <v:fill type="solid"/>
              </v:shape>
            </v:group>
            <v:group style="position:absolute;left:3632;top:-3053;width:99;height:392" coordorigin="3632,-3053" coordsize="99,392">
              <v:shape style="position:absolute;left:3632;top:-3053;width:99;height:392" coordorigin="3632,-3053" coordsize="99,392" path="m3632,-2662l3731,-2662,3731,-3053,3632,-3053,3632,-2662xe" filled="true" fillcolor="#d9d9d9" stroked="false">
                <v:path arrowok="t"/>
                <v:fill type="solid"/>
              </v:shape>
            </v:group>
            <v:group style="position:absolute;left:1133;top:-3053;width:2499;height:392" coordorigin="1133,-3053" coordsize="2499,392">
              <v:shape style="position:absolute;left:1133;top:-3053;width:2499;height:392" coordorigin="1133,-3053" coordsize="2499,392" path="m1133,-2662l3632,-2662,3632,-3053,1133,-3053,1133,-2662xe" filled="true" fillcolor="#d9d9d9" stroked="false">
                <v:path arrowok="t"/>
                <v:fill type="solid"/>
              </v:shape>
            </v:group>
            <v:group style="position:absolute;left:1037;top:-2640;width:2694;height:168" coordorigin="1037,-2640" coordsize="2694,168">
              <v:shape style="position:absolute;left:1037;top:-2640;width:2694;height:168" coordorigin="1037,-2640" coordsize="2694,168" path="m1037,-2472l3731,-2472,3731,-2640,1037,-2640,1037,-2472xe" filled="true" fillcolor="#d9d9d9" stroked="false">
                <v:path arrowok="t"/>
                <v:fill type="solid"/>
              </v:shape>
            </v:group>
            <v:group style="position:absolute;left:1037;top:-2472;width:97;height:392" coordorigin="1037,-2472" coordsize="97,392">
              <v:shape style="position:absolute;left:1037;top:-2472;width:97;height:392" coordorigin="1037,-2472" coordsize="97,392" path="m1037,-2081l1133,-2081,1133,-2472,1037,-2472,1037,-2081xe" filled="true" fillcolor="#d9d9d9" stroked="false">
                <v:path arrowok="t"/>
                <v:fill type="solid"/>
              </v:shape>
            </v:group>
            <v:group style="position:absolute;left:3632;top:-2472;width:99;height:392" coordorigin="3632,-2472" coordsize="99,392">
              <v:shape style="position:absolute;left:3632;top:-2472;width:99;height:392" coordorigin="3632,-2472" coordsize="99,392" path="m3632,-2081l3731,-2081,3731,-2472,3632,-2472,3632,-2081xe" filled="true" fillcolor="#d9d9d9" stroked="false">
                <v:path arrowok="t"/>
                <v:fill type="solid"/>
              </v:shape>
            </v:group>
            <v:group style="position:absolute;left:1133;top:-2472;width:2499;height:392" coordorigin="1133,-2472" coordsize="2499,392">
              <v:shape style="position:absolute;left:1133;top:-2472;width:2499;height:392" coordorigin="1133,-2472" coordsize="2499,392" path="m1133,-2081l3632,-2081,3632,-2472,1133,-2472,1133,-2081xe" filled="true" fillcolor="#d9d9d9" stroked="false">
                <v:path arrowok="t"/>
                <v:fill type="solid"/>
              </v:shape>
            </v:group>
            <v:group style="position:absolute;left:1037;top:-2062;width:97;height:394" coordorigin="1037,-2062" coordsize="97,394">
              <v:shape style="position:absolute;left:1037;top:-2062;width:97;height:394" coordorigin="1037,-2062" coordsize="97,394" path="m1037,-1668l1133,-1668,1133,-2062,1037,-2062,1037,-1668xe" filled="true" fillcolor="#d9d9d9" stroked="false">
                <v:path arrowok="t"/>
                <v:fill type="solid"/>
              </v:shape>
            </v:group>
            <v:group style="position:absolute;left:3632;top:-2062;width:99;height:394" coordorigin="3632,-2062" coordsize="99,394">
              <v:shape style="position:absolute;left:3632;top:-2062;width:99;height:394" coordorigin="3632,-2062" coordsize="99,394" path="m3632,-1668l3731,-1668,3731,-2062,3632,-2062,3632,-1668xe" filled="true" fillcolor="#d9d9d9" stroked="false">
                <v:path arrowok="t"/>
                <v:fill type="solid"/>
              </v:shape>
            </v:group>
            <v:group style="position:absolute;left:1133;top:-2062;width:2499;height:394" coordorigin="1133,-2062" coordsize="2499,394">
              <v:shape style="position:absolute;left:1133;top:-2062;width:2499;height:394" coordorigin="1133,-2062" coordsize="2499,394" path="m1133,-1668l3632,-1668,3632,-2062,1133,-2062,1133,-1668xe" filled="true" fillcolor="#d9d9d9" stroked="false">
                <v:path arrowok="t"/>
                <v:fill type="solid"/>
              </v:shape>
            </v:group>
            <v:group style="position:absolute;left:1037;top:-1649;width:97;height:392" coordorigin="1037,-1649" coordsize="97,392">
              <v:shape style="position:absolute;left:1037;top:-1649;width:97;height:392" coordorigin="1037,-1649" coordsize="97,392" path="m1037,-1258l1133,-1258,1133,-1649,1037,-1649,1037,-1258xe" filled="true" fillcolor="#d9d9d9" stroked="false">
                <v:path arrowok="t"/>
                <v:fill type="solid"/>
              </v:shape>
            </v:group>
            <v:group style="position:absolute;left:3632;top:-1649;width:99;height:392" coordorigin="3632,-1649" coordsize="99,392">
              <v:shape style="position:absolute;left:3632;top:-1649;width:99;height:392" coordorigin="3632,-1649" coordsize="99,392" path="m3632,-1258l3731,-1258,3731,-1649,3632,-1649,3632,-1258xe" filled="true" fillcolor="#d9d9d9" stroked="false">
                <v:path arrowok="t"/>
                <v:fill type="solid"/>
              </v:shape>
            </v:group>
            <v:group style="position:absolute;left:1133;top:-1649;width:2499;height:392" coordorigin="1133,-1649" coordsize="2499,392">
              <v:shape style="position:absolute;left:1133;top:-1649;width:2499;height:392" coordorigin="1133,-1649" coordsize="2499,392" path="m1133,-1258l3632,-1258,3632,-1649,1133,-1649,1133,-1258xe" filled="true" fillcolor="#d9d9d9" stroked="false">
                <v:path arrowok="t"/>
                <v:fill type="solid"/>
              </v:shape>
            </v:group>
            <v:group style="position:absolute;left:1037;top:-1236;width:97;height:392" coordorigin="1037,-1236" coordsize="97,392">
              <v:shape style="position:absolute;left:1037;top:-1236;width:97;height:392" coordorigin="1037,-1236" coordsize="97,392" path="m1037,-845l1133,-845,1133,-1236,1037,-1236,1037,-845xe" filled="true" fillcolor="#d9d9d9" stroked="false">
                <v:path arrowok="t"/>
                <v:fill type="solid"/>
              </v:shape>
            </v:group>
            <v:group style="position:absolute;left:3632;top:-1236;width:99;height:392" coordorigin="3632,-1236" coordsize="99,392">
              <v:shape style="position:absolute;left:3632;top:-1236;width:99;height:392" coordorigin="3632,-1236" coordsize="99,392" path="m3632,-845l3731,-845,3731,-1236,3632,-1236,3632,-845xe" filled="true" fillcolor="#d9d9d9" stroked="false">
                <v:path arrowok="t"/>
                <v:fill type="solid"/>
              </v:shape>
            </v:group>
            <v:group style="position:absolute;left:1133;top:-1236;width:2499;height:392" coordorigin="1133,-1236" coordsize="2499,392">
              <v:shape style="position:absolute;left:1133;top:-1236;width:2499;height:392" coordorigin="1133,-1236" coordsize="2499,392" path="m1133,-845l3632,-845,3632,-1236,1133,-1236,1133,-845xe" filled="true" fillcolor="#d9d9d9" stroked="false">
                <v:path arrowok="t"/>
                <v:fill type="solid"/>
              </v:shape>
            </v:group>
            <v:group style="position:absolute;left:1037;top:-826;width:97;height:395" coordorigin="1037,-826" coordsize="97,395">
              <v:shape style="position:absolute;left:1037;top:-826;width:97;height:395" coordorigin="1037,-826" coordsize="97,395" path="m1037,-432l1133,-432,1133,-826,1037,-826,1037,-432xe" filled="true" fillcolor="#d9d9d9" stroked="false">
                <v:path arrowok="t"/>
                <v:fill type="solid"/>
              </v:shape>
            </v:group>
            <v:group style="position:absolute;left:3632;top:-826;width:99;height:395" coordorigin="3632,-826" coordsize="99,395">
              <v:shape style="position:absolute;left:3632;top:-826;width:99;height:395" coordorigin="3632,-826" coordsize="99,395" path="m3632,-432l3731,-432,3731,-826,3632,-826,3632,-432xe" filled="true" fillcolor="#d9d9d9" stroked="false">
                <v:path arrowok="t"/>
                <v:fill type="solid"/>
              </v:shape>
            </v:group>
            <v:group style="position:absolute;left:1133;top:-826;width:2499;height:395" coordorigin="1133,-826" coordsize="2499,395">
              <v:shape style="position:absolute;left:1133;top:-826;width:2499;height:395" coordorigin="1133,-826" coordsize="2499,395" path="m1133,-432l3632,-432,3632,-826,1133,-826,1133,-432xe" filled="true" fillcolor="#d9d9d9" stroked="false">
                <v:path arrowok="t"/>
                <v:fill type="solid"/>
              </v:shape>
            </v:group>
            <v:group style="position:absolute;left:1037;top:-413;width:97;height:392" coordorigin="1037,-413" coordsize="97,392">
              <v:shape style="position:absolute;left:1037;top:-413;width:97;height:392" coordorigin="1037,-413" coordsize="97,392" path="m1037,-21l1133,-21,1133,-413,1037,-413,1037,-21xe" filled="true" fillcolor="#d9d9d9" stroked="false">
                <v:path arrowok="t"/>
                <v:fill type="solid"/>
              </v:shape>
            </v:group>
            <v:group style="position:absolute;left:3632;top:-413;width:99;height:392" coordorigin="3632,-413" coordsize="99,392">
              <v:shape style="position:absolute;left:3632;top:-413;width:99;height:392" coordorigin="3632,-413" coordsize="99,392" path="m3632,-21l3731,-21,3731,-413,3632,-413,3632,-21xe" filled="true" fillcolor="#d9d9d9" stroked="false">
                <v:path arrowok="t"/>
                <v:fill type="solid"/>
              </v:shape>
            </v:group>
            <v:group style="position:absolute;left:1133;top:-413;width:2499;height:392" coordorigin="1133,-413" coordsize="2499,392">
              <v:shape style="position:absolute;left:1133;top:-413;width:2499;height:392" coordorigin="1133,-413" coordsize="2499,392" path="m1133,-21l3632,-21,3632,-413,1133,-413,1133,-21xe" filled="true" fillcolor="#d9d9d9" stroked="false">
                <v:path arrowok="t"/>
                <v:fill type="solid"/>
              </v:shape>
            </v:group>
            <w10:wrap type="none"/>
          </v:group>
        </w:pict>
      </w:r>
      <w:r>
        <w:rPr/>
        <w:t>应收票据较年初增长</w:t>
      </w:r>
      <w:r>
        <w:rPr>
          <w:spacing w:val="-61"/>
        </w:rPr>
        <w:t> </w:t>
      </w:r>
      <w:r>
        <w:rPr>
          <w:rFonts w:ascii="Times New Roman" w:hAnsi="Times New Roman" w:cs="Times New Roman" w:eastAsia="Times New Roman" w:hint="default"/>
        </w:rPr>
        <w:t>112.13%</w:t>
      </w:r>
      <w:r>
        <w:rPr/>
        <w:t>，主要原因系以票据结算的销售货款增加所致。 应收账款较年初增长</w:t>
      </w:r>
      <w:r>
        <w:rPr>
          <w:spacing w:val="-61"/>
        </w:rPr>
        <w:t> </w:t>
      </w:r>
      <w:r>
        <w:rPr>
          <w:rFonts w:ascii="Times New Roman" w:hAnsi="Times New Roman" w:cs="Times New Roman" w:eastAsia="Times New Roman" w:hint="default"/>
        </w:rPr>
        <w:t>39.60%</w:t>
      </w:r>
      <w:r>
        <w:rPr/>
        <w:t>，主要原因系公司业务增长以及合并上海数慧所致。 其他应收款较年初增长</w:t>
      </w:r>
      <w:r>
        <w:rPr>
          <w:spacing w:val="-41"/>
        </w:rPr>
        <w:t> </w:t>
      </w:r>
      <w:r>
        <w:rPr>
          <w:rFonts w:ascii="Times New Roman" w:hAnsi="Times New Roman" w:cs="Times New Roman" w:eastAsia="Times New Roman" w:hint="default"/>
          <w:spacing w:val="-2"/>
        </w:rPr>
        <w:t>38.92%</w:t>
      </w:r>
      <w:r>
        <w:rPr>
          <w:spacing w:val="-2"/>
        </w:rPr>
        <w:t>，主要原因系业务规模增长，支付的员工备用金及投标保</w:t>
      </w:r>
    </w:p>
    <w:p>
      <w:pPr>
        <w:pStyle w:val="BodyText"/>
        <w:spacing w:line="240" w:lineRule="auto" w:before="27"/>
        <w:ind w:left="233" w:right="396"/>
        <w:jc w:val="left"/>
      </w:pPr>
      <w:r>
        <w:rPr/>
        <w:t>证金等借款增加以及合并上海数慧所致。</w:t>
      </w:r>
    </w:p>
    <w:p>
      <w:pPr>
        <w:pStyle w:val="BodyText"/>
        <w:spacing w:line="338" w:lineRule="auto" w:before="154"/>
        <w:ind w:left="713" w:right="398"/>
        <w:jc w:val="left"/>
      </w:pPr>
      <w:r>
        <w:rPr/>
        <w:t>存货较年初增长</w:t>
      </w:r>
      <w:r>
        <w:rPr>
          <w:spacing w:val="-61"/>
        </w:rPr>
        <w:t> </w:t>
      </w:r>
      <w:r>
        <w:rPr>
          <w:rFonts w:ascii="Times New Roman" w:hAnsi="Times New Roman" w:cs="Times New Roman" w:eastAsia="Times New Roman" w:hint="default"/>
        </w:rPr>
        <w:t>109.93%</w:t>
      </w:r>
      <w:r>
        <w:rPr/>
        <w:t>，主要原因系销售硬件采购增加及合并上海数慧所致。 长期应收款为</w:t>
      </w:r>
      <w:r>
        <w:rPr>
          <w:spacing w:val="-59"/>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5"/>
        </w:rPr>
        <w:t>元，较年初减少</w:t>
      </w:r>
      <w:r>
        <w:rPr>
          <w:spacing w:val="-57"/>
        </w:rPr>
        <w:t> </w:t>
      </w:r>
      <w:r>
        <w:rPr>
          <w:rFonts w:ascii="Times New Roman" w:hAnsi="Times New Roman" w:cs="Times New Roman" w:eastAsia="Times New Roman" w:hint="default"/>
        </w:rPr>
        <w:t>748,284.23</w:t>
      </w:r>
      <w:r>
        <w:rPr>
          <w:rFonts w:ascii="Times New Roman" w:hAnsi="Times New Roman" w:cs="Times New Roman" w:eastAsia="Times New Roman" w:hint="default"/>
          <w:spacing w:val="3"/>
        </w:rPr>
        <w:t> </w:t>
      </w:r>
      <w:r>
        <w:rPr>
          <w:spacing w:val="-7"/>
        </w:rPr>
        <w:t>元，降幅为</w:t>
      </w:r>
      <w:r>
        <w:rPr>
          <w:spacing w:val="-57"/>
        </w:rPr>
        <w:t> </w:t>
      </w:r>
      <w:r>
        <w:rPr>
          <w:rFonts w:ascii="Times New Roman" w:hAnsi="Times New Roman" w:cs="Times New Roman" w:eastAsia="Times New Roman" w:hint="default"/>
          <w:spacing w:val="-3"/>
        </w:rPr>
        <w:t>100%</w:t>
      </w:r>
      <w:r>
        <w:rPr>
          <w:spacing w:val="-3"/>
        </w:rPr>
        <w:t>，主要原因系到期房屋租赁</w:t>
      </w:r>
    </w:p>
    <w:p>
      <w:pPr>
        <w:pStyle w:val="BodyText"/>
        <w:spacing w:line="240" w:lineRule="auto" w:before="27"/>
        <w:ind w:left="233" w:right="396"/>
        <w:jc w:val="left"/>
      </w:pPr>
      <w:r>
        <w:rPr/>
        <w:t>押金及电话权押金收回所致。</w:t>
      </w:r>
    </w:p>
    <w:p>
      <w:pPr>
        <w:pStyle w:val="BodyText"/>
        <w:spacing w:line="338" w:lineRule="auto" w:before="154"/>
        <w:ind w:left="713" w:right="553"/>
        <w:jc w:val="left"/>
      </w:pPr>
      <w:r>
        <w:rPr/>
        <w:t>长期股权投资较年初增长</w:t>
      </w:r>
      <w:r>
        <w:rPr>
          <w:spacing w:val="-61"/>
        </w:rPr>
        <w:t> </w:t>
      </w:r>
      <w:r>
        <w:rPr>
          <w:rFonts w:ascii="Times New Roman" w:hAnsi="Times New Roman" w:cs="Times New Roman" w:eastAsia="Times New Roman" w:hint="default"/>
        </w:rPr>
        <w:t>77.1%</w:t>
      </w:r>
      <w:r>
        <w:rPr/>
        <w:t>，主要原因系权益法确认浙江中科投资收益所致。 在建工程较年初增长</w:t>
      </w:r>
      <w:r>
        <w:rPr>
          <w:spacing w:val="-61"/>
        </w:rPr>
        <w:t> </w:t>
      </w:r>
      <w:r>
        <w:rPr>
          <w:rFonts w:ascii="Times New Roman" w:hAnsi="Times New Roman" w:cs="Times New Roman" w:eastAsia="Times New Roman" w:hint="default"/>
        </w:rPr>
        <w:t>5922%</w:t>
      </w:r>
      <w:r>
        <w:rPr/>
        <w:t>，主要原因系成都超图大厦建设项目所致。 无形资产较年初增长</w:t>
      </w:r>
      <w:r>
        <w:rPr>
          <w:spacing w:val="-61"/>
        </w:rPr>
        <w:t> </w:t>
      </w:r>
      <w:r>
        <w:rPr>
          <w:rFonts w:ascii="Times New Roman" w:hAnsi="Times New Roman" w:cs="Times New Roman" w:eastAsia="Times New Roman" w:hint="default"/>
        </w:rPr>
        <w:t>41.95%</w:t>
      </w:r>
      <w:r>
        <w:rPr/>
        <w:t>，主要原因系开发支出资本化结转至无形资产所致。 开发支出较年初下降</w:t>
      </w:r>
      <w:r>
        <w:rPr>
          <w:spacing w:val="-61"/>
        </w:rPr>
        <w:t> </w:t>
      </w:r>
      <w:r>
        <w:rPr>
          <w:rFonts w:ascii="Times New Roman" w:hAnsi="Times New Roman" w:cs="Times New Roman" w:eastAsia="Times New Roman" w:hint="default"/>
        </w:rPr>
        <w:t>76.22%</w:t>
      </w:r>
      <w:r>
        <w:rPr/>
        <w:t>，主要原因系开发支出资本化结转至无形资产所致。 商誉较年初增加</w:t>
      </w:r>
      <w:r>
        <w:rPr>
          <w:spacing w:val="-61"/>
        </w:rPr>
        <w:t> </w:t>
      </w:r>
      <w:r>
        <w:rPr>
          <w:rFonts w:ascii="Times New Roman" w:hAnsi="Times New Roman" w:cs="Times New Roman" w:eastAsia="Times New Roman" w:hint="default"/>
        </w:rPr>
        <w:t>33.62%</w:t>
      </w:r>
      <w:r>
        <w:rPr/>
        <w:t>，主要原因系本期收购上海数慧形成的商誉所致。 其他非流动资产为</w:t>
      </w:r>
      <w:r>
        <w:rPr>
          <w:spacing w:val="-60"/>
        </w:rPr>
        <w:t> </w:t>
      </w:r>
      <w:r>
        <w:rPr>
          <w:rFonts w:ascii="Times New Roman" w:hAnsi="Times New Roman" w:cs="Times New Roman" w:eastAsia="Times New Roman" w:hint="default"/>
        </w:rPr>
        <w:t>1,230,000 </w:t>
      </w:r>
      <w:r>
        <w:rPr/>
        <w:t>元，年初为</w:t>
      </w:r>
      <w:r>
        <w:rPr>
          <w:spacing w:val="-60"/>
        </w:rPr>
        <w:t> </w:t>
      </w:r>
      <w:r>
        <w:rPr>
          <w:rFonts w:ascii="Times New Roman" w:hAnsi="Times New Roman" w:cs="Times New Roman" w:eastAsia="Times New Roman" w:hint="default"/>
        </w:rPr>
        <w:t>0 </w:t>
      </w:r>
      <w:r>
        <w:rPr/>
        <w:t>元，主要原因系浙江超图预付购房款所致。</w:t>
      </w:r>
    </w:p>
    <w:p>
      <w:pPr>
        <w:spacing w:line="240" w:lineRule="auto" w:before="0"/>
        <w:rPr>
          <w:rFonts w:ascii="宋体" w:hAnsi="宋体" w:cs="宋体" w:eastAsia="宋体" w:hint="default"/>
          <w:sz w:val="25"/>
          <w:szCs w:val="25"/>
        </w:rPr>
      </w:pPr>
    </w:p>
    <w:p>
      <w:pPr>
        <w:pStyle w:val="Heading2"/>
        <w:spacing w:line="240" w:lineRule="auto"/>
        <w:ind w:left="233" w:right="396"/>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35"/>
          <w:szCs w:val="35"/>
        </w:rPr>
      </w:pPr>
    </w:p>
    <w:p>
      <w:pPr>
        <w:spacing w:before="0"/>
        <w:ind w:left="0" w:right="4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1271"/>
        <w:gridCol w:w="2069"/>
        <w:gridCol w:w="1683"/>
        <w:gridCol w:w="2261"/>
        <w:gridCol w:w="1118"/>
        <w:gridCol w:w="1618"/>
      </w:tblGrid>
      <w:tr>
        <w:trPr>
          <w:trHeight w:val="412" w:hRule="exact"/>
        </w:trPr>
        <w:tc>
          <w:tcPr>
            <w:tcW w:w="1271"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1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52"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8"/>
              <w:ind w:left="5"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2017 </w:t>
            </w:r>
            <w:r>
              <w:rPr>
                <w:rFonts w:ascii="宋体" w:hAnsi="宋体" w:cs="宋体" w:eastAsia="宋体" w:hint="default"/>
                <w:b/>
                <w:bCs/>
                <w:sz w:val="21"/>
                <w:szCs w:val="21"/>
              </w:rPr>
              <w:t>年末</w:t>
            </w:r>
            <w:r>
              <w:rPr>
                <w:rFonts w:ascii="宋体" w:hAnsi="宋体" w:cs="宋体" w:eastAsia="宋体" w:hint="default"/>
                <w:sz w:val="21"/>
                <w:szCs w:val="21"/>
              </w:rPr>
            </w:r>
          </w:p>
        </w:tc>
        <w:tc>
          <w:tcPr>
            <w:tcW w:w="3380"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618"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b/>
                <w:bCs/>
                <w:sz w:val="21"/>
                <w:szCs w:val="21"/>
              </w:rPr>
              <w:t>比重增减</w:t>
            </w:r>
            <w:r>
              <w:rPr>
                <w:rFonts w:ascii="宋体" w:hAnsi="宋体" w:cs="宋体" w:eastAsia="宋体" w:hint="default"/>
                <w:sz w:val="21"/>
                <w:szCs w:val="21"/>
              </w:rPr>
            </w:r>
          </w:p>
        </w:tc>
      </w:tr>
      <w:tr>
        <w:trPr>
          <w:trHeight w:val="724" w:hRule="exact"/>
        </w:trPr>
        <w:tc>
          <w:tcPr>
            <w:tcW w:w="1271" w:type="dxa"/>
            <w:vMerge/>
            <w:tcBorders>
              <w:left w:val="single" w:sz="8" w:space="0" w:color="000000"/>
              <w:bottom w:val="single" w:sz="8" w:space="0" w:color="000000"/>
              <w:right w:val="single" w:sz="8" w:space="0" w:color="000000"/>
            </w:tcBorders>
            <w:shd w:val="clear" w:color="auto" w:fill="D9D9D9"/>
          </w:tcPr>
          <w:p>
            <w:pPr/>
          </w:p>
        </w:tc>
        <w:tc>
          <w:tcPr>
            <w:tcW w:w="206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16"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b/>
                <w:bCs/>
                <w:sz w:val="21"/>
                <w:szCs w:val="21"/>
              </w:rPr>
              <w:t>占总资产比例</w:t>
            </w:r>
            <w:r>
              <w:rPr>
                <w:rFonts w:ascii="宋体" w:hAnsi="宋体" w:cs="宋体" w:eastAsia="宋体" w:hint="default"/>
                <w:sz w:val="21"/>
                <w:szCs w:val="21"/>
              </w:rPr>
            </w:r>
          </w:p>
        </w:tc>
        <w:tc>
          <w:tcPr>
            <w:tcW w:w="226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09"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1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1" w:lineRule="auto" w:before="29"/>
              <w:ind w:left="338" w:right="122" w:hanging="209"/>
              <w:jc w:val="left"/>
              <w:rPr>
                <w:rFonts w:ascii="宋体" w:hAnsi="宋体" w:cs="宋体" w:eastAsia="宋体" w:hint="default"/>
                <w:sz w:val="21"/>
                <w:szCs w:val="21"/>
              </w:rPr>
            </w:pPr>
            <w:r>
              <w:rPr>
                <w:rFonts w:ascii="宋体" w:hAnsi="宋体" w:cs="宋体" w:eastAsia="宋体" w:hint="default"/>
                <w:b/>
                <w:bCs/>
                <w:sz w:val="21"/>
                <w:szCs w:val="21"/>
              </w:rPr>
              <w:t>占总资产</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618" w:type="dxa"/>
            <w:vMerge/>
            <w:tcBorders>
              <w:left w:val="single" w:sz="8" w:space="0" w:color="000000"/>
              <w:bottom w:val="single" w:sz="8" w:space="0" w:color="000000"/>
              <w:right w:val="single" w:sz="8" w:space="0" w:color="000000"/>
            </w:tcBorders>
            <w:shd w:val="clear" w:color="auto" w:fill="D9D9D9"/>
          </w:tcPr>
          <w:p>
            <w:pPr/>
          </w:p>
        </w:tc>
      </w:tr>
      <w:tr>
        <w:trPr>
          <w:trHeight w:val="413" w:hRule="exact"/>
        </w:trPr>
        <w:tc>
          <w:tcPr>
            <w:tcW w:w="1271"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28"/>
              <w:ind w:left="20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852" w:right="0"/>
              <w:jc w:val="left"/>
              <w:rPr>
                <w:rFonts w:ascii="Times New Roman" w:hAnsi="Times New Roman" w:cs="Times New Roman" w:eastAsia="Times New Roman" w:hint="default"/>
                <w:sz w:val="21"/>
                <w:szCs w:val="21"/>
              </w:rPr>
            </w:pPr>
            <w:r>
              <w:rPr>
                <w:rFonts w:ascii="Times New Roman"/>
                <w:sz w:val="21"/>
              </w:rPr>
              <w:t>5,055,848.52</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1024" w:right="0"/>
              <w:jc w:val="left"/>
              <w:rPr>
                <w:rFonts w:ascii="Times New Roman" w:hAnsi="Times New Roman" w:cs="Times New Roman" w:eastAsia="Times New Roman" w:hint="default"/>
                <w:sz w:val="21"/>
                <w:szCs w:val="21"/>
              </w:rPr>
            </w:pPr>
            <w:r>
              <w:rPr>
                <w:rFonts w:ascii="Times New Roman"/>
                <w:sz w:val="21"/>
              </w:rPr>
              <w:t>0.19%</w:t>
            </w:r>
          </w:p>
        </w:tc>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936" w:right="0"/>
              <w:jc w:val="left"/>
              <w:rPr>
                <w:rFonts w:ascii="Times New Roman" w:hAnsi="Times New Roman" w:cs="Times New Roman" w:eastAsia="Times New Roman" w:hint="default"/>
                <w:sz w:val="21"/>
                <w:szCs w:val="21"/>
              </w:rPr>
            </w:pPr>
            <w:r>
              <w:rPr>
                <w:rFonts w:ascii="Times New Roman"/>
                <w:sz w:val="21"/>
              </w:rPr>
              <w:t>15,370,108.86</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460" w:right="0"/>
              <w:jc w:val="left"/>
              <w:rPr>
                <w:rFonts w:ascii="Times New Roman" w:hAnsi="Times New Roman" w:cs="Times New Roman" w:eastAsia="Times New Roman" w:hint="default"/>
                <w:sz w:val="21"/>
                <w:szCs w:val="21"/>
              </w:rPr>
            </w:pPr>
            <w:r>
              <w:rPr>
                <w:rFonts w:ascii="Times New Roman"/>
                <w:sz w:val="21"/>
              </w:rPr>
              <w:t>0.70%</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890" w:right="0"/>
              <w:jc w:val="left"/>
              <w:rPr>
                <w:rFonts w:ascii="Times New Roman" w:hAnsi="Times New Roman" w:cs="Times New Roman" w:eastAsia="Times New Roman" w:hint="default"/>
                <w:sz w:val="21"/>
                <w:szCs w:val="21"/>
              </w:rPr>
            </w:pPr>
            <w:r>
              <w:rPr>
                <w:rFonts w:ascii="Times New Roman"/>
                <w:sz w:val="21"/>
              </w:rPr>
              <w:t>-0.51%</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0" w:top="1100" w:bottom="1160" w:left="900" w:right="720"/>
        </w:sectPr>
      </w:pPr>
    </w:p>
    <w:p>
      <w:pPr>
        <w:spacing w:line="240" w:lineRule="auto" w:before="11"/>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1272"/>
        <w:gridCol w:w="2069"/>
        <w:gridCol w:w="1683"/>
        <w:gridCol w:w="2261"/>
        <w:gridCol w:w="1118"/>
        <w:gridCol w:w="1618"/>
      </w:tblGrid>
      <w:tr>
        <w:trPr>
          <w:trHeight w:val="401" w:hRule="exact"/>
        </w:trPr>
        <w:tc>
          <w:tcPr>
            <w:tcW w:w="1272" w:type="dxa"/>
            <w:tcBorders>
              <w:top w:val="nil" w:sz="6" w:space="0" w:color="auto"/>
              <w:left w:val="single" w:sz="8" w:space="0" w:color="000000"/>
              <w:bottom w:val="single" w:sz="8" w:space="0" w:color="000000"/>
              <w:right w:val="single" w:sz="8" w:space="0" w:color="000000"/>
            </w:tcBorders>
            <w:shd w:val="clear" w:color="auto" w:fill="D7D7D7"/>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应付票据</w:t>
            </w:r>
          </w:p>
        </w:tc>
        <w:tc>
          <w:tcPr>
            <w:tcW w:w="206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5"/>
              <w:ind w:right="92"/>
              <w:jc w:val="right"/>
              <w:rPr>
                <w:rFonts w:ascii="Times New Roman" w:hAnsi="Times New Roman" w:cs="Times New Roman" w:eastAsia="Times New Roman" w:hint="default"/>
                <w:sz w:val="21"/>
                <w:szCs w:val="21"/>
              </w:rPr>
            </w:pPr>
            <w:r>
              <w:rPr>
                <w:rFonts w:ascii="Times New Roman"/>
                <w:spacing w:val="-1"/>
                <w:sz w:val="21"/>
              </w:rPr>
              <w:t>300,000.00</w:t>
            </w:r>
          </w:p>
        </w:tc>
        <w:tc>
          <w:tcPr>
            <w:tcW w:w="168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5"/>
              <w:ind w:right="91"/>
              <w:jc w:val="right"/>
              <w:rPr>
                <w:rFonts w:ascii="Times New Roman" w:hAnsi="Times New Roman" w:cs="Times New Roman" w:eastAsia="Times New Roman" w:hint="default"/>
                <w:sz w:val="21"/>
                <w:szCs w:val="21"/>
              </w:rPr>
            </w:pPr>
            <w:r>
              <w:rPr>
                <w:rFonts w:ascii="Times New Roman"/>
                <w:sz w:val="21"/>
              </w:rPr>
              <w:t>0.01%</w:t>
            </w:r>
          </w:p>
        </w:tc>
        <w:tc>
          <w:tcPr>
            <w:tcW w:w="226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z w:val="21"/>
              </w:rPr>
              <w:t>0.00</w:t>
            </w:r>
          </w:p>
        </w:tc>
        <w:tc>
          <w:tcPr>
            <w:tcW w:w="111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5"/>
              <w:ind w:right="90"/>
              <w:jc w:val="right"/>
              <w:rPr>
                <w:rFonts w:ascii="Times New Roman" w:hAnsi="Times New Roman" w:cs="Times New Roman" w:eastAsia="Times New Roman" w:hint="default"/>
                <w:sz w:val="21"/>
                <w:szCs w:val="21"/>
              </w:rPr>
            </w:pPr>
            <w:r>
              <w:rPr>
                <w:rFonts w:ascii="Times New Roman"/>
                <w:sz w:val="21"/>
              </w:rPr>
              <w:t>0.00%</w:t>
            </w:r>
          </w:p>
        </w:tc>
        <w:tc>
          <w:tcPr>
            <w:tcW w:w="161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5"/>
              <w:ind w:right="90"/>
              <w:jc w:val="right"/>
              <w:rPr>
                <w:rFonts w:ascii="Times New Roman" w:hAnsi="Times New Roman" w:cs="Times New Roman" w:eastAsia="Times New Roman" w:hint="default"/>
                <w:sz w:val="21"/>
                <w:szCs w:val="21"/>
              </w:rPr>
            </w:pPr>
            <w:r>
              <w:rPr>
                <w:rFonts w:ascii="Times New Roman"/>
                <w:sz w:val="21"/>
              </w:rPr>
              <w:t>0.01%</w:t>
            </w:r>
          </w:p>
        </w:tc>
      </w:tr>
      <w:tr>
        <w:trPr>
          <w:trHeight w:val="413" w:hRule="exact"/>
        </w:trPr>
        <w:tc>
          <w:tcPr>
            <w:tcW w:w="127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应付帐款</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2"/>
              <w:jc w:val="right"/>
              <w:rPr>
                <w:rFonts w:ascii="Times New Roman" w:hAnsi="Times New Roman" w:cs="Times New Roman" w:eastAsia="Times New Roman" w:hint="default"/>
                <w:sz w:val="21"/>
                <w:szCs w:val="21"/>
              </w:rPr>
            </w:pPr>
            <w:r>
              <w:rPr>
                <w:rFonts w:ascii="Times New Roman"/>
                <w:spacing w:val="-1"/>
                <w:sz w:val="21"/>
              </w:rPr>
              <w:t>225,953,802.54</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1"/>
              <w:jc w:val="right"/>
              <w:rPr>
                <w:rFonts w:ascii="Times New Roman" w:hAnsi="Times New Roman" w:cs="Times New Roman" w:eastAsia="Times New Roman" w:hint="default"/>
                <w:sz w:val="21"/>
                <w:szCs w:val="21"/>
              </w:rPr>
            </w:pPr>
            <w:r>
              <w:rPr>
                <w:rFonts w:ascii="Times New Roman"/>
                <w:sz w:val="21"/>
              </w:rPr>
              <w:t>8.59%</w:t>
            </w:r>
          </w:p>
        </w:tc>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188,178,335.93</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0"/>
              <w:jc w:val="right"/>
              <w:rPr>
                <w:rFonts w:ascii="Times New Roman" w:hAnsi="Times New Roman" w:cs="Times New Roman" w:eastAsia="Times New Roman" w:hint="default"/>
                <w:sz w:val="21"/>
                <w:szCs w:val="21"/>
              </w:rPr>
            </w:pPr>
            <w:r>
              <w:rPr>
                <w:rFonts w:ascii="Times New Roman"/>
                <w:sz w:val="21"/>
              </w:rPr>
              <w:t>8.58%</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0"/>
              <w:jc w:val="right"/>
              <w:rPr>
                <w:rFonts w:ascii="Times New Roman" w:hAnsi="Times New Roman" w:cs="Times New Roman" w:eastAsia="Times New Roman" w:hint="default"/>
                <w:sz w:val="21"/>
                <w:szCs w:val="21"/>
              </w:rPr>
            </w:pPr>
            <w:r>
              <w:rPr>
                <w:rFonts w:ascii="Times New Roman"/>
                <w:sz w:val="21"/>
              </w:rPr>
              <w:t>0.01%</w:t>
            </w:r>
          </w:p>
        </w:tc>
      </w:tr>
      <w:tr>
        <w:trPr>
          <w:trHeight w:val="581" w:hRule="exact"/>
        </w:trPr>
        <w:tc>
          <w:tcPr>
            <w:tcW w:w="127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预收账款</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spacing w:val="-1"/>
                <w:sz w:val="21"/>
              </w:rPr>
              <w:t>179,897,572.96</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6.84%</w:t>
            </w:r>
          </w:p>
        </w:tc>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91,649,043.88</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4.18%</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2.66%</w:t>
            </w:r>
          </w:p>
        </w:tc>
      </w:tr>
      <w:tr>
        <w:trPr>
          <w:trHeight w:val="722" w:hRule="exact"/>
        </w:trPr>
        <w:tc>
          <w:tcPr>
            <w:tcW w:w="127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73" w:lineRule="auto" w:before="28"/>
              <w:ind w:left="521" w:right="96" w:hanging="420"/>
              <w:jc w:val="left"/>
              <w:rPr>
                <w:rFonts w:ascii="宋体" w:hAnsi="宋体" w:cs="宋体" w:eastAsia="宋体" w:hint="default"/>
                <w:sz w:val="21"/>
                <w:szCs w:val="21"/>
              </w:rPr>
            </w:pPr>
            <w:r>
              <w:rPr>
                <w:rFonts w:ascii="宋体" w:hAnsi="宋体" w:cs="宋体" w:eastAsia="宋体" w:hint="default"/>
                <w:sz w:val="21"/>
                <w:szCs w:val="21"/>
              </w:rPr>
              <w:t>应付职工薪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酬</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spacing w:val="-1"/>
                <w:sz w:val="21"/>
              </w:rPr>
              <w:t>98,395,104.53</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3.74%</w:t>
            </w:r>
          </w:p>
        </w:tc>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44,733,948.07</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2.04%</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1.70%</w:t>
            </w:r>
          </w:p>
        </w:tc>
      </w:tr>
      <w:tr>
        <w:trPr>
          <w:trHeight w:val="413" w:hRule="exact"/>
        </w:trPr>
        <w:tc>
          <w:tcPr>
            <w:tcW w:w="127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2"/>
              <w:jc w:val="right"/>
              <w:rPr>
                <w:rFonts w:ascii="Times New Roman" w:hAnsi="Times New Roman" w:cs="Times New Roman" w:eastAsia="Times New Roman" w:hint="default"/>
                <w:sz w:val="21"/>
                <w:szCs w:val="21"/>
              </w:rPr>
            </w:pPr>
            <w:r>
              <w:rPr>
                <w:rFonts w:ascii="Times New Roman"/>
                <w:spacing w:val="-1"/>
                <w:sz w:val="21"/>
              </w:rPr>
              <w:t>35,530,199.28</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1"/>
              <w:jc w:val="right"/>
              <w:rPr>
                <w:rFonts w:ascii="Times New Roman" w:hAnsi="Times New Roman" w:cs="Times New Roman" w:eastAsia="Times New Roman" w:hint="default"/>
                <w:sz w:val="21"/>
                <w:szCs w:val="21"/>
              </w:rPr>
            </w:pPr>
            <w:r>
              <w:rPr>
                <w:rFonts w:ascii="Times New Roman"/>
                <w:sz w:val="21"/>
              </w:rPr>
              <w:t>1.35%</w:t>
            </w:r>
          </w:p>
        </w:tc>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33,194,077.91</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0"/>
              <w:jc w:val="right"/>
              <w:rPr>
                <w:rFonts w:ascii="Times New Roman" w:hAnsi="Times New Roman" w:cs="Times New Roman" w:eastAsia="Times New Roman" w:hint="default"/>
                <w:sz w:val="21"/>
                <w:szCs w:val="21"/>
              </w:rPr>
            </w:pPr>
            <w:r>
              <w:rPr>
                <w:rFonts w:ascii="Times New Roman"/>
                <w:sz w:val="21"/>
              </w:rPr>
              <w:t>1.51%</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pacing w:val="-1"/>
                <w:sz w:val="21"/>
              </w:rPr>
              <w:t>-0.16%</w:t>
            </w:r>
          </w:p>
        </w:tc>
      </w:tr>
      <w:tr>
        <w:trPr>
          <w:trHeight w:val="413" w:hRule="exact"/>
        </w:trPr>
        <w:tc>
          <w:tcPr>
            <w:tcW w:w="127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应付利息</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1"/>
              <w:jc w:val="right"/>
              <w:rPr>
                <w:rFonts w:ascii="Times New Roman" w:hAnsi="Times New Roman" w:cs="Times New Roman" w:eastAsia="Times New Roman" w:hint="default"/>
                <w:sz w:val="21"/>
                <w:szCs w:val="21"/>
              </w:rPr>
            </w:pPr>
            <w:r>
              <w:rPr>
                <w:rFonts w:ascii="Times New Roman"/>
                <w:spacing w:val="-1"/>
                <w:sz w:val="21"/>
              </w:rPr>
              <w:t>27,706.05</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1"/>
              <w:jc w:val="right"/>
              <w:rPr>
                <w:rFonts w:ascii="Times New Roman" w:hAnsi="Times New Roman" w:cs="Times New Roman" w:eastAsia="Times New Roman" w:hint="default"/>
                <w:sz w:val="21"/>
                <w:szCs w:val="21"/>
              </w:rPr>
            </w:pPr>
            <w:r>
              <w:rPr>
                <w:rFonts w:ascii="Times New Roman"/>
                <w:sz w:val="21"/>
              </w:rPr>
              <w:t>0.00%</w:t>
            </w:r>
          </w:p>
        </w:tc>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84,073.81</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0"/>
              <w:jc w:val="right"/>
              <w:rPr>
                <w:rFonts w:ascii="Times New Roman" w:hAnsi="Times New Roman" w:cs="Times New Roman" w:eastAsia="Times New Roman" w:hint="default"/>
                <w:sz w:val="21"/>
                <w:szCs w:val="21"/>
              </w:rPr>
            </w:pPr>
            <w:r>
              <w:rPr>
                <w:rFonts w:ascii="Times New Roman"/>
                <w:sz w:val="21"/>
              </w:rPr>
              <w:t>0.00%</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0"/>
              <w:jc w:val="right"/>
              <w:rPr>
                <w:rFonts w:ascii="Times New Roman" w:hAnsi="Times New Roman" w:cs="Times New Roman" w:eastAsia="Times New Roman" w:hint="default"/>
                <w:sz w:val="21"/>
                <w:szCs w:val="21"/>
              </w:rPr>
            </w:pPr>
            <w:r>
              <w:rPr>
                <w:rFonts w:ascii="Times New Roman"/>
                <w:sz w:val="21"/>
              </w:rPr>
              <w:t>0.00%</w:t>
            </w:r>
          </w:p>
        </w:tc>
      </w:tr>
      <w:tr>
        <w:trPr>
          <w:trHeight w:val="574" w:hRule="exact"/>
        </w:trPr>
        <w:tc>
          <w:tcPr>
            <w:tcW w:w="1272" w:type="dxa"/>
            <w:tcBorders>
              <w:top w:val="single" w:sz="8" w:space="0" w:color="000000"/>
              <w:left w:val="single" w:sz="8" w:space="0" w:color="000000"/>
              <w:bottom w:val="single" w:sz="4" w:space="0" w:color="000000"/>
              <w:right w:val="single" w:sz="8" w:space="0" w:color="000000"/>
            </w:tcBorders>
            <w:shd w:val="clear" w:color="auto" w:fill="D7D7D7"/>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应付股利</w:t>
            </w:r>
          </w:p>
        </w:tc>
        <w:tc>
          <w:tcPr>
            <w:tcW w:w="206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36,612.00</w:t>
            </w:r>
          </w:p>
        </w:tc>
        <w:tc>
          <w:tcPr>
            <w:tcW w:w="168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0.00%</w:t>
            </w:r>
          </w:p>
        </w:tc>
        <w:tc>
          <w:tcPr>
            <w:tcW w:w="226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2,430,206.26</w:t>
            </w:r>
          </w:p>
        </w:tc>
        <w:tc>
          <w:tcPr>
            <w:tcW w:w="111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0.11%</w:t>
            </w:r>
          </w:p>
        </w:tc>
        <w:tc>
          <w:tcPr>
            <w:tcW w:w="161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-0.11%</w:t>
            </w:r>
          </w:p>
        </w:tc>
      </w:tr>
      <w:tr>
        <w:trPr>
          <w:trHeight w:val="428" w:hRule="exact"/>
        </w:trPr>
        <w:tc>
          <w:tcPr>
            <w:tcW w:w="1272" w:type="dxa"/>
            <w:tcBorders>
              <w:top w:val="single" w:sz="4"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206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75"/>
              <w:ind w:right="92"/>
              <w:jc w:val="right"/>
              <w:rPr>
                <w:rFonts w:ascii="Times New Roman" w:hAnsi="Times New Roman" w:cs="Times New Roman" w:eastAsia="Times New Roman" w:hint="default"/>
                <w:sz w:val="21"/>
                <w:szCs w:val="21"/>
              </w:rPr>
            </w:pPr>
            <w:r>
              <w:rPr>
                <w:rFonts w:ascii="Times New Roman"/>
                <w:spacing w:val="-1"/>
                <w:sz w:val="21"/>
              </w:rPr>
              <w:t>33,744,930.88</w:t>
            </w:r>
          </w:p>
        </w:tc>
        <w:tc>
          <w:tcPr>
            <w:tcW w:w="168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75"/>
              <w:ind w:right="91"/>
              <w:jc w:val="right"/>
              <w:rPr>
                <w:rFonts w:ascii="Times New Roman" w:hAnsi="Times New Roman" w:cs="Times New Roman" w:eastAsia="Times New Roman" w:hint="default"/>
                <w:sz w:val="21"/>
                <w:szCs w:val="21"/>
              </w:rPr>
            </w:pPr>
            <w:r>
              <w:rPr>
                <w:rFonts w:ascii="Times New Roman"/>
                <w:sz w:val="21"/>
              </w:rPr>
              <w:t>1.28%</w:t>
            </w:r>
          </w:p>
        </w:tc>
        <w:tc>
          <w:tcPr>
            <w:tcW w:w="226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69,382,928.41</w:t>
            </w:r>
          </w:p>
        </w:tc>
        <w:tc>
          <w:tcPr>
            <w:tcW w:w="111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75"/>
              <w:ind w:right="90"/>
              <w:jc w:val="right"/>
              <w:rPr>
                <w:rFonts w:ascii="Times New Roman" w:hAnsi="Times New Roman" w:cs="Times New Roman" w:eastAsia="Times New Roman" w:hint="default"/>
                <w:sz w:val="21"/>
                <w:szCs w:val="21"/>
              </w:rPr>
            </w:pPr>
            <w:r>
              <w:rPr>
                <w:rFonts w:ascii="Times New Roman"/>
                <w:sz w:val="21"/>
              </w:rPr>
              <w:t>3.16%</w:t>
            </w:r>
          </w:p>
        </w:tc>
        <w:tc>
          <w:tcPr>
            <w:tcW w:w="161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pacing w:val="-1"/>
                <w:sz w:val="21"/>
              </w:rPr>
              <w:t>-1.88%</w:t>
            </w:r>
          </w:p>
        </w:tc>
      </w:tr>
      <w:tr>
        <w:trPr>
          <w:trHeight w:val="1034" w:hRule="exact"/>
        </w:trPr>
        <w:tc>
          <w:tcPr>
            <w:tcW w:w="127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73" w:lineRule="auto" w:before="28"/>
              <w:ind w:left="103" w:right="93"/>
              <w:jc w:val="right"/>
              <w:rPr>
                <w:rFonts w:ascii="宋体" w:hAnsi="宋体" w:cs="宋体" w:eastAsia="宋体" w:hint="default"/>
                <w:sz w:val="21"/>
                <w:szCs w:val="21"/>
              </w:rPr>
            </w:pPr>
            <w:r>
              <w:rPr>
                <w:rFonts w:ascii="宋体" w:hAnsi="宋体" w:cs="宋体" w:eastAsia="宋体" w:hint="default"/>
                <w:spacing w:val="-1"/>
                <w:sz w:val="21"/>
                <w:szCs w:val="21"/>
              </w:rPr>
              <w:t>一年内到期</w:t>
            </w:r>
            <w:r>
              <w:rPr>
                <w:rFonts w:ascii="宋体" w:hAnsi="宋体" w:cs="宋体" w:eastAsia="宋体" w:hint="default"/>
                <w:w w:val="100"/>
                <w:sz w:val="21"/>
                <w:szCs w:val="21"/>
              </w:rPr>
              <w:t> </w:t>
            </w:r>
            <w:r>
              <w:rPr>
                <w:rFonts w:ascii="宋体" w:hAnsi="宋体" w:cs="宋体" w:eastAsia="宋体" w:hint="default"/>
                <w:spacing w:val="-1"/>
                <w:sz w:val="21"/>
                <w:szCs w:val="21"/>
              </w:rPr>
              <w:t>的非流动负</w:t>
            </w:r>
          </w:p>
          <w:p>
            <w:pPr>
              <w:pStyle w:val="TableParagraph"/>
              <w:spacing w:line="240" w:lineRule="auto" w:before="7"/>
              <w:ind w:right="96"/>
              <w:jc w:val="right"/>
              <w:rPr>
                <w:rFonts w:ascii="宋体" w:hAnsi="宋体" w:cs="宋体" w:eastAsia="宋体" w:hint="default"/>
                <w:sz w:val="21"/>
                <w:szCs w:val="21"/>
              </w:rPr>
            </w:pPr>
            <w:r>
              <w:rPr>
                <w:rFonts w:ascii="宋体" w:hAnsi="宋体" w:cs="宋体" w:eastAsia="宋体" w:hint="default"/>
                <w:w w:val="100"/>
                <w:sz w:val="21"/>
                <w:szCs w:val="21"/>
              </w:rPr>
              <w:t>债</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spacing w:val="-1"/>
                <w:sz w:val="21"/>
              </w:rPr>
              <w:t>65,350,526.85</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2.49%</w:t>
            </w:r>
          </w:p>
        </w:tc>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39,873,415.00</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1.82%</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0.67%</w:t>
            </w:r>
          </w:p>
        </w:tc>
      </w:tr>
      <w:tr>
        <w:trPr>
          <w:trHeight w:val="725" w:hRule="exact"/>
        </w:trPr>
        <w:tc>
          <w:tcPr>
            <w:tcW w:w="127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71" w:lineRule="auto" w:before="30"/>
              <w:ind w:left="521" w:right="96" w:hanging="420"/>
              <w:jc w:val="left"/>
              <w:rPr>
                <w:rFonts w:ascii="宋体" w:hAnsi="宋体" w:cs="宋体" w:eastAsia="宋体" w:hint="default"/>
                <w:sz w:val="21"/>
                <w:szCs w:val="21"/>
              </w:rPr>
            </w:pPr>
            <w:r>
              <w:rPr>
                <w:rFonts w:ascii="宋体" w:hAnsi="宋体" w:cs="宋体" w:eastAsia="宋体" w:hint="default"/>
                <w:sz w:val="21"/>
                <w:szCs w:val="21"/>
              </w:rPr>
              <w:t>其他流动负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spacing w:val="-1"/>
                <w:sz w:val="21"/>
              </w:rPr>
              <w:t>455,638.22</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0.02%</w:t>
            </w:r>
          </w:p>
        </w:tc>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0.00</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0.00%</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0.02%</w:t>
            </w:r>
          </w:p>
        </w:tc>
      </w:tr>
      <w:tr>
        <w:trPr>
          <w:trHeight w:val="725" w:hRule="exact"/>
        </w:trPr>
        <w:tc>
          <w:tcPr>
            <w:tcW w:w="127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73" w:lineRule="auto" w:before="28"/>
              <w:ind w:left="521" w:right="96" w:hanging="420"/>
              <w:jc w:val="left"/>
              <w:rPr>
                <w:rFonts w:ascii="宋体" w:hAnsi="宋体" w:cs="宋体" w:eastAsia="宋体" w:hint="default"/>
                <w:sz w:val="21"/>
                <w:szCs w:val="21"/>
              </w:rPr>
            </w:pPr>
            <w:r>
              <w:rPr>
                <w:rFonts w:ascii="宋体" w:hAnsi="宋体" w:cs="宋体" w:eastAsia="宋体" w:hint="default"/>
                <w:sz w:val="21"/>
                <w:szCs w:val="21"/>
              </w:rPr>
              <w:t>流动负债合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spacing w:val="-1"/>
                <w:sz w:val="21"/>
              </w:rPr>
              <w:t>644,747,941.83</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24.52%</w:t>
            </w:r>
          </w:p>
        </w:tc>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484,896,138.13</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22.10%</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2.42%</w:t>
            </w:r>
          </w:p>
        </w:tc>
      </w:tr>
      <w:tr>
        <w:trPr>
          <w:trHeight w:val="578" w:hRule="exact"/>
        </w:trPr>
        <w:tc>
          <w:tcPr>
            <w:tcW w:w="127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spacing w:val="-1"/>
                <w:sz w:val="21"/>
              </w:rPr>
              <w:t>5,588,253.81</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0.21%</w:t>
            </w:r>
          </w:p>
        </w:tc>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5,715,477.03</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0.26%</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-0.05%</w:t>
            </w:r>
          </w:p>
        </w:tc>
      </w:tr>
      <w:tr>
        <w:trPr>
          <w:trHeight w:val="581" w:hRule="exact"/>
        </w:trPr>
        <w:tc>
          <w:tcPr>
            <w:tcW w:w="127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长期应付款</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spacing w:val="-1"/>
                <w:sz w:val="21"/>
              </w:rPr>
              <w:t>161,249,022.10</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6.13%</w:t>
            </w:r>
          </w:p>
        </w:tc>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67,912,183.32</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3.09%</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3.04%</w:t>
            </w:r>
          </w:p>
        </w:tc>
      </w:tr>
      <w:tr>
        <w:trPr>
          <w:trHeight w:val="581" w:hRule="exact"/>
        </w:trPr>
        <w:tc>
          <w:tcPr>
            <w:tcW w:w="127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spacing w:val="-1"/>
                <w:sz w:val="21"/>
              </w:rPr>
              <w:t>802,227.28</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0.03%</w:t>
            </w:r>
          </w:p>
        </w:tc>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1,390,495.43</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0.06%</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-0.03%</w:t>
            </w:r>
          </w:p>
        </w:tc>
      </w:tr>
      <w:tr>
        <w:trPr>
          <w:trHeight w:val="722" w:hRule="exact"/>
        </w:trPr>
        <w:tc>
          <w:tcPr>
            <w:tcW w:w="127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73" w:lineRule="auto" w:before="28"/>
              <w:ind w:left="415" w:right="96"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负债</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spacing w:val="-1"/>
                <w:sz w:val="21"/>
              </w:rPr>
              <w:t>1,968,604.13</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0.07%</w:t>
            </w:r>
          </w:p>
        </w:tc>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2,219,619.15</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0.10%</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-0.03%</w:t>
            </w:r>
          </w:p>
        </w:tc>
      </w:tr>
      <w:tr>
        <w:trPr>
          <w:trHeight w:val="725" w:hRule="exact"/>
        </w:trPr>
        <w:tc>
          <w:tcPr>
            <w:tcW w:w="127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71" w:lineRule="auto" w:before="30"/>
              <w:ind w:left="415" w:right="96" w:hanging="315"/>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总计</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spacing w:val="-1"/>
                <w:sz w:val="21"/>
              </w:rPr>
              <w:t>169,608,107.32</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6.45%</w:t>
            </w:r>
          </w:p>
        </w:tc>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77,237,774.93</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3.52%</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2.93%</w:t>
            </w:r>
          </w:p>
        </w:tc>
      </w:tr>
      <w:tr>
        <w:trPr>
          <w:trHeight w:val="413" w:hRule="exact"/>
        </w:trPr>
        <w:tc>
          <w:tcPr>
            <w:tcW w:w="127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负债总计</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2"/>
              <w:jc w:val="right"/>
              <w:rPr>
                <w:rFonts w:ascii="Times New Roman" w:hAnsi="Times New Roman" w:cs="Times New Roman" w:eastAsia="Times New Roman" w:hint="default"/>
                <w:sz w:val="21"/>
                <w:szCs w:val="21"/>
              </w:rPr>
            </w:pPr>
            <w:r>
              <w:rPr>
                <w:rFonts w:ascii="Times New Roman"/>
                <w:spacing w:val="-1"/>
                <w:sz w:val="21"/>
              </w:rPr>
              <w:t>814,356,049.15</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1"/>
              <w:jc w:val="right"/>
              <w:rPr>
                <w:rFonts w:ascii="Times New Roman" w:hAnsi="Times New Roman" w:cs="Times New Roman" w:eastAsia="Times New Roman" w:hint="default"/>
                <w:sz w:val="21"/>
                <w:szCs w:val="21"/>
              </w:rPr>
            </w:pPr>
            <w:r>
              <w:rPr>
                <w:rFonts w:ascii="Times New Roman"/>
                <w:sz w:val="21"/>
              </w:rPr>
              <w:t>30.97%</w:t>
            </w:r>
          </w:p>
        </w:tc>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562,133,913.06</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0"/>
              <w:jc w:val="right"/>
              <w:rPr>
                <w:rFonts w:ascii="Times New Roman" w:hAnsi="Times New Roman" w:cs="Times New Roman" w:eastAsia="Times New Roman" w:hint="default"/>
                <w:sz w:val="21"/>
                <w:szCs w:val="21"/>
              </w:rPr>
            </w:pPr>
            <w:r>
              <w:rPr>
                <w:rFonts w:ascii="Times New Roman"/>
                <w:sz w:val="21"/>
              </w:rPr>
              <w:t>25.62%</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0"/>
              <w:jc w:val="right"/>
              <w:rPr>
                <w:rFonts w:ascii="Times New Roman" w:hAnsi="Times New Roman" w:cs="Times New Roman" w:eastAsia="Times New Roman" w:hint="default"/>
                <w:sz w:val="21"/>
                <w:szCs w:val="21"/>
              </w:rPr>
            </w:pPr>
            <w:r>
              <w:rPr>
                <w:rFonts w:ascii="Times New Roman"/>
                <w:sz w:val="21"/>
              </w:rPr>
              <w:t>5.35%</w:t>
            </w:r>
          </w:p>
        </w:tc>
      </w:tr>
      <w:tr>
        <w:trPr>
          <w:trHeight w:val="413" w:hRule="exact"/>
        </w:trPr>
        <w:tc>
          <w:tcPr>
            <w:tcW w:w="127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2"/>
              <w:jc w:val="right"/>
              <w:rPr>
                <w:rFonts w:ascii="Times New Roman" w:hAnsi="Times New Roman" w:cs="Times New Roman" w:eastAsia="Times New Roman" w:hint="default"/>
                <w:sz w:val="21"/>
                <w:szCs w:val="21"/>
              </w:rPr>
            </w:pPr>
            <w:r>
              <w:rPr>
                <w:rFonts w:ascii="Times New Roman"/>
                <w:spacing w:val="-1"/>
                <w:sz w:val="21"/>
              </w:rPr>
              <w:t>2,629,728,087.14</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1"/>
              <w:jc w:val="right"/>
              <w:rPr>
                <w:rFonts w:ascii="Times New Roman" w:hAnsi="Times New Roman" w:cs="Times New Roman" w:eastAsia="Times New Roman" w:hint="default"/>
                <w:sz w:val="21"/>
                <w:szCs w:val="21"/>
              </w:rPr>
            </w:pPr>
            <w:r>
              <w:rPr>
                <w:rFonts w:ascii="Times New Roman"/>
                <w:sz w:val="21"/>
              </w:rPr>
              <w:t>100.00%</w:t>
            </w:r>
          </w:p>
        </w:tc>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2,194,270,891.85</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0"/>
              <w:jc w:val="right"/>
              <w:rPr>
                <w:rFonts w:ascii="Times New Roman" w:hAnsi="Times New Roman" w:cs="Times New Roman" w:eastAsia="Times New Roman" w:hint="default"/>
                <w:sz w:val="21"/>
                <w:szCs w:val="21"/>
              </w:rPr>
            </w:pPr>
            <w:r>
              <w:rPr>
                <w:rFonts w:ascii="Times New Roman"/>
                <w:sz w:val="21"/>
              </w:rPr>
              <w:t>100.00%</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39"/>
        <w:ind w:left="660" w:right="396"/>
        <w:jc w:val="left"/>
      </w:pPr>
      <w:r>
        <w:rPr/>
        <w:pict>
          <v:group style="position:absolute;margin-left:51.84pt;margin-top:-522.548401pt;width:62.7pt;height:521.5pt;mso-position-horizontal-relative:page;mso-position-vertical-relative:paragraph;z-index:-999016" coordorigin="1037,-10451" coordsize="1254,10430">
            <v:group style="position:absolute;left:1037;top:-10451;width:97;height:392" coordorigin="1037,-10451" coordsize="97,392">
              <v:shape style="position:absolute;left:1037;top:-10451;width:97;height:392" coordorigin="1037,-10451" coordsize="97,392" path="m1037,-10059l1133,-10059,1133,-10451,1037,-10451,1037,-10059xe" filled="true" fillcolor="#d7d7d7" stroked="false">
                <v:path arrowok="t"/>
                <v:fill type="solid"/>
              </v:shape>
            </v:group>
            <v:group style="position:absolute;left:2192;top:-10451;width:99;height:392" coordorigin="2192,-10451" coordsize="99,392">
              <v:shape style="position:absolute;left:2192;top:-10451;width:99;height:392" coordorigin="2192,-10451" coordsize="99,392" path="m2192,-10059l2290,-10059,2290,-10451,2192,-10451,2192,-10059xe" filled="true" fillcolor="#d7d7d7" stroked="false">
                <v:path arrowok="t"/>
                <v:fill type="solid"/>
              </v:shape>
            </v:group>
            <v:group style="position:absolute;left:1133;top:-10451;width:1059;height:392" coordorigin="1133,-10451" coordsize="1059,392">
              <v:shape style="position:absolute;left:1133;top:-10451;width:1059;height:392" coordorigin="1133,-10451" coordsize="1059,392" path="m1133,-10059l2192,-10059,2192,-10451,1133,-10451,1133,-10059xe" filled="true" fillcolor="#d7d7d7" stroked="false">
                <v:path arrowok="t"/>
                <v:fill type="solid"/>
              </v:shape>
            </v:group>
            <v:group style="position:absolute;left:1037;top:-10038;width:97;height:392" coordorigin="1037,-10038" coordsize="97,392">
              <v:shape style="position:absolute;left:1037;top:-10038;width:97;height:392" coordorigin="1037,-10038" coordsize="97,392" path="m1037,-9646l1133,-9646,1133,-10038,1037,-10038,1037,-9646xe" filled="true" fillcolor="#d7d7d7" stroked="false">
                <v:path arrowok="t"/>
                <v:fill type="solid"/>
              </v:shape>
            </v:group>
            <v:group style="position:absolute;left:2192;top:-10038;width:99;height:392" coordorigin="2192,-10038" coordsize="99,392">
              <v:shape style="position:absolute;left:2192;top:-10038;width:99;height:392" coordorigin="2192,-10038" coordsize="99,392" path="m2192,-9646l2290,-9646,2290,-10038,2192,-10038,2192,-9646xe" filled="true" fillcolor="#d7d7d7" stroked="false">
                <v:path arrowok="t"/>
                <v:fill type="solid"/>
              </v:shape>
            </v:group>
            <v:group style="position:absolute;left:1133;top:-10038;width:1059;height:392" coordorigin="1133,-10038" coordsize="1059,392">
              <v:shape style="position:absolute;left:1133;top:-10038;width:1059;height:392" coordorigin="1133,-10038" coordsize="1059,392" path="m1133,-9646l2192,-9646,2192,-10038,1133,-10038,1133,-9646xe" filled="true" fillcolor="#d7d7d7" stroked="false">
                <v:path arrowok="t"/>
                <v:fill type="solid"/>
              </v:shape>
            </v:group>
            <v:group style="position:absolute;left:1037;top:-9627;width:1254;height:168" coordorigin="1037,-9627" coordsize="1254,168">
              <v:shape style="position:absolute;left:1037;top:-9627;width:1254;height:168" coordorigin="1037,-9627" coordsize="1254,168" path="m1037,-9459l2290,-9459,2290,-9627,1037,-9627,1037,-9459xe" filled="true" fillcolor="#d7d7d7" stroked="false">
                <v:path arrowok="t"/>
                <v:fill type="solid"/>
              </v:shape>
            </v:group>
            <v:group style="position:absolute;left:1037;top:-9459;width:97;height:394" coordorigin="1037,-9459" coordsize="97,394">
              <v:shape style="position:absolute;left:1037;top:-9459;width:97;height:394" coordorigin="1037,-9459" coordsize="97,394" path="m1037,-9066l1133,-9066,1133,-9459,1037,-9459,1037,-9066xe" filled="true" fillcolor="#d7d7d7" stroked="false">
                <v:path arrowok="t"/>
                <v:fill type="solid"/>
              </v:shape>
            </v:group>
            <v:group style="position:absolute;left:2192;top:-9459;width:99;height:394" coordorigin="2192,-9459" coordsize="99,394">
              <v:shape style="position:absolute;left:2192;top:-9459;width:99;height:394" coordorigin="2192,-9459" coordsize="99,394" path="m2192,-9066l2290,-9066,2290,-9459,2192,-9459,2192,-9066xe" filled="true" fillcolor="#d7d7d7" stroked="false">
                <v:path arrowok="t"/>
                <v:fill type="solid"/>
              </v:shape>
            </v:group>
            <v:group style="position:absolute;left:1133;top:-9459;width:1059;height:394" coordorigin="1133,-9459" coordsize="1059,394">
              <v:shape style="position:absolute;left:1133;top:-9459;width:1059;height:394" coordorigin="1133,-9459" coordsize="1059,394" path="m1133,-9066l2192,-9066,2192,-9459,1133,-9459,1133,-9066xe" filled="true" fillcolor="#d7d7d7" stroked="false">
                <v:path arrowok="t"/>
                <v:fill type="solid"/>
              </v:shape>
            </v:group>
            <v:group style="position:absolute;left:1037;top:-9046;width:97;height:704" coordorigin="1037,-9046" coordsize="97,704">
              <v:shape style="position:absolute;left:1037;top:-9046;width:97;height:704" coordorigin="1037,-9046" coordsize="97,704" path="m1037,-8343l1133,-8343,1133,-9046,1037,-9046,1037,-8343xe" filled="true" fillcolor="#d7d7d7" stroked="false">
                <v:path arrowok="t"/>
                <v:fill type="solid"/>
              </v:shape>
            </v:group>
            <v:group style="position:absolute;left:2192;top:-9046;width:99;height:704" coordorigin="2192,-9046" coordsize="99,704">
              <v:shape style="position:absolute;left:2192;top:-9046;width:99;height:704" coordorigin="2192,-9046" coordsize="99,704" path="m2192,-8343l2290,-8343,2290,-9046,2192,-9046,2192,-8343xe" filled="true" fillcolor="#d7d7d7" stroked="false">
                <v:path arrowok="t"/>
                <v:fill type="solid"/>
              </v:shape>
            </v:group>
            <v:group style="position:absolute;left:1133;top:-9046;width:1059;height:353" coordorigin="1133,-9046" coordsize="1059,353">
              <v:shape style="position:absolute;left:1133;top:-9046;width:1059;height:353" coordorigin="1133,-9046" coordsize="1059,353" path="m1133,-8694l2192,-8694,2192,-9046,1133,-9046,1133,-8694xe" filled="true" fillcolor="#d7d7d7" stroked="false">
                <v:path arrowok="t"/>
                <v:fill type="solid"/>
              </v:shape>
            </v:group>
            <v:group style="position:absolute;left:1133;top:-8694;width:1059;height:351" coordorigin="1133,-8694" coordsize="1059,351">
              <v:shape style="position:absolute;left:1133;top:-8694;width:1059;height:351" coordorigin="1133,-8694" coordsize="1059,351" path="m1133,-8343l2192,-8343,2192,-8694,1133,-8694,1133,-8343xe" filled="true" fillcolor="#d7d7d7" stroked="false">
                <v:path arrowok="t"/>
                <v:fill type="solid"/>
              </v:shape>
            </v:group>
            <v:group style="position:absolute;left:1037;top:-8322;width:97;height:392" coordorigin="1037,-8322" coordsize="97,392">
              <v:shape style="position:absolute;left:1037;top:-8322;width:97;height:392" coordorigin="1037,-8322" coordsize="97,392" path="m1037,-7930l1133,-7930,1133,-8322,1037,-8322,1037,-7930xe" filled="true" fillcolor="#d7d7d7" stroked="false">
                <v:path arrowok="t"/>
                <v:fill type="solid"/>
              </v:shape>
            </v:group>
            <v:group style="position:absolute;left:2192;top:-8322;width:99;height:392" coordorigin="2192,-8322" coordsize="99,392">
              <v:shape style="position:absolute;left:2192;top:-8322;width:99;height:392" coordorigin="2192,-8322" coordsize="99,392" path="m2192,-7930l2290,-7930,2290,-8322,2192,-8322,2192,-7930xe" filled="true" fillcolor="#d7d7d7" stroked="false">
                <v:path arrowok="t"/>
                <v:fill type="solid"/>
              </v:shape>
            </v:group>
            <v:group style="position:absolute;left:1133;top:-8322;width:1059;height:392" coordorigin="1133,-8322" coordsize="1059,392">
              <v:shape style="position:absolute;left:1133;top:-8322;width:1059;height:392" coordorigin="1133,-8322" coordsize="1059,392" path="m1133,-7930l2192,-7930,2192,-8322,1133,-8322,1133,-7930xe" filled="true" fillcolor="#d7d7d7" stroked="false">
                <v:path arrowok="t"/>
                <v:fill type="solid"/>
              </v:shape>
            </v:group>
            <v:group style="position:absolute;left:1037;top:-7911;width:97;height:394" coordorigin="1037,-7911" coordsize="97,394">
              <v:shape style="position:absolute;left:1037;top:-7911;width:97;height:394" coordorigin="1037,-7911" coordsize="97,394" path="m1037,-7518l1133,-7518,1133,-7911,1037,-7911,1037,-7518xe" filled="true" fillcolor="#d7d7d7" stroked="false">
                <v:path arrowok="t"/>
                <v:fill type="solid"/>
              </v:shape>
            </v:group>
            <v:group style="position:absolute;left:2192;top:-7911;width:99;height:394" coordorigin="2192,-7911" coordsize="99,394">
              <v:shape style="position:absolute;left:2192;top:-7911;width:99;height:394" coordorigin="2192,-7911" coordsize="99,394" path="m2192,-7518l2290,-7518,2290,-7911,2192,-7911,2192,-7518xe" filled="true" fillcolor="#d7d7d7" stroked="false">
                <v:path arrowok="t"/>
                <v:fill type="solid"/>
              </v:shape>
            </v:group>
            <v:group style="position:absolute;left:1133;top:-7911;width:1059;height:394" coordorigin="1133,-7911" coordsize="1059,394">
              <v:shape style="position:absolute;left:1133;top:-7911;width:1059;height:394" coordorigin="1133,-7911" coordsize="1059,394" path="m1133,-7518l2192,-7518,2192,-7911,1133,-7911,1133,-7518xe" filled="true" fillcolor="#d7d7d7" stroked="false">
                <v:path arrowok="t"/>
                <v:fill type="solid"/>
              </v:shape>
            </v:group>
            <v:group style="position:absolute;left:1037;top:-7498;width:1254;height:168" coordorigin="1037,-7498" coordsize="1254,168">
              <v:shape style="position:absolute;left:1037;top:-7498;width:1254;height:168" coordorigin="1037,-7498" coordsize="1254,168" path="m1037,-7330l2290,-7330,2290,-7498,1037,-7498,1037,-7330xe" filled="true" fillcolor="#d7d7d7" stroked="false">
                <v:path arrowok="t"/>
                <v:fill type="solid"/>
              </v:shape>
            </v:group>
            <v:group style="position:absolute;left:1037;top:-7330;width:97;height:392" coordorigin="1037,-7330" coordsize="97,392">
              <v:shape style="position:absolute;left:1037;top:-7330;width:97;height:392" coordorigin="1037,-7330" coordsize="97,392" path="m1037,-6939l1133,-6939,1133,-7330,1037,-7330,1037,-6939xe" filled="true" fillcolor="#d7d7d7" stroked="false">
                <v:path arrowok="t"/>
                <v:fill type="solid"/>
              </v:shape>
            </v:group>
            <v:group style="position:absolute;left:2192;top:-7330;width:99;height:392" coordorigin="2192,-7330" coordsize="99,392">
              <v:shape style="position:absolute;left:2192;top:-7330;width:99;height:392" coordorigin="2192,-7330" coordsize="99,392" path="m2192,-6939l2290,-6939,2290,-7330,2192,-7330,2192,-6939xe" filled="true" fillcolor="#d7d7d7" stroked="false">
                <v:path arrowok="t"/>
                <v:fill type="solid"/>
              </v:shape>
            </v:group>
            <v:group style="position:absolute;left:1133;top:-7330;width:1059;height:392" coordorigin="1133,-7330" coordsize="1059,392">
              <v:shape style="position:absolute;left:1133;top:-7330;width:1059;height:392" coordorigin="1133,-7330" coordsize="1059,392" path="m1133,-6939l2192,-6939,2192,-7330,1133,-7330,1133,-6939xe" filled="true" fillcolor="#d7d7d7" stroked="false">
                <v:path arrowok="t"/>
                <v:fill type="solid"/>
              </v:shape>
            </v:group>
            <v:group style="position:absolute;left:1037;top:-6930;width:97;height:395" coordorigin="1037,-6930" coordsize="97,395">
              <v:shape style="position:absolute;left:1037;top:-6930;width:97;height:395" coordorigin="1037,-6930" coordsize="97,395" path="m1037,-6535l1133,-6535,1133,-6930,1037,-6930,1037,-6535xe" filled="true" fillcolor="#d7d7d7" stroked="false">
                <v:path arrowok="t"/>
                <v:fill type="solid"/>
              </v:shape>
            </v:group>
            <v:group style="position:absolute;left:2192;top:-6930;width:99;height:395" coordorigin="2192,-6930" coordsize="99,395">
              <v:shape style="position:absolute;left:2192;top:-6930;width:99;height:395" coordorigin="2192,-6930" coordsize="99,395" path="m2192,-6535l2290,-6535,2290,-6930,2192,-6930,2192,-6535xe" filled="true" fillcolor="#d7d7d7" stroked="false">
                <v:path arrowok="t"/>
                <v:fill type="solid"/>
              </v:shape>
            </v:group>
            <v:group style="position:absolute;left:1037;top:-6535;width:1254;height:20" coordorigin="1037,-6535" coordsize="1254,20">
              <v:shape style="position:absolute;left:1037;top:-6535;width:1254;height:20" coordorigin="1037,-6535" coordsize="1254,20" path="m1037,-6516l2290,-6516,2290,-6535,1037,-6535,1037,-6516xe" filled="true" fillcolor="#d7d7d7" stroked="false">
                <v:path arrowok="t"/>
                <v:fill type="solid"/>
              </v:shape>
            </v:group>
            <v:group style="position:absolute;left:1133;top:-6930;width:1059;height:395" coordorigin="1133,-6930" coordsize="1059,395">
              <v:shape style="position:absolute;left:1133;top:-6930;width:1059;height:395" coordorigin="1133,-6930" coordsize="1059,395" path="m1133,-6535l2192,-6535,2192,-6930,1133,-6930,1133,-6535xe" filled="true" fillcolor="#d7d7d7" stroked="false">
                <v:path arrowok="t"/>
                <v:fill type="solid"/>
              </v:shape>
            </v:group>
            <v:group style="position:absolute;left:1037;top:-6497;width:97;height:1016" coordorigin="1037,-6497" coordsize="97,1016">
              <v:shape style="position:absolute;left:1037;top:-6497;width:97;height:1016" coordorigin="1037,-6497" coordsize="97,1016" path="m1037,-5482l1133,-5482,1133,-6497,1037,-6497,1037,-5482xe" filled="true" fillcolor="#d7d7d7" stroked="false">
                <v:path arrowok="t"/>
                <v:fill type="solid"/>
              </v:shape>
            </v:group>
            <v:group style="position:absolute;left:2192;top:-6497;width:99;height:1016" coordorigin="2192,-6497" coordsize="99,1016">
              <v:shape style="position:absolute;left:2192;top:-6497;width:99;height:1016" coordorigin="2192,-6497" coordsize="99,1016" path="m2192,-5482l2290,-5482,2290,-6497,2192,-6497,2192,-5482xe" filled="true" fillcolor="#d7d7d7" stroked="false">
                <v:path arrowok="t"/>
                <v:fill type="solid"/>
              </v:shape>
            </v:group>
            <v:group style="position:absolute;left:1133;top:-6497;width:1059;height:353" coordorigin="1133,-6497" coordsize="1059,353">
              <v:shape style="position:absolute;left:1133;top:-6497;width:1059;height:353" coordorigin="1133,-6497" coordsize="1059,353" path="m1133,-6144l2192,-6144,2192,-6497,1133,-6497,1133,-6144xe" filled="true" fillcolor="#d7d7d7" stroked="false">
                <v:path arrowok="t"/>
                <v:fill type="solid"/>
              </v:shape>
            </v:group>
            <v:group style="position:absolute;left:1133;top:-6144;width:1059;height:312" coordorigin="1133,-6144" coordsize="1059,312">
              <v:shape style="position:absolute;left:1133;top:-6144;width:1059;height:312" coordorigin="1133,-6144" coordsize="1059,312" path="m1133,-5832l2192,-5832,2192,-6144,1133,-6144,1133,-5832xe" filled="true" fillcolor="#d7d7d7" stroked="false">
                <v:path arrowok="t"/>
                <v:fill type="solid"/>
              </v:shape>
            </v:group>
            <v:group style="position:absolute;left:1133;top:-5832;width:1059;height:351" coordorigin="1133,-5832" coordsize="1059,351">
              <v:shape style="position:absolute;left:1133;top:-5832;width:1059;height:351" coordorigin="1133,-5832" coordsize="1059,351" path="m1133,-5482l2192,-5482,2192,-5832,1133,-5832,1133,-5482xe" filled="true" fillcolor="#d7d7d7" stroked="false">
                <v:path arrowok="t"/>
                <v:fill type="solid"/>
              </v:shape>
            </v:group>
            <v:group style="position:absolute;left:1037;top:-5460;width:97;height:704" coordorigin="1037,-5460" coordsize="97,704">
              <v:shape style="position:absolute;left:1037;top:-5460;width:97;height:704" coordorigin="1037,-5460" coordsize="97,704" path="m1037,-4757l1133,-4757,1133,-5460,1037,-5460,1037,-4757xe" filled="true" fillcolor="#d7d7d7" stroked="false">
                <v:path arrowok="t"/>
                <v:fill type="solid"/>
              </v:shape>
            </v:group>
            <v:group style="position:absolute;left:2192;top:-5460;width:99;height:704" coordorigin="2192,-5460" coordsize="99,704">
              <v:shape style="position:absolute;left:2192;top:-5460;width:99;height:704" coordorigin="2192,-5460" coordsize="99,704" path="m2192,-4757l2290,-4757,2290,-5460,2192,-5460,2192,-4757xe" filled="true" fillcolor="#d7d7d7" stroked="false">
                <v:path arrowok="t"/>
                <v:fill type="solid"/>
              </v:shape>
            </v:group>
            <v:group style="position:absolute;left:1133;top:-5460;width:1059;height:351" coordorigin="1133,-5460" coordsize="1059,351">
              <v:shape style="position:absolute;left:1133;top:-5460;width:1059;height:351" coordorigin="1133,-5460" coordsize="1059,351" path="m1133,-5110l2192,-5110,2192,-5460,1133,-5460,1133,-5110xe" filled="true" fillcolor="#d7d7d7" stroked="false">
                <v:path arrowok="t"/>
                <v:fill type="solid"/>
              </v:shape>
            </v:group>
            <v:group style="position:absolute;left:1133;top:-5110;width:1059;height:353" coordorigin="1133,-5110" coordsize="1059,353">
              <v:shape style="position:absolute;left:1133;top:-5110;width:1059;height:353" coordorigin="1133,-5110" coordsize="1059,353" path="m1133,-4757l2192,-4757,2192,-5110,1133,-5110,1133,-4757xe" filled="true" fillcolor="#d7d7d7" stroked="false">
                <v:path arrowok="t"/>
                <v:fill type="solid"/>
              </v:shape>
            </v:group>
            <v:group style="position:absolute;left:1037;top:-4738;width:97;height:706" coordorigin="1037,-4738" coordsize="97,706">
              <v:shape style="position:absolute;left:1037;top:-4738;width:97;height:706" coordorigin="1037,-4738" coordsize="97,706" path="m1037,-4032l1133,-4032,1133,-4738,1037,-4738,1037,-4032xe" filled="true" fillcolor="#d7d7d7" stroked="false">
                <v:path arrowok="t"/>
                <v:fill type="solid"/>
              </v:shape>
            </v:group>
            <v:group style="position:absolute;left:2192;top:-4738;width:99;height:706" coordorigin="2192,-4738" coordsize="99,706">
              <v:shape style="position:absolute;left:2192;top:-4738;width:99;height:706" coordorigin="2192,-4738" coordsize="99,706" path="m2192,-4032l2290,-4032,2290,-4738,2192,-4738,2192,-4032xe" filled="true" fillcolor="#d7d7d7" stroked="false">
                <v:path arrowok="t"/>
                <v:fill type="solid"/>
              </v:shape>
            </v:group>
            <v:group style="position:absolute;left:1133;top:-4738;width:1059;height:353" coordorigin="1133,-4738" coordsize="1059,353">
              <v:shape style="position:absolute;left:1133;top:-4738;width:1059;height:353" coordorigin="1133,-4738" coordsize="1059,353" path="m1133,-4385l2192,-4385,2192,-4738,1133,-4738,1133,-4385xe" filled="true" fillcolor="#d7d7d7" stroked="false">
                <v:path arrowok="t"/>
                <v:fill type="solid"/>
              </v:shape>
            </v:group>
            <v:group style="position:absolute;left:1133;top:-4385;width:1059;height:353" coordorigin="1133,-4385" coordsize="1059,353">
              <v:shape style="position:absolute;left:1133;top:-4385;width:1059;height:353" coordorigin="1133,-4385" coordsize="1059,353" path="m1133,-4032l2192,-4032,2192,-4385,1133,-4385,1133,-4032xe" filled="true" fillcolor="#d7d7d7" stroked="false">
                <v:path arrowok="t"/>
                <v:fill type="solid"/>
              </v:shape>
            </v:group>
            <v:group style="position:absolute;left:1037;top:-4013;width:1254;height:168" coordorigin="1037,-4013" coordsize="1254,168">
              <v:shape style="position:absolute;left:1037;top:-4013;width:1254;height:168" coordorigin="1037,-4013" coordsize="1254,168" path="m1037,-3845l2290,-3845,2290,-4013,1037,-4013,1037,-3845xe" filled="true" fillcolor="#d7d7d7" stroked="false">
                <v:path arrowok="t"/>
                <v:fill type="solid"/>
              </v:shape>
            </v:group>
            <v:group style="position:absolute;left:1037;top:-3845;width:97;height:392" coordorigin="1037,-3845" coordsize="97,392">
              <v:shape style="position:absolute;left:1037;top:-3845;width:97;height:392" coordorigin="1037,-3845" coordsize="97,392" path="m1037,-3454l1133,-3454,1133,-3845,1037,-3845,1037,-3454xe" filled="true" fillcolor="#d7d7d7" stroked="false">
                <v:path arrowok="t"/>
                <v:fill type="solid"/>
              </v:shape>
            </v:group>
            <v:group style="position:absolute;left:2192;top:-3845;width:99;height:392" coordorigin="2192,-3845" coordsize="99,392">
              <v:shape style="position:absolute;left:2192;top:-3845;width:99;height:392" coordorigin="2192,-3845" coordsize="99,392" path="m2192,-3454l2290,-3454,2290,-3845,2192,-3845,2192,-3454xe" filled="true" fillcolor="#d7d7d7" stroked="false">
                <v:path arrowok="t"/>
                <v:fill type="solid"/>
              </v:shape>
            </v:group>
            <v:group style="position:absolute;left:1133;top:-3845;width:1059;height:392" coordorigin="1133,-3845" coordsize="1059,392">
              <v:shape style="position:absolute;left:1133;top:-3845;width:1059;height:392" coordorigin="1133,-3845" coordsize="1059,392" path="m1133,-3454l2192,-3454,2192,-3845,1133,-3845,1133,-3454xe" filled="true" fillcolor="#d7d7d7" stroked="false">
                <v:path arrowok="t"/>
                <v:fill type="solid"/>
              </v:shape>
            </v:group>
            <v:group style="position:absolute;left:1037;top:-3432;width:1254;height:168" coordorigin="1037,-3432" coordsize="1254,168">
              <v:shape style="position:absolute;left:1037;top:-3432;width:1254;height:168" coordorigin="1037,-3432" coordsize="1254,168" path="m1037,-3264l2290,-3264,2290,-3432,1037,-3432,1037,-3264xe" filled="true" fillcolor="#d7d7d7" stroked="false">
                <v:path arrowok="t"/>
                <v:fill type="solid"/>
              </v:shape>
            </v:group>
            <v:group style="position:absolute;left:1037;top:-3264;width:97;height:392" coordorigin="1037,-3264" coordsize="97,392">
              <v:shape style="position:absolute;left:1037;top:-3264;width:97;height:392" coordorigin="1037,-3264" coordsize="97,392" path="m1037,-2873l1133,-2873,1133,-3264,1037,-3264,1037,-2873xe" filled="true" fillcolor="#d7d7d7" stroked="false">
                <v:path arrowok="t"/>
                <v:fill type="solid"/>
              </v:shape>
            </v:group>
            <v:group style="position:absolute;left:2192;top:-3264;width:99;height:392" coordorigin="2192,-3264" coordsize="99,392">
              <v:shape style="position:absolute;left:2192;top:-3264;width:99;height:392" coordorigin="2192,-3264" coordsize="99,392" path="m2192,-2873l2290,-2873,2290,-3264,2192,-3264,2192,-2873xe" filled="true" fillcolor="#d7d7d7" stroked="false">
                <v:path arrowok="t"/>
                <v:fill type="solid"/>
              </v:shape>
            </v:group>
            <v:group style="position:absolute;left:1133;top:-3264;width:1059;height:392" coordorigin="1133,-3264" coordsize="1059,392">
              <v:shape style="position:absolute;left:1133;top:-3264;width:1059;height:392" coordorigin="1133,-3264" coordsize="1059,392" path="m1133,-2873l2192,-2873,2192,-3264,1133,-3264,1133,-2873xe" filled="true" fillcolor="#d7d7d7" stroked="false">
                <v:path arrowok="t"/>
                <v:fill type="solid"/>
              </v:shape>
            </v:group>
            <v:group style="position:absolute;left:1037;top:-2853;width:1254;height:168" coordorigin="1037,-2853" coordsize="1254,168">
              <v:shape style="position:absolute;left:1037;top:-2853;width:1254;height:168" coordorigin="1037,-2853" coordsize="1254,168" path="m1037,-2685l2290,-2685,2290,-2853,1037,-2853,1037,-2685xe" filled="true" fillcolor="#d7d7d7" stroked="false">
                <v:path arrowok="t"/>
                <v:fill type="solid"/>
              </v:shape>
            </v:group>
            <v:group style="position:absolute;left:1037;top:-2685;width:97;height:394" coordorigin="1037,-2685" coordsize="97,394">
              <v:shape style="position:absolute;left:1037;top:-2685;width:97;height:394" coordorigin="1037,-2685" coordsize="97,394" path="m1037,-2292l1133,-2292,1133,-2685,1037,-2685,1037,-2292xe" filled="true" fillcolor="#d7d7d7" stroked="false">
                <v:path arrowok="t"/>
                <v:fill type="solid"/>
              </v:shape>
            </v:group>
            <v:group style="position:absolute;left:2192;top:-2685;width:99;height:394" coordorigin="2192,-2685" coordsize="99,394">
              <v:shape style="position:absolute;left:2192;top:-2685;width:99;height:394" coordorigin="2192,-2685" coordsize="99,394" path="m2192,-2292l2290,-2292,2290,-2685,2192,-2685,2192,-2292xe" filled="true" fillcolor="#d7d7d7" stroked="false">
                <v:path arrowok="t"/>
                <v:fill type="solid"/>
              </v:shape>
            </v:group>
            <v:group style="position:absolute;left:1133;top:-2685;width:1059;height:394" coordorigin="1133,-2685" coordsize="1059,394">
              <v:shape style="position:absolute;left:1133;top:-2685;width:1059;height:394" coordorigin="1133,-2685" coordsize="1059,394" path="m1133,-2292l2192,-2292,2192,-2685,1133,-2685,1133,-2292xe" filled="true" fillcolor="#d7d7d7" stroked="false">
                <v:path arrowok="t"/>
                <v:fill type="solid"/>
              </v:shape>
            </v:group>
            <v:group style="position:absolute;left:1037;top:-2273;width:97;height:704" coordorigin="1037,-2273" coordsize="97,704">
              <v:shape style="position:absolute;left:1037;top:-2273;width:97;height:704" coordorigin="1037,-2273" coordsize="97,704" path="m1037,-1569l1133,-1569,1133,-2273,1037,-2273,1037,-1569xe" filled="true" fillcolor="#d7d7d7" stroked="false">
                <v:path arrowok="t"/>
                <v:fill type="solid"/>
              </v:shape>
            </v:group>
            <v:group style="position:absolute;left:2192;top:-2273;width:99;height:704" coordorigin="2192,-2273" coordsize="99,704">
              <v:shape style="position:absolute;left:2192;top:-2273;width:99;height:704" coordorigin="2192,-2273" coordsize="99,704" path="m2192,-1569l2290,-1569,2290,-2273,2192,-2273,2192,-1569xe" filled="true" fillcolor="#d7d7d7" stroked="false">
                <v:path arrowok="t"/>
                <v:fill type="solid"/>
              </v:shape>
            </v:group>
            <v:group style="position:absolute;left:1133;top:-2273;width:1059;height:353" coordorigin="1133,-2273" coordsize="1059,353">
              <v:shape style="position:absolute;left:1133;top:-2273;width:1059;height:353" coordorigin="1133,-2273" coordsize="1059,353" path="m1133,-1920l2192,-1920,2192,-2273,1133,-2273,1133,-1920xe" filled="true" fillcolor="#d7d7d7" stroked="false">
                <v:path arrowok="t"/>
                <v:fill type="solid"/>
              </v:shape>
            </v:group>
            <v:group style="position:absolute;left:1133;top:-1920;width:1059;height:351" coordorigin="1133,-1920" coordsize="1059,351">
              <v:shape style="position:absolute;left:1133;top:-1920;width:1059;height:351" coordorigin="1133,-1920" coordsize="1059,351" path="m1133,-1569l2192,-1569,2192,-1920,1133,-1920,1133,-1569xe" filled="true" fillcolor="#d7d7d7" stroked="false">
                <v:path arrowok="t"/>
                <v:fill type="solid"/>
              </v:shape>
            </v:group>
            <v:group style="position:absolute;left:1037;top:-1548;width:97;height:704" coordorigin="1037,-1548" coordsize="97,704">
              <v:shape style="position:absolute;left:1037;top:-1548;width:97;height:704" coordorigin="1037,-1548" coordsize="97,704" path="m1037,-845l1133,-845,1133,-1548,1037,-1548,1037,-845xe" filled="true" fillcolor="#d7d7d7" stroked="false">
                <v:path arrowok="t"/>
                <v:fill type="solid"/>
              </v:shape>
            </v:group>
            <v:group style="position:absolute;left:2192;top:-1548;width:99;height:704" coordorigin="2192,-1548" coordsize="99,704">
              <v:shape style="position:absolute;left:2192;top:-1548;width:99;height:704" coordorigin="2192,-1548" coordsize="99,704" path="m2192,-845l2290,-845,2290,-1548,2192,-1548,2192,-845xe" filled="true" fillcolor="#d7d7d7" stroked="false">
                <v:path arrowok="t"/>
                <v:fill type="solid"/>
              </v:shape>
            </v:group>
            <v:group style="position:absolute;left:1133;top:-1548;width:1059;height:351" coordorigin="1133,-1548" coordsize="1059,351">
              <v:shape style="position:absolute;left:1133;top:-1548;width:1059;height:351" coordorigin="1133,-1548" coordsize="1059,351" path="m1133,-1197l2192,-1197,2192,-1548,1133,-1548,1133,-1197xe" filled="true" fillcolor="#d7d7d7" stroked="false">
                <v:path arrowok="t"/>
                <v:fill type="solid"/>
              </v:shape>
            </v:group>
            <v:group style="position:absolute;left:1133;top:-1197;width:1059;height:353" coordorigin="1133,-1197" coordsize="1059,353">
              <v:shape style="position:absolute;left:1133;top:-1197;width:1059;height:353" coordorigin="1133,-1197" coordsize="1059,353" path="m1133,-845l2192,-845,2192,-1197,1133,-1197,1133,-845xe" filled="true" fillcolor="#d7d7d7" stroked="false">
                <v:path arrowok="t"/>
                <v:fill type="solid"/>
              </v:shape>
            </v:group>
            <v:group style="position:absolute;left:1037;top:-825;width:97;height:394" coordorigin="1037,-825" coordsize="97,394">
              <v:shape style="position:absolute;left:1037;top:-825;width:97;height:394" coordorigin="1037,-825" coordsize="97,394" path="m1037,-432l1133,-432,1133,-825,1037,-825,1037,-432xe" filled="true" fillcolor="#d7d7d7" stroked="false">
                <v:path arrowok="t"/>
                <v:fill type="solid"/>
              </v:shape>
            </v:group>
            <v:group style="position:absolute;left:2192;top:-825;width:99;height:394" coordorigin="2192,-825" coordsize="99,394">
              <v:shape style="position:absolute;left:2192;top:-825;width:99;height:394" coordorigin="2192,-825" coordsize="99,394" path="m2192,-432l2290,-432,2290,-825,2192,-825,2192,-432xe" filled="true" fillcolor="#d7d7d7" stroked="false">
                <v:path arrowok="t"/>
                <v:fill type="solid"/>
              </v:shape>
            </v:group>
            <v:group style="position:absolute;left:1133;top:-825;width:1059;height:394" coordorigin="1133,-825" coordsize="1059,394">
              <v:shape style="position:absolute;left:1133;top:-825;width:1059;height:394" coordorigin="1133,-825" coordsize="1059,394" path="m1133,-432l2192,-432,2192,-825,1133,-825,1133,-432xe" filled="true" fillcolor="#d7d7d7" stroked="false">
                <v:path arrowok="t"/>
                <v:fill type="solid"/>
              </v:shape>
            </v:group>
            <v:group style="position:absolute;left:1037;top:-413;width:97;height:392" coordorigin="1037,-413" coordsize="97,392">
              <v:shape style="position:absolute;left:1037;top:-413;width:97;height:392" coordorigin="1037,-413" coordsize="97,392" path="m1037,-21l1133,-21,1133,-413,1037,-413,1037,-21xe" filled="true" fillcolor="#d7d7d7" stroked="false">
                <v:path arrowok="t"/>
                <v:fill type="solid"/>
              </v:shape>
            </v:group>
            <v:group style="position:absolute;left:2192;top:-413;width:99;height:392" coordorigin="2192,-413" coordsize="99,392">
              <v:shape style="position:absolute;left:2192;top:-413;width:99;height:392" coordorigin="2192,-413" coordsize="99,392" path="m2192,-21l2290,-21,2290,-413,2192,-413,2192,-21xe" filled="true" fillcolor="#d7d7d7" stroked="false">
                <v:path arrowok="t"/>
                <v:fill type="solid"/>
              </v:shape>
            </v:group>
            <v:group style="position:absolute;left:1133;top:-413;width:1059;height:392" coordorigin="1133,-413" coordsize="1059,392">
              <v:shape style="position:absolute;left:1133;top:-413;width:1059;height:392" coordorigin="1133,-413" coordsize="1059,392" path="m1133,-21l2192,-21,2192,-413,1133,-413,1133,-21xe" filled="true" fillcolor="#d7d7d7" stroked="false">
                <v:path arrowok="t"/>
                <v:fill type="solid"/>
              </v:shape>
            </v:group>
            <w10:wrap type="none"/>
          </v:group>
        </w:pict>
      </w:r>
      <w:r>
        <w:rPr/>
        <w:t>短期借款较年初减少</w:t>
      </w:r>
      <w:r>
        <w:rPr>
          <w:spacing w:val="-69"/>
        </w:rPr>
        <w:t> </w:t>
      </w:r>
      <w:r>
        <w:rPr>
          <w:rFonts w:ascii="Times New Roman" w:hAnsi="Times New Roman" w:cs="Times New Roman" w:eastAsia="Times New Roman" w:hint="default"/>
        </w:rPr>
        <w:t>67.11%</w:t>
      </w:r>
      <w:r>
        <w:rPr/>
        <w:t>，主要原因系偿还到期借款所致。</w:t>
      </w:r>
    </w:p>
    <w:p>
      <w:pPr>
        <w:pStyle w:val="BodyText"/>
        <w:spacing w:line="338" w:lineRule="auto" w:before="136"/>
        <w:ind w:left="713" w:right="482"/>
        <w:jc w:val="left"/>
      </w:pPr>
      <w:r>
        <w:rPr/>
        <w:t>预收账款较年初增长</w:t>
      </w:r>
      <w:r>
        <w:rPr>
          <w:spacing w:val="-61"/>
        </w:rPr>
        <w:t> </w:t>
      </w:r>
      <w:r>
        <w:rPr>
          <w:rFonts w:ascii="Times New Roman" w:hAnsi="Times New Roman" w:cs="Times New Roman" w:eastAsia="Times New Roman" w:hint="default"/>
        </w:rPr>
        <w:t>96.29%</w:t>
      </w:r>
      <w:r>
        <w:rPr/>
        <w:t>，主要原因系公司业务规模扩大，预收项目款增加所致。 应付职工薪酬较年初增加</w:t>
      </w:r>
      <w:r>
        <w:rPr>
          <w:spacing w:val="-69"/>
        </w:rPr>
        <w:t> </w:t>
      </w:r>
      <w:r>
        <w:rPr>
          <w:rFonts w:ascii="Times New Roman" w:hAnsi="Times New Roman" w:cs="Times New Roman" w:eastAsia="Times New Roman" w:hint="default"/>
        </w:rPr>
        <w:t>119.96%</w:t>
      </w:r>
      <w:r>
        <w:rPr/>
        <w:t>，主要原因系年底未付奖金余额增加及合并上海数慧</w:t>
      </w:r>
    </w:p>
    <w:p>
      <w:pPr>
        <w:pStyle w:val="BodyText"/>
        <w:spacing w:line="240" w:lineRule="auto" w:before="27"/>
        <w:ind w:left="233" w:right="396"/>
        <w:jc w:val="left"/>
      </w:pPr>
      <w:r>
        <w:rPr/>
        <w:t>所致。</w:t>
      </w:r>
    </w:p>
    <w:p>
      <w:pPr>
        <w:pStyle w:val="BodyText"/>
        <w:spacing w:line="338" w:lineRule="auto" w:before="154"/>
        <w:ind w:left="713" w:right="1074"/>
        <w:jc w:val="left"/>
      </w:pPr>
      <w:r>
        <w:rPr/>
        <w:t>应付利息较年初减少</w:t>
      </w:r>
      <w:r>
        <w:rPr>
          <w:spacing w:val="-61"/>
        </w:rPr>
        <w:t> </w:t>
      </w:r>
      <w:r>
        <w:rPr>
          <w:rFonts w:ascii="Times New Roman" w:hAnsi="Times New Roman" w:cs="Times New Roman" w:eastAsia="Times New Roman" w:hint="default"/>
        </w:rPr>
        <w:t>67.05%</w:t>
      </w:r>
      <w:r>
        <w:rPr/>
        <w:t>，主要原因系偿还到期借款利息所致。 应付股利较年初减少</w:t>
      </w:r>
      <w:r>
        <w:rPr>
          <w:spacing w:val="-61"/>
        </w:rPr>
        <w:t> </w:t>
      </w:r>
      <w:r>
        <w:rPr>
          <w:rFonts w:ascii="Times New Roman" w:hAnsi="Times New Roman" w:cs="Times New Roman" w:eastAsia="Times New Roman" w:hint="default"/>
        </w:rPr>
        <w:t>98.49%</w:t>
      </w:r>
      <w:r>
        <w:rPr/>
        <w:t>，主要原因系本年发放以前年度计提的股利所致。 其他应付款较年初减少</w:t>
      </w:r>
      <w:r>
        <w:rPr>
          <w:spacing w:val="-61"/>
        </w:rPr>
        <w:t> </w:t>
      </w:r>
      <w:r>
        <w:rPr>
          <w:rFonts w:ascii="Times New Roman" w:hAnsi="Times New Roman" w:cs="Times New Roman" w:eastAsia="Times New Roman" w:hint="default"/>
        </w:rPr>
        <w:t>51.36%</w:t>
      </w:r>
      <w:r>
        <w:rPr/>
        <w:t>，主要原因系本年股权激励限制性股票解锁所致。</w:t>
      </w:r>
    </w:p>
    <w:p>
      <w:pPr>
        <w:spacing w:after="0" w:line="338" w:lineRule="auto"/>
        <w:jc w:val="left"/>
        <w:sectPr>
          <w:pgSz w:w="11910" w:h="16840"/>
          <w:pgMar w:header="877" w:footer="980" w:top="1100" w:bottom="1160" w:left="900" w:right="720"/>
        </w:sectPr>
      </w:pPr>
    </w:p>
    <w:p>
      <w:pPr>
        <w:spacing w:line="240" w:lineRule="auto" w:before="7"/>
        <w:rPr>
          <w:rFonts w:ascii="宋体" w:hAnsi="宋体" w:cs="宋体" w:eastAsia="宋体" w:hint="default"/>
          <w:sz w:val="25"/>
          <w:szCs w:val="25"/>
        </w:rPr>
      </w:pPr>
    </w:p>
    <w:p>
      <w:pPr>
        <w:pStyle w:val="BodyText"/>
        <w:spacing w:line="338" w:lineRule="auto" w:before="26"/>
        <w:ind w:right="293" w:firstLine="480"/>
        <w:jc w:val="left"/>
      </w:pPr>
      <w:r>
        <w:rPr/>
        <w:t>一年内到期的非流动负债较年初增长</w:t>
      </w:r>
      <w:r>
        <w:rPr>
          <w:spacing w:val="-97"/>
        </w:rPr>
        <w:t> </w:t>
      </w:r>
      <w:r>
        <w:rPr>
          <w:rFonts w:ascii="Times New Roman" w:hAnsi="Times New Roman" w:cs="Times New Roman" w:eastAsia="Times New Roman" w:hint="default"/>
        </w:rPr>
        <w:t>63.89%</w:t>
      </w:r>
      <w:r>
        <w:rPr/>
        <w:t>，主要原因系一年内到期长期应付款重分类 所致。</w:t>
      </w:r>
    </w:p>
    <w:p>
      <w:pPr>
        <w:pStyle w:val="BodyText"/>
        <w:spacing w:line="338" w:lineRule="auto"/>
        <w:ind w:left="633" w:right="213"/>
        <w:jc w:val="left"/>
      </w:pPr>
      <w:r>
        <w:rPr/>
        <w:t>其他流动负债为</w:t>
      </w:r>
      <w:r>
        <w:rPr>
          <w:spacing w:val="-60"/>
        </w:rPr>
        <w:t> </w:t>
      </w:r>
      <w:r>
        <w:rPr>
          <w:rFonts w:ascii="Times New Roman" w:hAnsi="Times New Roman" w:cs="Times New Roman" w:eastAsia="Times New Roman" w:hint="default"/>
        </w:rPr>
        <w:t>455,638.22 </w:t>
      </w:r>
      <w:r>
        <w:rPr/>
        <w:t>元，年初为</w:t>
      </w:r>
      <w:r>
        <w:rPr>
          <w:spacing w:val="-60"/>
        </w:rPr>
        <w:t> </w:t>
      </w:r>
      <w:r>
        <w:rPr>
          <w:rFonts w:ascii="Times New Roman" w:hAnsi="Times New Roman" w:cs="Times New Roman" w:eastAsia="Times New Roman" w:hint="default"/>
        </w:rPr>
        <w:t>0 </w:t>
      </w:r>
      <w:r>
        <w:rPr/>
        <w:t>元，主要增加原因系合并上海数慧所致。 长期应付款较年初增长</w:t>
      </w:r>
      <w:r>
        <w:rPr>
          <w:spacing w:val="-60"/>
        </w:rPr>
        <w:t> </w:t>
      </w:r>
      <w:r>
        <w:rPr>
          <w:rFonts w:ascii="Times New Roman" w:hAnsi="Times New Roman" w:cs="Times New Roman" w:eastAsia="Times New Roman" w:hint="default"/>
        </w:rPr>
        <w:t>137.44%</w:t>
      </w:r>
      <w:r>
        <w:rPr/>
        <w:t>，主要原因系本期收购上海数慧导致应付股权转让款增</w:t>
      </w:r>
    </w:p>
    <w:p>
      <w:pPr>
        <w:pStyle w:val="BodyText"/>
        <w:spacing w:line="240" w:lineRule="auto" w:before="27"/>
        <w:ind w:right="293"/>
        <w:jc w:val="left"/>
      </w:pPr>
      <w:r>
        <w:rPr/>
        <w:t>加所致。</w:t>
      </w:r>
    </w:p>
    <w:p>
      <w:pPr>
        <w:pStyle w:val="BodyText"/>
        <w:spacing w:line="240" w:lineRule="auto" w:before="154"/>
        <w:ind w:left="633" w:right="293"/>
        <w:jc w:val="left"/>
      </w:pPr>
      <w:r>
        <w:rPr/>
        <w:t>递延收益较年初减少</w:t>
      </w:r>
      <w:r>
        <w:rPr>
          <w:spacing w:val="-61"/>
        </w:rPr>
        <w:t> </w:t>
      </w:r>
      <w:r>
        <w:rPr>
          <w:rFonts w:ascii="Times New Roman" w:hAnsi="Times New Roman" w:cs="Times New Roman" w:eastAsia="Times New Roman" w:hint="default"/>
        </w:rPr>
        <w:t>42.31%</w:t>
      </w:r>
      <w:r>
        <w:rPr/>
        <w:t>，主要原因系上期递延收益余额本期摊销所致。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1"/>
          <w:szCs w:val="21"/>
        </w:rPr>
      </w:pPr>
    </w:p>
    <w:p>
      <w:pPr>
        <w:pStyle w:val="Heading2"/>
        <w:spacing w:line="240" w:lineRule="auto"/>
        <w:ind w:right="293"/>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5"/>
        <w:rPr>
          <w:rFonts w:ascii="宋体" w:hAnsi="宋体" w:cs="宋体" w:eastAsia="宋体" w:hint="default"/>
          <w:b/>
          <w:bCs/>
          <w:sz w:val="33"/>
          <w:szCs w:val="33"/>
        </w:rPr>
      </w:pPr>
    </w:p>
    <w:p>
      <w:pPr>
        <w:pStyle w:val="BodyText"/>
        <w:spacing w:line="240" w:lineRule="auto" w:before="0"/>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right="293"/>
        <w:jc w:val="left"/>
        <w:rPr>
          <w:b w:val="0"/>
          <w:bCs w:val="0"/>
        </w:rPr>
      </w:pPr>
      <w:r>
        <w:rPr>
          <w:rFonts w:ascii="Times New Roman" w:hAnsi="Times New Roman" w:cs="Times New Roman" w:eastAsia="Times New Roman" w:hint="default"/>
        </w:rPr>
        <w:t>4</w:t>
      </w:r>
      <w:r>
        <w:rPr/>
        <w:t>、截至报告期末的资产权利受限情况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293"/>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442"/>
        <w:gridCol w:w="4097"/>
        <w:gridCol w:w="3162"/>
      </w:tblGrid>
      <w:tr>
        <w:trPr>
          <w:trHeight w:val="396" w:hRule="exact"/>
        </w:trPr>
        <w:tc>
          <w:tcPr>
            <w:tcW w:w="24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2"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4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1" w:right="0"/>
              <w:jc w:val="center"/>
              <w:rPr>
                <w:rFonts w:ascii="宋体" w:hAnsi="宋体" w:cs="宋体" w:eastAsia="宋体" w:hint="default"/>
                <w:sz w:val="24"/>
                <w:szCs w:val="24"/>
              </w:rPr>
            </w:pPr>
            <w:r>
              <w:rPr>
                <w:rFonts w:ascii="宋体" w:hAnsi="宋体" w:cs="宋体" w:eastAsia="宋体" w:hint="default"/>
                <w:b/>
                <w:bCs/>
                <w:sz w:val="24"/>
                <w:szCs w:val="24"/>
              </w:rPr>
              <w:t>期末账面价值（元）</w:t>
            </w:r>
            <w:r>
              <w:rPr>
                <w:rFonts w:ascii="宋体" w:hAnsi="宋体" w:cs="宋体" w:eastAsia="宋体" w:hint="default"/>
                <w:sz w:val="24"/>
                <w:szCs w:val="24"/>
              </w:rPr>
            </w:r>
          </w:p>
        </w:tc>
        <w:tc>
          <w:tcPr>
            <w:tcW w:w="3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right="10"/>
              <w:jc w:val="center"/>
              <w:rPr>
                <w:rFonts w:ascii="宋体" w:hAnsi="宋体" w:cs="宋体" w:eastAsia="宋体" w:hint="default"/>
                <w:sz w:val="24"/>
                <w:szCs w:val="24"/>
              </w:rPr>
            </w:pPr>
            <w:r>
              <w:rPr>
                <w:rFonts w:ascii="宋体" w:hAnsi="宋体" w:cs="宋体" w:eastAsia="宋体" w:hint="default"/>
                <w:b/>
                <w:bCs/>
                <w:sz w:val="24"/>
                <w:szCs w:val="24"/>
              </w:rPr>
              <w:t>受限原因</w:t>
            </w:r>
            <w:r>
              <w:rPr>
                <w:rFonts w:ascii="宋体" w:hAnsi="宋体" w:cs="宋体" w:eastAsia="宋体" w:hint="default"/>
                <w:sz w:val="24"/>
                <w:szCs w:val="24"/>
              </w:rPr>
            </w:r>
          </w:p>
        </w:tc>
      </w:tr>
      <w:tr>
        <w:trPr>
          <w:trHeight w:val="398" w:hRule="exact"/>
        </w:trPr>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24"/>
                <w:szCs w:val="24"/>
              </w:rPr>
            </w:pPr>
            <w:r>
              <w:rPr>
                <w:rFonts w:ascii="宋体" w:hAnsi="宋体" w:cs="宋体" w:eastAsia="宋体" w:hint="default"/>
                <w:sz w:val="24"/>
                <w:szCs w:val="24"/>
              </w:rPr>
              <w:t>货币资金</w:t>
            </w:r>
          </w:p>
        </w:tc>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13,869,441.15</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24"/>
                <w:szCs w:val="24"/>
              </w:rPr>
            </w:pPr>
            <w:r>
              <w:rPr>
                <w:rFonts w:ascii="宋体" w:hAnsi="宋体" w:cs="宋体" w:eastAsia="宋体" w:hint="default"/>
                <w:sz w:val="24"/>
                <w:szCs w:val="24"/>
              </w:rPr>
              <w:t>保证金</w:t>
            </w:r>
          </w:p>
        </w:tc>
      </w:tr>
    </w:tbl>
    <w:p>
      <w:pPr>
        <w:spacing w:line="240" w:lineRule="auto" w:before="1"/>
        <w:rPr>
          <w:rFonts w:ascii="宋体" w:hAnsi="宋体" w:cs="宋体" w:eastAsia="宋体" w:hint="default"/>
          <w:sz w:val="18"/>
          <w:szCs w:val="18"/>
        </w:rPr>
      </w:pPr>
    </w:p>
    <w:p>
      <w:pPr>
        <w:pStyle w:val="Heading2"/>
        <w:spacing w:line="240" w:lineRule="auto" w:before="26"/>
        <w:ind w:right="293"/>
        <w:jc w:val="left"/>
        <w:rPr>
          <w:b w:val="0"/>
          <w:bCs w:val="0"/>
        </w:rPr>
      </w:pPr>
      <w:r>
        <w:rPr/>
        <w:t>五、投资状况分析</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right="29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报告期投资额（元）</w:t>
            </w:r>
            <w:r>
              <w:rPr>
                <w:rFonts w:ascii="宋体" w:hAnsi="宋体" w:cs="宋体" w:eastAsia="宋体" w:hint="default"/>
                <w:sz w:val="21"/>
                <w:szCs w:val="21"/>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上年同期投资额（元）</w:t>
            </w:r>
            <w:r>
              <w:rPr>
                <w:rFonts w:ascii="宋体" w:hAnsi="宋体" w:cs="宋体" w:eastAsia="宋体"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变动幅度</w:t>
            </w:r>
            <w:r>
              <w:rPr>
                <w:rFonts w:ascii="宋体" w:hAnsi="宋体" w:cs="宋体" w:eastAsia="宋体" w:hint="default"/>
                <w:sz w:val="21"/>
                <w:szCs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231,500,000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619,800,000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62.65%</w:t>
            </w:r>
          </w:p>
        </w:tc>
      </w:tr>
    </w:tbl>
    <w:p>
      <w:pPr>
        <w:spacing w:line="240" w:lineRule="auto" w:before="12"/>
        <w:rPr>
          <w:rFonts w:ascii="宋体" w:hAnsi="宋体" w:cs="宋体" w:eastAsia="宋体" w:hint="default"/>
          <w:sz w:val="23"/>
          <w:szCs w:val="23"/>
        </w:rPr>
      </w:pPr>
    </w:p>
    <w:p>
      <w:pPr>
        <w:pStyle w:val="Heading2"/>
        <w:spacing w:line="240" w:lineRule="auto" w:before="26"/>
        <w:ind w:right="29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33"/>
          <w:szCs w:val="33"/>
        </w:rPr>
      </w:pPr>
    </w:p>
    <w:p>
      <w:pPr>
        <w:pStyle w:val="BodyText"/>
        <w:spacing w:line="240" w:lineRule="auto" w:before="0"/>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7"/>
        <w:rPr>
          <w:rFonts w:ascii="宋体" w:hAnsi="宋体" w:cs="宋体" w:eastAsia="宋体" w:hint="default"/>
          <w:sz w:val="9"/>
          <w:szCs w:val="9"/>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707"/>
        <w:gridCol w:w="1277"/>
        <w:gridCol w:w="567"/>
        <w:gridCol w:w="569"/>
        <w:gridCol w:w="566"/>
        <w:gridCol w:w="708"/>
        <w:gridCol w:w="850"/>
        <w:gridCol w:w="569"/>
        <w:gridCol w:w="566"/>
        <w:gridCol w:w="709"/>
        <w:gridCol w:w="710"/>
        <w:gridCol w:w="401"/>
        <w:gridCol w:w="682"/>
        <w:gridCol w:w="673"/>
      </w:tblGrid>
      <w:tr>
        <w:trPr>
          <w:trHeight w:val="1258"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30" w:right="31"/>
              <w:jc w:val="center"/>
              <w:rPr>
                <w:rFonts w:ascii="宋体" w:hAnsi="宋体" w:cs="宋体" w:eastAsia="宋体" w:hint="default"/>
                <w:sz w:val="21"/>
                <w:szCs w:val="21"/>
              </w:rPr>
            </w:pPr>
            <w:r>
              <w:rPr>
                <w:rFonts w:ascii="宋体" w:hAnsi="宋体" w:cs="宋体" w:eastAsia="宋体" w:hint="default"/>
                <w:b/>
                <w:bCs/>
                <w:sz w:val="21"/>
                <w:szCs w:val="21"/>
              </w:rPr>
              <w:t>被投资</w:t>
            </w:r>
            <w:r>
              <w:rPr>
                <w:rFonts w:ascii="宋体" w:hAnsi="宋体" w:cs="宋体" w:eastAsia="宋体" w:hint="default"/>
                <w:b/>
                <w:bCs/>
                <w:w w:val="100"/>
                <w:sz w:val="21"/>
                <w:szCs w:val="21"/>
              </w:rPr>
              <w:t> </w:t>
            </w:r>
            <w:r>
              <w:rPr>
                <w:rFonts w:ascii="宋体" w:hAnsi="宋体" w:cs="宋体" w:eastAsia="宋体" w:hint="default"/>
                <w:b/>
                <w:bCs/>
                <w:sz w:val="21"/>
                <w:szCs w:val="21"/>
              </w:rPr>
              <w:t>公司名</w:t>
            </w:r>
            <w:r>
              <w:rPr>
                <w:rFonts w:ascii="宋体" w:hAnsi="宋体" w:cs="宋体" w:eastAsia="宋体" w:hint="default"/>
                <w:b/>
                <w:bCs/>
                <w:w w:val="100"/>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b/>
                <w:bCs/>
                <w:sz w:val="21"/>
                <w:szCs w:val="21"/>
              </w:rPr>
              <w:t>主要业务</w:t>
            </w:r>
            <w:r>
              <w:rPr>
                <w:rFonts w:ascii="宋体" w:hAnsi="宋体" w:cs="宋体" w:eastAsia="宋体" w:hint="default"/>
                <w:sz w:val="21"/>
                <w:szCs w:val="21"/>
              </w:rPr>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b/>
                <w:bCs/>
                <w:sz w:val="21"/>
                <w:szCs w:val="21"/>
              </w:rPr>
              <w:t>投资</w:t>
            </w:r>
            <w:r>
              <w:rPr>
                <w:rFonts w:ascii="宋体" w:hAnsi="宋体" w:cs="宋体" w:eastAsia="宋体" w:hint="default"/>
                <w:b/>
                <w:bCs/>
                <w:w w:val="100"/>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7" w:right="67"/>
              <w:jc w:val="left"/>
              <w:rPr>
                <w:rFonts w:ascii="宋体" w:hAnsi="宋体" w:cs="宋体" w:eastAsia="宋体" w:hint="default"/>
                <w:sz w:val="21"/>
                <w:szCs w:val="21"/>
              </w:rPr>
            </w:pPr>
            <w:r>
              <w:rPr>
                <w:rFonts w:ascii="宋体" w:hAnsi="宋体" w:cs="宋体" w:eastAsia="宋体" w:hint="default"/>
                <w:b/>
                <w:bCs/>
                <w:sz w:val="21"/>
                <w:szCs w:val="21"/>
              </w:rPr>
              <w:t>投资</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2" w:right="31" w:hanging="212"/>
              <w:jc w:val="left"/>
              <w:rPr>
                <w:rFonts w:ascii="宋体" w:hAnsi="宋体" w:cs="宋体" w:eastAsia="宋体" w:hint="default"/>
                <w:sz w:val="21"/>
                <w:szCs w:val="21"/>
              </w:rPr>
            </w:pPr>
            <w:r>
              <w:rPr>
                <w:rFonts w:ascii="宋体" w:hAnsi="宋体" w:cs="宋体" w:eastAsia="宋体" w:hint="default"/>
                <w:b/>
                <w:bCs/>
                <w:sz w:val="21"/>
                <w:szCs w:val="21"/>
              </w:rPr>
              <w:t>资金来</w:t>
            </w:r>
            <w:r>
              <w:rPr>
                <w:rFonts w:ascii="宋体" w:hAnsi="宋体" w:cs="宋体" w:eastAsia="宋体" w:hint="default"/>
                <w:b/>
                <w:bCs/>
                <w:w w:val="100"/>
                <w:sz w:val="21"/>
                <w:szCs w:val="21"/>
              </w:rPr>
              <w:t> </w:t>
            </w:r>
            <w:r>
              <w:rPr>
                <w:rFonts w:ascii="宋体" w:hAnsi="宋体" w:cs="宋体" w:eastAsia="宋体" w:hint="default"/>
                <w:b/>
                <w:bCs/>
                <w:sz w:val="21"/>
                <w:szCs w:val="21"/>
              </w:rPr>
              <w:t>源</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合作方</w:t>
            </w:r>
            <w:r>
              <w:rPr>
                <w:rFonts w:ascii="宋体" w:hAnsi="宋体" w:cs="宋体" w:eastAsia="宋体" w:hint="default"/>
                <w:sz w:val="21"/>
                <w:szCs w:val="21"/>
              </w:rPr>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9" w:right="65"/>
              <w:jc w:val="left"/>
              <w:rPr>
                <w:rFonts w:ascii="宋体" w:hAnsi="宋体" w:cs="宋体" w:eastAsia="宋体" w:hint="default"/>
                <w:sz w:val="21"/>
                <w:szCs w:val="21"/>
              </w:rPr>
            </w:pPr>
            <w:r>
              <w:rPr>
                <w:rFonts w:ascii="宋体" w:hAnsi="宋体" w:cs="宋体" w:eastAsia="宋体" w:hint="default"/>
                <w:b/>
                <w:bCs/>
                <w:sz w:val="21"/>
                <w:szCs w:val="21"/>
              </w:rPr>
              <w:t>投资</w:t>
            </w:r>
            <w:r>
              <w:rPr>
                <w:rFonts w:ascii="宋体" w:hAnsi="宋体" w:cs="宋体" w:eastAsia="宋体" w:hint="default"/>
                <w:b/>
                <w:bCs/>
                <w:w w:val="100"/>
                <w:sz w:val="21"/>
                <w:szCs w:val="21"/>
              </w:rPr>
              <w:t> </w:t>
            </w:r>
            <w:r>
              <w:rPr>
                <w:rFonts w:ascii="宋体" w:hAnsi="宋体" w:cs="宋体" w:eastAsia="宋体" w:hint="default"/>
                <w:b/>
                <w:bCs/>
                <w:sz w:val="21"/>
                <w:szCs w:val="21"/>
              </w:rPr>
              <w:t>期限</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b/>
                <w:bCs/>
                <w:sz w:val="21"/>
                <w:szCs w:val="21"/>
              </w:rPr>
              <w:t>产品</w:t>
            </w:r>
            <w:r>
              <w:rPr>
                <w:rFonts w:ascii="宋体" w:hAnsi="宋体" w:cs="宋体" w:eastAsia="宋体" w:hint="default"/>
                <w:b/>
                <w:bCs/>
                <w:w w:val="100"/>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2" w:right="32" w:hanging="212"/>
              <w:jc w:val="left"/>
              <w:rPr>
                <w:rFonts w:ascii="宋体" w:hAnsi="宋体" w:cs="宋体" w:eastAsia="宋体" w:hint="default"/>
                <w:sz w:val="21"/>
                <w:szCs w:val="21"/>
              </w:rPr>
            </w:pPr>
            <w:r>
              <w:rPr>
                <w:rFonts w:ascii="宋体" w:hAnsi="宋体" w:cs="宋体" w:eastAsia="宋体" w:hint="default"/>
                <w:b/>
                <w:bCs/>
                <w:sz w:val="21"/>
                <w:szCs w:val="21"/>
              </w:rPr>
              <w:t>预计收</w:t>
            </w:r>
            <w:r>
              <w:rPr>
                <w:rFonts w:ascii="宋体" w:hAnsi="宋体" w:cs="宋体" w:eastAsia="宋体" w:hint="default"/>
                <w:b/>
                <w:bCs/>
                <w:w w:val="100"/>
                <w:sz w:val="21"/>
                <w:szCs w:val="21"/>
              </w:rPr>
              <w:t> </w:t>
            </w:r>
            <w:r>
              <w:rPr>
                <w:rFonts w:ascii="宋体" w:hAnsi="宋体" w:cs="宋体" w:eastAsia="宋体" w:hint="default"/>
                <w:b/>
                <w:bCs/>
                <w:sz w:val="21"/>
                <w:szCs w:val="21"/>
              </w:rPr>
              <w:t>益</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1" w:right="35"/>
              <w:jc w:val="left"/>
              <w:rPr>
                <w:rFonts w:ascii="宋体" w:hAnsi="宋体" w:cs="宋体" w:eastAsia="宋体" w:hint="default"/>
                <w:sz w:val="21"/>
                <w:szCs w:val="21"/>
              </w:rPr>
            </w:pPr>
            <w:r>
              <w:rPr>
                <w:rFonts w:ascii="宋体" w:hAnsi="宋体" w:cs="宋体" w:eastAsia="宋体" w:hint="default"/>
                <w:b/>
                <w:bCs/>
                <w:sz w:val="21"/>
                <w:szCs w:val="21"/>
              </w:rPr>
              <w:t>本期投</w:t>
            </w:r>
            <w:r>
              <w:rPr>
                <w:rFonts w:ascii="宋体" w:hAnsi="宋体" w:cs="宋体" w:eastAsia="宋体" w:hint="default"/>
                <w:b/>
                <w:bCs/>
                <w:w w:val="100"/>
                <w:sz w:val="21"/>
                <w:szCs w:val="21"/>
              </w:rPr>
              <w:t> </w:t>
            </w:r>
            <w:r>
              <w:rPr>
                <w:rFonts w:ascii="宋体" w:hAnsi="宋体" w:cs="宋体" w:eastAsia="宋体" w:hint="default"/>
                <w:b/>
                <w:bCs/>
                <w:sz w:val="21"/>
                <w:szCs w:val="21"/>
              </w:rPr>
              <w:t>资盈亏</w:t>
            </w:r>
            <w:r>
              <w:rPr>
                <w:rFonts w:ascii="宋体" w:hAnsi="宋体" w:cs="宋体" w:eastAsia="宋体" w:hint="default"/>
                <w:sz w:val="21"/>
                <w:szCs w:val="21"/>
              </w:rPr>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88" w:right="89"/>
              <w:jc w:val="both"/>
              <w:rPr>
                <w:rFonts w:ascii="宋体" w:hAnsi="宋体" w:cs="宋体" w:eastAsia="宋体" w:hint="default"/>
                <w:sz w:val="21"/>
                <w:szCs w:val="21"/>
              </w:rPr>
            </w:pPr>
            <w:r>
              <w:rPr>
                <w:rFonts w:ascii="宋体" w:hAnsi="宋体" w:cs="宋体" w:eastAsia="宋体" w:hint="default"/>
                <w:b/>
                <w:bCs/>
                <w:sz w:val="21"/>
                <w:szCs w:val="21"/>
              </w:rPr>
              <w:t>是</w:t>
            </w:r>
            <w:r>
              <w:rPr>
                <w:rFonts w:ascii="宋体" w:hAnsi="宋体" w:cs="宋体" w:eastAsia="宋体" w:hint="default"/>
                <w:b/>
                <w:bCs/>
                <w:w w:val="100"/>
                <w:sz w:val="21"/>
                <w:szCs w:val="21"/>
              </w:rPr>
              <w:t> </w:t>
            </w:r>
            <w:r>
              <w:rPr>
                <w:rFonts w:ascii="宋体" w:hAnsi="宋体" w:cs="宋体" w:eastAsia="宋体" w:hint="default"/>
                <w:b/>
                <w:bCs/>
                <w:sz w:val="21"/>
                <w:szCs w:val="21"/>
              </w:rPr>
              <w:t>否</w:t>
            </w:r>
            <w:r>
              <w:rPr>
                <w:rFonts w:ascii="宋体" w:hAnsi="宋体" w:cs="宋体" w:eastAsia="宋体" w:hint="default"/>
                <w:b/>
                <w:bCs/>
                <w:w w:val="100"/>
                <w:sz w:val="21"/>
                <w:szCs w:val="21"/>
              </w:rPr>
              <w:t> </w:t>
            </w:r>
            <w:r>
              <w:rPr>
                <w:rFonts w:ascii="宋体" w:hAnsi="宋体" w:cs="宋体" w:eastAsia="宋体" w:hint="default"/>
                <w:b/>
                <w:bCs/>
                <w:sz w:val="21"/>
                <w:szCs w:val="21"/>
              </w:rPr>
              <w:t>涉</w:t>
            </w:r>
            <w:r>
              <w:rPr>
                <w:rFonts w:ascii="宋体" w:hAnsi="宋体" w:cs="宋体" w:eastAsia="宋体" w:hint="default"/>
                <w:b/>
                <w:bCs/>
                <w:w w:val="100"/>
                <w:sz w:val="21"/>
                <w:szCs w:val="21"/>
              </w:rPr>
              <w:t> </w:t>
            </w:r>
            <w:r>
              <w:rPr>
                <w:rFonts w:ascii="宋体" w:hAnsi="宋体" w:cs="宋体" w:eastAsia="宋体" w:hint="default"/>
                <w:b/>
                <w:bCs/>
                <w:sz w:val="21"/>
                <w:szCs w:val="21"/>
              </w:rPr>
              <w:t>诉</w:t>
            </w:r>
            <w:r>
              <w:rPr>
                <w:rFonts w:ascii="宋体" w:hAnsi="宋体" w:cs="宋体" w:eastAsia="宋体" w:hint="default"/>
                <w:sz w:val="21"/>
                <w:szCs w:val="21"/>
              </w:rPr>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4" w:right="123"/>
              <w:jc w:val="left"/>
              <w:rPr>
                <w:rFonts w:ascii="宋体" w:hAnsi="宋体" w:cs="宋体" w:eastAsia="宋体" w:hint="default"/>
                <w:sz w:val="21"/>
                <w:szCs w:val="21"/>
              </w:rPr>
            </w:pPr>
            <w:r>
              <w:rPr>
                <w:rFonts w:ascii="宋体" w:hAnsi="宋体" w:cs="宋体" w:eastAsia="宋体" w:hint="default"/>
                <w:b/>
                <w:bCs/>
                <w:sz w:val="21"/>
                <w:szCs w:val="21"/>
              </w:rPr>
              <w:t>披露</w:t>
            </w:r>
            <w:r>
              <w:rPr>
                <w:rFonts w:ascii="宋体" w:hAnsi="宋体" w:cs="宋体" w:eastAsia="宋体" w:hint="default"/>
                <w:b/>
                <w:bCs/>
                <w:w w:val="100"/>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p>
            <w:pPr>
              <w:pStyle w:val="TableParagraph"/>
              <w:spacing w:line="273" w:lineRule="auto" w:before="7"/>
              <w:ind w:left="124" w:right="123"/>
              <w:jc w:val="left"/>
              <w:rPr>
                <w:rFonts w:ascii="宋体" w:hAnsi="宋体" w:cs="宋体" w:eastAsia="宋体" w:hint="default"/>
                <w:sz w:val="21"/>
                <w:szCs w:val="21"/>
              </w:rPr>
            </w:pPr>
            <w:r>
              <w:rPr>
                <w:rFonts w:ascii="宋体" w:hAnsi="宋体" w:cs="宋体" w:eastAsia="宋体" w:hint="default"/>
                <w:b/>
                <w:bCs/>
                <w:sz w:val="21"/>
                <w:szCs w:val="21"/>
              </w:rPr>
              <w:t>（如</w:t>
            </w:r>
            <w:r>
              <w:rPr>
                <w:rFonts w:ascii="宋体" w:hAnsi="宋体" w:cs="宋体" w:eastAsia="宋体" w:hint="default"/>
                <w:b/>
                <w:bCs/>
                <w:w w:val="100"/>
                <w:sz w:val="21"/>
                <w:szCs w:val="21"/>
              </w:rPr>
              <w:t> </w:t>
            </w:r>
            <w:r>
              <w:rPr>
                <w:rFonts w:ascii="宋体" w:hAnsi="宋体" w:cs="宋体" w:eastAsia="宋体" w:hint="default"/>
                <w:b/>
                <w:bCs/>
                <w:sz w:val="21"/>
                <w:szCs w:val="21"/>
              </w:rPr>
              <w:t>有）</w:t>
            </w:r>
            <w:r>
              <w:rPr>
                <w:rFonts w:ascii="宋体" w:hAnsi="宋体" w:cs="宋体" w:eastAsia="宋体" w:hint="default"/>
                <w:sz w:val="21"/>
                <w:szCs w:val="21"/>
              </w:rPr>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7" w:right="113"/>
              <w:jc w:val="left"/>
              <w:rPr>
                <w:rFonts w:ascii="宋体" w:hAnsi="宋体" w:cs="宋体" w:eastAsia="宋体" w:hint="default"/>
                <w:sz w:val="21"/>
                <w:szCs w:val="21"/>
              </w:rPr>
            </w:pPr>
            <w:r>
              <w:rPr>
                <w:rFonts w:ascii="宋体" w:hAnsi="宋体" w:cs="宋体" w:eastAsia="宋体" w:hint="default"/>
                <w:b/>
                <w:bCs/>
                <w:sz w:val="21"/>
                <w:szCs w:val="21"/>
              </w:rPr>
              <w:t>披露</w:t>
            </w:r>
            <w:r>
              <w:rPr>
                <w:rFonts w:ascii="宋体" w:hAnsi="宋体" w:cs="宋体" w:eastAsia="宋体" w:hint="default"/>
                <w:b/>
                <w:bCs/>
                <w:w w:val="100"/>
                <w:sz w:val="21"/>
                <w:szCs w:val="21"/>
              </w:rPr>
              <w:t> </w:t>
            </w:r>
            <w:r>
              <w:rPr>
                <w:rFonts w:ascii="宋体" w:hAnsi="宋体" w:cs="宋体" w:eastAsia="宋体" w:hint="default"/>
                <w:b/>
                <w:bCs/>
                <w:sz w:val="21"/>
                <w:szCs w:val="21"/>
              </w:rPr>
              <w:t>索引</w:t>
            </w:r>
            <w:r>
              <w:rPr>
                <w:rFonts w:ascii="宋体" w:hAnsi="宋体" w:cs="宋体" w:eastAsia="宋体" w:hint="default"/>
                <w:sz w:val="21"/>
                <w:szCs w:val="21"/>
              </w:rPr>
            </w:r>
          </w:p>
          <w:p>
            <w:pPr>
              <w:pStyle w:val="TableParagraph"/>
              <w:spacing w:line="273" w:lineRule="auto" w:before="7"/>
              <w:ind w:left="127" w:right="113"/>
              <w:jc w:val="left"/>
              <w:rPr>
                <w:rFonts w:ascii="宋体" w:hAnsi="宋体" w:cs="宋体" w:eastAsia="宋体" w:hint="default"/>
                <w:sz w:val="21"/>
                <w:szCs w:val="21"/>
              </w:rPr>
            </w:pPr>
            <w:r>
              <w:rPr>
                <w:rFonts w:ascii="宋体" w:hAnsi="宋体" w:cs="宋体" w:eastAsia="宋体" w:hint="default"/>
                <w:b/>
                <w:bCs/>
                <w:sz w:val="21"/>
                <w:szCs w:val="21"/>
              </w:rPr>
              <w:t>（如</w:t>
            </w:r>
            <w:r>
              <w:rPr>
                <w:rFonts w:ascii="宋体" w:hAnsi="宋体" w:cs="宋体" w:eastAsia="宋体" w:hint="default"/>
                <w:b/>
                <w:bCs/>
                <w:w w:val="100"/>
                <w:sz w:val="21"/>
                <w:szCs w:val="21"/>
              </w:rPr>
              <w:t> </w:t>
            </w:r>
            <w:r>
              <w:rPr>
                <w:rFonts w:ascii="宋体" w:hAnsi="宋体" w:cs="宋体" w:eastAsia="宋体" w:hint="default"/>
                <w:b/>
                <w:bCs/>
                <w:sz w:val="21"/>
                <w:szCs w:val="21"/>
              </w:rPr>
              <w:t>有）</w:t>
            </w:r>
            <w:r>
              <w:rPr>
                <w:rFonts w:ascii="宋体" w:hAnsi="宋体" w:cs="宋体" w:eastAsia="宋体" w:hint="default"/>
                <w:sz w:val="21"/>
                <w:szCs w:val="21"/>
              </w:rPr>
            </w:r>
          </w:p>
        </w:tc>
      </w:tr>
      <w:tr>
        <w:trPr>
          <w:trHeight w:val="634" w:hRule="exact"/>
        </w:trPr>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 w:right="314"/>
              <w:jc w:val="left"/>
              <w:rPr>
                <w:rFonts w:ascii="宋体" w:hAnsi="宋体" w:cs="宋体" w:eastAsia="宋体" w:hint="default"/>
                <w:sz w:val="18"/>
                <w:szCs w:val="18"/>
              </w:rPr>
            </w:pPr>
            <w:r>
              <w:rPr>
                <w:rFonts w:ascii="宋体" w:hAnsi="宋体" w:cs="宋体" w:eastAsia="宋体" w:hint="default"/>
                <w:sz w:val="18"/>
                <w:szCs w:val="18"/>
              </w:rPr>
              <w:t>上海 数慧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3" w:right="17" w:hanging="70"/>
              <w:jc w:val="left"/>
              <w:rPr>
                <w:rFonts w:ascii="宋体" w:hAnsi="宋体" w:cs="宋体" w:eastAsia="宋体" w:hint="default"/>
                <w:sz w:val="18"/>
                <w:szCs w:val="18"/>
              </w:rPr>
            </w:pPr>
            <w:r>
              <w:rPr>
                <w:rFonts w:ascii="宋体" w:hAnsi="宋体" w:cs="宋体" w:eastAsia="宋体" w:hint="default"/>
                <w:spacing w:val="-6"/>
                <w:sz w:val="18"/>
                <w:szCs w:val="18"/>
              </w:rPr>
              <w:t>城市规划、国土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资源等领域信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left"/>
              <w:rPr>
                <w:rFonts w:ascii="Times New Roman" w:hAnsi="Times New Roman" w:cs="Times New Roman" w:eastAsia="Times New Roman" w:hint="default"/>
                <w:sz w:val="18"/>
                <w:szCs w:val="18"/>
              </w:rPr>
            </w:pPr>
            <w:r>
              <w:rPr>
                <w:rFonts w:ascii="Times New Roman"/>
                <w:sz w:val="18"/>
              </w:rPr>
              <w:t>230,00</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13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行业</w:t>
            </w:r>
          </w:p>
          <w:p>
            <w:pPr>
              <w:pStyle w:val="TableParagraph"/>
              <w:spacing w:line="240" w:lineRule="auto" w:before="7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26,097,6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10.14</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8" w:right="54" w:hanging="92"/>
              <w:jc w:val="left"/>
              <w:rPr>
                <w:rFonts w:ascii="宋体" w:hAnsi="宋体" w:cs="宋体" w:eastAsia="宋体" w:hint="default"/>
                <w:sz w:val="18"/>
                <w:szCs w:val="18"/>
              </w:rPr>
            </w:pPr>
            <w:hyperlink r:id="rId11">
              <w:r>
                <w:rPr>
                  <w:rFonts w:ascii="宋体" w:hAnsi="宋体" w:cs="宋体" w:eastAsia="宋体" w:hint="default"/>
                  <w:sz w:val="18"/>
                  <w:szCs w:val="18"/>
                </w:rPr>
                <w:t>巨</w:t>
              </w:r>
            </w:hyperlink>
            <w:r>
              <w:rPr>
                <w:rFonts w:ascii="宋体" w:hAnsi="宋体" w:cs="宋体" w:eastAsia="宋体" w:hint="default"/>
                <w:sz w:val="18"/>
                <w:szCs w:val="18"/>
              </w:rPr>
              <w:t>潮资</w:t>
            </w:r>
            <w:r>
              <w:rPr>
                <w:rFonts w:ascii="宋体" w:hAnsi="宋体" w:cs="宋体" w:eastAsia="宋体" w:hint="default"/>
                <w:sz w:val="18"/>
                <w:szCs w:val="18"/>
              </w:rPr>
              <w:t> 讯网</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208" w:type="dxa"/>
        <w:tblLayout w:type="fixed"/>
        <w:tblCellMar>
          <w:top w:w="0" w:type="dxa"/>
          <w:left w:w="0" w:type="dxa"/>
          <w:bottom w:w="0" w:type="dxa"/>
          <w:right w:w="0" w:type="dxa"/>
        </w:tblCellMar>
        <w:tblLook w:val="01E0"/>
      </w:tblPr>
      <w:tblGrid>
        <w:gridCol w:w="708"/>
        <w:gridCol w:w="1277"/>
        <w:gridCol w:w="567"/>
        <w:gridCol w:w="569"/>
        <w:gridCol w:w="566"/>
        <w:gridCol w:w="708"/>
        <w:gridCol w:w="850"/>
        <w:gridCol w:w="569"/>
        <w:gridCol w:w="566"/>
        <w:gridCol w:w="709"/>
        <w:gridCol w:w="710"/>
        <w:gridCol w:w="401"/>
        <w:gridCol w:w="682"/>
        <w:gridCol w:w="684"/>
      </w:tblGrid>
      <w:tr>
        <w:trPr>
          <w:trHeight w:val="322"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息化服务</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left"/>
              <w:rPr>
                <w:rFonts w:ascii="宋体" w:hAnsi="宋体" w:cs="宋体" w:eastAsia="宋体" w:hint="default"/>
                <w:sz w:val="18"/>
                <w:szCs w:val="18"/>
              </w:rPr>
            </w:pPr>
            <w:r>
              <w:rPr>
                <w:rFonts w:ascii="宋体" w:hAnsi="宋体" w:cs="宋体" w:eastAsia="宋体" w:hint="default"/>
                <w:sz w:val="18"/>
                <w:szCs w:val="18"/>
              </w:rPr>
              <w:t>品</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230,00</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Times New Roman" w:hAnsi="Times New Roman" w:cs="Times New Roman" w:eastAsia="Times New Roman" w:hint="default"/>
                <w:sz w:val="18"/>
                <w:szCs w:val="18"/>
              </w:rPr>
            </w:pPr>
            <w:r>
              <w:rPr>
                <w:rFonts w:ascii="Times New Roman"/>
                <w:sz w:val="18"/>
              </w:rPr>
              <w:t>26,097,6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10.14</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bl>
    <w:p>
      <w:pPr>
        <w:spacing w:line="240" w:lineRule="auto" w:before="12"/>
        <w:rPr>
          <w:rFonts w:ascii="宋体" w:hAnsi="宋体" w:cs="宋体" w:eastAsia="宋体" w:hint="default"/>
          <w:sz w:val="23"/>
          <w:szCs w:val="23"/>
        </w:rPr>
      </w:pPr>
    </w:p>
    <w:p>
      <w:pPr>
        <w:pStyle w:val="Heading2"/>
        <w:spacing w:line="240" w:lineRule="auto" w:before="26"/>
        <w:ind w:left="213"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left="213"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33"/>
          <w:szCs w:val="33"/>
        </w:rPr>
      </w:pPr>
    </w:p>
    <w:p>
      <w:pPr>
        <w:pStyle w:val="BodyText"/>
        <w:spacing w:line="240" w:lineRule="auto" w:before="0"/>
        <w:ind w:left="6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left="213"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left="213"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9"/>
        <w:rPr>
          <w:rFonts w:ascii="宋体" w:hAnsi="宋体" w:cs="宋体" w:eastAsia="宋体" w:hint="default"/>
          <w:sz w:val="10"/>
          <w:szCs w:val="10"/>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867"/>
        <w:gridCol w:w="864"/>
        <w:gridCol w:w="965"/>
        <w:gridCol w:w="869"/>
        <w:gridCol w:w="972"/>
        <w:gridCol w:w="758"/>
        <w:gridCol w:w="708"/>
        <w:gridCol w:w="853"/>
        <w:gridCol w:w="943"/>
        <w:gridCol w:w="1277"/>
        <w:gridCol w:w="775"/>
      </w:tblGrid>
      <w:tr>
        <w:trPr>
          <w:trHeight w:val="1571"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322" w:right="110" w:hanging="212"/>
              <w:jc w:val="left"/>
              <w:rPr>
                <w:rFonts w:ascii="宋体" w:hAnsi="宋体" w:cs="宋体" w:eastAsia="宋体" w:hint="default"/>
                <w:sz w:val="21"/>
                <w:szCs w:val="21"/>
              </w:rPr>
            </w:pPr>
            <w:r>
              <w:rPr>
                <w:rFonts w:ascii="宋体" w:hAnsi="宋体" w:cs="宋体" w:eastAsia="宋体" w:hint="default"/>
                <w:b/>
                <w:bCs/>
                <w:sz w:val="21"/>
                <w:szCs w:val="21"/>
              </w:rPr>
              <w:t>募集年</w:t>
            </w:r>
            <w:r>
              <w:rPr>
                <w:rFonts w:ascii="宋体" w:hAnsi="宋体" w:cs="宋体" w:eastAsia="宋体" w:hint="default"/>
                <w:b/>
                <w:bCs/>
                <w:w w:val="100"/>
                <w:sz w:val="21"/>
                <w:szCs w:val="21"/>
              </w:rPr>
              <w:t> </w:t>
            </w:r>
            <w:r>
              <w:rPr>
                <w:rFonts w:ascii="宋体" w:hAnsi="宋体" w:cs="宋体" w:eastAsia="宋体" w:hint="default"/>
                <w:b/>
                <w:bCs/>
                <w:sz w:val="21"/>
                <w:szCs w:val="21"/>
              </w:rPr>
              <w:t>份</w:t>
            </w:r>
            <w:r>
              <w:rPr>
                <w:rFonts w:ascii="宋体" w:hAnsi="宋体" w:cs="宋体" w:eastAsia="宋体" w:hint="default"/>
                <w:sz w:val="21"/>
                <w:szCs w:val="21"/>
              </w:rPr>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319" w:right="110" w:hanging="212"/>
              <w:jc w:val="left"/>
              <w:rPr>
                <w:rFonts w:ascii="宋体" w:hAnsi="宋体" w:cs="宋体" w:eastAsia="宋体" w:hint="default"/>
                <w:sz w:val="21"/>
                <w:szCs w:val="21"/>
              </w:rPr>
            </w:pPr>
            <w:r>
              <w:rPr>
                <w:rFonts w:ascii="宋体" w:hAnsi="宋体" w:cs="宋体" w:eastAsia="宋体" w:hint="default"/>
                <w:b/>
                <w:bCs/>
                <w:sz w:val="21"/>
                <w:szCs w:val="21"/>
              </w:rPr>
              <w:t>募集方</w:t>
            </w:r>
            <w:r>
              <w:rPr>
                <w:rFonts w:ascii="宋体" w:hAnsi="宋体" w:cs="宋体" w:eastAsia="宋体" w:hint="default"/>
                <w:b/>
                <w:bCs/>
                <w:w w:val="100"/>
                <w:sz w:val="21"/>
                <w:szCs w:val="21"/>
              </w:rPr>
              <w:t> </w:t>
            </w:r>
            <w:r>
              <w:rPr>
                <w:rFonts w:ascii="宋体" w:hAnsi="宋体" w:cs="宋体" w:eastAsia="宋体" w:hint="default"/>
                <w:b/>
                <w:bCs/>
                <w:sz w:val="21"/>
                <w:szCs w:val="21"/>
              </w:rPr>
              <w:t>式</w:t>
            </w:r>
            <w:r>
              <w:rPr>
                <w:rFonts w:ascii="宋体" w:hAnsi="宋体" w:cs="宋体" w:eastAsia="宋体" w:hint="default"/>
                <w:sz w:val="21"/>
                <w:szCs w:val="21"/>
              </w:rPr>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266" w:right="53" w:hanging="212"/>
              <w:jc w:val="left"/>
              <w:rPr>
                <w:rFonts w:ascii="宋体" w:hAnsi="宋体" w:cs="宋体" w:eastAsia="宋体" w:hint="default"/>
                <w:sz w:val="21"/>
                <w:szCs w:val="21"/>
              </w:rPr>
            </w:pPr>
            <w:r>
              <w:rPr>
                <w:rFonts w:ascii="宋体" w:hAnsi="宋体" w:cs="宋体" w:eastAsia="宋体" w:hint="default"/>
                <w:b/>
                <w:bCs/>
                <w:sz w:val="21"/>
                <w:szCs w:val="21"/>
              </w:rPr>
              <w:t>募集资金</w:t>
            </w:r>
            <w:r>
              <w:rPr>
                <w:rFonts w:ascii="宋体" w:hAnsi="宋体" w:cs="宋体" w:eastAsia="宋体" w:hint="default"/>
                <w:b/>
                <w:bCs/>
                <w:w w:val="100"/>
                <w:sz w:val="21"/>
                <w:szCs w:val="21"/>
              </w:rPr>
              <w:t> </w:t>
            </w:r>
            <w:r>
              <w:rPr>
                <w:rFonts w:ascii="宋体" w:hAnsi="宋体" w:cs="宋体" w:eastAsia="宋体" w:hint="default"/>
                <w:b/>
                <w:bCs/>
                <w:sz w:val="21"/>
                <w:szCs w:val="21"/>
              </w:rPr>
              <w:t>总额</w:t>
            </w:r>
            <w:r>
              <w:rPr>
                <w:rFonts w:ascii="宋体" w:hAnsi="宋体" w:cs="宋体" w:eastAsia="宋体" w:hint="default"/>
                <w:sz w:val="21"/>
                <w:szCs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112" w:right="110"/>
              <w:jc w:val="both"/>
              <w:rPr>
                <w:rFonts w:ascii="宋体" w:hAnsi="宋体" w:cs="宋体" w:eastAsia="宋体" w:hint="default"/>
                <w:sz w:val="21"/>
                <w:szCs w:val="21"/>
              </w:rPr>
            </w:pPr>
            <w:r>
              <w:rPr>
                <w:rFonts w:ascii="宋体" w:hAnsi="宋体" w:cs="宋体" w:eastAsia="宋体" w:hint="default"/>
                <w:b/>
                <w:bCs/>
                <w:sz w:val="21"/>
                <w:szCs w:val="21"/>
              </w:rPr>
              <w:t>本期已</w:t>
            </w:r>
            <w:r>
              <w:rPr>
                <w:rFonts w:ascii="宋体" w:hAnsi="宋体" w:cs="宋体" w:eastAsia="宋体" w:hint="default"/>
                <w:b/>
                <w:bCs/>
                <w:w w:val="100"/>
                <w:sz w:val="21"/>
                <w:szCs w:val="21"/>
              </w:rPr>
              <w:t> </w:t>
            </w:r>
            <w:r>
              <w:rPr>
                <w:rFonts w:ascii="宋体" w:hAnsi="宋体" w:cs="宋体" w:eastAsia="宋体" w:hint="default"/>
                <w:b/>
                <w:bCs/>
                <w:sz w:val="21"/>
                <w:szCs w:val="21"/>
              </w:rPr>
              <w:t>使用募</w:t>
            </w:r>
            <w:r>
              <w:rPr>
                <w:rFonts w:ascii="宋体" w:hAnsi="宋体" w:cs="宋体" w:eastAsia="宋体" w:hint="default"/>
                <w:b/>
                <w:bCs/>
                <w:w w:val="100"/>
                <w:sz w:val="21"/>
                <w:szCs w:val="21"/>
              </w:rPr>
              <w:t> </w:t>
            </w:r>
            <w:r>
              <w:rPr>
                <w:rFonts w:ascii="宋体" w:hAnsi="宋体" w:cs="宋体" w:eastAsia="宋体" w:hint="default"/>
                <w:b/>
                <w:bCs/>
                <w:sz w:val="21"/>
                <w:szCs w:val="21"/>
              </w:rPr>
              <w:t>集资金</w:t>
            </w:r>
            <w:r>
              <w:rPr>
                <w:rFonts w:ascii="宋体" w:hAnsi="宋体" w:cs="宋体" w:eastAsia="宋体" w:hint="default"/>
                <w:b/>
                <w:bCs/>
                <w:w w:val="100"/>
                <w:sz w:val="21"/>
                <w:szCs w:val="21"/>
              </w:rPr>
              <w:t> </w:t>
            </w:r>
            <w:r>
              <w:rPr>
                <w:rFonts w:ascii="宋体" w:hAnsi="宋体" w:cs="宋体" w:eastAsia="宋体" w:hint="default"/>
                <w:b/>
                <w:bCs/>
                <w:sz w:val="21"/>
                <w:szCs w:val="21"/>
              </w:rPr>
              <w:t>总额</w:t>
            </w:r>
            <w:r>
              <w:rPr>
                <w:rFonts w:ascii="宋体" w:hAnsi="宋体" w:cs="宋体" w:eastAsia="宋体" w:hint="default"/>
                <w:sz w:val="21"/>
                <w:szCs w:val="21"/>
              </w:rPr>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59" w:right="57"/>
              <w:jc w:val="both"/>
              <w:rPr>
                <w:rFonts w:ascii="宋体" w:hAnsi="宋体" w:cs="宋体" w:eastAsia="宋体" w:hint="default"/>
                <w:sz w:val="21"/>
                <w:szCs w:val="21"/>
              </w:rPr>
            </w:pPr>
            <w:r>
              <w:rPr>
                <w:rFonts w:ascii="宋体" w:hAnsi="宋体" w:cs="宋体" w:eastAsia="宋体" w:hint="default"/>
                <w:b/>
                <w:bCs/>
                <w:sz w:val="21"/>
                <w:szCs w:val="21"/>
              </w:rPr>
              <w:t>已累计使</w:t>
            </w:r>
            <w:r>
              <w:rPr>
                <w:rFonts w:ascii="宋体" w:hAnsi="宋体" w:cs="宋体" w:eastAsia="宋体" w:hint="default"/>
                <w:b/>
                <w:bCs/>
                <w:w w:val="100"/>
                <w:sz w:val="21"/>
                <w:szCs w:val="21"/>
              </w:rPr>
              <w:t> </w:t>
            </w:r>
            <w:r>
              <w:rPr>
                <w:rFonts w:ascii="宋体" w:hAnsi="宋体" w:cs="宋体" w:eastAsia="宋体" w:hint="default"/>
                <w:b/>
                <w:bCs/>
                <w:sz w:val="21"/>
                <w:szCs w:val="21"/>
              </w:rPr>
              <w:t>用募集资</w:t>
            </w:r>
            <w:r>
              <w:rPr>
                <w:rFonts w:ascii="宋体" w:hAnsi="宋体" w:cs="宋体" w:eastAsia="宋体" w:hint="default"/>
                <w:b/>
                <w:bCs/>
                <w:w w:val="100"/>
                <w:sz w:val="21"/>
                <w:szCs w:val="21"/>
              </w:rPr>
              <w:t> </w:t>
            </w:r>
            <w:r>
              <w:rPr>
                <w:rFonts w:ascii="宋体" w:hAnsi="宋体" w:cs="宋体" w:eastAsia="宋体" w:hint="default"/>
                <w:b/>
                <w:bCs/>
                <w:sz w:val="21"/>
                <w:szCs w:val="21"/>
              </w:rPr>
              <w:t>金总额</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5" w:right="59"/>
              <w:jc w:val="both"/>
              <w:rPr>
                <w:rFonts w:ascii="宋体" w:hAnsi="宋体" w:cs="宋体" w:eastAsia="宋体" w:hint="default"/>
                <w:sz w:val="21"/>
                <w:szCs w:val="21"/>
              </w:rPr>
            </w:pPr>
            <w:r>
              <w:rPr>
                <w:rFonts w:ascii="宋体" w:hAnsi="宋体" w:cs="宋体" w:eastAsia="宋体" w:hint="default"/>
                <w:b/>
                <w:bCs/>
                <w:sz w:val="21"/>
                <w:szCs w:val="21"/>
              </w:rPr>
              <w:t>报告期</w:t>
            </w:r>
            <w:r>
              <w:rPr>
                <w:rFonts w:ascii="宋体" w:hAnsi="宋体" w:cs="宋体" w:eastAsia="宋体" w:hint="default"/>
                <w:b/>
                <w:bCs/>
                <w:w w:val="100"/>
                <w:sz w:val="21"/>
                <w:szCs w:val="21"/>
              </w:rPr>
              <w:t> </w:t>
            </w:r>
            <w:r>
              <w:rPr>
                <w:rFonts w:ascii="宋体" w:hAnsi="宋体" w:cs="宋体" w:eastAsia="宋体" w:hint="default"/>
                <w:b/>
                <w:bCs/>
                <w:sz w:val="21"/>
                <w:szCs w:val="21"/>
              </w:rPr>
              <w:t>内变更</w:t>
            </w:r>
            <w:r>
              <w:rPr>
                <w:rFonts w:ascii="宋体" w:hAnsi="宋体" w:cs="宋体" w:eastAsia="宋体" w:hint="default"/>
                <w:b/>
                <w:bCs/>
                <w:w w:val="100"/>
                <w:sz w:val="21"/>
                <w:szCs w:val="21"/>
              </w:rPr>
              <w:t> </w:t>
            </w:r>
            <w:r>
              <w:rPr>
                <w:rFonts w:ascii="宋体" w:hAnsi="宋体" w:cs="宋体" w:eastAsia="宋体" w:hint="default"/>
                <w:b/>
                <w:bCs/>
                <w:sz w:val="21"/>
                <w:szCs w:val="21"/>
              </w:rPr>
              <w:t>用途的</w:t>
            </w:r>
            <w:r>
              <w:rPr>
                <w:rFonts w:ascii="宋体" w:hAnsi="宋体" w:cs="宋体" w:eastAsia="宋体" w:hint="default"/>
                <w:b/>
                <w:bCs/>
                <w:w w:val="100"/>
                <w:sz w:val="21"/>
                <w:szCs w:val="21"/>
              </w:rPr>
              <w:t> </w:t>
            </w:r>
            <w:r>
              <w:rPr>
                <w:rFonts w:ascii="宋体" w:hAnsi="宋体" w:cs="宋体" w:eastAsia="宋体" w:hint="default"/>
                <w:b/>
                <w:bCs/>
                <w:sz w:val="21"/>
                <w:szCs w:val="21"/>
              </w:rPr>
              <w:t>募集资</w:t>
            </w:r>
            <w:r>
              <w:rPr>
                <w:rFonts w:ascii="宋体" w:hAnsi="宋体" w:cs="宋体" w:eastAsia="宋体" w:hint="default"/>
                <w:b/>
                <w:bCs/>
                <w:w w:val="100"/>
                <w:sz w:val="21"/>
                <w:szCs w:val="21"/>
              </w:rPr>
              <w:t> </w:t>
            </w:r>
            <w:r>
              <w:rPr>
                <w:rFonts w:ascii="宋体" w:hAnsi="宋体" w:cs="宋体" w:eastAsia="宋体" w:hint="default"/>
                <w:b/>
                <w:bCs/>
                <w:sz w:val="21"/>
                <w:szCs w:val="21"/>
              </w:rPr>
              <w:t>金总额</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1" w:right="31"/>
              <w:jc w:val="center"/>
              <w:rPr>
                <w:rFonts w:ascii="宋体" w:hAnsi="宋体" w:cs="宋体" w:eastAsia="宋体" w:hint="default"/>
                <w:sz w:val="21"/>
                <w:szCs w:val="21"/>
              </w:rPr>
            </w:pPr>
            <w:r>
              <w:rPr>
                <w:rFonts w:ascii="宋体" w:hAnsi="宋体" w:cs="宋体" w:eastAsia="宋体" w:hint="default"/>
                <w:b/>
                <w:bCs/>
                <w:sz w:val="21"/>
                <w:szCs w:val="21"/>
              </w:rPr>
              <w:t>累计变</w:t>
            </w:r>
            <w:r>
              <w:rPr>
                <w:rFonts w:ascii="宋体" w:hAnsi="宋体" w:cs="宋体" w:eastAsia="宋体" w:hint="default"/>
                <w:b/>
                <w:bCs/>
                <w:w w:val="100"/>
                <w:sz w:val="21"/>
                <w:szCs w:val="21"/>
              </w:rPr>
              <w:t> </w:t>
            </w:r>
            <w:r>
              <w:rPr>
                <w:rFonts w:ascii="宋体" w:hAnsi="宋体" w:cs="宋体" w:eastAsia="宋体" w:hint="default"/>
                <w:b/>
                <w:bCs/>
                <w:sz w:val="21"/>
                <w:szCs w:val="21"/>
              </w:rPr>
              <w:t>更用途</w:t>
            </w:r>
            <w:r>
              <w:rPr>
                <w:rFonts w:ascii="宋体" w:hAnsi="宋体" w:cs="宋体" w:eastAsia="宋体" w:hint="default"/>
                <w:b/>
                <w:bCs/>
                <w:w w:val="100"/>
                <w:sz w:val="21"/>
                <w:szCs w:val="21"/>
              </w:rPr>
              <w:t> </w:t>
            </w:r>
            <w:r>
              <w:rPr>
                <w:rFonts w:ascii="宋体" w:hAnsi="宋体" w:cs="宋体" w:eastAsia="宋体" w:hint="default"/>
                <w:b/>
                <w:bCs/>
                <w:sz w:val="21"/>
                <w:szCs w:val="21"/>
              </w:rPr>
              <w:t>的募集</w:t>
            </w:r>
            <w:r>
              <w:rPr>
                <w:rFonts w:ascii="宋体" w:hAnsi="宋体" w:cs="宋体" w:eastAsia="宋体" w:hint="default"/>
                <w:b/>
                <w:bCs/>
                <w:w w:val="100"/>
                <w:sz w:val="21"/>
                <w:szCs w:val="21"/>
              </w:rPr>
              <w:t> </w:t>
            </w:r>
            <w:r>
              <w:rPr>
                <w:rFonts w:ascii="宋体" w:hAnsi="宋体" w:cs="宋体" w:eastAsia="宋体" w:hint="default"/>
                <w:b/>
                <w:bCs/>
                <w:sz w:val="21"/>
                <w:szCs w:val="21"/>
              </w:rPr>
              <w:t>资金总</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3" w:right="104"/>
              <w:jc w:val="both"/>
              <w:rPr>
                <w:rFonts w:ascii="宋体" w:hAnsi="宋体" w:cs="宋体" w:eastAsia="宋体" w:hint="default"/>
                <w:sz w:val="21"/>
                <w:szCs w:val="21"/>
              </w:rPr>
            </w:pPr>
            <w:r>
              <w:rPr>
                <w:rFonts w:ascii="宋体" w:hAnsi="宋体" w:cs="宋体" w:eastAsia="宋体" w:hint="default"/>
                <w:b/>
                <w:bCs/>
                <w:sz w:val="21"/>
                <w:szCs w:val="21"/>
              </w:rPr>
              <w:t>累计变</w:t>
            </w:r>
            <w:r>
              <w:rPr>
                <w:rFonts w:ascii="宋体" w:hAnsi="宋体" w:cs="宋体" w:eastAsia="宋体" w:hint="default"/>
                <w:b/>
                <w:bCs/>
                <w:w w:val="100"/>
                <w:sz w:val="21"/>
                <w:szCs w:val="21"/>
              </w:rPr>
              <w:t> </w:t>
            </w:r>
            <w:r>
              <w:rPr>
                <w:rFonts w:ascii="宋体" w:hAnsi="宋体" w:cs="宋体" w:eastAsia="宋体" w:hint="default"/>
                <w:b/>
                <w:bCs/>
                <w:sz w:val="21"/>
                <w:szCs w:val="21"/>
              </w:rPr>
              <w:t>更用途</w:t>
            </w:r>
            <w:r>
              <w:rPr>
                <w:rFonts w:ascii="宋体" w:hAnsi="宋体" w:cs="宋体" w:eastAsia="宋体" w:hint="default"/>
                <w:b/>
                <w:bCs/>
                <w:w w:val="100"/>
                <w:sz w:val="21"/>
                <w:szCs w:val="21"/>
              </w:rPr>
              <w:t> </w:t>
            </w:r>
            <w:r>
              <w:rPr>
                <w:rFonts w:ascii="宋体" w:hAnsi="宋体" w:cs="宋体" w:eastAsia="宋体" w:hint="default"/>
                <w:b/>
                <w:bCs/>
                <w:sz w:val="21"/>
                <w:szCs w:val="21"/>
              </w:rPr>
              <w:t>的募集</w:t>
            </w:r>
            <w:r>
              <w:rPr>
                <w:rFonts w:ascii="宋体" w:hAnsi="宋体" w:cs="宋体" w:eastAsia="宋体" w:hint="default"/>
                <w:b/>
                <w:bCs/>
                <w:w w:val="100"/>
                <w:sz w:val="21"/>
                <w:szCs w:val="21"/>
              </w:rPr>
              <w:t> </w:t>
            </w:r>
            <w:r>
              <w:rPr>
                <w:rFonts w:ascii="宋体" w:hAnsi="宋体" w:cs="宋体" w:eastAsia="宋体" w:hint="default"/>
                <w:b/>
                <w:bCs/>
                <w:sz w:val="21"/>
                <w:szCs w:val="21"/>
              </w:rPr>
              <w:t>资金总</w:t>
            </w:r>
            <w:r>
              <w:rPr>
                <w:rFonts w:ascii="宋体" w:hAnsi="宋体" w:cs="宋体" w:eastAsia="宋体" w:hint="default"/>
                <w:b/>
                <w:bCs/>
                <w:w w:val="100"/>
                <w:sz w:val="21"/>
                <w:szCs w:val="21"/>
              </w:rPr>
              <w:t> </w:t>
            </w:r>
            <w:r>
              <w:rPr>
                <w:rFonts w:ascii="宋体" w:hAnsi="宋体" w:cs="宋体" w:eastAsia="宋体" w:hint="default"/>
                <w:b/>
                <w:bCs/>
                <w:sz w:val="21"/>
                <w:szCs w:val="21"/>
              </w:rPr>
              <w:t>额比例</w:t>
            </w:r>
            <w:r>
              <w:rPr>
                <w:rFonts w:ascii="宋体" w:hAnsi="宋体" w:cs="宋体" w:eastAsia="宋体" w:hint="default"/>
                <w:sz w:val="21"/>
                <w:szCs w:val="21"/>
              </w:rPr>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45" w:right="41"/>
              <w:jc w:val="center"/>
              <w:rPr>
                <w:rFonts w:ascii="宋体" w:hAnsi="宋体" w:cs="宋体" w:eastAsia="宋体" w:hint="default"/>
                <w:sz w:val="21"/>
                <w:szCs w:val="21"/>
              </w:rPr>
            </w:pPr>
            <w:r>
              <w:rPr>
                <w:rFonts w:ascii="宋体" w:hAnsi="宋体" w:cs="宋体" w:eastAsia="宋体" w:hint="default"/>
                <w:b/>
                <w:bCs/>
                <w:sz w:val="21"/>
                <w:szCs w:val="21"/>
              </w:rPr>
              <w:t>尚未使用</w:t>
            </w:r>
            <w:r>
              <w:rPr>
                <w:rFonts w:ascii="宋体" w:hAnsi="宋体" w:cs="宋体" w:eastAsia="宋体" w:hint="default"/>
                <w:b/>
                <w:bCs/>
                <w:w w:val="100"/>
                <w:sz w:val="21"/>
                <w:szCs w:val="21"/>
              </w:rPr>
              <w:t> </w:t>
            </w:r>
            <w:r>
              <w:rPr>
                <w:rFonts w:ascii="宋体" w:hAnsi="宋体" w:cs="宋体" w:eastAsia="宋体" w:hint="default"/>
                <w:b/>
                <w:bCs/>
                <w:sz w:val="21"/>
                <w:szCs w:val="21"/>
              </w:rPr>
              <w:t>募集资金</w:t>
            </w:r>
            <w:r>
              <w:rPr>
                <w:rFonts w:ascii="宋体" w:hAnsi="宋体" w:cs="宋体" w:eastAsia="宋体" w:hint="default"/>
                <w:b/>
                <w:bCs/>
                <w:w w:val="100"/>
                <w:sz w:val="21"/>
                <w:szCs w:val="21"/>
              </w:rPr>
              <w:t> </w:t>
            </w:r>
            <w:r>
              <w:rPr>
                <w:rFonts w:ascii="宋体" w:hAnsi="宋体" w:cs="宋体" w:eastAsia="宋体" w:hint="default"/>
                <w:b/>
                <w:bCs/>
                <w:sz w:val="21"/>
                <w:szCs w:val="21"/>
              </w:rPr>
              <w:t>总额</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05" w:right="105"/>
              <w:jc w:val="center"/>
              <w:rPr>
                <w:rFonts w:ascii="宋体" w:hAnsi="宋体" w:cs="宋体" w:eastAsia="宋体" w:hint="default"/>
                <w:sz w:val="21"/>
                <w:szCs w:val="21"/>
              </w:rPr>
            </w:pPr>
            <w:r>
              <w:rPr>
                <w:rFonts w:ascii="宋体" w:hAnsi="宋体" w:cs="宋体" w:eastAsia="宋体" w:hint="default"/>
                <w:b/>
                <w:bCs/>
                <w:sz w:val="21"/>
                <w:szCs w:val="21"/>
              </w:rPr>
              <w:t>尚未使用募</w:t>
            </w:r>
            <w:r>
              <w:rPr>
                <w:rFonts w:ascii="宋体" w:hAnsi="宋体" w:cs="宋体" w:eastAsia="宋体" w:hint="default"/>
                <w:b/>
                <w:bCs/>
                <w:w w:val="100"/>
                <w:sz w:val="21"/>
                <w:szCs w:val="21"/>
              </w:rPr>
              <w:t> </w:t>
            </w:r>
            <w:r>
              <w:rPr>
                <w:rFonts w:ascii="宋体" w:hAnsi="宋体" w:cs="宋体" w:eastAsia="宋体" w:hint="default"/>
                <w:b/>
                <w:bCs/>
                <w:sz w:val="21"/>
                <w:szCs w:val="21"/>
              </w:rPr>
              <w:t>集资金用途</w:t>
            </w:r>
            <w:r>
              <w:rPr>
                <w:rFonts w:ascii="宋体" w:hAnsi="宋体" w:cs="宋体" w:eastAsia="宋体" w:hint="default"/>
                <w:b/>
                <w:bCs/>
                <w:w w:val="100"/>
                <w:sz w:val="21"/>
                <w:szCs w:val="21"/>
              </w:rPr>
              <w:t> </w:t>
            </w:r>
            <w:r>
              <w:rPr>
                <w:rFonts w:ascii="宋体" w:hAnsi="宋体" w:cs="宋体" w:eastAsia="宋体" w:hint="default"/>
                <w:b/>
                <w:bCs/>
                <w:sz w:val="21"/>
                <w:szCs w:val="21"/>
              </w:rPr>
              <w:t>及去向</w:t>
            </w:r>
            <w:r>
              <w:rPr>
                <w:rFonts w:ascii="宋体" w:hAnsi="宋体" w:cs="宋体" w:eastAsia="宋体" w:hint="default"/>
                <w:sz w:val="21"/>
                <w:szCs w:val="21"/>
              </w:rPr>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64" w:right="65"/>
              <w:jc w:val="both"/>
              <w:rPr>
                <w:rFonts w:ascii="宋体" w:hAnsi="宋体" w:cs="宋体" w:eastAsia="宋体" w:hint="default"/>
                <w:sz w:val="21"/>
                <w:szCs w:val="21"/>
              </w:rPr>
            </w:pPr>
            <w:r>
              <w:rPr>
                <w:rFonts w:ascii="宋体" w:hAnsi="宋体" w:cs="宋体" w:eastAsia="宋体" w:hint="default"/>
                <w:b/>
                <w:bCs/>
                <w:sz w:val="21"/>
                <w:szCs w:val="21"/>
              </w:rPr>
              <w:t>闲置两</w:t>
            </w:r>
            <w:r>
              <w:rPr>
                <w:rFonts w:ascii="宋体" w:hAnsi="宋体" w:cs="宋体" w:eastAsia="宋体" w:hint="default"/>
                <w:b/>
                <w:bCs/>
                <w:w w:val="100"/>
                <w:sz w:val="21"/>
                <w:szCs w:val="21"/>
              </w:rPr>
              <w:t> </w:t>
            </w:r>
            <w:r>
              <w:rPr>
                <w:rFonts w:ascii="宋体" w:hAnsi="宋体" w:cs="宋体" w:eastAsia="宋体" w:hint="default"/>
                <w:b/>
                <w:bCs/>
                <w:sz w:val="21"/>
                <w:szCs w:val="21"/>
              </w:rPr>
              <w:t>年以上</w:t>
            </w:r>
            <w:r>
              <w:rPr>
                <w:rFonts w:ascii="宋体" w:hAnsi="宋体" w:cs="宋体" w:eastAsia="宋体" w:hint="default"/>
                <w:b/>
                <w:bCs/>
                <w:w w:val="100"/>
                <w:sz w:val="21"/>
                <w:szCs w:val="21"/>
              </w:rPr>
              <w:t> </w:t>
            </w:r>
            <w:r>
              <w:rPr>
                <w:rFonts w:ascii="宋体" w:hAnsi="宋体" w:cs="宋体" w:eastAsia="宋体" w:hint="default"/>
                <w:b/>
                <w:bCs/>
                <w:sz w:val="21"/>
                <w:szCs w:val="21"/>
              </w:rPr>
              <w:t>募集资</w:t>
            </w:r>
            <w:r>
              <w:rPr>
                <w:rFonts w:ascii="宋体" w:hAnsi="宋体" w:cs="宋体" w:eastAsia="宋体" w:hint="default"/>
                <w:b/>
                <w:bCs/>
                <w:w w:val="100"/>
                <w:sz w:val="21"/>
                <w:szCs w:val="21"/>
              </w:rPr>
              <w:t> </w:t>
            </w:r>
            <w:r>
              <w:rPr>
                <w:rFonts w:ascii="宋体" w:hAnsi="宋体" w:cs="宋体" w:eastAsia="宋体" w:hint="default"/>
                <w:b/>
                <w:bCs/>
                <w:sz w:val="21"/>
                <w:szCs w:val="21"/>
              </w:rPr>
              <w:t>金金额</w:t>
            </w:r>
            <w:r>
              <w:rPr>
                <w:rFonts w:ascii="宋体" w:hAnsi="宋体" w:cs="宋体" w:eastAsia="宋体" w:hint="default"/>
                <w:sz w:val="21"/>
                <w:szCs w:val="21"/>
              </w:rPr>
            </w:r>
          </w:p>
        </w:tc>
      </w:tr>
      <w:tr>
        <w:trPr>
          <w:trHeight w:val="157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19" w:right="108" w:hanging="209"/>
              <w:jc w:val="left"/>
              <w:rPr>
                <w:rFonts w:ascii="宋体" w:hAnsi="宋体" w:cs="宋体" w:eastAsia="宋体" w:hint="default"/>
                <w:sz w:val="21"/>
                <w:szCs w:val="21"/>
              </w:rPr>
            </w:pPr>
            <w:r>
              <w:rPr>
                <w:rFonts w:ascii="宋体" w:hAnsi="宋体" w:cs="宋体" w:eastAsia="宋体" w:hint="default"/>
                <w:sz w:val="21"/>
                <w:szCs w:val="21"/>
              </w:rPr>
              <w:t>定向增</w:t>
            </w:r>
            <w:r>
              <w:rPr>
                <w:rFonts w:ascii="宋体" w:hAnsi="宋体" w:cs="宋体" w:eastAsia="宋体" w:hint="default"/>
                <w:spacing w:val="-102"/>
                <w:sz w:val="21"/>
                <w:szCs w:val="21"/>
              </w:rPr>
              <w:t> </w:t>
            </w:r>
            <w:r>
              <w:rPr>
                <w:rFonts w:ascii="宋体" w:hAnsi="宋体" w:cs="宋体" w:eastAsia="宋体" w:hint="default"/>
                <w:sz w:val="21"/>
                <w:szCs w:val="21"/>
              </w:rPr>
              <w:t>发</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45,764.19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 w:right="0"/>
              <w:jc w:val="center"/>
              <w:rPr>
                <w:rFonts w:ascii="Times New Roman" w:hAnsi="Times New Roman" w:cs="Times New Roman" w:eastAsia="Times New Roman" w:hint="default"/>
                <w:sz w:val="21"/>
                <w:szCs w:val="21"/>
              </w:rPr>
            </w:pPr>
            <w:r>
              <w:rPr>
                <w:rFonts w:ascii="Times New Roman"/>
                <w:sz w:val="21"/>
              </w:rPr>
              <w:t>7,683.15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 w:right="0"/>
              <w:jc w:val="center"/>
              <w:rPr>
                <w:rFonts w:ascii="Times New Roman" w:hAnsi="Times New Roman" w:cs="Times New Roman" w:eastAsia="Times New Roman" w:hint="default"/>
                <w:sz w:val="21"/>
                <w:szCs w:val="21"/>
              </w:rPr>
            </w:pPr>
            <w:r>
              <w:rPr>
                <w:rFonts w:ascii="Times New Roman"/>
                <w:sz w:val="21"/>
              </w:rPr>
              <w:t>34,969.11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
              <w:jc w:val="center"/>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
              <w:jc w:val="center"/>
              <w:rPr>
                <w:rFonts w:ascii="Times New Roman" w:hAnsi="Times New Roman" w:cs="Times New Roman" w:eastAsia="Times New Roman" w:hint="default"/>
                <w:sz w:val="21"/>
                <w:szCs w:val="21"/>
              </w:rPr>
            </w:pPr>
            <w:r>
              <w:rPr>
                <w:rFonts w:ascii="Times New Roman"/>
                <w:w w:val="100"/>
                <w:sz w:val="21"/>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 w:right="0"/>
              <w:jc w:val="center"/>
              <w:rPr>
                <w:rFonts w:ascii="Times New Roman" w:hAnsi="Times New Roman" w:cs="Times New Roman" w:eastAsia="Times New Roman" w:hint="default"/>
                <w:sz w:val="21"/>
                <w:szCs w:val="21"/>
              </w:rPr>
            </w:pPr>
            <w:r>
              <w:rPr>
                <w:rFonts w:ascii="Times New Roman"/>
                <w:sz w:val="21"/>
              </w:rPr>
              <w:t>11,422.78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6"/>
              <w:jc w:val="both"/>
              <w:rPr>
                <w:rFonts w:ascii="宋体" w:hAnsi="宋体" w:cs="宋体" w:eastAsia="宋体" w:hint="default"/>
                <w:sz w:val="21"/>
                <w:szCs w:val="21"/>
              </w:rPr>
            </w:pPr>
            <w:r>
              <w:rPr>
                <w:rFonts w:ascii="宋体" w:hAnsi="宋体" w:cs="宋体" w:eastAsia="宋体" w:hint="default"/>
                <w:sz w:val="21"/>
                <w:szCs w:val="21"/>
              </w:rPr>
              <w:t>存放于公司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募集资金专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用账户内以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及部分进行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现金管理</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37"/>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45,764.19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7,683.15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34,969.11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0</w:t>
            </w:r>
          </w:p>
        </w:tc>
        <w:tc>
          <w:tcPr>
            <w:tcW w:w="94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4"/>
              <w:ind w:left="14" w:right="0"/>
              <w:jc w:val="center"/>
              <w:rPr>
                <w:rFonts w:ascii="Times New Roman" w:hAnsi="Times New Roman" w:cs="Times New Roman" w:eastAsia="Times New Roman" w:hint="default"/>
                <w:sz w:val="21"/>
                <w:szCs w:val="21"/>
              </w:rPr>
            </w:pPr>
            <w:r>
              <w:rPr>
                <w:rFonts w:ascii="Times New Roman"/>
                <w:sz w:val="21"/>
              </w:rPr>
              <w:t>11,422.78</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337"/>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985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1570" w:hRule="exact"/>
        </w:trPr>
        <w:tc>
          <w:tcPr>
            <w:tcW w:w="985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4" w:right="17" w:firstLine="420"/>
              <w:jc w:val="left"/>
              <w:rPr>
                <w:rFonts w:ascii="宋体" w:hAnsi="宋体" w:cs="宋体" w:eastAsia="宋体" w:hint="default"/>
                <w:sz w:val="21"/>
                <w:szCs w:val="21"/>
              </w:rPr>
            </w:pPr>
            <w:r>
              <w:rPr>
                <w:rFonts w:ascii="宋体" w:hAnsi="宋体" w:cs="宋体" w:eastAsia="宋体" w:hint="default"/>
                <w:sz w:val="21"/>
                <w:szCs w:val="21"/>
              </w:rPr>
              <w:t>公司通过发行股份及支付现金购买资产并募集配套资金方式募集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45,764.19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万元，截至期末，投入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SuperMap</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GIS9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基础软件研发与产业化项目</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3,789.57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万元，投入不动产登记系统产品研发及产业化项目</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7,385.92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万元，投入智慧城市空间共享框架研发及产业化项目</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7,234.69</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万元，其中，从募集资金专户转出的</w:t>
            </w:r>
          </w:p>
          <w:p>
            <w:pPr>
              <w:pStyle w:val="TableParagraph"/>
              <w:spacing w:line="240" w:lineRule="auto" w:before="5"/>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预先以自筹资金投入募集资金项目的投入 </w:t>
            </w:r>
            <w:r>
              <w:rPr>
                <w:rFonts w:ascii="Times New Roman" w:hAnsi="Times New Roman" w:cs="Times New Roman" w:eastAsia="Times New Roman" w:hint="default"/>
                <w:sz w:val="21"/>
                <w:szCs w:val="21"/>
              </w:rPr>
              <w:t>5,324.05 </w:t>
            </w:r>
            <w:r>
              <w:rPr>
                <w:rFonts w:ascii="宋体" w:hAnsi="宋体" w:cs="宋体" w:eastAsia="宋体" w:hint="default"/>
                <w:spacing w:val="-12"/>
                <w:sz w:val="21"/>
                <w:szCs w:val="21"/>
              </w:rPr>
              <w:t>万元，支付交易对方（</w:t>
            </w:r>
            <w:r>
              <w:rPr>
                <w:rFonts w:ascii="Times New Roman" w:hAnsi="Times New Roman" w:cs="Times New Roman" w:eastAsia="Times New Roman" w:hint="default"/>
                <w:spacing w:val="-12"/>
                <w:sz w:val="21"/>
                <w:szCs w:val="21"/>
              </w:rPr>
              <w:t>9 </w:t>
            </w:r>
            <w:r>
              <w:rPr>
                <w:rFonts w:ascii="宋体" w:hAnsi="宋体" w:cs="宋体" w:eastAsia="宋体" w:hint="default"/>
                <w:spacing w:val="-8"/>
                <w:sz w:val="21"/>
                <w:szCs w:val="21"/>
              </w:rPr>
              <w:t>名自然人）现金对价</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11,105.64.00</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万元，以及补充流动资金 </w:t>
            </w:r>
            <w:r>
              <w:rPr>
                <w:rFonts w:ascii="Times New Roman" w:hAnsi="Times New Roman" w:cs="Times New Roman" w:eastAsia="Times New Roman" w:hint="default"/>
                <w:sz w:val="21"/>
                <w:szCs w:val="21"/>
              </w:rPr>
              <w:t>5,453.29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bl>
    <w:p>
      <w:pPr>
        <w:spacing w:before="64"/>
        <w:ind w:left="633" w:right="0" w:firstLine="0"/>
        <w:jc w:val="left"/>
        <w:rPr>
          <w:rFonts w:ascii="宋体" w:hAnsi="宋体" w:cs="宋体" w:eastAsia="宋体" w:hint="default"/>
          <w:sz w:val="21"/>
          <w:szCs w:val="21"/>
        </w:rPr>
      </w:pPr>
      <w:r>
        <w:rPr>
          <w:rFonts w:ascii="宋体" w:hAnsi="宋体" w:cs="宋体" w:eastAsia="宋体" w:hint="default"/>
          <w:sz w:val="21"/>
          <w:szCs w:val="21"/>
        </w:rPr>
        <w:t>注：尚未使用的募集资金总额含未使用募集资金的利息。</w:t>
      </w:r>
    </w:p>
    <w:p>
      <w:pPr>
        <w:spacing w:after="0"/>
        <w:jc w:val="left"/>
        <w:rPr>
          <w:rFonts w:ascii="宋体" w:hAnsi="宋体" w:cs="宋体" w:eastAsia="宋体" w:hint="default"/>
          <w:sz w:val="21"/>
          <w:szCs w:val="21"/>
        </w:rPr>
        <w:sectPr>
          <w:pgSz w:w="11910" w:h="16840"/>
          <w:pgMar w:header="877" w:footer="980" w:top="1100" w:bottom="1160" w:left="920" w:right="900"/>
        </w:sectPr>
      </w:pPr>
    </w:p>
    <w:p>
      <w:pPr>
        <w:spacing w:line="240" w:lineRule="auto" w:before="7"/>
        <w:rPr>
          <w:rFonts w:ascii="宋体" w:hAnsi="宋体" w:cs="宋体" w:eastAsia="宋体" w:hint="default"/>
          <w:sz w:val="25"/>
          <w:szCs w:val="25"/>
        </w:rPr>
      </w:pPr>
      <w:r>
        <w:rPr/>
        <w:pict>
          <v:shape style="position:absolute;margin-left:138.630722pt;margin-top:648.339966pt;width:396.35pt;height:15.6pt;mso-position-horizontal-relative:page;mso-position-vertical-relative:page;z-index:-998992"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145.460007pt;margin-top:648.339966pt;width:389.5pt;height:15.6pt;mso-position-horizontal-relative:page;mso-position-vertical-relative:page;z-index:-998968" coordorigin="2909,12967" coordsize="7790,312">
            <v:shape style="position:absolute;left:2909;top:12967;width:7790;height:312" coordorigin="2909,12967" coordsize="7790,312" path="m2909,13279l10699,13279,10699,12967,2909,12967,2909,13279xe" filled="true" fillcolor="#ffffff" stroked="false">
              <v:path arrowok="t"/>
              <v:fill type="solid"/>
            </v:shape>
            <w10:wrap type="none"/>
          </v:group>
        </w:pict>
      </w:r>
    </w:p>
    <w:p>
      <w:pPr>
        <w:pStyle w:val="Heading2"/>
        <w:spacing w:line="240" w:lineRule="auto" w:before="26"/>
        <w:ind w:right="29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7"/>
        <w:rPr>
          <w:rFonts w:ascii="宋体" w:hAnsi="宋体" w:cs="宋体" w:eastAsia="宋体" w:hint="default"/>
          <w:sz w:val="9"/>
          <w:szCs w:val="9"/>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1"/>
        <w:gridCol w:w="780"/>
        <w:gridCol w:w="780"/>
        <w:gridCol w:w="780"/>
      </w:tblGrid>
      <w:tr>
        <w:trPr>
          <w:trHeight w:val="1570"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52" w:right="38" w:hanging="315"/>
              <w:jc w:val="left"/>
              <w:rPr>
                <w:rFonts w:ascii="宋体" w:hAnsi="宋体" w:cs="宋体" w:eastAsia="宋体" w:hint="default"/>
                <w:sz w:val="21"/>
                <w:szCs w:val="21"/>
              </w:rPr>
            </w:pPr>
            <w:r>
              <w:rPr>
                <w:rFonts w:ascii="宋体" w:hAnsi="宋体" w:cs="宋体" w:eastAsia="宋体" w:hint="default"/>
                <w:sz w:val="21"/>
                <w:szCs w:val="21"/>
              </w:rPr>
              <w:t>承诺投资项目和超</w:t>
            </w:r>
            <w:r>
              <w:rPr>
                <w:rFonts w:ascii="宋体" w:hAnsi="宋体" w:cs="宋体" w:eastAsia="宋体" w:hint="default"/>
                <w:w w:val="100"/>
                <w:sz w:val="21"/>
                <w:szCs w:val="21"/>
              </w:rPr>
              <w:t> </w:t>
            </w:r>
            <w:r>
              <w:rPr>
                <w:rFonts w:ascii="宋体" w:hAnsi="宋体" w:cs="宋体" w:eastAsia="宋体" w:hint="default"/>
                <w:sz w:val="21"/>
                <w:szCs w:val="21"/>
              </w:rPr>
              <w:t>募资金投向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143"/>
              <w:ind w:left="33" w:right="28" w:firstLine="33"/>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是否已</w:t>
            </w:r>
            <w:r>
              <w:rPr>
                <w:rFonts w:ascii="宋体" w:hAnsi="宋体" w:cs="宋体" w:eastAsia="宋体" w:hint="default"/>
                <w:w w:val="100"/>
                <w:sz w:val="21"/>
                <w:szCs w:val="21"/>
              </w:rPr>
              <w:t> </w:t>
            </w:r>
            <w:r>
              <w:rPr>
                <w:rFonts w:ascii="宋体" w:hAnsi="宋体" w:cs="宋体" w:eastAsia="宋体" w:hint="default"/>
                <w:sz w:val="21"/>
                <w:szCs w:val="21"/>
              </w:rPr>
              <w:t>变更项</w:t>
            </w:r>
            <w:r>
              <w:rPr>
                <w:rFonts w:ascii="宋体" w:hAnsi="宋体" w:cs="宋体" w:eastAsia="宋体" w:hint="default"/>
                <w:spacing w:val="-102"/>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w:t>
            </w:r>
            <w:r>
              <w:rPr>
                <w:rFonts w:ascii="宋体" w:hAnsi="宋体" w:cs="宋体" w:eastAsia="宋体" w:hint="default"/>
                <w:sz w:val="21"/>
                <w:szCs w:val="21"/>
              </w:rPr>
              <w:t>含部</w:t>
            </w:r>
            <w:r>
              <w:rPr>
                <w:rFonts w:ascii="宋体" w:hAnsi="宋体" w:cs="宋体" w:eastAsia="宋体" w:hint="default"/>
                <w:spacing w:val="-102"/>
                <w:sz w:val="21"/>
                <w:szCs w:val="21"/>
              </w:rPr>
              <w:t> </w:t>
            </w:r>
            <w:r>
              <w:rPr>
                <w:rFonts w:ascii="宋体" w:hAnsi="宋体" w:cs="宋体" w:eastAsia="宋体" w:hint="default"/>
                <w:sz w:val="21"/>
                <w:szCs w:val="21"/>
              </w:rPr>
              <w:t>分变更</w:t>
            </w:r>
            <w:r>
              <w:rPr>
                <w:rFonts w:ascii="Times New Roman" w:hAnsi="Times New Roman" w:cs="Times New Roman" w:eastAsia="Times New Roman"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69" w:right="65"/>
              <w:jc w:val="center"/>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w w:val="100"/>
                <w:sz w:val="21"/>
                <w:szCs w:val="21"/>
              </w:rPr>
              <w:t> </w:t>
            </w:r>
            <w:r>
              <w:rPr>
                <w:rFonts w:ascii="宋体" w:hAnsi="宋体" w:cs="宋体" w:eastAsia="宋体" w:hint="default"/>
                <w:sz w:val="21"/>
                <w:szCs w:val="21"/>
              </w:rPr>
              <w:t>金承诺</w:t>
            </w:r>
            <w:r>
              <w:rPr>
                <w:rFonts w:ascii="宋体" w:hAnsi="宋体" w:cs="宋体" w:eastAsia="宋体" w:hint="default"/>
                <w:w w:val="100"/>
                <w:sz w:val="21"/>
                <w:szCs w:val="21"/>
              </w:rPr>
              <w:t> </w:t>
            </w:r>
            <w:r>
              <w:rPr>
                <w:rFonts w:ascii="宋体" w:hAnsi="宋体" w:cs="宋体" w:eastAsia="宋体" w:hint="default"/>
                <w:sz w:val="21"/>
                <w:szCs w:val="21"/>
              </w:rPr>
              <w:t>投资总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9" w:right="65"/>
              <w:jc w:val="both"/>
              <w:rPr>
                <w:rFonts w:ascii="Times New Roman" w:hAnsi="Times New Roman" w:cs="Times New Roman" w:eastAsia="Times New Roman" w:hint="default"/>
                <w:sz w:val="21"/>
                <w:szCs w:val="21"/>
              </w:rPr>
            </w:pPr>
            <w:r>
              <w:rPr>
                <w:rFonts w:ascii="宋体" w:hAnsi="宋体" w:cs="宋体" w:eastAsia="宋体" w:hint="default"/>
                <w:sz w:val="21"/>
                <w:szCs w:val="21"/>
              </w:rPr>
              <w:t>调整后</w:t>
            </w:r>
            <w:r>
              <w:rPr>
                <w:rFonts w:ascii="宋体" w:hAnsi="宋体" w:cs="宋体" w:eastAsia="宋体" w:hint="default"/>
                <w:spacing w:val="-102"/>
                <w:sz w:val="21"/>
                <w:szCs w:val="21"/>
              </w:rPr>
              <w:t> </w:t>
            </w:r>
            <w:r>
              <w:rPr>
                <w:rFonts w:ascii="宋体" w:hAnsi="宋体" w:cs="宋体" w:eastAsia="宋体" w:hint="default"/>
                <w:sz w:val="21"/>
                <w:szCs w:val="21"/>
              </w:rPr>
              <w:t>投资总</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7" w:right="69"/>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期投入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69" w:right="65"/>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w:t>
            </w:r>
            <w:r>
              <w:rPr>
                <w:rFonts w:ascii="宋体" w:hAnsi="宋体" w:cs="宋体" w:eastAsia="宋体" w:hint="default"/>
                <w:spacing w:val="-102"/>
                <w:sz w:val="21"/>
                <w:szCs w:val="21"/>
              </w:rPr>
              <w:t> </w:t>
            </w:r>
            <w:r>
              <w:rPr>
                <w:rFonts w:ascii="宋体" w:hAnsi="宋体" w:cs="宋体" w:eastAsia="宋体" w:hint="default"/>
                <w:sz w:val="21"/>
                <w:szCs w:val="21"/>
              </w:rPr>
              <w:t>末累计</w:t>
            </w:r>
            <w:r>
              <w:rPr>
                <w:rFonts w:ascii="宋体" w:hAnsi="宋体" w:cs="宋体" w:eastAsia="宋体" w:hint="default"/>
                <w:spacing w:val="-102"/>
                <w:sz w:val="21"/>
                <w:szCs w:val="21"/>
              </w:rPr>
              <w:t> </w:t>
            </w:r>
            <w:r>
              <w:rPr>
                <w:rFonts w:ascii="宋体" w:hAnsi="宋体" w:cs="宋体" w:eastAsia="宋体" w:hint="default"/>
                <w:sz w:val="21"/>
                <w:szCs w:val="21"/>
              </w:rPr>
              <w:t>投入金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2" w:right="47" w:firstLine="16"/>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w:t>
            </w:r>
            <w:r>
              <w:rPr>
                <w:rFonts w:ascii="宋体" w:hAnsi="宋体" w:cs="宋体" w:eastAsia="宋体" w:hint="default"/>
                <w:w w:val="100"/>
                <w:sz w:val="21"/>
                <w:szCs w:val="21"/>
              </w:rPr>
              <w:t> </w:t>
            </w:r>
            <w:r>
              <w:rPr>
                <w:rFonts w:ascii="宋体" w:hAnsi="宋体" w:cs="宋体" w:eastAsia="宋体" w:hint="default"/>
                <w:sz w:val="21"/>
                <w:szCs w:val="21"/>
              </w:rPr>
              <w:t>末投资</w:t>
            </w:r>
            <w:r>
              <w:rPr>
                <w:rFonts w:ascii="宋体" w:hAnsi="宋体" w:cs="宋体" w:eastAsia="宋体" w:hint="default"/>
                <w:spacing w:val="-102"/>
                <w:sz w:val="21"/>
                <w:szCs w:val="21"/>
              </w:rPr>
              <w:t> </w:t>
            </w:r>
            <w:r>
              <w:rPr>
                <w:rFonts w:ascii="宋体" w:hAnsi="宋体" w:cs="宋体" w:eastAsia="宋体" w:hint="default"/>
                <w:sz w:val="21"/>
                <w:szCs w:val="21"/>
              </w:rPr>
              <w:t>进度</w:t>
            </w:r>
            <w:r>
              <w:rPr>
                <w:rFonts w:ascii="Times New Roman" w:hAnsi="Times New Roman" w:cs="Times New Roman" w:eastAsia="Times New Roman" w:hint="default"/>
                <w:sz w:val="21"/>
                <w:szCs w:val="21"/>
              </w:rPr>
              <w:t>(3)</w:t>
            </w:r>
          </w:p>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84"/>
              <w:ind w:left="110" w:right="0"/>
              <w:jc w:val="both"/>
              <w:rPr>
                <w:rFonts w:ascii="Times New Roman" w:hAnsi="Times New Roman" w:cs="Times New Roman" w:eastAsia="Times New Roman" w:hint="default"/>
                <w:sz w:val="21"/>
                <w:szCs w:val="21"/>
              </w:rPr>
            </w:pPr>
            <w:r>
              <w:rPr>
                <w:rFonts w:ascii="Times New Roman"/>
                <w:sz w:val="21"/>
              </w:rPr>
              <w:t>(2)/(1)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9" w:right="65"/>
              <w:jc w:val="center"/>
              <w:rPr>
                <w:rFonts w:ascii="宋体" w:hAnsi="宋体" w:cs="宋体" w:eastAsia="宋体" w:hint="default"/>
                <w:sz w:val="21"/>
                <w:szCs w:val="21"/>
              </w:rPr>
            </w:pPr>
            <w:r>
              <w:rPr>
                <w:rFonts w:ascii="宋体" w:hAnsi="宋体" w:cs="宋体" w:eastAsia="宋体" w:hint="default"/>
                <w:sz w:val="21"/>
                <w:szCs w:val="21"/>
              </w:rPr>
              <w:t>项目达</w:t>
            </w:r>
            <w:r>
              <w:rPr>
                <w:rFonts w:ascii="宋体" w:hAnsi="宋体" w:cs="宋体" w:eastAsia="宋体" w:hint="default"/>
                <w:w w:val="100"/>
                <w:sz w:val="21"/>
                <w:szCs w:val="21"/>
              </w:rPr>
              <w:t> </w:t>
            </w:r>
            <w:r>
              <w:rPr>
                <w:rFonts w:ascii="宋体" w:hAnsi="宋体" w:cs="宋体" w:eastAsia="宋体" w:hint="default"/>
                <w:sz w:val="21"/>
                <w:szCs w:val="21"/>
              </w:rPr>
              <w:t>到预定</w:t>
            </w:r>
            <w:r>
              <w:rPr>
                <w:rFonts w:ascii="宋体" w:hAnsi="宋体" w:cs="宋体" w:eastAsia="宋体" w:hint="default"/>
                <w:w w:val="100"/>
                <w:sz w:val="21"/>
                <w:szCs w:val="21"/>
              </w:rPr>
              <w:t> </w:t>
            </w:r>
            <w:r>
              <w:rPr>
                <w:rFonts w:ascii="宋体" w:hAnsi="宋体" w:cs="宋体" w:eastAsia="宋体" w:hint="default"/>
                <w:sz w:val="21"/>
                <w:szCs w:val="21"/>
              </w:rPr>
              <w:t>可使用</w:t>
            </w:r>
            <w:r>
              <w:rPr>
                <w:rFonts w:ascii="宋体" w:hAnsi="宋体" w:cs="宋体" w:eastAsia="宋体" w:hint="default"/>
                <w:w w:val="100"/>
                <w:sz w:val="21"/>
                <w:szCs w:val="21"/>
              </w:rPr>
              <w:t> </w:t>
            </w:r>
            <w:r>
              <w:rPr>
                <w:rFonts w:ascii="宋体" w:hAnsi="宋体" w:cs="宋体" w:eastAsia="宋体" w:hint="default"/>
                <w:sz w:val="21"/>
                <w:szCs w:val="21"/>
              </w:rPr>
              <w:t>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期实现</w:t>
            </w:r>
            <w:r>
              <w:rPr>
                <w:rFonts w:ascii="宋体" w:hAnsi="宋体" w:cs="宋体" w:eastAsia="宋体" w:hint="default"/>
                <w:spacing w:val="-102"/>
                <w:sz w:val="21"/>
                <w:szCs w:val="21"/>
              </w:rPr>
              <w:t> </w:t>
            </w:r>
            <w:r>
              <w:rPr>
                <w:rFonts w:ascii="宋体" w:hAnsi="宋体" w:cs="宋体" w:eastAsia="宋体" w:hint="default"/>
                <w:sz w:val="21"/>
                <w:szCs w:val="21"/>
              </w:rPr>
              <w:t>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是否达</w:t>
            </w:r>
            <w:r>
              <w:rPr>
                <w:rFonts w:ascii="宋体" w:hAnsi="宋体" w:cs="宋体" w:eastAsia="宋体" w:hint="default"/>
                <w:spacing w:val="-102"/>
                <w:sz w:val="21"/>
                <w:szCs w:val="21"/>
              </w:rPr>
              <w:t> </w:t>
            </w: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9" w:right="65"/>
              <w:jc w:val="center"/>
              <w:rPr>
                <w:rFonts w:ascii="宋体" w:hAnsi="宋体" w:cs="宋体" w:eastAsia="宋体" w:hint="default"/>
                <w:sz w:val="21"/>
                <w:szCs w:val="21"/>
              </w:rPr>
            </w:pPr>
            <w:r>
              <w:rPr>
                <w:rFonts w:ascii="宋体" w:hAnsi="宋体" w:cs="宋体" w:eastAsia="宋体" w:hint="default"/>
                <w:sz w:val="21"/>
                <w:szCs w:val="21"/>
              </w:rPr>
              <w:t>项目可</w:t>
            </w:r>
            <w:r>
              <w:rPr>
                <w:rFonts w:ascii="宋体" w:hAnsi="宋体" w:cs="宋体" w:eastAsia="宋体" w:hint="default"/>
                <w:w w:val="100"/>
                <w:sz w:val="21"/>
                <w:szCs w:val="21"/>
              </w:rPr>
              <w:t> </w:t>
            </w: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32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946"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38" w:right="38" w:firstLine="2"/>
              <w:jc w:val="center"/>
              <w:rPr>
                <w:rFonts w:ascii="宋体" w:hAnsi="宋体" w:cs="宋体" w:eastAsia="宋体" w:hint="default"/>
                <w:sz w:val="21"/>
                <w:szCs w:val="21"/>
              </w:rPr>
            </w:pPr>
            <w:r>
              <w:rPr>
                <w:rFonts w:ascii="Times New Roman" w:hAnsi="Times New Roman" w:cs="Times New Roman" w:eastAsia="Times New Roman" w:hint="default"/>
                <w:sz w:val="21"/>
                <w:szCs w:val="21"/>
              </w:rPr>
              <w:t>SuperMap GIS9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pacing w:val="-2"/>
                <w:sz w:val="21"/>
                <w:szCs w:val="21"/>
              </w:rPr>
              <w:t>础软件研发与产业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10,122.89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10,122.89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1,723.63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3,789.57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37.44%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2"/>
                <w:sz w:val="18"/>
              </w:rPr>
              <w:t>155.11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8"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44" w:right="38" w:hanging="106"/>
              <w:jc w:val="left"/>
              <w:rPr>
                <w:rFonts w:ascii="宋体" w:hAnsi="宋体" w:cs="宋体" w:eastAsia="宋体" w:hint="default"/>
                <w:sz w:val="21"/>
                <w:szCs w:val="21"/>
              </w:rPr>
            </w:pPr>
            <w:r>
              <w:rPr>
                <w:rFonts w:ascii="宋体" w:hAnsi="宋体" w:cs="宋体" w:eastAsia="宋体" w:hint="default"/>
                <w:sz w:val="21"/>
                <w:szCs w:val="21"/>
              </w:rPr>
              <w:t>不动产登记系统产</w:t>
            </w:r>
            <w:r>
              <w:rPr>
                <w:rFonts w:ascii="宋体" w:hAnsi="宋体" w:cs="宋体" w:eastAsia="宋体" w:hint="default"/>
                <w:w w:val="100"/>
                <w:sz w:val="21"/>
                <w:szCs w:val="21"/>
              </w:rPr>
              <w:t> </w:t>
            </w:r>
            <w:r>
              <w:rPr>
                <w:rFonts w:ascii="宋体" w:hAnsi="宋体" w:cs="宋体" w:eastAsia="宋体" w:hint="default"/>
                <w:sz w:val="21"/>
                <w:szCs w:val="21"/>
              </w:rPr>
              <w:t>品研发及产业化</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9,039.99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9,039.99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
              <w:jc w:val="center"/>
              <w:rPr>
                <w:rFonts w:ascii="Times New Roman" w:hAnsi="Times New Roman" w:cs="Times New Roman" w:eastAsia="Times New Roman" w:hint="default"/>
                <w:sz w:val="18"/>
                <w:szCs w:val="18"/>
              </w:rPr>
            </w:pPr>
            <w:r>
              <w:rPr>
                <w:rFonts w:ascii="Times New Roman"/>
                <w:sz w:val="18"/>
              </w:rPr>
              <w:t>3,290.54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7,385.92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81.70%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3,821.55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153" w:lineRule="exact"/>
              <w:ind w:left="299" w:right="0"/>
              <w:jc w:val="left"/>
              <w:rPr>
                <w:rFonts w:ascii="Times New Roman" w:hAnsi="Times New Roman" w:cs="Times New Roman" w:eastAsia="Times New Roman" w:hint="default"/>
                <w:sz w:val="18"/>
                <w:szCs w:val="18"/>
              </w:rPr>
            </w:pPr>
            <w:r>
              <w:rPr>
                <w:rFonts w:ascii="宋体" w:hAnsi="宋体" w:cs="宋体" w:eastAsia="宋体" w:hint="default"/>
                <w:position w:val="1"/>
                <w:sz w:val="14"/>
                <w:szCs w:val="14"/>
              </w:rPr>
              <w:t>注</w:t>
            </w:r>
            <w:r>
              <w:rPr>
                <w:rFonts w:ascii="Times New Roman" w:hAnsi="Times New Roman" w:cs="Times New Roman" w:eastAsia="Times New Roman" w:hint="default"/>
                <w:sz w:val="18"/>
                <w:szCs w:val="18"/>
              </w:rPr>
              <w:t>[2]</w:t>
            </w:r>
          </w:p>
          <w:p>
            <w:pPr>
              <w:pStyle w:val="TableParagraph"/>
              <w:spacing w:line="176" w:lineRule="exact"/>
              <w:ind w:left="1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8" w:right="38"/>
              <w:jc w:val="left"/>
              <w:rPr>
                <w:rFonts w:ascii="宋体" w:hAnsi="宋体" w:cs="宋体" w:eastAsia="宋体" w:hint="default"/>
                <w:sz w:val="21"/>
                <w:szCs w:val="21"/>
              </w:rPr>
            </w:pPr>
            <w:r>
              <w:rPr>
                <w:rFonts w:ascii="宋体" w:hAnsi="宋体" w:cs="宋体" w:eastAsia="宋体" w:hint="default"/>
                <w:sz w:val="21"/>
                <w:szCs w:val="21"/>
              </w:rPr>
              <w:t>智慧城市空间共享</w:t>
            </w:r>
            <w:r>
              <w:rPr>
                <w:rFonts w:ascii="宋体" w:hAnsi="宋体" w:cs="宋体" w:eastAsia="宋体" w:hint="default"/>
                <w:w w:val="100"/>
                <w:sz w:val="21"/>
                <w:szCs w:val="21"/>
              </w:rPr>
              <w:t> </w:t>
            </w:r>
            <w:r>
              <w:rPr>
                <w:rFonts w:ascii="宋体" w:hAnsi="宋体" w:cs="宋体" w:eastAsia="宋体" w:hint="default"/>
                <w:sz w:val="21"/>
                <w:szCs w:val="21"/>
              </w:rPr>
              <w:t>框架研发及产业化</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10,043.00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10,043.00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2,668.98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7,234.69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72.04%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w w:val="95"/>
                <w:sz w:val="18"/>
              </w:rPr>
              <w:t>1,582.10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153" w:lineRule="exact"/>
              <w:ind w:left="299" w:right="0"/>
              <w:jc w:val="left"/>
              <w:rPr>
                <w:rFonts w:ascii="Times New Roman" w:hAnsi="Times New Roman" w:cs="Times New Roman" w:eastAsia="Times New Roman" w:hint="default"/>
                <w:sz w:val="18"/>
                <w:szCs w:val="18"/>
              </w:rPr>
            </w:pPr>
            <w:r>
              <w:rPr>
                <w:rFonts w:ascii="宋体" w:hAnsi="宋体" w:cs="宋体" w:eastAsia="宋体" w:hint="default"/>
                <w:position w:val="1"/>
                <w:sz w:val="14"/>
                <w:szCs w:val="14"/>
              </w:rPr>
              <w:t>注</w:t>
            </w:r>
            <w:r>
              <w:rPr>
                <w:rFonts w:ascii="Times New Roman" w:hAnsi="Times New Roman" w:cs="Times New Roman" w:eastAsia="Times New Roman" w:hint="default"/>
                <w:sz w:val="18"/>
                <w:szCs w:val="18"/>
              </w:rPr>
              <w:t>[3]</w:t>
            </w:r>
          </w:p>
          <w:p>
            <w:pPr>
              <w:pStyle w:val="TableParagraph"/>
              <w:spacing w:line="176" w:lineRule="exact"/>
              <w:ind w:left="1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38" w:right="38" w:hanging="1"/>
              <w:jc w:val="center"/>
              <w:rPr>
                <w:rFonts w:ascii="宋体" w:hAnsi="宋体" w:cs="宋体" w:eastAsia="宋体" w:hint="default"/>
                <w:sz w:val="21"/>
                <w:szCs w:val="21"/>
              </w:rPr>
            </w:pPr>
            <w:r>
              <w:rPr>
                <w:rFonts w:ascii="宋体" w:hAnsi="宋体" w:cs="宋体" w:eastAsia="宋体" w:hint="default"/>
                <w:sz w:val="21"/>
                <w:szCs w:val="21"/>
              </w:rPr>
              <w:t>支付交易对方（</w:t>
            </w:r>
            <w:r>
              <w:rPr>
                <w:rFonts w:ascii="Times New Roman" w:hAnsi="Times New Roman" w:cs="Times New Roman" w:eastAsia="Times New Roman" w:hint="default"/>
                <w:sz w:val="21"/>
                <w:szCs w:val="21"/>
              </w:rPr>
              <w:t>9</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名自然人）现金对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11,105.64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11,105.64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11,105.64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55" w:right="0"/>
              <w:jc w:val="lef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4" w:hRule="exact"/>
        </w:trPr>
        <w:tc>
          <w:tcPr>
            <w:tcW w:w="1771" w:type="dxa"/>
            <w:tcBorders>
              <w:top w:val="single" w:sz="4" w:space="0" w:color="000000"/>
              <w:left w:val="single" w:sz="4" w:space="0" w:color="000000"/>
              <w:bottom w:val="single" w:sz="36" w:space="0" w:color="D2D2D2"/>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补充流动资金</w:t>
            </w:r>
          </w:p>
        </w:tc>
        <w:tc>
          <w:tcPr>
            <w:tcW w:w="778" w:type="dxa"/>
            <w:tcBorders>
              <w:top w:val="single" w:sz="4" w:space="0" w:color="000000"/>
              <w:left w:val="single" w:sz="4" w:space="0" w:color="000000"/>
              <w:bottom w:val="single" w:sz="36" w:space="0" w:color="D2D2D2"/>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5,452.67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5,452.67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5,453.29</w:t>
            </w:r>
          </w:p>
        </w:tc>
        <w:tc>
          <w:tcPr>
            <w:tcW w:w="780" w:type="dxa"/>
            <w:tcBorders>
              <w:top w:val="single" w:sz="4" w:space="0" w:color="000000"/>
              <w:left w:val="single" w:sz="4" w:space="0" w:color="000000"/>
              <w:bottom w:val="single" w:sz="36" w:space="0" w:color="D2D2D2"/>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100.01%</w:t>
            </w:r>
          </w:p>
        </w:tc>
        <w:tc>
          <w:tcPr>
            <w:tcW w:w="781" w:type="dxa"/>
            <w:tcBorders>
              <w:top w:val="single" w:sz="4" w:space="0" w:color="000000"/>
              <w:left w:val="single" w:sz="4" w:space="0" w:color="000000"/>
              <w:bottom w:val="single" w:sz="36" w:space="0" w:color="D2D2D2"/>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36" w:space="0" w:color="D2D2D2"/>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80" w:type="dxa"/>
            <w:tcBorders>
              <w:top w:val="single" w:sz="4" w:space="0" w:color="000000"/>
              <w:left w:val="single" w:sz="4" w:space="0" w:color="000000"/>
              <w:bottom w:val="single" w:sz="36" w:space="0" w:color="D2D2D2"/>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7"/>
              <w:ind w:right="6"/>
              <w:jc w:val="center"/>
              <w:rPr>
                <w:rFonts w:ascii="Times New Roman" w:hAnsi="Times New Roman" w:cs="Times New Roman" w:eastAsia="Times New Roman" w:hint="default"/>
                <w:sz w:val="18"/>
                <w:szCs w:val="18"/>
              </w:rPr>
            </w:pPr>
            <w:r>
              <w:rPr>
                <w:rFonts w:ascii="Times New Roman"/>
                <w:sz w:val="18"/>
              </w:rPr>
              <w:t>45,764.19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45,764.19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Times New Roman" w:hAnsi="Times New Roman" w:cs="Times New Roman" w:eastAsia="Times New Roman" w:hint="default"/>
                <w:sz w:val="18"/>
                <w:szCs w:val="18"/>
              </w:rPr>
            </w:pPr>
            <w:r>
              <w:rPr>
                <w:rFonts w:ascii="Times New Roman"/>
                <w:sz w:val="18"/>
              </w:rPr>
              <w:t>7,683.15</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7"/>
              <w:ind w:left="12" w:right="0"/>
              <w:jc w:val="center"/>
              <w:rPr>
                <w:rFonts w:ascii="Times New Roman" w:hAnsi="Times New Roman" w:cs="Times New Roman" w:eastAsia="Times New Roman" w:hint="default"/>
                <w:sz w:val="18"/>
                <w:szCs w:val="18"/>
              </w:rPr>
            </w:pPr>
            <w:r>
              <w:rPr>
                <w:rFonts w:ascii="Times New Roman"/>
                <w:sz w:val="18"/>
              </w:rPr>
              <w:t>34,969.11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24"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85"/>
              <w:ind w:right="105"/>
              <w:jc w:val="right"/>
              <w:rPr>
                <w:rFonts w:ascii="Times New Roman" w:hAnsi="Times New Roman" w:cs="Times New Roman" w:eastAsia="Times New Roman" w:hint="default"/>
                <w:sz w:val="18"/>
                <w:szCs w:val="18"/>
              </w:rPr>
            </w:pPr>
            <w:r>
              <w:rPr>
                <w:rFonts w:ascii="Times New Roman"/>
                <w:w w:val="95"/>
                <w:sz w:val="18"/>
              </w:rPr>
              <w:t>5,558.76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32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1" w:hRule="exact"/>
        </w:trPr>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669" w:right="38" w:hanging="632"/>
              <w:jc w:val="left"/>
              <w:rPr>
                <w:rFonts w:ascii="宋体" w:hAnsi="宋体" w:cs="宋体" w:eastAsia="宋体" w:hint="default"/>
                <w:sz w:val="21"/>
                <w:szCs w:val="21"/>
              </w:rPr>
            </w:pPr>
            <w:r>
              <w:rPr>
                <w:rFonts w:ascii="宋体" w:hAnsi="宋体" w:cs="宋体" w:eastAsia="宋体" w:hint="default"/>
                <w:sz w:val="21"/>
                <w:szCs w:val="21"/>
              </w:rPr>
              <w:t>归还银行贷款（如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vMerge w:val="restart"/>
            <w:tcBorders>
              <w:top w:val="single" w:sz="4" w:space="0" w:color="000000"/>
              <w:left w:val="single" w:sz="4" w:space="0" w:color="000000"/>
              <w:right w:val="single" w:sz="10" w:space="0" w:color="D2D2D2"/>
            </w:tcBorders>
          </w:tcPr>
          <w:p>
            <w:pP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771" w:type="dxa"/>
            <w:vMerge/>
            <w:tcBorders>
              <w:left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324"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1"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669" w:right="38" w:hanging="632"/>
              <w:jc w:val="left"/>
              <w:rPr>
                <w:rFonts w:ascii="宋体" w:hAnsi="宋体" w:cs="宋体" w:eastAsia="宋体" w:hint="default"/>
                <w:sz w:val="21"/>
                <w:szCs w:val="21"/>
              </w:rPr>
            </w:pPr>
            <w:r>
              <w:rPr>
                <w:rFonts w:ascii="宋体" w:hAnsi="宋体" w:cs="宋体" w:eastAsia="宋体" w:hint="default"/>
                <w:sz w:val="21"/>
                <w:szCs w:val="21"/>
              </w:rPr>
              <w:t>补充流动资金（如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vMerge w:val="restart"/>
            <w:tcBorders>
              <w:top w:val="single" w:sz="4" w:space="0" w:color="000000"/>
              <w:left w:val="single" w:sz="4" w:space="0" w:color="000000"/>
              <w:right w:val="single" w:sz="10" w:space="0" w:color="D2D2D2"/>
            </w:tcBorders>
          </w:tcPr>
          <w:p>
            <w:pP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771" w:type="dxa"/>
            <w:vMerge/>
            <w:tcBorders>
              <w:left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324"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1"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4" w:hRule="exact"/>
        </w:trPr>
        <w:tc>
          <w:tcPr>
            <w:tcW w:w="177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超募资金投向小计</w:t>
            </w:r>
          </w:p>
        </w:tc>
        <w:tc>
          <w:tcPr>
            <w:tcW w:w="77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FFFFFF"/>
              <w:right w:val="single" w:sz="4" w:space="0" w:color="000000"/>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FFFFFF"/>
              <w:right w:val="single" w:sz="13" w:space="0" w:color="D2D2D2"/>
            </w:tcBorders>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left="324"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0" w:space="0" w:color="D2D2D2"/>
              <w:bottom w:val="single" w:sz="4" w:space="0" w:color="FFFFFF"/>
              <w:right w:val="single" w:sz="10" w:space="0" w:color="D2D2D2"/>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r>
        <w:trPr>
          <w:trHeight w:val="436" w:hRule="exact"/>
        </w:trPr>
        <w:tc>
          <w:tcPr>
            <w:tcW w:w="1771"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7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FFFFFF"/>
              <w:left w:val="single" w:sz="9" w:space="0" w:color="D2D2D2"/>
              <w:bottom w:val="single" w:sz="4" w:space="0" w:color="000000"/>
              <w:right w:val="single" w:sz="4" w:space="0" w:color="000000"/>
            </w:tcBorders>
          </w:tcPr>
          <w:p>
            <w:pPr>
              <w:pStyle w:val="TableParagraph"/>
              <w:spacing w:line="240" w:lineRule="auto" w:before="87"/>
              <w:ind w:right="6"/>
              <w:jc w:val="center"/>
              <w:rPr>
                <w:rFonts w:ascii="Times New Roman" w:hAnsi="Times New Roman" w:cs="Times New Roman" w:eastAsia="Times New Roman" w:hint="default"/>
                <w:sz w:val="18"/>
                <w:szCs w:val="18"/>
              </w:rPr>
            </w:pPr>
            <w:r>
              <w:rPr>
                <w:rFonts w:ascii="Times New Roman"/>
                <w:sz w:val="18"/>
              </w:rPr>
              <w:t>45,764.19</w:t>
            </w:r>
          </w:p>
        </w:tc>
        <w:tc>
          <w:tcPr>
            <w:tcW w:w="7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45,764.19</w:t>
            </w:r>
          </w:p>
        </w:tc>
        <w:tc>
          <w:tcPr>
            <w:tcW w:w="7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7"/>
              <w:ind w:right="2"/>
              <w:jc w:val="center"/>
              <w:rPr>
                <w:rFonts w:ascii="Times New Roman" w:hAnsi="Times New Roman" w:cs="Times New Roman" w:eastAsia="Times New Roman" w:hint="default"/>
                <w:sz w:val="18"/>
                <w:szCs w:val="18"/>
              </w:rPr>
            </w:pPr>
            <w:r>
              <w:rPr>
                <w:rFonts w:ascii="Times New Roman"/>
                <w:sz w:val="18"/>
              </w:rPr>
              <w:t>7,683.15</w:t>
            </w:r>
          </w:p>
        </w:tc>
        <w:tc>
          <w:tcPr>
            <w:tcW w:w="780" w:type="dxa"/>
            <w:tcBorders>
              <w:top w:val="single" w:sz="4" w:space="0" w:color="FFFFFF"/>
              <w:left w:val="single" w:sz="4" w:space="0" w:color="000000"/>
              <w:bottom w:val="single" w:sz="4" w:space="0" w:color="000000"/>
              <w:right w:val="single" w:sz="13" w:space="0" w:color="D2D2D2"/>
            </w:tcBorders>
          </w:tcPr>
          <w:p>
            <w:pPr>
              <w:pStyle w:val="TableParagraph"/>
              <w:spacing w:line="240" w:lineRule="auto" w:before="87"/>
              <w:ind w:left="12" w:right="0"/>
              <w:jc w:val="center"/>
              <w:rPr>
                <w:rFonts w:ascii="Times New Roman" w:hAnsi="Times New Roman" w:cs="Times New Roman" w:eastAsia="Times New Roman" w:hint="default"/>
                <w:sz w:val="18"/>
                <w:szCs w:val="18"/>
              </w:rPr>
            </w:pPr>
            <w:r>
              <w:rPr>
                <w:rFonts w:ascii="Times New Roman"/>
                <w:sz w:val="18"/>
              </w:rPr>
              <w:t>34,969.11</w:t>
            </w:r>
          </w:p>
        </w:tc>
        <w:tc>
          <w:tcPr>
            <w:tcW w:w="78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7"/>
              <w:ind w:left="324"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FFFFFF"/>
              <w:left w:val="single" w:sz="10" w:space="0" w:color="D2D2D2"/>
              <w:bottom w:val="single" w:sz="4" w:space="0" w:color="000000"/>
              <w:right w:val="single" w:sz="10" w:space="0" w:color="D2D2D2"/>
            </w:tcBorders>
          </w:tcPr>
          <w:p>
            <w:pPr>
              <w:pStyle w:val="TableParagraph"/>
              <w:spacing w:line="240" w:lineRule="auto" w:before="85"/>
              <w:ind w:right="61"/>
              <w:jc w:val="right"/>
              <w:rPr>
                <w:rFonts w:ascii="Times New Roman" w:hAnsi="Times New Roman" w:cs="Times New Roman" w:eastAsia="Times New Roman" w:hint="default"/>
                <w:sz w:val="18"/>
                <w:szCs w:val="18"/>
              </w:rPr>
            </w:pPr>
            <w:r>
              <w:rPr>
                <w:rFonts w:ascii="Times New Roman"/>
                <w:w w:val="95"/>
                <w:sz w:val="18"/>
              </w:rPr>
              <w:t>5,558.76</w:t>
            </w:r>
          </w:p>
        </w:tc>
        <w:tc>
          <w:tcPr>
            <w:tcW w:w="78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946"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1" w:right="38" w:firstLine="16"/>
              <w:jc w:val="both"/>
              <w:rPr>
                <w:rFonts w:ascii="宋体" w:hAnsi="宋体" w:cs="宋体" w:eastAsia="宋体" w:hint="default"/>
                <w:sz w:val="21"/>
                <w:szCs w:val="21"/>
              </w:rPr>
            </w:pPr>
            <w:r>
              <w:rPr>
                <w:rFonts w:ascii="宋体" w:hAnsi="宋体" w:cs="宋体" w:eastAsia="宋体" w:hint="default"/>
                <w:sz w:val="21"/>
                <w:szCs w:val="21"/>
              </w:rPr>
              <w:t>未达到计划进度或</w:t>
            </w:r>
            <w:r>
              <w:rPr>
                <w:rFonts w:ascii="宋体" w:hAnsi="宋体" w:cs="宋体" w:eastAsia="宋体" w:hint="default"/>
                <w:w w:val="100"/>
                <w:sz w:val="21"/>
                <w:szCs w:val="21"/>
              </w:rPr>
              <w:t> </w:t>
            </w:r>
            <w:r>
              <w:rPr>
                <w:rFonts w:ascii="宋体" w:hAnsi="宋体" w:cs="宋体" w:eastAsia="宋体" w:hint="default"/>
                <w:sz w:val="21"/>
                <w:szCs w:val="21"/>
              </w:rPr>
              <w:t>预计收益的情况和</w:t>
            </w:r>
            <w:r>
              <w:rPr>
                <w:rFonts w:ascii="宋体" w:hAnsi="宋体" w:cs="宋体" w:eastAsia="宋体" w:hint="default"/>
                <w:w w:val="100"/>
                <w:sz w:val="21"/>
                <w:szCs w:val="21"/>
              </w:rPr>
              <w:t> </w:t>
            </w:r>
            <w:r>
              <w:rPr>
                <w:rFonts w:ascii="宋体" w:hAnsi="宋体" w:cs="宋体" w:eastAsia="宋体" w:hint="default"/>
                <w:spacing w:val="-10"/>
                <w:sz w:val="21"/>
                <w:szCs w:val="21"/>
              </w:rPr>
              <w:t>原因（分具体项目</w:t>
            </w:r>
          </w:p>
        </w:tc>
        <w:tc>
          <w:tcPr>
            <w:tcW w:w="778" w:type="dxa"/>
            <w:tcBorders>
              <w:top w:val="single" w:sz="35" w:space="0" w:color="D2D2D2"/>
              <w:left w:val="single" w:sz="10" w:space="0" w:color="D2D2D2"/>
              <w:bottom w:val="single" w:sz="4" w:space="0" w:color="000000"/>
              <w:right w:val="nil" w:sz="6" w:space="0" w:color="auto"/>
            </w:tcBorders>
          </w:tcPr>
          <w:p>
            <w:pPr/>
          </w:p>
        </w:tc>
        <w:tc>
          <w:tcPr>
            <w:tcW w:w="780" w:type="dxa"/>
            <w:tcBorders>
              <w:top w:val="single" w:sz="4" w:space="0" w:color="000000"/>
              <w:left w:val="nil" w:sz="6" w:space="0" w:color="auto"/>
              <w:bottom w:val="single" w:sz="4" w:space="0" w:color="000000"/>
              <w:right w:val="nil" w:sz="6" w:space="0" w:color="auto"/>
            </w:tcBorders>
          </w:tcPr>
          <w:p>
            <w:pPr/>
          </w:p>
        </w:tc>
        <w:tc>
          <w:tcPr>
            <w:tcW w:w="780" w:type="dxa"/>
            <w:tcBorders>
              <w:top w:val="single" w:sz="4" w:space="0" w:color="000000"/>
              <w:left w:val="nil" w:sz="6" w:space="0" w:color="auto"/>
              <w:bottom w:val="single" w:sz="4" w:space="0" w:color="000000"/>
              <w:right w:val="nil" w:sz="6" w:space="0" w:color="auto"/>
            </w:tcBorders>
          </w:tcPr>
          <w:p>
            <w:pPr/>
          </w:p>
        </w:tc>
        <w:tc>
          <w:tcPr>
            <w:tcW w:w="780" w:type="dxa"/>
            <w:tcBorders>
              <w:top w:val="single" w:sz="4" w:space="0" w:color="000000"/>
              <w:left w:val="nil" w:sz="6" w:space="0" w:color="auto"/>
              <w:bottom w:val="single" w:sz="4" w:space="0" w:color="000000"/>
              <w:right w:val="nil" w:sz="6" w:space="0" w:color="auto"/>
            </w:tcBorders>
          </w:tcPr>
          <w:p>
            <w:pPr/>
          </w:p>
        </w:tc>
        <w:tc>
          <w:tcPr>
            <w:tcW w:w="1560" w:type="dxa"/>
            <w:gridSpan w:val="2"/>
            <w:tcBorders>
              <w:top w:val="single" w:sz="31" w:space="0" w:color="D2D2D2"/>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35" w:space="0" w:color="D2D2D2"/>
              <w:left w:val="nil" w:sz="6" w:space="0" w:color="auto"/>
              <w:bottom w:val="single" w:sz="4" w:space="0" w:color="000000"/>
              <w:right w:val="nil" w:sz="6" w:space="0" w:color="auto"/>
            </w:tcBorders>
          </w:tcPr>
          <w:p>
            <w:pPr/>
          </w:p>
        </w:tc>
        <w:tc>
          <w:tcPr>
            <w:tcW w:w="780" w:type="dxa"/>
            <w:tcBorders>
              <w:top w:val="single" w:sz="4" w:space="0" w:color="000000"/>
              <w:left w:val="nil" w:sz="6" w:space="0" w:color="auto"/>
              <w:bottom w:val="single" w:sz="4" w:space="0" w:color="000000"/>
              <w:right w:val="nil" w:sz="6" w:space="0" w:color="auto"/>
            </w:tcBorders>
          </w:tcPr>
          <w:p>
            <w:pPr/>
          </w:p>
        </w:tc>
        <w:tc>
          <w:tcPr>
            <w:tcW w:w="780" w:type="dxa"/>
            <w:tcBorders>
              <w:top w:val="single" w:sz="35" w:space="0" w:color="D2D2D2"/>
              <w:left w:val="nil" w:sz="6" w:space="0" w:color="auto"/>
              <w:bottom w:val="single" w:sz="4" w:space="0" w:color="000000"/>
              <w:right w:val="nil" w:sz="6" w:space="0" w:color="auto"/>
            </w:tcBorders>
          </w:tcPr>
          <w:p>
            <w:pPr/>
          </w:p>
        </w:tc>
        <w:tc>
          <w:tcPr>
            <w:tcW w:w="780" w:type="dxa"/>
            <w:tcBorders>
              <w:top w:val="single" w:sz="35" w:space="0" w:color="D2D2D2"/>
              <w:left w:val="nil" w:sz="6" w:space="0" w:color="auto"/>
              <w:bottom w:val="single" w:sz="4" w:space="0" w:color="000000"/>
              <w:right w:val="single" w:sz="4" w:space="0" w:color="000000"/>
            </w:tcBorders>
          </w:tcPr>
          <w:p>
            <w:pPr/>
          </w:p>
        </w:tc>
      </w:tr>
      <w:tr>
        <w:trPr>
          <w:trHeight w:val="636"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8" w:right="38"/>
              <w:jc w:val="left"/>
              <w:rPr>
                <w:rFonts w:ascii="宋体" w:hAnsi="宋体" w:cs="宋体" w:eastAsia="宋体" w:hint="default"/>
                <w:sz w:val="21"/>
                <w:szCs w:val="21"/>
              </w:rPr>
            </w:pPr>
            <w:r>
              <w:rPr>
                <w:rFonts w:ascii="宋体" w:hAnsi="宋体" w:cs="宋体" w:eastAsia="宋体" w:hint="default"/>
                <w:sz w:val="21"/>
                <w:szCs w:val="21"/>
              </w:rPr>
              <w:t>项目可行性发生重</w:t>
            </w:r>
            <w:r>
              <w:rPr>
                <w:rFonts w:ascii="宋体" w:hAnsi="宋体" w:cs="宋体" w:eastAsia="宋体" w:hint="default"/>
                <w:w w:val="100"/>
                <w:sz w:val="21"/>
                <w:szCs w:val="21"/>
              </w:rPr>
              <w:t> </w:t>
            </w:r>
            <w:r>
              <w:rPr>
                <w:rFonts w:ascii="宋体" w:hAnsi="宋体" w:cs="宋体" w:eastAsia="宋体" w:hint="default"/>
                <w:sz w:val="21"/>
                <w:szCs w:val="21"/>
              </w:rPr>
              <w:t>大变化的情况说明</w:t>
            </w:r>
          </w:p>
        </w:tc>
        <w:tc>
          <w:tcPr>
            <w:tcW w:w="7800"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946"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8" w:right="38"/>
              <w:jc w:val="center"/>
              <w:rPr>
                <w:rFonts w:ascii="宋体" w:hAnsi="宋体" w:cs="宋体" w:eastAsia="宋体" w:hint="default"/>
                <w:sz w:val="21"/>
                <w:szCs w:val="21"/>
              </w:rPr>
            </w:pPr>
            <w:r>
              <w:rPr>
                <w:rFonts w:ascii="宋体" w:hAnsi="宋体" w:cs="宋体" w:eastAsia="宋体" w:hint="default"/>
                <w:spacing w:val="-2"/>
                <w:sz w:val="21"/>
                <w:szCs w:val="21"/>
              </w:rPr>
              <w:t>超募资金的金额、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用途及使用进展情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7800"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70"/>
        <w:gridCol w:w="7800"/>
      </w:tblGrid>
      <w:tr>
        <w:trPr>
          <w:trHeight w:val="85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98"/>
              <w:ind w:left="37" w:right="38"/>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实施地点变更情况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7" w:right="38"/>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实施方式调整情况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437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3"/>
              <w:ind w:left="37" w:right="38"/>
              <w:jc w:val="center"/>
              <w:rPr>
                <w:rFonts w:ascii="宋体" w:hAnsi="宋体" w:cs="宋体" w:eastAsia="宋体" w:hint="default"/>
                <w:sz w:val="21"/>
                <w:szCs w:val="21"/>
              </w:rPr>
            </w:pPr>
            <w:r>
              <w:rPr>
                <w:rFonts w:ascii="宋体" w:hAnsi="宋体" w:cs="宋体" w:eastAsia="宋体" w:hint="default"/>
                <w:spacing w:val="-2"/>
                <w:sz w:val="21"/>
                <w:szCs w:val="21"/>
              </w:rPr>
              <w:t>募集资金投资项目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先期投入及置换情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日，本公司已以自筹资金预先投入募集资金投资项目的实际投资</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额为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5,324.05</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万元。本公司以募集资金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5,324.05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万元置换预先投入募集资金投资项目</w:t>
            </w:r>
          </w:p>
          <w:p>
            <w:pPr>
              <w:pStyle w:val="TableParagraph"/>
              <w:spacing w:line="266" w:lineRule="auto" w:before="19"/>
              <w:ind w:left="24" w:right="15"/>
              <w:jc w:val="left"/>
              <w:rPr>
                <w:rFonts w:ascii="宋体" w:hAnsi="宋体" w:cs="宋体" w:eastAsia="宋体" w:hint="default"/>
                <w:sz w:val="21"/>
                <w:szCs w:val="21"/>
              </w:rPr>
            </w:pPr>
            <w:r>
              <w:rPr>
                <w:rFonts w:ascii="宋体" w:hAnsi="宋体" w:cs="宋体" w:eastAsia="宋体" w:hint="default"/>
                <w:sz w:val="21"/>
                <w:szCs w:val="21"/>
              </w:rPr>
              <w:t>的自筹资金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5,324.05</w:t>
            </w:r>
            <w:r>
              <w:rPr>
                <w:rFonts w:ascii="Times New Roman" w:hAnsi="Times New Roman" w:cs="Times New Roman" w:eastAsia="Times New Roman" w:hint="default"/>
                <w:spacing w:val="-2"/>
                <w:sz w:val="21"/>
                <w:szCs w:val="21"/>
              </w:rPr>
              <w:t> </w:t>
            </w:r>
            <w:r>
              <w:rPr>
                <w:rFonts w:ascii="宋体" w:hAnsi="宋体" w:cs="宋体" w:eastAsia="宋体" w:hint="default"/>
                <w:spacing w:val="-12"/>
                <w:sz w:val="21"/>
                <w:szCs w:val="21"/>
              </w:rPr>
              <w:t>万元。</w:t>
            </w:r>
            <w:r>
              <w:rPr>
                <w:rFonts w:ascii="Times New Roman" w:hAnsi="Times New Roman" w:cs="Times New Roman" w:eastAsia="Times New Roman" w:hint="default"/>
                <w:spacing w:val="-12"/>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日第三届董事会第二十一次会议及第三届监</w:t>
            </w:r>
            <w:r>
              <w:rPr>
                <w:rFonts w:ascii="宋体" w:hAnsi="宋体" w:cs="宋体" w:eastAsia="宋体" w:hint="default"/>
                <w:w w:val="100"/>
                <w:sz w:val="21"/>
                <w:szCs w:val="21"/>
              </w:rPr>
              <w:t> </w:t>
            </w:r>
            <w:r>
              <w:rPr>
                <w:rFonts w:ascii="宋体" w:hAnsi="宋体" w:cs="宋体" w:eastAsia="宋体" w:hint="default"/>
                <w:spacing w:val="-3"/>
                <w:sz w:val="21"/>
                <w:szCs w:val="21"/>
              </w:rPr>
              <w:t>事会第十八次会议审议通过了《关于使用募集资金置换预先投入募投项目自筹资金的</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议案》，同意公司以募集资金置换预先投入募投项目的自筹资金。独立董事、监事会</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均发表明确同意的意见，致同会计师事务所（特殊普通合伙）出具致同专字</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第</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110ZC3998 </w:t>
            </w:r>
            <w:r>
              <w:rPr>
                <w:rFonts w:ascii="宋体" w:hAnsi="宋体" w:cs="宋体" w:eastAsia="宋体" w:hint="default"/>
                <w:spacing w:val="-3"/>
                <w:sz w:val="21"/>
                <w:szCs w:val="21"/>
              </w:rPr>
              <w:t>号《关于北京超图软件股份有限公司以自筹资金预先投入募集资金投资项</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目情况鉴证报告》。保荐人华龙证券股份有限公司对公司使用募集资金置换预先投入</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募投项目自筹资金事项无异议，符合《深圳证券交易所创业板上市公司规范运作指</w:t>
            </w:r>
            <w:r>
              <w:rPr>
                <w:rFonts w:ascii="宋体" w:hAnsi="宋体" w:cs="宋体" w:eastAsia="宋体" w:hint="default"/>
                <w:w w:val="100"/>
                <w:sz w:val="21"/>
                <w:szCs w:val="21"/>
              </w:rPr>
              <w:t> </w:t>
            </w:r>
            <w:r>
              <w:rPr>
                <w:rFonts w:ascii="宋体" w:hAnsi="宋体" w:cs="宋体" w:eastAsia="宋体" w:hint="default"/>
                <w:spacing w:val="-3"/>
                <w:sz w:val="21"/>
                <w:szCs w:val="21"/>
              </w:rPr>
              <w:t>引》、《上市公司监管指引第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上市公司募集资金管理和使用的监管要求》等</w:t>
            </w:r>
          </w:p>
          <w:p>
            <w:pPr>
              <w:pStyle w:val="TableParagraph"/>
              <w:spacing w:line="286"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相关规定要求。公司以募集资金 </w:t>
            </w:r>
            <w:r>
              <w:rPr>
                <w:rFonts w:ascii="Times New Roman" w:hAnsi="Times New Roman" w:cs="Times New Roman" w:eastAsia="Times New Roman" w:hint="default"/>
                <w:sz w:val="21"/>
                <w:szCs w:val="21"/>
              </w:rPr>
              <w:t>5,324.05</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万元置换本公司已预先投入募集资金投资项</w:t>
            </w:r>
          </w:p>
          <w:p>
            <w:pPr>
              <w:pStyle w:val="TableParagraph"/>
              <w:spacing w:line="240" w:lineRule="auto" w:before="21"/>
              <w:ind w:left="24"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目的</w:t>
            </w:r>
            <w:r>
              <w:rPr>
                <w:rFonts w:ascii="宋体" w:hAnsi="宋体" w:cs="宋体" w:eastAsia="宋体" w:hint="default"/>
                <w:spacing w:val="-3"/>
                <w:w w:val="100"/>
                <w:sz w:val="21"/>
                <w:szCs w:val="21"/>
              </w:rPr>
              <w:t>自</w:t>
            </w:r>
            <w:r>
              <w:rPr>
                <w:rFonts w:ascii="宋体" w:hAnsi="宋体" w:cs="宋体" w:eastAsia="宋体" w:hint="default"/>
                <w:w w:val="100"/>
                <w:sz w:val="21"/>
                <w:szCs w:val="21"/>
              </w:rPr>
              <w:t>筹</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324</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05</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中</w:t>
            </w:r>
            <w:r>
              <w:rPr>
                <w:rFonts w:ascii="宋体" w:hAnsi="宋体" w:cs="宋体" w:eastAsia="宋体" w:hint="default"/>
                <w:spacing w:val="-96"/>
                <w:w w:val="100"/>
                <w:sz w:val="21"/>
                <w:szCs w:val="21"/>
              </w:rPr>
              <w:t>：</w:t>
            </w:r>
            <w:r>
              <w:rPr>
                <w:rFonts w:ascii="Times New Roman" w:hAnsi="Times New Roman" w:cs="Times New Roman" w:eastAsia="Times New Roman" w:hint="default"/>
                <w:spacing w:val="-3"/>
                <w:w w:val="100"/>
                <w:sz w:val="21"/>
                <w:szCs w:val="21"/>
              </w:rPr>
              <w:t>S</w:t>
            </w:r>
            <w:r>
              <w:rPr>
                <w:rFonts w:ascii="Times New Roman" w:hAnsi="Times New Roman" w:cs="Times New Roman" w:eastAsia="Times New Roman" w:hint="default"/>
                <w:w w:val="100"/>
                <w:sz w:val="21"/>
                <w:szCs w:val="21"/>
              </w:rPr>
              <w:t>upe</w:t>
            </w:r>
            <w:r>
              <w:rPr>
                <w:rFonts w:ascii="Times New Roman" w:hAnsi="Times New Roman" w:cs="Times New Roman" w:eastAsia="Times New Roman" w:hint="default"/>
                <w:spacing w:val="-1"/>
                <w:w w:val="100"/>
                <w:sz w:val="21"/>
                <w:szCs w:val="21"/>
              </w:rPr>
              <w:t>r</w:t>
            </w:r>
            <w:r>
              <w:rPr>
                <w:rFonts w:ascii="Times New Roman" w:hAnsi="Times New Roman" w:cs="Times New Roman" w:eastAsia="Times New Roman" w:hint="default"/>
                <w:w w:val="100"/>
                <w:sz w:val="21"/>
                <w:szCs w:val="21"/>
              </w:rPr>
              <w:t>M</w:t>
            </w:r>
            <w:r>
              <w:rPr>
                <w:rFonts w:ascii="Times New Roman" w:hAnsi="Times New Roman" w:cs="Times New Roman" w:eastAsia="Times New Roman" w:hint="default"/>
                <w:spacing w:val="-4"/>
                <w:w w:val="100"/>
                <w:sz w:val="21"/>
                <w:szCs w:val="21"/>
              </w:rPr>
              <w:t>a</w:t>
            </w:r>
            <w:r>
              <w:rPr>
                <w:rFonts w:ascii="Times New Roman" w:hAnsi="Times New Roman" w:cs="Times New Roman" w:eastAsia="Times New Roman" w:hint="default"/>
                <w:w w:val="100"/>
                <w:sz w:val="21"/>
                <w:szCs w:val="21"/>
              </w:rPr>
              <w:t>p</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w w:val="100"/>
                <w:sz w:val="21"/>
                <w:szCs w:val="21"/>
              </w:rPr>
              <w:t>G</w:t>
            </w:r>
            <w:r>
              <w:rPr>
                <w:rFonts w:ascii="Times New Roman" w:hAnsi="Times New Roman" w:cs="Times New Roman" w:eastAsia="Times New Roman" w:hint="default"/>
                <w:spacing w:val="-4"/>
                <w:w w:val="100"/>
                <w:sz w:val="21"/>
                <w:szCs w:val="21"/>
              </w:rPr>
              <w:t>I</w:t>
            </w:r>
            <w:r>
              <w:rPr>
                <w:rFonts w:ascii="Times New Roman" w:hAnsi="Times New Roman" w:cs="Times New Roman" w:eastAsia="Times New Roman" w:hint="default"/>
                <w:w w:val="100"/>
                <w:sz w:val="21"/>
                <w:szCs w:val="21"/>
              </w:rPr>
              <w:t>S9</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基础</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研</w:t>
            </w:r>
            <w:r>
              <w:rPr>
                <w:rFonts w:ascii="宋体" w:hAnsi="宋体" w:cs="宋体" w:eastAsia="宋体" w:hint="default"/>
                <w:w w:val="100"/>
                <w:sz w:val="21"/>
                <w:szCs w:val="21"/>
              </w:rPr>
              <w:t>发</w:t>
            </w:r>
            <w:r>
              <w:rPr>
                <w:rFonts w:ascii="宋体" w:hAnsi="宋体" w:cs="宋体" w:eastAsia="宋体" w:hint="default"/>
                <w:spacing w:val="-3"/>
                <w:w w:val="100"/>
                <w:sz w:val="21"/>
                <w:szCs w:val="21"/>
              </w:rPr>
              <w:t>与</w:t>
            </w:r>
            <w:r>
              <w:rPr>
                <w:rFonts w:ascii="宋体" w:hAnsi="宋体" w:cs="宋体" w:eastAsia="宋体" w:hint="default"/>
                <w:w w:val="100"/>
                <w:sz w:val="21"/>
                <w:szCs w:val="21"/>
              </w:rPr>
              <w:t>产</w:t>
            </w:r>
            <w:r>
              <w:rPr>
                <w:rFonts w:ascii="宋体" w:hAnsi="宋体" w:cs="宋体" w:eastAsia="宋体" w:hint="default"/>
                <w:spacing w:val="-3"/>
                <w:w w:val="100"/>
                <w:sz w:val="21"/>
                <w:szCs w:val="21"/>
              </w:rPr>
              <w:t>业</w:t>
            </w:r>
            <w:r>
              <w:rPr>
                <w:rFonts w:ascii="宋体" w:hAnsi="宋体" w:cs="宋体" w:eastAsia="宋体" w:hint="default"/>
                <w:w w:val="100"/>
                <w:sz w:val="21"/>
                <w:szCs w:val="21"/>
              </w:rPr>
              <w:t>化</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816</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10</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pacing w:val="-3"/>
                <w:sz w:val="21"/>
                <w:szCs w:val="21"/>
              </w:rPr>
              <w:t>万元；不动产登记系统产品研发及产业化项目 </w:t>
            </w:r>
            <w:r>
              <w:rPr>
                <w:rFonts w:ascii="Times New Roman" w:hAnsi="Times New Roman" w:cs="Times New Roman" w:eastAsia="Times New Roman" w:hint="default"/>
                <w:sz w:val="21"/>
                <w:szCs w:val="21"/>
              </w:rPr>
              <w:t>2,379.52</w:t>
            </w:r>
            <w:r>
              <w:rPr>
                <w:rFonts w:ascii="Times New Roman" w:hAnsi="Times New Roman" w:cs="Times New Roman" w:eastAsia="Times New Roman" w:hint="default"/>
                <w:spacing w:val="14"/>
                <w:sz w:val="21"/>
                <w:szCs w:val="21"/>
              </w:rPr>
              <w:t> </w:t>
            </w:r>
            <w:r>
              <w:rPr>
                <w:rFonts w:ascii="宋体" w:hAnsi="宋体" w:cs="宋体" w:eastAsia="宋体" w:hint="default"/>
                <w:spacing w:val="-3"/>
                <w:sz w:val="21"/>
                <w:szCs w:val="21"/>
              </w:rPr>
              <w:t>万元；智慧城市空间共享框架</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研发及产业化项目</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2,128.43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94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7" w:right="38"/>
              <w:jc w:val="center"/>
              <w:rPr>
                <w:rFonts w:ascii="宋体" w:hAnsi="宋体" w:cs="宋体" w:eastAsia="宋体" w:hint="default"/>
                <w:sz w:val="21"/>
                <w:szCs w:val="21"/>
              </w:rPr>
            </w:pPr>
            <w:r>
              <w:rPr>
                <w:rFonts w:ascii="宋体" w:hAnsi="宋体" w:cs="宋体" w:eastAsia="宋体" w:hint="default"/>
                <w:spacing w:val="-2"/>
                <w:sz w:val="21"/>
                <w:szCs w:val="21"/>
              </w:rPr>
              <w:t>用闲置募集资金暂</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时补充流动资金情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94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7" w:right="38"/>
              <w:jc w:val="center"/>
              <w:rPr>
                <w:rFonts w:ascii="宋体" w:hAnsi="宋体" w:cs="宋体" w:eastAsia="宋体" w:hint="default"/>
                <w:sz w:val="21"/>
                <w:szCs w:val="21"/>
              </w:rPr>
            </w:pPr>
            <w:r>
              <w:rPr>
                <w:rFonts w:ascii="宋体" w:hAnsi="宋体" w:cs="宋体" w:eastAsia="宋体" w:hint="default"/>
                <w:spacing w:val="-2"/>
                <w:sz w:val="21"/>
                <w:szCs w:val="21"/>
              </w:rPr>
              <w:t>项目实施出现募集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资金结余的金额及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原因</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63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8" w:right="38" w:hanging="212"/>
              <w:jc w:val="left"/>
              <w:rPr>
                <w:rFonts w:ascii="宋体" w:hAnsi="宋体" w:cs="宋体" w:eastAsia="宋体" w:hint="default"/>
                <w:sz w:val="21"/>
                <w:szCs w:val="21"/>
              </w:rPr>
            </w:pPr>
            <w:r>
              <w:rPr>
                <w:rFonts w:ascii="宋体" w:hAnsi="宋体" w:cs="宋体" w:eastAsia="宋体" w:hint="default"/>
                <w:sz w:val="21"/>
                <w:szCs w:val="21"/>
              </w:rPr>
              <w:t>尚未使用的募集资</w:t>
            </w:r>
            <w:r>
              <w:rPr>
                <w:rFonts w:ascii="宋体" w:hAnsi="宋体" w:cs="宋体" w:eastAsia="宋体" w:hint="default"/>
                <w:w w:val="100"/>
                <w:sz w:val="21"/>
                <w:szCs w:val="21"/>
              </w:rPr>
              <w:t> </w:t>
            </w:r>
            <w:r>
              <w:rPr>
                <w:rFonts w:ascii="宋体" w:hAnsi="宋体" w:cs="宋体" w:eastAsia="宋体" w:hint="default"/>
                <w:sz w:val="21"/>
                <w:szCs w:val="21"/>
              </w:rPr>
              <w:t>金用途及去向</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94"/>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日，公司尚未使用的募集资金存放于公司募集资金专用账户内</w:t>
            </w:r>
            <w:r>
              <w:rPr>
                <w:rFonts w:ascii="宋体" w:hAnsi="宋体" w:cs="宋体" w:eastAsia="宋体" w:hint="default"/>
                <w:w w:val="100"/>
                <w:sz w:val="21"/>
                <w:szCs w:val="21"/>
              </w:rPr>
              <w:t> </w:t>
            </w:r>
            <w:r>
              <w:rPr>
                <w:rFonts w:ascii="宋体" w:hAnsi="宋体" w:cs="宋体" w:eastAsia="宋体" w:hint="default"/>
                <w:sz w:val="21"/>
                <w:szCs w:val="21"/>
              </w:rPr>
              <w:t>以及部分进行现金管理。</w:t>
            </w:r>
          </w:p>
        </w:tc>
      </w:tr>
      <w:tr>
        <w:trPr>
          <w:trHeight w:val="94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7" w:right="38"/>
              <w:jc w:val="center"/>
              <w:rPr>
                <w:rFonts w:ascii="宋体" w:hAnsi="宋体" w:cs="宋体" w:eastAsia="宋体" w:hint="default"/>
                <w:sz w:val="21"/>
                <w:szCs w:val="21"/>
              </w:rPr>
            </w:pPr>
            <w:r>
              <w:rPr>
                <w:rFonts w:ascii="宋体" w:hAnsi="宋体" w:cs="宋体" w:eastAsia="宋体" w:hint="default"/>
                <w:spacing w:val="-2"/>
                <w:sz w:val="21"/>
                <w:szCs w:val="21"/>
              </w:rPr>
              <w:t>募集资金使用及披</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露中存在的问题或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其他情况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56" w:lineRule="auto" w:before="28"/>
        <w:ind w:left="153" w:right="566" w:firstLine="0"/>
        <w:jc w:val="both"/>
        <w:rPr>
          <w:rFonts w:ascii="宋体" w:hAnsi="宋体" w:cs="宋体" w:eastAsia="宋体" w:hint="default"/>
          <w:sz w:val="21"/>
          <w:szCs w:val="21"/>
        </w:rPr>
      </w:pPr>
      <w:r>
        <w:rPr>
          <w:rFonts w:ascii="宋体" w:hAnsi="宋体" w:cs="宋体" w:eastAsia="宋体" w:hint="default"/>
          <w:w w:val="100"/>
          <w:sz w:val="21"/>
          <w:szCs w:val="21"/>
        </w:rPr>
        <w:t>注</w:t>
      </w:r>
      <w:r>
        <w:rPr>
          <w:rFonts w:ascii="宋体" w:hAnsi="宋体" w:cs="宋体" w:eastAsia="宋体" w:hint="default"/>
          <w:spacing w:val="19"/>
          <w:w w:val="100"/>
          <w:sz w:val="21"/>
          <w:szCs w:val="21"/>
        </w:rPr>
        <w:t> </w:t>
      </w:r>
      <w:r>
        <w:rPr>
          <w:rFonts w:ascii="Times New Roman" w:hAnsi="Times New Roman" w:cs="Times New Roman" w:eastAsia="Times New Roman" w:hint="default"/>
          <w:spacing w:val="-4"/>
          <w:w w:val="100"/>
          <w:sz w:val="21"/>
          <w:szCs w:val="21"/>
        </w:rPr>
        <w:t>1</w:t>
      </w:r>
      <w:r>
        <w:rPr>
          <w:rFonts w:ascii="宋体" w:hAnsi="宋体" w:cs="宋体" w:eastAsia="宋体" w:hint="default"/>
          <w:spacing w:val="-4"/>
          <w:w w:val="100"/>
          <w:sz w:val="21"/>
          <w:szCs w:val="21"/>
        </w:rPr>
        <w:t>：根据《发行股份及支付现金购买资产并募集配套资金暨关联交易报告书（修订稿）》</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以下简称</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3"/>
          <w:sz w:val="21"/>
          <w:szCs w:val="21"/>
        </w:rPr>
        <w:t>报告书</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“SuperMap</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GIS9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基础软件研发与产业化项目</w:t>
      </w:r>
      <w:r>
        <w:rPr>
          <w:rFonts w:ascii="Times New Roman" w:hAnsi="Times New Roman" w:cs="Times New Roman" w:eastAsia="Times New Roman" w:hint="default"/>
          <w:sz w:val="21"/>
          <w:szCs w:val="21"/>
        </w:rPr>
        <w:t>”</w:t>
      </w:r>
      <w:r>
        <w:rPr>
          <w:rFonts w:ascii="宋体" w:hAnsi="宋体" w:cs="宋体" w:eastAsia="宋体" w:hint="default"/>
          <w:sz w:val="21"/>
          <w:szCs w:val="21"/>
        </w:rPr>
        <w:t>总体完成建设满负荷运营后预计年营业收入可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达</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7,670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万元，税后内部收益率为</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13.09%</w:t>
      </w:r>
      <w:r>
        <w:rPr>
          <w:rFonts w:ascii="宋体" w:hAnsi="宋体" w:cs="宋体" w:eastAsia="宋体" w:hint="default"/>
          <w:sz w:val="21"/>
          <w:szCs w:val="21"/>
        </w:rPr>
        <w:t>，税后投资回收期</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6.68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年度实现收入</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1,134.15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w:t>
      </w:r>
    </w:p>
    <w:p>
      <w:pPr>
        <w:spacing w:before="5"/>
        <w:ind w:left="153" w:right="0" w:firstLine="0"/>
        <w:jc w:val="both"/>
        <w:rPr>
          <w:rFonts w:ascii="宋体" w:hAnsi="宋体" w:cs="宋体" w:eastAsia="宋体" w:hint="default"/>
          <w:sz w:val="21"/>
          <w:szCs w:val="21"/>
        </w:rPr>
      </w:pPr>
      <w:r>
        <w:rPr>
          <w:rFonts w:ascii="宋体" w:hAnsi="宋体" w:cs="宋体" w:eastAsia="宋体" w:hint="default"/>
          <w:sz w:val="21"/>
          <w:szCs w:val="21"/>
        </w:rPr>
        <w:t>元，净利润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155.11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日，募投项目尚未投资建设完毕。</w:t>
      </w:r>
    </w:p>
    <w:p>
      <w:pPr>
        <w:spacing w:line="259" w:lineRule="auto" w:before="62"/>
        <w:ind w:left="153" w:right="566"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：根据报告书，</w:t>
      </w:r>
      <w:r>
        <w:rPr>
          <w:rFonts w:ascii="Times New Roman" w:hAnsi="Times New Roman" w:cs="Times New Roman" w:eastAsia="Times New Roman" w:hint="default"/>
          <w:sz w:val="21"/>
          <w:szCs w:val="21"/>
        </w:rPr>
        <w:t>“</w:t>
      </w:r>
      <w:r>
        <w:rPr>
          <w:rFonts w:ascii="宋体" w:hAnsi="宋体" w:cs="宋体" w:eastAsia="宋体" w:hint="default"/>
          <w:sz w:val="21"/>
          <w:szCs w:val="21"/>
        </w:rPr>
        <w:t>不动产登记系统产品研发及产业化项目</w:t>
      </w:r>
      <w:r>
        <w:rPr>
          <w:rFonts w:ascii="Times New Roman" w:hAnsi="Times New Roman" w:cs="Times New Roman" w:eastAsia="Times New Roman" w:hint="default"/>
          <w:sz w:val="21"/>
          <w:szCs w:val="21"/>
        </w:rPr>
        <w:t>”</w:t>
      </w:r>
      <w:r>
        <w:rPr>
          <w:rFonts w:ascii="宋体" w:hAnsi="宋体" w:cs="宋体" w:eastAsia="宋体" w:hint="default"/>
          <w:sz w:val="21"/>
          <w:szCs w:val="21"/>
        </w:rPr>
        <w:t>总体完成建设满负荷运营后预计年营业</w:t>
      </w:r>
      <w:r>
        <w:rPr>
          <w:rFonts w:ascii="宋体" w:hAnsi="宋体" w:cs="宋体" w:eastAsia="宋体" w:hint="default"/>
          <w:w w:val="100"/>
          <w:sz w:val="21"/>
          <w:szCs w:val="21"/>
        </w:rPr>
        <w:t> </w:t>
      </w:r>
      <w:r>
        <w:rPr>
          <w:rFonts w:ascii="宋体" w:hAnsi="宋体" w:cs="宋体" w:eastAsia="宋体" w:hint="default"/>
          <w:spacing w:val="-1"/>
          <w:w w:val="100"/>
          <w:sz w:val="21"/>
          <w:szCs w:val="21"/>
        </w:rPr>
        <w:t>收入可达</w:t>
      </w:r>
      <w:r>
        <w:rPr>
          <w:rFonts w:ascii="宋体" w:hAnsi="宋体" w:cs="宋体" w:eastAsia="宋体" w:hint="default"/>
          <w:spacing w:val="-65"/>
          <w:w w:val="100"/>
          <w:sz w:val="21"/>
          <w:szCs w:val="21"/>
        </w:rPr>
        <w:t> </w:t>
      </w:r>
      <w:r>
        <w:rPr>
          <w:rFonts w:ascii="Times New Roman" w:hAnsi="Times New Roman" w:cs="Times New Roman" w:eastAsia="Times New Roman" w:hint="default"/>
          <w:w w:val="100"/>
          <w:sz w:val="21"/>
          <w:szCs w:val="21"/>
        </w:rPr>
        <w:t>7,200</w:t>
      </w:r>
      <w:r>
        <w:rPr>
          <w:rFonts w:ascii="Times New Roman" w:hAnsi="Times New Roman" w:cs="Times New Roman" w:eastAsia="Times New Roman" w:hint="default"/>
          <w:spacing w:val="-15"/>
          <w:w w:val="100"/>
          <w:sz w:val="21"/>
          <w:szCs w:val="21"/>
        </w:rPr>
        <w:t> </w:t>
      </w:r>
      <w:r>
        <w:rPr>
          <w:rFonts w:ascii="宋体" w:hAnsi="宋体" w:cs="宋体" w:eastAsia="宋体" w:hint="default"/>
          <w:spacing w:val="-11"/>
          <w:w w:val="100"/>
          <w:sz w:val="21"/>
          <w:szCs w:val="21"/>
        </w:rPr>
        <w:t>万元，税后内部收益率为</w:t>
      </w:r>
      <w:r>
        <w:rPr>
          <w:rFonts w:ascii="宋体" w:hAnsi="宋体" w:cs="宋体" w:eastAsia="宋体" w:hint="default"/>
          <w:spacing w:val="-65"/>
          <w:w w:val="100"/>
          <w:sz w:val="21"/>
          <w:szCs w:val="21"/>
        </w:rPr>
        <w:t> </w:t>
      </w:r>
      <w:r>
        <w:rPr>
          <w:rFonts w:ascii="Times New Roman" w:hAnsi="Times New Roman" w:cs="Times New Roman" w:eastAsia="Times New Roman" w:hint="default"/>
          <w:spacing w:val="-9"/>
          <w:w w:val="100"/>
          <w:sz w:val="21"/>
          <w:szCs w:val="21"/>
        </w:rPr>
        <w:t>12.91%</w:t>
      </w:r>
      <w:r>
        <w:rPr>
          <w:rFonts w:ascii="宋体" w:hAnsi="宋体" w:cs="宋体" w:eastAsia="宋体" w:hint="default"/>
          <w:spacing w:val="-9"/>
          <w:w w:val="100"/>
          <w:sz w:val="21"/>
          <w:szCs w:val="21"/>
        </w:rPr>
        <w:t>，税后投资回收期</w:t>
      </w:r>
      <w:r>
        <w:rPr>
          <w:rFonts w:ascii="宋体" w:hAnsi="宋体" w:cs="宋体" w:eastAsia="宋体" w:hint="default"/>
          <w:spacing w:val="-65"/>
          <w:w w:val="100"/>
          <w:sz w:val="21"/>
          <w:szCs w:val="21"/>
        </w:rPr>
        <w:t> </w:t>
      </w:r>
      <w:r>
        <w:rPr>
          <w:rFonts w:ascii="Times New Roman" w:hAnsi="Times New Roman" w:cs="Times New Roman" w:eastAsia="Times New Roman" w:hint="default"/>
          <w:w w:val="100"/>
          <w:sz w:val="21"/>
          <w:szCs w:val="21"/>
        </w:rPr>
        <w:t>6.16</w:t>
      </w:r>
      <w:r>
        <w:rPr>
          <w:rFonts w:ascii="Times New Roman" w:hAnsi="Times New Roman" w:cs="Times New Roman" w:eastAsia="Times New Roman" w:hint="default"/>
          <w:spacing w:val="-15"/>
          <w:w w:val="100"/>
          <w:sz w:val="21"/>
          <w:szCs w:val="21"/>
        </w:rPr>
        <w:t> </w:t>
      </w:r>
      <w:r>
        <w:rPr>
          <w:rFonts w:ascii="宋体" w:hAnsi="宋体" w:cs="宋体" w:eastAsia="宋体" w:hint="default"/>
          <w:spacing w:val="-18"/>
          <w:w w:val="100"/>
          <w:sz w:val="21"/>
          <w:szCs w:val="21"/>
        </w:rPr>
        <w:t>年。</w:t>
      </w:r>
      <w:r>
        <w:rPr>
          <w:rFonts w:ascii="Times New Roman" w:hAnsi="Times New Roman" w:cs="Times New Roman" w:eastAsia="Times New Roman" w:hint="default"/>
          <w:spacing w:val="-18"/>
          <w:w w:val="100"/>
          <w:sz w:val="21"/>
          <w:szCs w:val="21"/>
        </w:rPr>
        <w:t>2017</w:t>
      </w:r>
      <w:r>
        <w:rPr>
          <w:rFonts w:ascii="Times New Roman" w:hAnsi="Times New Roman" w:cs="Times New Roman" w:eastAsia="Times New Roman" w:hint="default"/>
          <w:spacing w:val="-13"/>
          <w:w w:val="100"/>
          <w:sz w:val="21"/>
          <w:szCs w:val="21"/>
        </w:rPr>
        <w:t> </w:t>
      </w:r>
      <w:r>
        <w:rPr>
          <w:rFonts w:ascii="宋体" w:hAnsi="宋体" w:cs="宋体" w:eastAsia="宋体" w:hint="default"/>
          <w:spacing w:val="-1"/>
          <w:w w:val="100"/>
          <w:sz w:val="21"/>
          <w:szCs w:val="21"/>
        </w:rPr>
        <w:t>年度实现收入</w:t>
      </w:r>
      <w:r>
        <w:rPr>
          <w:rFonts w:ascii="宋体" w:hAnsi="宋体" w:cs="宋体" w:eastAsia="宋体" w:hint="default"/>
          <w:spacing w:val="-69"/>
          <w:w w:val="100"/>
          <w:sz w:val="21"/>
          <w:szCs w:val="21"/>
        </w:rPr>
        <w:t> </w:t>
      </w:r>
      <w:r>
        <w:rPr>
          <w:rFonts w:ascii="Times New Roman" w:hAnsi="Times New Roman" w:cs="Times New Roman" w:eastAsia="Times New Roman" w:hint="default"/>
          <w:spacing w:val="-1"/>
          <w:w w:val="100"/>
          <w:sz w:val="21"/>
          <w:szCs w:val="21"/>
        </w:rPr>
        <w:t>23,427.76</w:t>
      </w:r>
    </w:p>
    <w:p>
      <w:pPr>
        <w:spacing w:before="2"/>
        <w:ind w:left="153" w:right="0" w:firstLine="0"/>
        <w:jc w:val="both"/>
        <w:rPr>
          <w:rFonts w:ascii="宋体" w:hAnsi="宋体" w:cs="宋体" w:eastAsia="宋体" w:hint="default"/>
          <w:sz w:val="21"/>
          <w:szCs w:val="21"/>
        </w:rPr>
      </w:pPr>
      <w:r>
        <w:rPr>
          <w:rFonts w:ascii="宋体" w:hAnsi="宋体" w:cs="宋体" w:eastAsia="宋体" w:hint="default"/>
          <w:sz w:val="21"/>
          <w:szCs w:val="21"/>
        </w:rPr>
        <w:t>万元，净利润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3,821.55 </w:t>
      </w:r>
      <w:r>
        <w:rPr>
          <w:rFonts w:ascii="宋体" w:hAnsi="宋体" w:cs="宋体" w:eastAsia="宋体" w:hint="default"/>
          <w:sz w:val="21"/>
          <w:szCs w:val="21"/>
        </w:rPr>
        <w:t>万元。截止</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日，募投项目尚未投资建设完毕。</w:t>
      </w:r>
    </w:p>
    <w:p>
      <w:pPr>
        <w:spacing w:line="256" w:lineRule="auto" w:before="59"/>
        <w:ind w:left="153" w:right="566" w:firstLine="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：根据报告书，</w:t>
      </w:r>
      <w:r>
        <w:rPr>
          <w:rFonts w:ascii="Times New Roman" w:hAnsi="Times New Roman" w:cs="Times New Roman" w:eastAsia="Times New Roman" w:hint="default"/>
          <w:sz w:val="21"/>
          <w:szCs w:val="21"/>
        </w:rPr>
        <w:t>“</w:t>
      </w:r>
      <w:r>
        <w:rPr>
          <w:rFonts w:ascii="宋体" w:hAnsi="宋体" w:cs="宋体" w:eastAsia="宋体" w:hint="default"/>
          <w:sz w:val="21"/>
          <w:szCs w:val="21"/>
        </w:rPr>
        <w:t>智慧城市空间共享框架研发及产业化项目</w:t>
      </w:r>
      <w:r>
        <w:rPr>
          <w:rFonts w:ascii="Times New Roman" w:hAnsi="Times New Roman" w:cs="Times New Roman" w:eastAsia="Times New Roman" w:hint="default"/>
          <w:sz w:val="21"/>
          <w:szCs w:val="21"/>
        </w:rPr>
        <w:t>”</w:t>
      </w:r>
      <w:r>
        <w:rPr>
          <w:rFonts w:ascii="宋体" w:hAnsi="宋体" w:cs="宋体" w:eastAsia="宋体" w:hint="default"/>
          <w:sz w:val="21"/>
          <w:szCs w:val="21"/>
        </w:rPr>
        <w:t>总体完成建设满负荷运营后预计年营</w:t>
      </w:r>
      <w:r>
        <w:rPr>
          <w:rFonts w:ascii="宋体" w:hAnsi="宋体" w:cs="宋体" w:eastAsia="宋体" w:hint="default"/>
          <w:w w:val="100"/>
          <w:sz w:val="21"/>
          <w:szCs w:val="21"/>
        </w:rPr>
        <w:t> </w:t>
      </w:r>
      <w:r>
        <w:rPr>
          <w:rFonts w:ascii="宋体" w:hAnsi="宋体" w:cs="宋体" w:eastAsia="宋体" w:hint="default"/>
          <w:sz w:val="21"/>
          <w:szCs w:val="21"/>
        </w:rPr>
        <w:t>业收入可达 </w:t>
      </w:r>
      <w:r>
        <w:rPr>
          <w:rFonts w:ascii="Times New Roman" w:hAnsi="Times New Roman" w:cs="Times New Roman" w:eastAsia="Times New Roman" w:hint="default"/>
          <w:sz w:val="21"/>
          <w:szCs w:val="21"/>
        </w:rPr>
        <w:t>7,500 </w:t>
      </w:r>
      <w:r>
        <w:rPr>
          <w:rFonts w:ascii="宋体" w:hAnsi="宋体" w:cs="宋体" w:eastAsia="宋体" w:hint="default"/>
          <w:sz w:val="21"/>
          <w:szCs w:val="21"/>
        </w:rPr>
        <w:t>万元，税后内部收益率为 </w:t>
      </w:r>
      <w:r>
        <w:rPr>
          <w:rFonts w:ascii="Times New Roman" w:hAnsi="Times New Roman" w:cs="Times New Roman" w:eastAsia="Times New Roman" w:hint="default"/>
          <w:sz w:val="21"/>
          <w:szCs w:val="21"/>
        </w:rPr>
        <w:t>12.85%</w:t>
      </w:r>
      <w:r>
        <w:rPr>
          <w:rFonts w:ascii="宋体" w:hAnsi="宋体" w:cs="宋体" w:eastAsia="宋体" w:hint="default"/>
          <w:sz w:val="21"/>
          <w:szCs w:val="21"/>
        </w:rPr>
        <w:t>，税后投资回收期 </w:t>
      </w:r>
      <w:r>
        <w:rPr>
          <w:rFonts w:ascii="Times New Roman" w:hAnsi="Times New Roman" w:cs="Times New Roman" w:eastAsia="Times New Roman" w:hint="default"/>
          <w:sz w:val="21"/>
          <w:szCs w:val="21"/>
        </w:rPr>
        <w:t>6.65 </w:t>
      </w:r>
      <w:r>
        <w:rPr>
          <w:rFonts w:ascii="宋体" w:hAnsi="宋体" w:cs="宋体" w:eastAsia="宋体" w:hint="default"/>
          <w:sz w:val="21"/>
          <w:szCs w:val="21"/>
        </w:rPr>
        <w:t>年。</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年度实现收入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11,774.41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万元，净利润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1,582.10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日，募投项目尚未投资建设完毕。</w:t>
      </w:r>
    </w:p>
    <w:p>
      <w:pPr>
        <w:spacing w:after="0" w:line="256" w:lineRule="auto"/>
        <w:jc w:val="both"/>
        <w:rPr>
          <w:rFonts w:ascii="宋体" w:hAnsi="宋体" w:cs="宋体" w:eastAsia="宋体" w:hint="default"/>
          <w:sz w:val="21"/>
          <w:szCs w:val="21"/>
        </w:rPr>
        <w:sectPr>
          <w:pgSz w:w="11910" w:h="16840"/>
          <w:pgMar w:header="877" w:footer="980" w:top="1100" w:bottom="1160" w:left="980" w:right="980"/>
        </w:sectPr>
      </w:pPr>
    </w:p>
    <w:p>
      <w:pPr>
        <w:spacing w:line="240" w:lineRule="auto" w:before="10"/>
        <w:rPr>
          <w:rFonts w:ascii="宋体" w:hAnsi="宋体" w:cs="宋体" w:eastAsia="宋体" w:hint="default"/>
          <w:sz w:val="25"/>
          <w:szCs w:val="25"/>
        </w:rPr>
      </w:pPr>
    </w:p>
    <w:p>
      <w:pPr>
        <w:pStyle w:val="Heading2"/>
        <w:spacing w:line="240" w:lineRule="auto" w:before="26"/>
        <w:ind w:right="98"/>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33"/>
          <w:szCs w:val="33"/>
        </w:rPr>
      </w:pPr>
    </w:p>
    <w:p>
      <w:pPr>
        <w:pStyle w:val="BodyText"/>
        <w:spacing w:line="338" w:lineRule="auto" w:before="0"/>
        <w:ind w:left="633" w:right="4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公司报告期不存在募集资金变更项目情况。</w:t>
      </w:r>
    </w:p>
    <w:p>
      <w:pPr>
        <w:spacing w:line="240" w:lineRule="auto" w:before="4"/>
        <w:rPr>
          <w:rFonts w:ascii="宋体" w:hAnsi="宋体" w:cs="宋体" w:eastAsia="宋体" w:hint="default"/>
          <w:sz w:val="21"/>
          <w:szCs w:val="21"/>
        </w:rPr>
      </w:pPr>
    </w:p>
    <w:p>
      <w:pPr>
        <w:pStyle w:val="Heading2"/>
        <w:spacing w:line="240" w:lineRule="auto"/>
        <w:ind w:right="98"/>
        <w:jc w:val="left"/>
        <w:rPr>
          <w:b w:val="0"/>
          <w:bCs w:val="0"/>
        </w:rPr>
      </w:pPr>
      <w:r>
        <w:rPr/>
        <w:t>六、重大资产和股权出售</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right="98"/>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633"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公司报告期未出售重大资产。</w:t>
      </w:r>
    </w:p>
    <w:p>
      <w:pPr>
        <w:spacing w:line="240" w:lineRule="auto" w:before="2"/>
        <w:rPr>
          <w:rFonts w:ascii="宋体" w:hAnsi="宋体" w:cs="宋体" w:eastAsia="宋体" w:hint="default"/>
          <w:sz w:val="27"/>
          <w:szCs w:val="27"/>
        </w:rPr>
      </w:pPr>
    </w:p>
    <w:p>
      <w:pPr>
        <w:pStyle w:val="Heading2"/>
        <w:spacing w:line="240" w:lineRule="auto"/>
        <w:ind w:right="98"/>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33"/>
          <w:szCs w:val="33"/>
        </w:rPr>
      </w:pPr>
    </w:p>
    <w:p>
      <w:pPr>
        <w:spacing w:line="499" w:lineRule="auto" w:before="0"/>
        <w:ind w:left="153" w:right="696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七、主要控股参股公司分析</w:t>
      </w:r>
      <w:r>
        <w:rPr>
          <w:rFonts w:ascii="宋体" w:hAnsi="宋体" w:cs="宋体" w:eastAsia="宋体" w:hint="default"/>
          <w:sz w:val="24"/>
          <w:szCs w:val="24"/>
        </w:rPr>
      </w:r>
    </w:p>
    <w:p>
      <w:pPr>
        <w:pStyle w:val="BodyText"/>
        <w:spacing w:line="240" w:lineRule="auto" w:before="115"/>
        <w:ind w:left="633"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6"/>
        <w:ind w:right="98" w:firstLine="480"/>
        <w:jc w:val="left"/>
      </w:pPr>
      <w:r>
        <w:rPr>
          <w:spacing w:val="-3"/>
        </w:rPr>
        <w:t>目前，公司有</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spacing w:val="-3"/>
        </w:rPr>
        <w:t>家全资子公司（超图信息、超图国际、克拉玛依超图、上海超途、山东</w:t>
      </w:r>
      <w:r>
        <w:rPr/>
        <w:t> </w:t>
      </w:r>
      <w:r>
        <w:rPr>
          <w:spacing w:val="-12"/>
        </w:rPr>
        <w:t>超图、超图数据、上海南康、南京国图、北京安图、上海数慧），</w:t>
      </w:r>
      <w:r>
        <w:rPr>
          <w:rFonts w:ascii="Times New Roman" w:hAnsi="Times New Roman" w:cs="Times New Roman" w:eastAsia="Times New Roman" w:hint="default"/>
          <w:spacing w:val="-12"/>
        </w:rPr>
        <w:t>5</w:t>
      </w:r>
      <w:r>
        <w:rPr>
          <w:rFonts w:ascii="Times New Roman" w:hAnsi="Times New Roman" w:cs="Times New Roman" w:eastAsia="Times New Roman" w:hint="default"/>
        </w:rPr>
        <w:t> </w:t>
      </w:r>
      <w:r>
        <w:rPr>
          <w:spacing w:val="-4"/>
        </w:rPr>
        <w:t>家全资孙公司（芜湖联智、</w:t>
      </w:r>
      <w:r>
        <w:rPr>
          <w:spacing w:val="-97"/>
        </w:rPr>
        <w:t> </w:t>
      </w:r>
      <w:r>
        <w:rPr>
          <w:spacing w:val="-97"/>
        </w:rPr>
      </w:r>
      <w:r>
        <w:rPr>
          <w:spacing w:val="-4"/>
        </w:rPr>
        <w:t>国图不动产、安图影文、浙江超图、河南超图），</w:t>
      </w:r>
      <w:r>
        <w:rPr>
          <w:rFonts w:ascii="Times New Roman" w:hAnsi="Times New Roman" w:cs="Times New Roman" w:eastAsia="Times New Roman" w:hint="default"/>
          <w:spacing w:val="-4"/>
        </w:rPr>
        <w:t>4</w:t>
      </w:r>
      <w:r>
        <w:rPr>
          <w:rFonts w:ascii="Times New Roman" w:hAnsi="Times New Roman" w:cs="Times New Roman" w:eastAsia="Times New Roman" w:hint="default"/>
          <w:spacing w:val="26"/>
        </w:rPr>
        <w:t> </w:t>
      </w:r>
      <w:r>
        <w:rPr>
          <w:spacing w:val="1"/>
        </w:rPr>
        <w:t>家控股孙公司（日本超图、地图慧科技、</w:t>
      </w:r>
      <w:r>
        <w:rPr>
          <w:spacing w:val="-112"/>
        </w:rPr>
        <w:t> </w:t>
      </w:r>
      <w:r>
        <w:rPr>
          <w:spacing w:val="-112"/>
        </w:rPr>
      </w:r>
      <w:r>
        <w:rPr>
          <w:spacing w:val="-1"/>
        </w:rPr>
        <w:t>嘉兴兴球、嘉兴兴图）和</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10"/>
        </w:rPr>
        <w:t>家参股子公司（浙江中科）。</w:t>
      </w:r>
    </w:p>
    <w:p>
      <w:pPr>
        <w:pStyle w:val="BodyText"/>
        <w:spacing w:line="240" w:lineRule="auto" w:before="27"/>
        <w:ind w:left="633" w:right="98"/>
        <w:jc w:val="left"/>
      </w:pPr>
      <w:r>
        <w:rPr>
          <w:spacing w:val="-4"/>
        </w:rPr>
        <w:t>报告期内，公司收购了上海数慧</w:t>
      </w:r>
      <w:r>
        <w:rPr>
          <w:spacing w:val="-58"/>
        </w:rPr>
        <w:t> </w:t>
      </w:r>
      <w:r>
        <w:rPr>
          <w:rFonts w:ascii="Times New Roman" w:hAnsi="Times New Roman" w:cs="Times New Roman" w:eastAsia="Times New Roman" w:hint="default"/>
          <w:spacing w:val="-4"/>
        </w:rPr>
        <w:t>100%</w:t>
      </w:r>
      <w:r>
        <w:rPr>
          <w:spacing w:val="-4"/>
        </w:rPr>
        <w:t>股权，具体情况请见公司于</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日披露</w:t>
      </w:r>
    </w:p>
    <w:p>
      <w:pPr>
        <w:pStyle w:val="BodyText"/>
        <w:spacing w:line="240" w:lineRule="auto" w:before="135"/>
        <w:ind w:right="98"/>
        <w:jc w:val="left"/>
      </w:pPr>
      <w:r>
        <w:rPr/>
        <w:t>巨潮资讯网相关公告。此外，超图信息于</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13 </w:t>
      </w:r>
      <w:r>
        <w:rPr/>
        <w:t>日新设立了浙江超图（具体情况见</w:t>
      </w:r>
    </w:p>
    <w:p>
      <w:pPr>
        <w:pStyle w:val="BodyText"/>
        <w:spacing w:line="338" w:lineRule="auto" w:before="135"/>
        <w:ind w:right="220"/>
        <w:jc w:val="left"/>
      </w:pPr>
      <w:r>
        <w:rPr/>
        <w:t>公司于</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22 </w:t>
      </w:r>
      <w:r>
        <w:rPr>
          <w:spacing w:val="-1"/>
        </w:rPr>
        <w:t>日披露巨潮资讯网的《</w:t>
      </w:r>
      <w:r>
        <w:rPr>
          <w:rFonts w:ascii="Times New Roman" w:hAnsi="Times New Roman" w:cs="Times New Roman" w:eastAsia="Times New Roman" w:hint="default"/>
          <w:spacing w:val="-1"/>
        </w:rPr>
        <w:t>2017</w:t>
      </w:r>
      <w:r>
        <w:rPr>
          <w:rFonts w:ascii="Times New Roman" w:hAnsi="Times New Roman" w:cs="Times New Roman" w:eastAsia="Times New Roman" w:hint="default"/>
        </w:rPr>
        <w:t> </w:t>
      </w:r>
      <w:r>
        <w:rPr>
          <w:spacing w:val="-12"/>
        </w:rPr>
        <w:t>年半年度报告》）以及于</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5 </w:t>
      </w:r>
      <w:r>
        <w:rPr/>
        <w:t>日 新设立了河南超图，河南超图具体信息如下：</w:t>
      </w:r>
    </w:p>
    <w:p>
      <w:pPr>
        <w:pStyle w:val="BodyText"/>
        <w:spacing w:line="357" w:lineRule="auto" w:before="56"/>
        <w:ind w:left="633" w:right="5146"/>
        <w:jc w:val="left"/>
        <w:rPr>
          <w:rFonts w:ascii="Times New Roman" w:hAnsi="Times New Roman" w:cs="Times New Roman" w:eastAsia="Times New Roman" w:hint="default"/>
        </w:rPr>
      </w:pPr>
      <w:r>
        <w:rPr/>
        <w:t>公司名称：河南超图信息技术有限公司 统一信用代码：</w:t>
      </w:r>
      <w:r>
        <w:rPr>
          <w:rFonts w:ascii="Times New Roman" w:hAnsi="Times New Roman" w:cs="Times New Roman" w:eastAsia="Times New Roman" w:hint="default"/>
          <w:color w:val="454545"/>
        </w:rPr>
        <w:t>91410100MA44CCKG4A</w:t>
      </w:r>
      <w:r>
        <w:rPr>
          <w:rFonts w:ascii="Times New Roman" w:hAnsi="Times New Roman" w:cs="Times New Roman" w:eastAsia="Times New Roman" w:hint="default"/>
        </w:rPr>
      </w:r>
    </w:p>
    <w:p>
      <w:pPr>
        <w:pStyle w:val="BodyText"/>
        <w:spacing w:line="357" w:lineRule="auto" w:before="5"/>
        <w:ind w:left="633" w:right="7154"/>
        <w:jc w:val="left"/>
      </w:pPr>
      <w:r>
        <w:rPr/>
        <w:t>法定代表人：杜庆娥 注册资本：</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w:t>
      </w:r>
    </w:p>
    <w:p>
      <w:pPr>
        <w:pStyle w:val="BodyText"/>
        <w:spacing w:line="357" w:lineRule="auto" w:before="5"/>
        <w:ind w:left="633" w:right="2893"/>
        <w:jc w:val="left"/>
        <w:rPr>
          <w:rFonts w:ascii="Times New Roman" w:hAnsi="Times New Roman" w:cs="Times New Roman" w:eastAsia="Times New Roman" w:hint="default"/>
        </w:rPr>
      </w:pPr>
      <w:r>
        <w:rPr/>
        <w:t>公司类型：有限责任公司（非自然人投资或控股的法人独资） 住所：郑州市郑东新区博学路</w:t>
      </w:r>
      <w:r>
        <w:rPr>
          <w:spacing w:val="-61"/>
        </w:rPr>
        <w:t> </w:t>
      </w:r>
      <w:r>
        <w:rPr>
          <w:rFonts w:ascii="Times New Roman" w:hAnsi="Times New Roman" w:cs="Times New Roman" w:eastAsia="Times New Roman" w:hint="default"/>
        </w:rPr>
        <w:t>227</w:t>
      </w:r>
      <w:r>
        <w:rPr>
          <w:rFonts w:ascii="Times New Roman" w:hAnsi="Times New Roman" w:cs="Times New Roman" w:eastAsia="Times New Roman" w:hint="default"/>
          <w:spacing w:val="-1"/>
        </w:rPr>
        <w:t> </w:t>
      </w:r>
      <w:r>
        <w:rPr/>
        <w:t>号正商学府广场</w:t>
      </w:r>
      <w:r>
        <w:rPr>
          <w:spacing w:val="-61"/>
        </w:rPr>
        <w:t> </w:t>
      </w:r>
      <w:r>
        <w:rPr>
          <w:rFonts w:ascii="Times New Roman" w:hAnsi="Times New Roman" w:cs="Times New Roman" w:eastAsia="Times New Roman" w:hint="default"/>
        </w:rPr>
        <w:t>1-301-8</w:t>
      </w:r>
    </w:p>
    <w:p>
      <w:pPr>
        <w:spacing w:after="0" w:line="357" w:lineRule="auto"/>
        <w:jc w:val="left"/>
        <w:rPr>
          <w:rFonts w:ascii="Times New Roman" w:hAnsi="Times New Roman" w:cs="Times New Roman" w:eastAsia="Times New Roman" w:hint="default"/>
        </w:rPr>
        <w:sectPr>
          <w:pgSz w:w="11910" w:h="16840"/>
          <w:pgMar w:header="877" w:footer="980" w:top="1100" w:bottom="1160" w:left="980" w:right="900"/>
        </w:sectPr>
      </w:pPr>
    </w:p>
    <w:p>
      <w:pPr>
        <w:spacing w:line="240" w:lineRule="auto" w:before="1"/>
        <w:rPr>
          <w:rFonts w:ascii="Times New Roman" w:hAnsi="Times New Roman" w:cs="Times New Roman" w:eastAsia="Times New Roman" w:hint="default"/>
          <w:sz w:val="29"/>
          <w:szCs w:val="29"/>
        </w:rPr>
      </w:pPr>
    </w:p>
    <w:p>
      <w:pPr>
        <w:pStyle w:val="BodyText"/>
        <w:spacing w:line="338" w:lineRule="auto" w:before="26"/>
        <w:ind w:left="733" w:right="853"/>
        <w:jc w:val="left"/>
      </w:pPr>
      <w:r>
        <w:rPr/>
        <w:t>营业期限：</w:t>
      </w:r>
      <w:r>
        <w:rPr>
          <w:rFonts w:ascii="Times New Roman" w:hAnsi="Times New Roman" w:cs="Times New Roman" w:eastAsia="Times New Roman" w:hint="default"/>
        </w:rPr>
        <w:t>2017-09-05</w:t>
      </w:r>
      <w:r>
        <w:rPr>
          <w:rFonts w:ascii="Times New Roman" w:hAnsi="Times New Roman" w:cs="Times New Roman" w:eastAsia="Times New Roman" w:hint="default"/>
          <w:spacing w:val="1"/>
        </w:rPr>
        <w:t> </w:t>
      </w:r>
      <w:r>
        <w:rPr/>
        <w:t>至无固定期限 经营范围：信息技术开发、技术咨询、技术服务、技术转让；计算机系统集成；批发零</w:t>
      </w:r>
    </w:p>
    <w:p>
      <w:pPr>
        <w:pStyle w:val="BodyText"/>
        <w:spacing w:line="357" w:lineRule="auto"/>
        <w:ind w:left="733" w:right="819" w:hanging="480"/>
        <w:jc w:val="left"/>
      </w:pPr>
      <w:r>
        <w:rPr/>
        <w:t>售：机械设备、五金交电、电子产品、计算机软件及辅助设备；图文设计。 </w:t>
      </w:r>
      <w:r>
        <w:rPr>
          <w:spacing w:val="-6"/>
        </w:rPr>
        <w:t>公司定位：作为区域总部，辐射河南、河北、山东、山西等省市，主要负责智慧城市（时</w:t>
      </w:r>
    </w:p>
    <w:p>
      <w:pPr>
        <w:pStyle w:val="BodyText"/>
        <w:spacing w:line="352" w:lineRule="auto" w:before="36"/>
        <w:ind w:left="253" w:right="831"/>
        <w:jc w:val="both"/>
      </w:pPr>
      <w:r>
        <w:rPr>
          <w:spacing w:val="-11"/>
          <w:w w:val="99"/>
        </w:rPr>
        <w:t>空云平台与城管）、不动产、公安应急、智慧气象、水利环保、</w:t>
      </w:r>
      <w:r>
        <w:rPr>
          <w:rFonts w:ascii="Times New Roman" w:hAnsi="Times New Roman" w:cs="Times New Roman" w:eastAsia="Times New Roman" w:hint="default"/>
          <w:spacing w:val="-11"/>
          <w:w w:val="99"/>
        </w:rPr>
        <w:t>BIM</w:t>
      </w:r>
      <w:r>
        <w:rPr>
          <w:rFonts w:ascii="Times New Roman" w:hAnsi="Times New Roman" w:cs="Times New Roman" w:eastAsia="Times New Roman" w:hint="default"/>
          <w:spacing w:val="25"/>
          <w:w w:val="99"/>
        </w:rPr>
        <w:t> </w:t>
      </w:r>
      <w:r>
        <w:rPr>
          <w:spacing w:val="-14"/>
        </w:rPr>
        <w:t>与三维设施（园区机场）、</w:t>
      </w:r>
      <w:r>
        <w:rPr>
          <w:spacing w:val="-116"/>
        </w:rPr>
        <w:t> </w:t>
      </w:r>
      <w:r>
        <w:rPr>
          <w:spacing w:val="-116"/>
        </w:rPr>
      </w:r>
      <w:r>
        <w:rPr/>
        <w:t>管线管廊的相关行业的大数据应用型软件技术产品的本地化设计、研发、销售、推广以及运 营服务，更好地服务中原区域的基于地理信息的信息化产业。该公司同时将充分利用郑州市 本地高校资源丰富的优势，建立研发、销售和服务一体化的运营模式，深度支撑郑州市产业 的升级转型和可持续发展的需要。</w:t>
      </w:r>
    </w:p>
    <w:p>
      <w:pPr>
        <w:pStyle w:val="BodyText"/>
        <w:spacing w:line="240" w:lineRule="auto" w:before="41"/>
        <w:ind w:left="733" w:right="853"/>
        <w:jc w:val="left"/>
      </w:pPr>
      <w:r>
        <w:rPr/>
        <w:t>主要子公司及对公司净利润影响达</w:t>
      </w:r>
      <w:r>
        <w:rPr>
          <w:spacing w:val="-61"/>
        </w:rPr>
        <w:t> </w:t>
      </w:r>
      <w:r>
        <w:rPr>
          <w:rFonts w:ascii="Times New Roman" w:hAnsi="Times New Roman" w:cs="Times New Roman" w:eastAsia="Times New Roman" w:hint="default"/>
        </w:rPr>
        <w:t>10%</w:t>
      </w:r>
      <w:r>
        <w:rPr/>
        <w:t>以上的参股公司情况。</w:t>
      </w:r>
    </w:p>
    <w:p>
      <w:pPr>
        <w:spacing w:line="240" w:lineRule="auto" w:before="5"/>
        <w:rPr>
          <w:rFonts w:ascii="宋体" w:hAnsi="宋体" w:cs="宋体" w:eastAsia="宋体" w:hint="default"/>
          <w:sz w:val="8"/>
          <w:szCs w:val="8"/>
        </w:rPr>
      </w:pPr>
    </w:p>
    <w:p>
      <w:pPr>
        <w:pStyle w:val="BodyText"/>
        <w:spacing w:line="240" w:lineRule="auto" w:before="26"/>
        <w:ind w:left="0" w:right="831"/>
        <w:jc w:val="right"/>
      </w:pPr>
      <w:r>
        <w:rPr/>
        <w:t>单位：元</w:t>
      </w:r>
    </w:p>
    <w:p>
      <w:pPr>
        <w:spacing w:line="240" w:lineRule="auto" w:before="1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567"/>
        <w:gridCol w:w="569"/>
        <w:gridCol w:w="2019"/>
        <w:gridCol w:w="533"/>
        <w:gridCol w:w="1419"/>
        <w:gridCol w:w="1416"/>
        <w:gridCol w:w="1417"/>
        <w:gridCol w:w="1277"/>
        <w:gridCol w:w="1274"/>
      </w:tblGrid>
      <w:tr>
        <w:trPr>
          <w:trHeight w:val="754"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7"/>
              <w:ind w:left="69" w:right="6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8"/>
              <w:ind w:left="69" w:right="65"/>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2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85"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7"/>
              <w:ind w:left="52" w:right="47"/>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1027" w:hRule="exact"/>
        </w:trPr>
        <w:tc>
          <w:tcPr>
            <w:tcW w:w="567" w:type="dxa"/>
            <w:tcBorders>
              <w:top w:val="single" w:sz="8" w:space="0" w:color="D2D2D2"/>
              <w:left w:val="single" w:sz="4" w:space="0" w:color="000000"/>
              <w:bottom w:val="single" w:sz="4" w:space="0" w:color="000000"/>
              <w:right w:val="single" w:sz="4" w:space="0" w:color="000000"/>
            </w:tcBorders>
          </w:tcPr>
          <w:p>
            <w:pPr>
              <w:pStyle w:val="TableParagraph"/>
              <w:spacing w:line="273" w:lineRule="auto" w:before="179"/>
              <w:ind w:left="24" w:right="108"/>
              <w:jc w:val="left"/>
              <w:rPr>
                <w:rFonts w:ascii="宋体" w:hAnsi="宋体" w:cs="宋体" w:eastAsia="宋体" w:hint="default"/>
                <w:sz w:val="21"/>
                <w:szCs w:val="21"/>
              </w:rPr>
            </w:pPr>
            <w:r>
              <w:rPr>
                <w:rFonts w:ascii="宋体" w:hAnsi="宋体" w:cs="宋体" w:eastAsia="宋体" w:hint="default"/>
                <w:sz w:val="21"/>
                <w:szCs w:val="21"/>
              </w:rPr>
              <w:t>超图</w:t>
            </w:r>
            <w:r>
              <w:rPr>
                <w:rFonts w:ascii="宋体" w:hAnsi="宋体" w:cs="宋体" w:eastAsia="宋体" w:hint="default"/>
                <w:spacing w:val="-103"/>
                <w:sz w:val="21"/>
                <w:szCs w:val="21"/>
              </w:rPr>
              <w:t> </w:t>
            </w:r>
            <w:r>
              <w:rPr>
                <w:rFonts w:ascii="宋体" w:hAnsi="宋体" w:cs="宋体" w:eastAsia="宋体" w:hint="default"/>
                <w:sz w:val="21"/>
                <w:szCs w:val="21"/>
              </w:rPr>
              <w:t>信息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
              <w:jc w:val="both"/>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12"/>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spacing w:val="-1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3" w:right="19"/>
              <w:jc w:val="both"/>
              <w:rPr>
                <w:rFonts w:ascii="宋体" w:hAnsi="宋体" w:cs="宋体" w:eastAsia="宋体" w:hint="default"/>
                <w:sz w:val="21"/>
                <w:szCs w:val="21"/>
              </w:rPr>
            </w:pPr>
            <w:r>
              <w:rPr>
                <w:rFonts w:ascii="宋体" w:hAnsi="宋体" w:cs="宋体" w:eastAsia="宋体" w:hint="default"/>
                <w:spacing w:val="13"/>
                <w:sz w:val="21"/>
                <w:szCs w:val="21"/>
              </w:rPr>
              <w:t>向安全部门提供</w:t>
            </w:r>
            <w:r>
              <w:rPr>
                <w:rFonts w:ascii="Times New Roman" w:hAnsi="Times New Roman" w:cs="Times New Roman" w:eastAsia="Times New Roman" w:hint="default"/>
                <w:spacing w:val="13"/>
                <w:sz w:val="21"/>
                <w:szCs w:val="21"/>
              </w:rPr>
              <w:t>GIS</w:t>
            </w:r>
            <w:r>
              <w:rPr>
                <w:rFonts w:ascii="Times New Roman" w:hAnsi="Times New Roman" w:cs="Times New Roman" w:eastAsia="Times New Roman" w:hint="default"/>
                <w:spacing w:val="-32"/>
                <w:sz w:val="21"/>
                <w:szCs w:val="21"/>
              </w:rPr>
              <w:t> </w:t>
            </w:r>
            <w:r>
              <w:rPr>
                <w:rFonts w:ascii="Times New Roman" w:hAnsi="Times New Roman" w:cs="Times New Roman" w:eastAsia="Times New Roman" w:hint="default"/>
                <w:spacing w:val="-32"/>
                <w:sz w:val="21"/>
                <w:szCs w:val="21"/>
              </w:rPr>
            </w:r>
            <w:r>
              <w:rPr>
                <w:rFonts w:ascii="宋体" w:hAnsi="宋体" w:cs="宋体" w:eastAsia="宋体" w:hint="default"/>
                <w:spacing w:val="5"/>
                <w:sz w:val="21"/>
                <w:szCs w:val="21"/>
              </w:rPr>
              <w:t>信息系统技术开发和</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相关平台产品的研发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0" w:lineRule="auto" w:before="23"/>
              <w:ind w:left="50"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72,233,027.04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38,075,424.14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140,338,171.33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21,418,764.10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2"/>
              <w:jc w:val="center"/>
              <w:rPr>
                <w:rFonts w:ascii="Times New Roman" w:hAnsi="Times New Roman" w:cs="Times New Roman" w:eastAsia="Times New Roman" w:hint="default"/>
                <w:sz w:val="21"/>
                <w:szCs w:val="21"/>
              </w:rPr>
            </w:pPr>
            <w:r>
              <w:rPr>
                <w:rFonts w:ascii="Times New Roman"/>
                <w:sz w:val="21"/>
              </w:rPr>
              <w:t>19,211,265.51</w:t>
            </w:r>
          </w:p>
        </w:tc>
      </w:tr>
      <w:tr>
        <w:trPr>
          <w:trHeight w:val="133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71" w:lineRule="auto"/>
              <w:ind w:left="24" w:right="108"/>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103"/>
                <w:sz w:val="21"/>
                <w:szCs w:val="21"/>
              </w:rPr>
              <w:t> </w:t>
            </w:r>
            <w:r>
              <w:rPr>
                <w:rFonts w:ascii="宋体" w:hAnsi="宋体" w:cs="宋体" w:eastAsia="宋体" w:hint="default"/>
                <w:sz w:val="21"/>
                <w:szCs w:val="21"/>
              </w:rPr>
              <w:t>南康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3" w:right="19"/>
              <w:jc w:val="both"/>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12"/>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spacing w:val="-1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28"/>
              <w:ind w:left="23" w:right="-3"/>
              <w:jc w:val="both"/>
              <w:rPr>
                <w:rFonts w:ascii="宋体" w:hAnsi="宋体" w:cs="宋体" w:eastAsia="宋体" w:hint="default"/>
                <w:sz w:val="21"/>
                <w:szCs w:val="21"/>
              </w:rPr>
            </w:pPr>
            <w:r>
              <w:rPr>
                <w:rFonts w:ascii="宋体" w:hAnsi="宋体" w:cs="宋体" w:eastAsia="宋体" w:hint="default"/>
                <w:spacing w:val="13"/>
                <w:sz w:val="21"/>
                <w:szCs w:val="21"/>
              </w:rPr>
              <w:t>房地产行业</w:t>
            </w:r>
            <w:r>
              <w:rPr>
                <w:rFonts w:ascii="Times New Roman" w:hAnsi="Times New Roman" w:cs="Times New Roman" w:eastAsia="Times New Roman" w:hint="default"/>
                <w:spacing w:val="13"/>
                <w:sz w:val="21"/>
                <w:szCs w:val="21"/>
              </w:rPr>
              <w:t>GIS</w:t>
            </w:r>
            <w:r>
              <w:rPr>
                <w:rFonts w:ascii="宋体" w:hAnsi="宋体" w:cs="宋体" w:eastAsia="宋体" w:hint="default"/>
                <w:spacing w:val="13"/>
                <w:sz w:val="21"/>
                <w:szCs w:val="21"/>
              </w:rPr>
              <w:t>技术</w:t>
            </w:r>
            <w:r>
              <w:rPr>
                <w:rFonts w:ascii="宋体" w:hAnsi="宋体" w:cs="宋体" w:eastAsia="宋体" w:hint="default"/>
                <w:spacing w:val="-83"/>
                <w:sz w:val="21"/>
                <w:szCs w:val="21"/>
              </w:rPr>
              <w:t> </w:t>
            </w:r>
            <w:r>
              <w:rPr>
                <w:rFonts w:ascii="宋体" w:hAnsi="宋体" w:cs="宋体" w:eastAsia="宋体" w:hint="default"/>
                <w:spacing w:val="-9"/>
                <w:sz w:val="21"/>
                <w:szCs w:val="21"/>
              </w:rPr>
              <w:t>开发及技术服务；</w:t>
            </w:r>
            <w:r>
              <w:rPr>
                <w:rFonts w:ascii="Times New Roman" w:hAnsi="Times New Roman" w:cs="Times New Roman" w:eastAsia="Times New Roman" w:hint="default"/>
                <w:spacing w:val="-9"/>
                <w:sz w:val="21"/>
                <w:szCs w:val="21"/>
              </w:rPr>
              <w:t>CAI</w:t>
            </w:r>
            <w:r>
              <w:rPr>
                <w:rFonts w:ascii="Times New Roman" w:hAnsi="Times New Roman" w:cs="Times New Roman" w:eastAsia="Times New Roman" w:hint="default"/>
                <w:spacing w:val="-32"/>
                <w:sz w:val="21"/>
                <w:szCs w:val="21"/>
              </w:rPr>
              <w:t> </w:t>
            </w:r>
            <w:r>
              <w:rPr>
                <w:rFonts w:ascii="Times New Roman" w:hAnsi="Times New Roman" w:cs="Times New Roman" w:eastAsia="Times New Roman" w:hint="default"/>
                <w:spacing w:val="-32"/>
                <w:sz w:val="21"/>
                <w:szCs w:val="21"/>
              </w:rPr>
            </w:r>
            <w:r>
              <w:rPr>
                <w:rFonts w:ascii="宋体" w:hAnsi="宋体" w:cs="宋体" w:eastAsia="宋体" w:hint="default"/>
                <w:spacing w:val="5"/>
                <w:sz w:val="21"/>
                <w:szCs w:val="21"/>
              </w:rPr>
              <w:t>数据采集平台软件研</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发与销售</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50"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0" w:lineRule="auto" w:before="21"/>
              <w:ind w:left="50"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78,642,341.03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63,701,158.70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98,860,951.79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16,340,474.03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14,167,463.69</w:t>
            </w:r>
          </w:p>
        </w:tc>
      </w:tr>
      <w:tr>
        <w:trPr>
          <w:trHeight w:val="227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24" w:right="108"/>
              <w:jc w:val="left"/>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pacing w:val="-103"/>
                <w:sz w:val="21"/>
                <w:szCs w:val="21"/>
              </w:rPr>
              <w:t> </w:t>
            </w:r>
            <w:r>
              <w:rPr>
                <w:rFonts w:ascii="宋体" w:hAnsi="宋体" w:cs="宋体" w:eastAsia="宋体" w:hint="default"/>
                <w:sz w:val="21"/>
                <w:szCs w:val="21"/>
              </w:rPr>
              <w:t>国图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23" w:right="19"/>
              <w:jc w:val="both"/>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12"/>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spacing w:val="-1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9"/>
              <w:jc w:val="both"/>
              <w:rPr>
                <w:rFonts w:ascii="宋体" w:hAnsi="宋体" w:cs="宋体" w:eastAsia="宋体" w:hint="default"/>
                <w:sz w:val="21"/>
                <w:szCs w:val="21"/>
              </w:rPr>
            </w:pPr>
            <w:r>
              <w:rPr>
                <w:rFonts w:ascii="宋体" w:hAnsi="宋体" w:cs="宋体" w:eastAsia="宋体" w:hint="default"/>
                <w:spacing w:val="5"/>
                <w:sz w:val="21"/>
                <w:szCs w:val="21"/>
              </w:rPr>
              <w:t>国土资源、不动产、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水利水资源、税务、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3"/>
                <w:sz w:val="21"/>
                <w:szCs w:val="21"/>
              </w:rPr>
              <w:t>农业等领域的</w:t>
            </w:r>
            <w:r>
              <w:rPr>
                <w:rFonts w:ascii="Times New Roman" w:hAnsi="Times New Roman" w:cs="Times New Roman" w:eastAsia="Times New Roman" w:hint="default"/>
                <w:spacing w:val="13"/>
                <w:sz w:val="21"/>
                <w:szCs w:val="21"/>
              </w:rPr>
              <w:t>GIS</w:t>
            </w:r>
            <w:r>
              <w:rPr>
                <w:rFonts w:ascii="宋体" w:hAnsi="宋体" w:cs="宋体" w:eastAsia="宋体" w:hint="default"/>
                <w:spacing w:val="13"/>
                <w:sz w:val="21"/>
                <w:szCs w:val="21"/>
              </w:rPr>
              <w:t>与</w:t>
            </w:r>
            <w:r>
              <w:rPr>
                <w:rFonts w:ascii="宋体" w:hAnsi="宋体" w:cs="宋体" w:eastAsia="宋体" w:hint="default"/>
                <w:spacing w:val="-83"/>
                <w:sz w:val="21"/>
                <w:szCs w:val="21"/>
              </w:rPr>
              <w:t> </w:t>
            </w:r>
            <w:r>
              <w:rPr>
                <w:rFonts w:ascii="宋体" w:hAnsi="宋体" w:cs="宋体" w:eastAsia="宋体" w:hint="default"/>
                <w:spacing w:val="5"/>
                <w:sz w:val="21"/>
                <w:szCs w:val="21"/>
              </w:rPr>
              <w:t>电子政务软件、数据</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工程、测绘工程、地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图服务及规划设计等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业务</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0"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0" w:lineRule="auto" w:before="23"/>
              <w:ind w:left="50"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232,495,852.47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155,161,313.79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289,792,207.41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46,573,930.31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47,171,984.71</w:t>
            </w:r>
          </w:p>
        </w:tc>
      </w:tr>
      <w:tr>
        <w:trPr>
          <w:trHeight w:val="196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1" w:lineRule="auto"/>
              <w:ind w:left="24" w:right="108"/>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安图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1" w:lineRule="auto"/>
              <w:ind w:left="23" w:right="19"/>
              <w:jc w:val="both"/>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12"/>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spacing w:val="-1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9"/>
              <w:jc w:val="both"/>
              <w:rPr>
                <w:rFonts w:ascii="宋体" w:hAnsi="宋体" w:cs="宋体" w:eastAsia="宋体" w:hint="default"/>
                <w:sz w:val="21"/>
                <w:szCs w:val="21"/>
              </w:rPr>
            </w:pPr>
            <w:r>
              <w:rPr>
                <w:rFonts w:ascii="宋体" w:hAnsi="宋体" w:cs="宋体" w:eastAsia="宋体" w:hint="default"/>
                <w:spacing w:val="5"/>
                <w:sz w:val="21"/>
                <w:szCs w:val="21"/>
              </w:rPr>
              <w:t>数据获取与加工、地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理</w:t>
            </w:r>
            <w:r>
              <w:rPr>
                <w:rFonts w:ascii="宋体" w:hAnsi="宋体" w:cs="宋体" w:eastAsia="宋体" w:hint="default"/>
                <w:spacing w:val="-64"/>
                <w:sz w:val="21"/>
                <w:szCs w:val="21"/>
              </w:rPr>
              <w:t> </w:t>
            </w: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息</w:t>
            </w:r>
            <w:r>
              <w:rPr>
                <w:rFonts w:ascii="宋体" w:hAnsi="宋体" w:cs="宋体" w:eastAsia="宋体" w:hint="default"/>
                <w:spacing w:val="-66"/>
                <w:sz w:val="21"/>
                <w:szCs w:val="21"/>
              </w:rPr>
              <w:t> </w:t>
            </w:r>
            <w:r>
              <w:rPr>
                <w:rFonts w:ascii="宋体" w:hAnsi="宋体" w:cs="宋体" w:eastAsia="宋体" w:hint="default"/>
                <w:sz w:val="21"/>
                <w:szCs w:val="21"/>
              </w:rPr>
              <w:t>三</w:t>
            </w:r>
            <w:r>
              <w:rPr>
                <w:rFonts w:ascii="宋体" w:hAnsi="宋体" w:cs="宋体" w:eastAsia="宋体" w:hint="default"/>
                <w:spacing w:val="-64"/>
                <w:sz w:val="21"/>
                <w:szCs w:val="21"/>
              </w:rPr>
              <w:t> </w:t>
            </w:r>
            <w:r>
              <w:rPr>
                <w:rFonts w:ascii="宋体" w:hAnsi="宋体" w:cs="宋体" w:eastAsia="宋体" w:hint="default"/>
                <w:sz w:val="21"/>
                <w:szCs w:val="21"/>
              </w:rPr>
              <w:t>维</w:t>
            </w:r>
            <w:r>
              <w:rPr>
                <w:rFonts w:ascii="宋体" w:hAnsi="宋体" w:cs="宋体" w:eastAsia="宋体" w:hint="default"/>
                <w:spacing w:val="-66"/>
                <w:sz w:val="21"/>
                <w:szCs w:val="21"/>
              </w:rPr>
              <w:t> </w:t>
            </w:r>
            <w:r>
              <w:rPr>
                <w:rFonts w:ascii="宋体" w:hAnsi="宋体" w:cs="宋体" w:eastAsia="宋体" w:hint="default"/>
                <w:sz w:val="21"/>
                <w:szCs w:val="21"/>
              </w:rPr>
              <w:t>平</w:t>
            </w:r>
            <w:r>
              <w:rPr>
                <w:rFonts w:ascii="宋体" w:hAnsi="宋体" w:cs="宋体" w:eastAsia="宋体" w:hint="default"/>
                <w:spacing w:val="-66"/>
                <w:sz w:val="21"/>
                <w:szCs w:val="21"/>
              </w:rPr>
              <w:t> </w:t>
            </w:r>
            <w:r>
              <w:rPr>
                <w:rFonts w:ascii="宋体" w:hAnsi="宋体" w:cs="宋体" w:eastAsia="宋体" w:hint="default"/>
                <w:sz w:val="21"/>
                <w:szCs w:val="21"/>
              </w:rPr>
              <w:t>台</w:t>
            </w:r>
            <w:r>
              <w:rPr>
                <w:rFonts w:ascii="宋体" w:hAnsi="宋体" w:cs="宋体" w:eastAsia="宋体" w:hint="default"/>
                <w:spacing w:val="-64"/>
                <w:sz w:val="21"/>
                <w:szCs w:val="21"/>
              </w:rPr>
              <w:t> </w:t>
            </w:r>
            <w:r>
              <w:rPr>
                <w:rFonts w:ascii="宋体" w:hAnsi="宋体" w:cs="宋体" w:eastAsia="宋体" w:hint="default"/>
                <w:sz w:val="21"/>
                <w:szCs w:val="21"/>
              </w:rPr>
              <w:t>研</w:t>
            </w:r>
            <w:r>
              <w:rPr>
                <w:rFonts w:ascii="宋体" w:hAnsi="宋体" w:cs="宋体" w:eastAsia="宋体" w:hint="default"/>
                <w:w w:val="100"/>
                <w:sz w:val="21"/>
                <w:szCs w:val="21"/>
              </w:rPr>
              <w:t> </w:t>
            </w:r>
            <w:r>
              <w:rPr>
                <w:rFonts w:ascii="宋体" w:hAnsi="宋体" w:cs="宋体" w:eastAsia="宋体" w:hint="default"/>
                <w:spacing w:val="5"/>
                <w:sz w:val="21"/>
                <w:szCs w:val="21"/>
              </w:rPr>
              <w:t>发、政府与企业行业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信息化解决方案、基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于地理信息的大众应</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用与服务</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23" w:right="0"/>
              <w:jc w:val="left"/>
              <w:rPr>
                <w:rFonts w:ascii="Times New Roman" w:hAnsi="Times New Roman" w:cs="Times New Roman" w:eastAsia="Times New Roman" w:hint="default"/>
                <w:sz w:val="21"/>
                <w:szCs w:val="21"/>
              </w:rPr>
            </w:pPr>
            <w:r>
              <w:rPr>
                <w:rFonts w:ascii="Times New Roman"/>
                <w:sz w:val="21"/>
              </w:rPr>
              <w:t>1,500</w:t>
            </w:r>
          </w:p>
          <w:p>
            <w:pPr>
              <w:pStyle w:val="TableParagraph"/>
              <w:spacing w:line="240" w:lineRule="auto" w:before="21"/>
              <w:ind w:left="50"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72,893,360.89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32,392,783.73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88,411,301.83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14,284,619.34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12,813,464.01</w:t>
            </w:r>
          </w:p>
        </w:tc>
      </w:tr>
      <w:tr>
        <w:trPr>
          <w:trHeight w:val="129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73" w:lineRule="auto"/>
              <w:ind w:left="24" w:right="108"/>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103"/>
                <w:sz w:val="21"/>
                <w:szCs w:val="21"/>
              </w:rPr>
              <w:t> </w:t>
            </w:r>
            <w:r>
              <w:rPr>
                <w:rFonts w:ascii="宋体" w:hAnsi="宋体" w:cs="宋体" w:eastAsia="宋体" w:hint="default"/>
                <w:sz w:val="21"/>
                <w:szCs w:val="21"/>
              </w:rPr>
              <w:t>数慧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5"/>
              <w:ind w:left="23" w:right="110"/>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
              <w:jc w:val="both"/>
              <w:rPr>
                <w:rFonts w:ascii="宋体" w:hAnsi="宋体" w:cs="宋体" w:eastAsia="宋体" w:hint="default"/>
                <w:sz w:val="21"/>
                <w:szCs w:val="21"/>
              </w:rPr>
            </w:pPr>
            <w:r>
              <w:rPr>
                <w:rFonts w:ascii="宋体" w:hAnsi="宋体" w:cs="宋体" w:eastAsia="宋体" w:hint="default"/>
                <w:spacing w:val="5"/>
                <w:sz w:val="21"/>
                <w:szCs w:val="21"/>
              </w:rPr>
              <w:t>提供规划一张图、多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规合一、大数据分析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与洞察、不动产登记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等信息化解决方案及</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1,500</w:t>
            </w:r>
          </w:p>
          <w:p>
            <w:pPr>
              <w:pStyle w:val="TableParagraph"/>
              <w:spacing w:line="240" w:lineRule="auto" w:before="23"/>
              <w:ind w:left="50"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105,151,377.61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63,418,937.01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131,726,104.48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27,035,435.17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2"/>
              <w:jc w:val="center"/>
              <w:rPr>
                <w:rFonts w:ascii="Times New Roman" w:hAnsi="Times New Roman" w:cs="Times New Roman" w:eastAsia="Times New Roman" w:hint="default"/>
                <w:sz w:val="21"/>
                <w:szCs w:val="21"/>
              </w:rPr>
            </w:pPr>
            <w:r>
              <w:rPr>
                <w:rFonts w:ascii="Times New Roman"/>
                <w:sz w:val="21"/>
              </w:rPr>
              <w:t>27,334,311.71</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0" w:top="1100" w:bottom="1160" w:left="880" w:right="30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67"/>
        <w:gridCol w:w="569"/>
        <w:gridCol w:w="2019"/>
        <w:gridCol w:w="533"/>
        <w:gridCol w:w="1419"/>
        <w:gridCol w:w="1416"/>
        <w:gridCol w:w="1417"/>
        <w:gridCol w:w="1277"/>
        <w:gridCol w:w="1274"/>
      </w:tblGrid>
      <w:tr>
        <w:trPr>
          <w:trHeight w:val="363" w:hRule="exact"/>
        </w:trPr>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应用咨询服务</w:t>
            </w:r>
          </w:p>
        </w:tc>
        <w:tc>
          <w:tcPr>
            <w:tcW w:w="5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39"/>
        <w:ind w:left="733" w:right="853"/>
        <w:jc w:val="left"/>
      </w:pPr>
      <w:r>
        <w:rPr/>
        <w:t>报告期内取得和处置子公司的情况</w:t>
      </w:r>
    </w:p>
    <w:p>
      <w:pPr>
        <w:pStyle w:val="BodyText"/>
        <w:spacing w:line="240" w:lineRule="auto" w:before="154"/>
        <w:ind w:left="733" w:right="8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248" w:type="dxa"/>
        <w:tblLayout w:type="fixed"/>
        <w:tblCellMar>
          <w:top w:w="0" w:type="dxa"/>
          <w:left w:w="0" w:type="dxa"/>
          <w:bottom w:w="0" w:type="dxa"/>
          <w:right w:w="0" w:type="dxa"/>
        </w:tblCellMar>
        <w:tblLook w:val="01E0"/>
      </w:tblPr>
      <w:tblGrid>
        <w:gridCol w:w="1135"/>
        <w:gridCol w:w="1417"/>
        <w:gridCol w:w="7019"/>
      </w:tblGrid>
      <w:tr>
        <w:trPr>
          <w:trHeight w:val="946"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1" w:right="65"/>
              <w:jc w:val="center"/>
              <w:rPr>
                <w:rFonts w:ascii="宋体" w:hAnsi="宋体" w:cs="宋体" w:eastAsia="宋体" w:hint="default"/>
                <w:sz w:val="21"/>
                <w:szCs w:val="21"/>
              </w:rPr>
            </w:pPr>
            <w:r>
              <w:rPr>
                <w:rFonts w:ascii="宋体" w:hAnsi="宋体" w:cs="宋体" w:eastAsia="宋体" w:hint="default"/>
                <w:b/>
                <w:bCs/>
                <w:sz w:val="21"/>
                <w:szCs w:val="21"/>
              </w:rPr>
              <w:t>报告期内取得</w:t>
            </w:r>
            <w:r>
              <w:rPr>
                <w:rFonts w:ascii="宋体" w:hAnsi="宋体" w:cs="宋体" w:eastAsia="宋体" w:hint="default"/>
                <w:b/>
                <w:bCs/>
                <w:w w:val="100"/>
                <w:sz w:val="21"/>
                <w:szCs w:val="21"/>
              </w:rPr>
              <w:t> </w:t>
            </w:r>
            <w:r>
              <w:rPr>
                <w:rFonts w:ascii="宋体" w:hAnsi="宋体" w:cs="宋体" w:eastAsia="宋体" w:hint="default"/>
                <w:b/>
                <w:bCs/>
                <w:sz w:val="21"/>
                <w:szCs w:val="21"/>
              </w:rPr>
              <w:t>和处置子公司</w:t>
            </w:r>
            <w:r>
              <w:rPr>
                <w:rFonts w:ascii="宋体" w:hAnsi="宋体" w:cs="宋体" w:eastAsia="宋体" w:hint="default"/>
                <w:b/>
                <w:bCs/>
                <w:w w:val="100"/>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7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31" w:right="0"/>
              <w:jc w:val="left"/>
              <w:rPr>
                <w:rFonts w:ascii="宋体" w:hAnsi="宋体" w:cs="宋体" w:eastAsia="宋体" w:hint="default"/>
                <w:sz w:val="21"/>
                <w:szCs w:val="21"/>
              </w:rPr>
            </w:pPr>
            <w:r>
              <w:rPr>
                <w:rFonts w:ascii="宋体" w:hAnsi="宋体" w:cs="宋体" w:eastAsia="宋体" w:hint="default"/>
                <w:b/>
                <w:bCs/>
                <w:sz w:val="21"/>
                <w:szCs w:val="21"/>
              </w:rPr>
              <w:t>对整体生产经营和业绩的影响</w:t>
            </w:r>
            <w:r>
              <w:rPr>
                <w:rFonts w:ascii="宋体" w:hAnsi="宋体" w:cs="宋体" w:eastAsia="宋体" w:hint="default"/>
                <w:sz w:val="21"/>
                <w:szCs w:val="21"/>
              </w:rPr>
            </w:r>
          </w:p>
        </w:tc>
      </w:tr>
      <w:tr>
        <w:trPr>
          <w:trHeight w:val="125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pacing w:val="-1"/>
                <w:sz w:val="21"/>
                <w:szCs w:val="21"/>
              </w:rPr>
              <w:t>上海数慧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88"/>
              <w:jc w:val="right"/>
              <w:rPr>
                <w:rFonts w:ascii="宋体" w:hAnsi="宋体" w:cs="宋体" w:eastAsia="宋体" w:hint="default"/>
                <w:sz w:val="21"/>
                <w:szCs w:val="21"/>
              </w:rPr>
            </w:pPr>
            <w:r>
              <w:rPr>
                <w:rFonts w:ascii="宋体" w:hAnsi="宋体" w:cs="宋体" w:eastAsia="宋体" w:hint="default"/>
                <w:sz w:val="21"/>
                <w:szCs w:val="21"/>
              </w:rPr>
              <w:t>收购</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1" w:right="26"/>
              <w:jc w:val="both"/>
              <w:rPr>
                <w:rFonts w:ascii="宋体" w:hAnsi="宋体" w:cs="宋体" w:eastAsia="宋体" w:hint="default"/>
                <w:sz w:val="21"/>
                <w:szCs w:val="21"/>
              </w:rPr>
            </w:pPr>
            <w:r>
              <w:rPr>
                <w:rFonts w:ascii="宋体" w:hAnsi="宋体" w:cs="宋体" w:eastAsia="宋体" w:hint="default"/>
                <w:spacing w:val="-2"/>
                <w:sz w:val="21"/>
                <w:szCs w:val="21"/>
              </w:rPr>
              <w:t>有利于完善公司行业战略布局，提升城市规划信息化市场占有率，有利于公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司平台战略在城市规划领域的实施，有利于为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大数据业务在城市规划领</w:t>
            </w:r>
            <w:r>
              <w:rPr>
                <w:rFonts w:ascii="宋体" w:hAnsi="宋体" w:cs="宋体" w:eastAsia="宋体" w:hint="default"/>
                <w:w w:val="100"/>
                <w:sz w:val="21"/>
                <w:szCs w:val="21"/>
              </w:rPr>
              <w:t> </w:t>
            </w:r>
            <w:r>
              <w:rPr>
                <w:rFonts w:ascii="宋体" w:hAnsi="宋体" w:cs="宋体" w:eastAsia="宋体" w:hint="default"/>
                <w:spacing w:val="-2"/>
                <w:sz w:val="21"/>
                <w:szCs w:val="21"/>
              </w:rPr>
              <w:t>域开启新空间，有利于实现协同效应，提高公司战略核心竞争力。本期贡献</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净利润</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2,733.43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39"/>
              <w:jc w:val="right"/>
              <w:rPr>
                <w:rFonts w:ascii="宋体" w:hAnsi="宋体" w:cs="宋体" w:eastAsia="宋体" w:hint="default"/>
                <w:sz w:val="21"/>
                <w:szCs w:val="21"/>
              </w:rPr>
            </w:pPr>
            <w:r>
              <w:rPr>
                <w:rFonts w:ascii="宋体" w:hAnsi="宋体" w:cs="宋体" w:eastAsia="宋体" w:hint="default"/>
                <w:spacing w:val="-1"/>
                <w:sz w:val="21"/>
                <w:szCs w:val="21"/>
              </w:rPr>
              <w:t>河南超图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8"/>
              <w:jc w:val="right"/>
              <w:rPr>
                <w:rFonts w:ascii="宋体" w:hAnsi="宋体" w:cs="宋体" w:eastAsia="宋体" w:hint="default"/>
                <w:sz w:val="21"/>
                <w:szCs w:val="21"/>
              </w:rPr>
            </w:pPr>
            <w:r>
              <w:rPr>
                <w:rFonts w:ascii="宋体" w:hAnsi="宋体" w:cs="宋体" w:eastAsia="宋体" w:hint="default"/>
                <w:sz w:val="21"/>
                <w:szCs w:val="21"/>
              </w:rPr>
              <w:t>新设</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48"/>
              <w:jc w:val="left"/>
              <w:rPr>
                <w:rFonts w:ascii="宋体" w:hAnsi="宋体" w:cs="宋体" w:eastAsia="宋体" w:hint="default"/>
                <w:sz w:val="21"/>
                <w:szCs w:val="21"/>
              </w:rPr>
            </w:pPr>
            <w:r>
              <w:rPr>
                <w:rFonts w:ascii="宋体" w:hAnsi="宋体" w:cs="宋体" w:eastAsia="宋体" w:hint="default"/>
                <w:spacing w:val="-2"/>
                <w:sz w:val="21"/>
                <w:szCs w:val="21"/>
              </w:rPr>
              <w:t>有利于公司更好的提供本地化服务，同时便于在河南省及周边省市开展其他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业务。报告期内，完成设立工作，尚未开展实质性业务</w:t>
            </w:r>
          </w:p>
        </w:tc>
      </w:tr>
      <w:tr>
        <w:trPr>
          <w:trHeight w:val="63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39"/>
              <w:jc w:val="right"/>
              <w:rPr>
                <w:rFonts w:ascii="宋体" w:hAnsi="宋体" w:cs="宋体" w:eastAsia="宋体" w:hint="default"/>
                <w:sz w:val="21"/>
                <w:szCs w:val="21"/>
              </w:rPr>
            </w:pPr>
            <w:r>
              <w:rPr>
                <w:rFonts w:ascii="宋体" w:hAnsi="宋体" w:cs="宋体" w:eastAsia="宋体" w:hint="default"/>
                <w:spacing w:val="-1"/>
                <w:sz w:val="21"/>
                <w:szCs w:val="21"/>
              </w:rPr>
              <w:t>浙江超图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88"/>
              <w:jc w:val="right"/>
              <w:rPr>
                <w:rFonts w:ascii="宋体" w:hAnsi="宋体" w:cs="宋体" w:eastAsia="宋体" w:hint="default"/>
                <w:sz w:val="21"/>
                <w:szCs w:val="21"/>
              </w:rPr>
            </w:pPr>
            <w:r>
              <w:rPr>
                <w:rFonts w:ascii="宋体" w:hAnsi="宋体" w:cs="宋体" w:eastAsia="宋体" w:hint="default"/>
                <w:sz w:val="21"/>
                <w:szCs w:val="21"/>
              </w:rPr>
              <w:t>新设</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48"/>
              <w:jc w:val="left"/>
              <w:rPr>
                <w:rFonts w:ascii="宋体" w:hAnsi="宋体" w:cs="宋体" w:eastAsia="宋体" w:hint="default"/>
                <w:sz w:val="21"/>
                <w:szCs w:val="21"/>
              </w:rPr>
            </w:pPr>
            <w:r>
              <w:rPr>
                <w:rFonts w:ascii="宋体" w:hAnsi="宋体" w:cs="宋体" w:eastAsia="宋体" w:hint="default"/>
                <w:spacing w:val="-2"/>
                <w:sz w:val="21"/>
                <w:szCs w:val="21"/>
              </w:rPr>
              <w:t>有利于公司更好的提供本地化服务，同时便于在浙江省及周边省市开展其他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业务。报告期内，完成设立工作，尚未开展实质性业务。</w:t>
            </w:r>
          </w:p>
        </w:tc>
      </w:tr>
    </w:tbl>
    <w:p>
      <w:pPr>
        <w:spacing w:line="240" w:lineRule="auto" w:before="1"/>
        <w:rPr>
          <w:rFonts w:ascii="宋体" w:hAnsi="宋体" w:cs="宋体" w:eastAsia="宋体" w:hint="default"/>
          <w:sz w:val="18"/>
          <w:szCs w:val="18"/>
        </w:rPr>
      </w:pPr>
    </w:p>
    <w:p>
      <w:pPr>
        <w:pStyle w:val="Heading2"/>
        <w:spacing w:line="240" w:lineRule="auto" w:before="26"/>
        <w:ind w:left="253" w:right="0"/>
        <w:jc w:val="both"/>
        <w:rPr>
          <w:b w:val="0"/>
          <w:bCs w:val="0"/>
        </w:rPr>
      </w:pPr>
      <w:r>
        <w:rPr/>
        <w:t>八、公司控制的结构化主体情况</w:t>
      </w:r>
      <w:r>
        <w:rPr>
          <w:b w:val="0"/>
          <w:bCs w:val="0"/>
        </w:rPr>
      </w:r>
    </w:p>
    <w:p>
      <w:pPr>
        <w:spacing w:line="240" w:lineRule="auto" w:before="8"/>
        <w:rPr>
          <w:rFonts w:ascii="宋体" w:hAnsi="宋体" w:cs="宋体" w:eastAsia="宋体" w:hint="default"/>
          <w:b/>
          <w:bCs/>
          <w:sz w:val="28"/>
          <w:szCs w:val="28"/>
        </w:rPr>
      </w:pPr>
    </w:p>
    <w:p>
      <w:pPr>
        <w:spacing w:line="499" w:lineRule="auto" w:before="0"/>
        <w:ind w:left="253" w:right="780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九、公司未来发展的展望</w:t>
      </w:r>
      <w:r>
        <w:rPr>
          <w:rFonts w:ascii="宋体" w:hAnsi="宋体" w:cs="宋体" w:eastAsia="宋体" w:hint="default"/>
          <w:sz w:val="24"/>
          <w:szCs w:val="24"/>
        </w:rPr>
      </w:r>
    </w:p>
    <w:p>
      <w:pPr>
        <w:pStyle w:val="Heading2"/>
        <w:spacing w:line="240" w:lineRule="auto" w:before="118"/>
        <w:ind w:left="253" w:right="0"/>
        <w:jc w:val="both"/>
        <w:rPr>
          <w:b w:val="0"/>
          <w:bCs w:val="0"/>
        </w:rPr>
      </w:pPr>
      <w:r>
        <w:rPr>
          <w:rFonts w:ascii="Times New Roman" w:hAnsi="Times New Roman" w:cs="Times New Roman" w:eastAsia="Times New Roman" w:hint="default"/>
        </w:rPr>
        <w:t>1</w:t>
      </w:r>
      <w:r>
        <w:rPr/>
        <w:t>、公司前期披露的发展战略和经营计划在报告期内的进展情况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253" w:right="819" w:firstLine="480"/>
        <w:jc w:val="left"/>
      </w:pPr>
      <w:r>
        <w:rPr/>
        <w:t>公司在</w:t>
      </w:r>
      <w:r>
        <w:rPr>
          <w:spacing w:val="-5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年年报中披露了公司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spacing w:val="-4"/>
        </w:rPr>
        <w:t>年度经营计划，相关进展情况详见</w:t>
      </w:r>
      <w:r>
        <w:rPr>
          <w:rFonts w:ascii="Times New Roman" w:hAnsi="Times New Roman" w:cs="Times New Roman" w:eastAsia="Times New Roman" w:hint="default"/>
          <w:spacing w:val="-4"/>
        </w:rPr>
        <w:t>“</w:t>
      </w:r>
      <w:r>
        <w:rPr>
          <w:spacing w:val="-4"/>
        </w:rPr>
        <w:t>第四节经营情</w:t>
      </w:r>
      <w:r>
        <w:rPr/>
        <w:t> 况讨论与分析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4"/>
          <w:szCs w:val="24"/>
        </w:rPr>
      </w:pPr>
    </w:p>
    <w:p>
      <w:pPr>
        <w:pStyle w:val="Heading2"/>
        <w:spacing w:line="240" w:lineRule="auto"/>
        <w:ind w:left="253" w:right="0"/>
        <w:jc w:val="both"/>
        <w:rPr>
          <w:b w:val="0"/>
          <w:bCs w:val="0"/>
        </w:rPr>
      </w:pPr>
      <w:r>
        <w:rPr>
          <w:rFonts w:ascii="Times New Roman" w:hAnsi="Times New Roman" w:cs="Times New Roman" w:eastAsia="Times New Roman" w:hint="default"/>
        </w:rPr>
        <w:t>2</w:t>
      </w:r>
      <w:r>
        <w:rPr/>
        <w:t>、行业发展趋势以及公司所面临的机遇</w:t>
      </w:r>
      <w:r>
        <w:rPr>
          <w:b w:val="0"/>
          <w:bCs w:val="0"/>
        </w:rPr>
      </w:r>
    </w:p>
    <w:p>
      <w:pPr>
        <w:spacing w:line="240" w:lineRule="auto" w:before="4"/>
        <w:rPr>
          <w:rFonts w:ascii="宋体" w:hAnsi="宋体" w:cs="宋体" w:eastAsia="宋体" w:hint="default"/>
          <w:b/>
          <w:bCs/>
          <w:sz w:val="33"/>
          <w:szCs w:val="33"/>
        </w:rPr>
      </w:pPr>
    </w:p>
    <w:p>
      <w:pPr>
        <w:spacing w:line="338" w:lineRule="auto" w:before="0"/>
        <w:ind w:left="738" w:right="816" w:hanging="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、空间大数据规模加大，</w:t>
      </w:r>
      <w:r>
        <w:rPr>
          <w:rFonts w:ascii="Times New Roman" w:hAnsi="Times New Roman" w:cs="Times New Roman" w:eastAsia="Times New Roman" w:hint="default"/>
          <w:b/>
          <w:bCs/>
          <w:sz w:val="24"/>
          <w:szCs w:val="24"/>
        </w:rPr>
        <w:t>GIS</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平台成为有力抓手</w:t>
      </w:r>
      <w:r>
        <w:rPr>
          <w:rFonts w:ascii="宋体" w:hAnsi="宋体" w:cs="宋体" w:eastAsia="宋体" w:hint="default"/>
          <w:b/>
          <w:bCs/>
          <w:w w:val="99"/>
          <w:sz w:val="24"/>
          <w:szCs w:val="24"/>
        </w:rPr>
        <w:t> </w:t>
      </w:r>
      <w:r>
        <w:rPr>
          <w:rFonts w:ascii="宋体" w:hAnsi="宋体" w:cs="宋体" w:eastAsia="宋体" w:hint="default"/>
          <w:sz w:val="24"/>
          <w:szCs w:val="24"/>
        </w:rPr>
        <w:t>随着移动互联网和云计算、人工智能等新兴</w:t>
      </w:r>
      <w:r>
        <w:rPr>
          <w:rFonts w:ascii="宋体" w:hAnsi="宋体" w:cs="宋体" w:eastAsia="宋体" w:hint="default"/>
          <w:spacing w:val="-69"/>
          <w:sz w:val="24"/>
          <w:szCs w:val="24"/>
        </w:rPr>
        <w:t> </w:t>
      </w:r>
      <w:r>
        <w:rPr>
          <w:rFonts w:ascii="Times New Roman" w:hAnsi="Times New Roman" w:cs="Times New Roman" w:eastAsia="Times New Roman" w:hint="default"/>
          <w:sz w:val="24"/>
          <w:szCs w:val="24"/>
        </w:rPr>
        <w:t>IT</w:t>
      </w:r>
      <w:r>
        <w:rPr>
          <w:rFonts w:ascii="Times New Roman" w:hAnsi="Times New Roman" w:cs="Times New Roman" w:eastAsia="Times New Roman" w:hint="default"/>
          <w:spacing w:val="-12"/>
          <w:sz w:val="24"/>
          <w:szCs w:val="24"/>
        </w:rPr>
        <w:t> </w:t>
      </w:r>
      <w:r>
        <w:rPr>
          <w:rFonts w:ascii="宋体" w:hAnsi="宋体" w:cs="宋体" w:eastAsia="宋体" w:hint="default"/>
          <w:spacing w:val="-3"/>
          <w:sz w:val="24"/>
          <w:szCs w:val="24"/>
        </w:rPr>
        <w:t>技术的发展，大数据的规模不断加大，形</w:t>
      </w:r>
    </w:p>
    <w:p>
      <w:pPr>
        <w:pStyle w:val="BodyText"/>
        <w:spacing w:line="350" w:lineRule="auto" w:before="27"/>
        <w:ind w:left="253" w:right="826"/>
        <w:jc w:val="both"/>
      </w:pPr>
      <w:r>
        <w:rPr/>
        <w:t>式更加多样，包括手机信令、社交媒体、浮动车信息、传感器网络信息等数据大多都带有时</w:t>
      </w:r>
      <w:r>
        <w:rPr>
          <w:spacing w:val="-91"/>
        </w:rPr>
        <w:t> </w:t>
      </w:r>
      <w:r>
        <w:rPr>
          <w:spacing w:val="-91"/>
        </w:rPr>
      </w:r>
      <w:r>
        <w:rPr/>
        <w:t>间和位置信息；其中，</w:t>
      </w:r>
      <w:r>
        <w:rPr>
          <w:rFonts w:ascii="Times New Roman" w:hAnsi="Times New Roman" w:cs="Times New Roman" w:eastAsia="Times New Roman" w:hint="default"/>
        </w:rPr>
        <w:t>80%</w:t>
      </w:r>
      <w:r>
        <w:rPr/>
        <w:t>的大数据与位置相关，属于地理信息领域空间大数据的范畴。大</w:t>
      </w:r>
      <w:r>
        <w:rPr>
          <w:spacing w:val="-50"/>
        </w:rPr>
        <w:t> </w:t>
      </w:r>
      <w:r>
        <w:rPr>
          <w:spacing w:val="-50"/>
        </w:rPr>
      </w:r>
      <w:r>
        <w:rPr/>
        <w:t>数据的重要特征包括：体量大、价值密度低、变化快、种类多，对挖掘工具要求高、对挖掘</w:t>
      </w:r>
      <w:r>
        <w:rPr>
          <w:spacing w:val="-91"/>
        </w:rPr>
        <w:t> </w:t>
      </w:r>
      <w:r>
        <w:rPr>
          <w:spacing w:val="-91"/>
        </w:rPr>
      </w:r>
      <w:r>
        <w:rPr/>
        <w:t>性能要求高，涉及到大量高新技术。</w:t>
      </w:r>
    </w:p>
    <w:p>
      <w:pPr>
        <w:pStyle w:val="BodyText"/>
        <w:spacing w:line="357" w:lineRule="auto" w:before="43"/>
        <w:ind w:left="253" w:right="817" w:firstLine="484"/>
        <w:jc w:val="left"/>
      </w:pPr>
      <w:r>
        <w:rPr/>
        <w:t>地理信息领域在处理大数据方面有着较长历史，例如航天航空遥感数据、街景数据以及 近年来快速发展的倾斜摄影数据。传统</w:t>
      </w:r>
      <w:r>
        <w:rPr>
          <w:spacing w:val="-5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平台虽可以实现大数据可视化，但在分析和管理</w:t>
      </w:r>
    </w:p>
    <w:p>
      <w:pPr>
        <w:spacing w:after="0" w:line="357" w:lineRule="auto"/>
        <w:jc w:val="left"/>
        <w:sectPr>
          <w:pgSz w:w="11910" w:h="16840"/>
          <w:pgMar w:header="877" w:footer="980" w:top="1100" w:bottom="1160" w:left="880" w:right="300"/>
        </w:sectPr>
      </w:pPr>
    </w:p>
    <w:p>
      <w:pPr>
        <w:spacing w:line="240" w:lineRule="auto" w:before="7"/>
        <w:rPr>
          <w:rFonts w:ascii="宋体" w:hAnsi="宋体" w:cs="宋体" w:eastAsia="宋体" w:hint="default"/>
          <w:sz w:val="25"/>
          <w:szCs w:val="25"/>
        </w:rPr>
      </w:pPr>
    </w:p>
    <w:p>
      <w:pPr>
        <w:pStyle w:val="BodyText"/>
        <w:spacing w:line="345" w:lineRule="auto" w:before="26"/>
        <w:ind w:right="215"/>
        <w:jc w:val="left"/>
      </w:pPr>
      <w:r>
        <w:rPr/>
        <w:t>能力上有所欠缺。公司致力于提供更先进的</w:t>
      </w:r>
      <w:r>
        <w:rPr>
          <w:spacing w:val="-64"/>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工具，并研发出拥抱大数据的新一代</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平 台 </w:t>
      </w:r>
      <w:r>
        <w:rPr>
          <w:rFonts w:ascii="Times New Roman" w:hAnsi="Times New Roman" w:cs="Times New Roman" w:eastAsia="Times New Roman" w:hint="default"/>
        </w:rPr>
        <w:t>SuperMap GIS 9D</w:t>
      </w:r>
      <w:r>
        <w:rPr>
          <w:rFonts w:ascii="Times New Roman" w:hAnsi="Times New Roman" w:cs="Times New Roman" w:eastAsia="Times New Roman" w:hint="default"/>
          <w:spacing w:val="-26"/>
        </w:rPr>
        <w:t> </w:t>
      </w:r>
      <w:r>
        <w:rPr/>
        <w:t>系列产品。通过使用空间大数据组件</w:t>
      </w:r>
      <w:r>
        <w:rPr>
          <w:rFonts w:ascii="Times New Roman" w:hAnsi="Times New Roman" w:cs="Times New Roman" w:eastAsia="Times New Roman" w:hint="default"/>
        </w:rPr>
        <w:t>,</w:t>
      </w:r>
      <w:r>
        <w:rPr/>
        <w:t>空间大数据的存储、检索、管理、 分析和可视化得以高效实现，让空间大数据挖掘更简单，为政府单位和企业有效挖掘位置大</w:t>
      </w:r>
      <w:r>
        <w:rPr>
          <w:spacing w:val="-91"/>
        </w:rPr>
        <w:t> </w:t>
      </w:r>
      <w:r>
        <w:rPr>
          <w:spacing w:val="-91"/>
        </w:rPr>
      </w:r>
      <w:r>
        <w:rPr/>
        <w:t>数据的价值提供有力抓手。</w:t>
      </w:r>
    </w:p>
    <w:p>
      <w:pPr>
        <w:pStyle w:val="Heading2"/>
        <w:spacing w:line="240" w:lineRule="auto" w:before="48"/>
        <w:ind w:left="635" w:right="215"/>
        <w:jc w:val="left"/>
        <w:rPr>
          <w:b w:val="0"/>
          <w:bCs w:val="0"/>
        </w:rPr>
      </w:pPr>
      <w:r>
        <w:rPr>
          <w:rFonts w:ascii="Times New Roman" w:hAnsi="Times New Roman" w:cs="Times New Roman" w:eastAsia="Times New Roman" w:hint="default"/>
        </w:rPr>
        <w:t>2</w:t>
      </w:r>
      <w:r>
        <w:rPr/>
        <w:t>、新测绘法正式施行，地理信息系统成为政府基础软件重要组成部分</w:t>
      </w:r>
      <w:r>
        <w:rPr>
          <w:b w:val="0"/>
          <w:bCs w:val="0"/>
        </w:rPr>
      </w:r>
    </w:p>
    <w:p>
      <w:pPr>
        <w:pStyle w:val="BodyText"/>
        <w:spacing w:line="348" w:lineRule="auto" w:before="135"/>
        <w:ind w:right="348" w:firstLine="484"/>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日，新《中华人民共和国测绘法》正式施行。《测绘法》全文第</w:t>
      </w:r>
      <w:r>
        <w:rPr>
          <w:spacing w:val="-45"/>
        </w:rPr>
        <w:t> </w:t>
      </w:r>
      <w:r>
        <w:rPr>
          <w:rFonts w:ascii="Times New Roman" w:hAnsi="Times New Roman" w:cs="Times New Roman" w:eastAsia="Times New Roman" w:hint="default"/>
        </w:rPr>
        <w:t>40</w:t>
      </w:r>
      <w:r>
        <w:rPr>
          <w:rFonts w:ascii="Times New Roman" w:hAnsi="Times New Roman" w:cs="Times New Roman" w:eastAsia="Times New Roman" w:hint="default"/>
          <w:spacing w:val="13"/>
        </w:rPr>
        <w:t> </w:t>
      </w:r>
      <w:r>
        <w:rPr/>
        <w:t>条第 一款表示，国家鼓励发展地理信息产业，推动地理信息产业结构调整和优化升级，支持开发</w:t>
      </w:r>
      <w:r>
        <w:rPr>
          <w:spacing w:val="-91"/>
        </w:rPr>
        <w:t> </w:t>
      </w:r>
      <w:r>
        <w:rPr>
          <w:spacing w:val="-91"/>
        </w:rPr>
      </w:r>
      <w:r>
        <w:rPr/>
        <w:t>各类地理信息产品，提高产品质量，推广使用安全可信的地理信息技术和设备。</w:t>
      </w:r>
    </w:p>
    <w:p>
      <w:pPr>
        <w:pStyle w:val="BodyText"/>
        <w:spacing w:line="357" w:lineRule="auto" w:before="46"/>
        <w:ind w:right="356" w:firstLine="484"/>
        <w:jc w:val="both"/>
      </w:pPr>
      <w:r>
        <w:rPr/>
        <w:t>测绘法的实施代表着国家鼓励发展地理信息产业首次在法律层面上得到了明确。国家支 持地理信息行业兼并重组，培育龙头企业，提升服务水平；鼓励地理信息产品多样化、大众</w:t>
      </w:r>
      <w:r>
        <w:rPr>
          <w:spacing w:val="-91"/>
        </w:rPr>
        <w:t> </w:t>
      </w:r>
      <w:r>
        <w:rPr>
          <w:spacing w:val="-91"/>
        </w:rPr>
      </w:r>
      <w:r>
        <w:rPr/>
        <w:t>化；推广使用具有自主知识产权、自主可控的地理信息技术和设备，从软硬件基础上加强安</w:t>
      </w:r>
      <w:r>
        <w:rPr>
          <w:spacing w:val="-91"/>
        </w:rPr>
        <w:t> </w:t>
      </w:r>
      <w:r>
        <w:rPr>
          <w:spacing w:val="-91"/>
        </w:rPr>
      </w:r>
      <w:r>
        <w:rPr/>
        <w:t>全保障，杜绝安全漏洞、</w:t>
      </w:r>
      <w:r>
        <w:rPr>
          <w:rFonts w:ascii="Times New Roman" w:hAnsi="Times New Roman" w:cs="Times New Roman" w:eastAsia="Times New Roman" w:hint="default"/>
        </w:rPr>
        <w:t>“</w:t>
      </w:r>
      <w:r>
        <w:rPr/>
        <w:t>数据后门</w:t>
      </w:r>
      <w:r>
        <w:rPr>
          <w:rFonts w:ascii="Times New Roman" w:hAnsi="Times New Roman" w:cs="Times New Roman" w:eastAsia="Times New Roman" w:hint="default"/>
        </w:rPr>
        <w:t>”</w:t>
      </w:r>
      <w:r>
        <w:rPr/>
        <w:t>等问题。</w:t>
      </w:r>
    </w:p>
    <w:p>
      <w:pPr>
        <w:pStyle w:val="BodyText"/>
        <w:spacing w:line="350" w:lineRule="auto" w:before="5"/>
        <w:ind w:right="97" w:firstLine="484"/>
        <w:jc w:val="left"/>
      </w:pPr>
      <w:r>
        <w:rPr>
          <w:spacing w:val="-8"/>
        </w:rPr>
        <w:t>在实践层面，中央国家机关</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年软件协议供货采购项目中正式加入地理信息系统软件， 这是地理信息软件首次正式列入中央国家机关的采购名单。这意味着地理信息软件已经和办</w:t>
      </w:r>
      <w:r>
        <w:rPr>
          <w:spacing w:val="-91"/>
        </w:rPr>
        <w:t> </w:t>
      </w:r>
      <w:r>
        <w:rPr>
          <w:spacing w:val="-91"/>
        </w:rPr>
      </w:r>
      <w:r>
        <w:rPr/>
        <w:t>公软件、杀毒软件、数据库软件一样，成为政府采购基础软件的标准配置；地理信息技术在</w:t>
      </w:r>
      <w:r>
        <w:rPr>
          <w:spacing w:val="-91"/>
        </w:rPr>
        <w:t> </w:t>
      </w:r>
      <w:r>
        <w:rPr>
          <w:spacing w:val="-91"/>
        </w:rPr>
      </w:r>
      <w:r>
        <w:rPr/>
        <w:t>政府事业部门中的应用范围和接受程度，将得到进一步扩大和加强。</w:t>
      </w:r>
    </w:p>
    <w:p>
      <w:pPr>
        <w:pStyle w:val="Heading2"/>
        <w:spacing w:line="240" w:lineRule="auto" w:before="84"/>
        <w:ind w:left="635" w:right="215"/>
        <w:jc w:val="left"/>
        <w:rPr>
          <w:b w:val="0"/>
          <w:bCs w:val="0"/>
        </w:rPr>
      </w:pPr>
      <w:r>
        <w:rPr>
          <w:rFonts w:ascii="Times New Roman" w:hAnsi="Times New Roman" w:cs="Times New Roman" w:eastAsia="Times New Roman" w:hint="default"/>
        </w:rPr>
        <w:t>3</w:t>
      </w:r>
      <w:r>
        <w:rPr/>
        <w:t>、国务院</w:t>
      </w:r>
      <w:r>
        <w:rPr>
          <w:color w:val="2B2B2B"/>
        </w:rPr>
        <w:t>机构改革方案落地，加强的政府职能有利于长远发展</w:t>
      </w:r>
      <w:r>
        <w:rPr>
          <w:b w:val="0"/>
          <w:bCs w:val="0"/>
        </w:rPr>
      </w:r>
    </w:p>
    <w:p>
      <w:pPr>
        <w:pStyle w:val="BodyText"/>
        <w:spacing w:line="355" w:lineRule="auto" w:before="174"/>
        <w:ind w:right="355" w:firstLine="484"/>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月，第十三届全国人大一次会议审议通过了《国务院机构改革方案》。根据方 案的相关内容，将国土资源部的职责，国家发展和改革委员会的组织编制主体功能区规划职 责，住房和城乡建设部的城乡规划管理职责，水利部的水资源调查和确权登记管理职责，农 业部的草原资源调查和确权登记管理职责，国家林业局的森林、湿地等资源调查和确权登记 管理职责，国家海洋局的职责，国家测绘地理信息局的职责整合，组建自然资源部，作为国 务院组成部门。自然资源部的主要职责是，对自然资源开发利用和保护进行监管，建立空间 规划体系并监督实施，履行全民所有各类自然资源资产所有者职责，统一调查和确权登记， 建立自然资源有偿使用制度，负责测绘和地质勘查行业管理等。此外，新一轮机构改革组建 了生态环境部，把原有环保部的职责，以及国家发改委、国土资源部、水利部、农业部、国 家海洋局、国务院南水北调工程建设委员会涉及到环境治污领域的职责全部进行了整合。</w:t>
      </w:r>
    </w:p>
    <w:p>
      <w:pPr>
        <w:pStyle w:val="BodyText"/>
        <w:spacing w:line="338" w:lineRule="auto" w:before="79"/>
        <w:ind w:right="351" w:firstLine="484"/>
        <w:jc w:val="both"/>
      </w:pPr>
      <w:r>
        <w:rPr>
          <w:spacing w:val="-6"/>
        </w:rPr>
        <w:t>从改革细则可以看出，新的部门整合了此前</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spacing w:val="-6"/>
        </w:rPr>
        <w:t>个部门的职能，核心在于规划和调查职能，</w:t>
      </w:r>
      <w:r>
        <w:rPr/>
        <w:t> 自然资源在自然生态空间领域是非常重要的一部分，自然生态空间管制是多规合一最核心的</w:t>
      </w:r>
    </w:p>
    <w:p>
      <w:pPr>
        <w:spacing w:after="0" w:line="338" w:lineRule="auto"/>
        <w:jc w:val="both"/>
        <w:sectPr>
          <w:pgSz w:w="11910" w:h="16840"/>
          <w:pgMar w:header="877" w:footer="980" w:top="1100" w:bottom="1160" w:left="980" w:right="780"/>
        </w:sectPr>
      </w:pPr>
    </w:p>
    <w:p>
      <w:pPr>
        <w:spacing w:line="240" w:lineRule="auto" w:before="7"/>
        <w:rPr>
          <w:rFonts w:ascii="宋体" w:hAnsi="宋体" w:cs="宋体" w:eastAsia="宋体" w:hint="default"/>
          <w:sz w:val="25"/>
          <w:szCs w:val="25"/>
        </w:rPr>
      </w:pPr>
    </w:p>
    <w:p>
      <w:pPr>
        <w:pStyle w:val="BodyText"/>
        <w:spacing w:line="357" w:lineRule="auto" w:before="26"/>
        <w:ind w:right="232"/>
        <w:jc w:val="both"/>
      </w:pPr>
      <w:r>
        <w:rPr>
          <w:spacing w:val="-5"/>
        </w:rPr>
        <w:t>抓手，这其中包括农业、林业、水利等部门，这些机构职能的合并，将根本解决规划的重叠、</w:t>
      </w:r>
      <w:r>
        <w:rPr>
          <w:spacing w:val="-118"/>
        </w:rPr>
        <w:t> </w:t>
      </w:r>
      <w:r>
        <w:rPr>
          <w:spacing w:val="-118"/>
        </w:rPr>
      </w:r>
      <w:r>
        <w:rPr/>
        <w:t>交叉和冲突问题，有利于更好地实施多规合一、践行生态文明理念。同时，机构改革也有利 于打破早期空间地理信息应用门槛和阻隔，强化了空间地理信息共享交换融合，将更好的实 现服务于自然资源的调查与管理。</w:t>
      </w:r>
    </w:p>
    <w:p>
      <w:pPr>
        <w:pStyle w:val="BodyText"/>
        <w:spacing w:line="357" w:lineRule="auto" w:before="77"/>
        <w:ind w:right="266" w:firstLine="484"/>
        <w:jc w:val="both"/>
      </w:pPr>
      <w:r>
        <w:rPr/>
        <w:t>结合公司的业务，本次机构改革将有利于公司应用软件业务，尤其是大资源产品线业务 的发展，特别是有利于原归属于农、林、海的不动产登记业务的推进，有利于自然资源相关 业务推进，有利于多规合一业务的推进。加强的生态环境部有利于公司大环境产品线业务的 发展。</w:t>
      </w:r>
    </w:p>
    <w:p>
      <w:pPr>
        <w:spacing w:line="338" w:lineRule="auto" w:before="75"/>
        <w:ind w:left="633" w:right="98"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、国土领域信息化建设需求旺盛，自然资源确权登记与土地调查相继展开</w:t>
      </w:r>
      <w:r>
        <w:rPr>
          <w:rFonts w:ascii="宋体" w:hAnsi="宋体" w:cs="宋体" w:eastAsia="宋体" w:hint="default"/>
          <w:b/>
          <w:bCs/>
          <w:w w:val="99"/>
          <w:sz w:val="24"/>
          <w:szCs w:val="24"/>
        </w:rPr>
        <w:t> </w:t>
      </w:r>
      <w:r>
        <w:rPr>
          <w:rFonts w:ascii="宋体" w:hAnsi="宋体" w:cs="宋体" w:eastAsia="宋体" w:hint="default"/>
          <w:spacing w:val="-6"/>
          <w:sz w:val="24"/>
          <w:szCs w:val="24"/>
        </w:rPr>
        <w:t>为合理利用土地资源、规范国土资源权属管理、合理利用土地、矿产、海洋等自然资源，</w:t>
      </w:r>
    </w:p>
    <w:p>
      <w:pPr>
        <w:pStyle w:val="BodyText"/>
        <w:spacing w:line="352" w:lineRule="auto"/>
        <w:ind w:right="228"/>
        <w:jc w:val="both"/>
      </w:pPr>
      <w:r>
        <w:rPr/>
        <w:t>国土资源部相继就自然资源调查、土地调查发布了相关政策。自</w:t>
      </w:r>
      <w:r>
        <w:rPr>
          <w:spacing w:val="-8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4"/>
        </w:rPr>
        <w:t> </w:t>
      </w:r>
      <w:r>
        <w:rPr>
          <w:spacing w:val="-3"/>
        </w:rPr>
        <w:t>年底《自然资源统一确</w:t>
      </w:r>
      <w:r>
        <w:rPr/>
        <w:t> </w:t>
      </w:r>
      <w:r>
        <w:rPr>
          <w:spacing w:val="-5"/>
        </w:rPr>
        <w:t>权登记试点方案》发布以来，国家积极推进自然资源统一确权，并在多个地点完成试点任务，</w:t>
      </w:r>
      <w:r>
        <w:rPr/>
        <w:t> 顶层设计初步完成，并基本确立了相关规则。自然资源统一确权登记是不动产统一登记的扩 展、深化和延伸，自然资源登记试点方案中要求对包括水流、森林、山岭、草原、荒地、滩 涂以及探明储量的矿产资源等自然资源的所有权统一进行确权登记。</w:t>
      </w:r>
    </w:p>
    <w:p>
      <w:pPr>
        <w:pStyle w:val="BodyText"/>
        <w:spacing w:line="345" w:lineRule="auto" w:before="41"/>
        <w:ind w:right="95" w:firstLine="480"/>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月，国土资源部正式印发了《第三次全国土地调查实施方案》，从目标任务、</w:t>
      </w:r>
      <w:r>
        <w:rPr>
          <w:spacing w:val="2"/>
        </w:rPr>
        <w:t> </w:t>
      </w:r>
      <w:r>
        <w:rPr>
          <w:spacing w:val="-5"/>
        </w:rPr>
        <w:t>实施原则、主要工作内容、土地利用现状调查、专项用地调查、土地调查数据库建设等方面，</w:t>
      </w:r>
      <w:r>
        <w:rPr/>
        <w:t> 对</w:t>
      </w:r>
      <w:r>
        <w:rPr>
          <w:rFonts w:ascii="Times New Roman" w:hAnsi="Times New Roman" w:cs="Times New Roman" w:eastAsia="Times New Roman" w:hint="default"/>
        </w:rPr>
        <w:t>“</w:t>
      </w:r>
      <w:r>
        <w:rPr/>
        <w:t>三调</w:t>
      </w:r>
      <w:r>
        <w:rPr>
          <w:rFonts w:ascii="Times New Roman" w:hAnsi="Times New Roman" w:cs="Times New Roman" w:eastAsia="Times New Roman" w:hint="default"/>
        </w:rPr>
        <w:t>”</w:t>
      </w:r>
      <w:r>
        <w:rPr/>
        <w:t>工作做出详细部署。《实施方案》明确，</w:t>
      </w:r>
      <w:r>
        <w:rPr>
          <w:rFonts w:ascii="Times New Roman" w:hAnsi="Times New Roman" w:cs="Times New Roman" w:eastAsia="Times New Roman" w:hint="default"/>
        </w:rPr>
        <w:t>“</w:t>
      </w:r>
      <w:r>
        <w:rPr/>
        <w:t>三调</w:t>
      </w:r>
      <w:r>
        <w:rPr>
          <w:rFonts w:ascii="Times New Roman" w:hAnsi="Times New Roman" w:cs="Times New Roman" w:eastAsia="Times New Roman" w:hint="default"/>
        </w:rPr>
        <w:t>”</w:t>
      </w:r>
      <w:r>
        <w:rPr/>
        <w:t>工作按照</w:t>
      </w:r>
      <w:r>
        <w:rPr>
          <w:rFonts w:ascii="Times New Roman" w:hAnsi="Times New Roman" w:cs="Times New Roman" w:eastAsia="Times New Roman" w:hint="default"/>
        </w:rPr>
        <w:t>“</w:t>
      </w:r>
      <w:r>
        <w:rPr/>
        <w:t>全国统一领导、部门分工 </w:t>
      </w:r>
      <w:r>
        <w:rPr>
          <w:spacing w:val="-5"/>
        </w:rPr>
        <w:t>协作、地方分级负责、各方共同参与</w:t>
      </w:r>
      <w:r>
        <w:rPr>
          <w:rFonts w:ascii="Times New Roman" w:hAnsi="Times New Roman" w:cs="Times New Roman" w:eastAsia="Times New Roman" w:hint="default"/>
          <w:spacing w:val="-5"/>
        </w:rPr>
        <w:t>”</w:t>
      </w:r>
      <w:r>
        <w:rPr>
          <w:spacing w:val="-5"/>
        </w:rPr>
        <w:t>的形式组织实施，按照</w:t>
      </w:r>
      <w:r>
        <w:rPr>
          <w:rFonts w:ascii="Times New Roman" w:hAnsi="Times New Roman" w:cs="Times New Roman" w:eastAsia="Times New Roman" w:hint="default"/>
          <w:spacing w:val="-5"/>
        </w:rPr>
        <w:t>“</w:t>
      </w:r>
      <w:r>
        <w:rPr>
          <w:spacing w:val="-5"/>
        </w:rPr>
        <w:t>国家整体控制、统一制作底图、</w:t>
      </w:r>
      <w:r>
        <w:rPr>
          <w:spacing w:val="-88"/>
        </w:rPr>
        <w:t> </w:t>
      </w:r>
      <w:r>
        <w:rPr>
          <w:spacing w:val="-88"/>
        </w:rPr>
      </w:r>
      <w:r>
        <w:rPr/>
        <w:t>内业判读地类，地方实地调查、地类在线举证，国家核查验收、统一分发成果</w:t>
      </w:r>
      <w:r>
        <w:rPr>
          <w:rFonts w:ascii="Times New Roman" w:hAnsi="Times New Roman" w:cs="Times New Roman" w:eastAsia="Times New Roman" w:hint="default"/>
        </w:rPr>
        <w:t>”</w:t>
      </w:r>
      <w:r>
        <w:rPr/>
        <w:t>的流程推进。</w:t>
      </w:r>
      <w:r>
        <w:rPr>
          <w:spacing w:val="-73"/>
        </w:rPr>
        <w:t> </w:t>
      </w:r>
      <w:r>
        <w:rPr>
          <w:spacing w:val="-2"/>
        </w:rPr>
        <w:t>本次土地调查相关成果将由各部门共享，充分发挥土地调查成果在服务经济发展和社会管理、</w:t>
      </w:r>
      <w:r>
        <w:rPr/>
        <w:t> 支撑宏观调控和科学决策中的基础作用。</w:t>
      </w:r>
    </w:p>
    <w:p>
      <w:pPr>
        <w:pStyle w:val="BodyText"/>
        <w:spacing w:line="357" w:lineRule="auto" w:before="48"/>
        <w:ind w:right="232" w:firstLine="480"/>
        <w:jc w:val="both"/>
      </w:pPr>
      <w:r>
        <w:rPr>
          <w:spacing w:val="-6"/>
        </w:rPr>
        <w:t>公司通过多年经验积累，建设实施了包括水利普查、草原信息管理系统在内的应用项目，</w:t>
      </w:r>
      <w:r>
        <w:rPr/>
        <w:t> 在自然资源领域积累了丰富的案例，有助于推动自然资源确权相关工作。同时，公司积极部 署第三次全国土地调查业务，深入研究开发相关产品，开展技术交流研讨会，形成并推广具 有自身特点的第三次全国土地调查解决方案。</w:t>
      </w:r>
    </w:p>
    <w:p>
      <w:pPr>
        <w:spacing w:line="338" w:lineRule="auto" w:before="36"/>
        <w:ind w:left="638" w:right="248" w:hanging="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、时空信息云平台驱动智慧城市建设</w:t>
      </w:r>
      <w:r>
        <w:rPr>
          <w:rFonts w:ascii="宋体" w:hAnsi="宋体" w:cs="宋体" w:eastAsia="宋体" w:hint="default"/>
          <w:b/>
          <w:bCs/>
          <w:w w:val="99"/>
          <w:sz w:val="24"/>
          <w:szCs w:val="24"/>
        </w:rPr>
        <w:t> </w:t>
      </w:r>
      <w:r>
        <w:rPr>
          <w:rFonts w:ascii="宋体" w:hAnsi="宋体" w:cs="宋体" w:eastAsia="宋体" w:hint="default"/>
          <w:sz w:val="24"/>
          <w:szCs w:val="24"/>
        </w:rPr>
        <w:t>为全面推进智慧城市建设，国家发展改革委、中央网信办联合印发了《新型智慧城市建</w:t>
      </w:r>
    </w:p>
    <w:p>
      <w:pPr>
        <w:pStyle w:val="BodyText"/>
        <w:spacing w:line="240" w:lineRule="auto"/>
        <w:ind w:right="0"/>
        <w:jc w:val="both"/>
      </w:pPr>
      <w:r>
        <w:rPr/>
        <w:t>设部际协调工作组</w:t>
      </w:r>
      <w:r>
        <w:rPr>
          <w:spacing w:val="-62"/>
        </w:rPr>
        <w:t> </w:t>
      </w:r>
      <w:r>
        <w:rPr>
          <w:rFonts w:ascii="Times New Roman" w:hAnsi="Times New Roman" w:cs="Times New Roman" w:eastAsia="Times New Roman" w:hint="default"/>
        </w:rPr>
        <w:t>2016-2018</w:t>
      </w:r>
      <w:r>
        <w:rPr>
          <w:rFonts w:ascii="Times New Roman" w:hAnsi="Times New Roman" w:cs="Times New Roman" w:eastAsia="Times New Roman" w:hint="default"/>
          <w:spacing w:val="-1"/>
        </w:rPr>
        <w:t> </w:t>
      </w:r>
      <w:r>
        <w:rPr/>
        <w:t>年任务分工》，明确了时空信息云平台作为新型智慧城市时空</w:t>
      </w:r>
    </w:p>
    <w:p>
      <w:pPr>
        <w:spacing w:after="0" w:line="240" w:lineRule="auto"/>
        <w:jc w:val="both"/>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38" w:lineRule="auto" w:before="26"/>
        <w:ind w:right="106"/>
        <w:jc w:val="left"/>
      </w:pPr>
      <w:r>
        <w:rPr>
          <w:spacing w:val="2"/>
        </w:rPr>
        <w:t>基础设施的地位。为加快智慧城市时空大数据与云平台建设试点的落地，</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w:t>
      </w:r>
      <w:r>
        <w:rPr>
          <w:spacing w:val="2"/>
        </w:rPr>
        <w:t> </w:t>
      </w:r>
      <w:r>
        <w:rPr/>
        <w:t>国家测绘地理信息局印发了《智慧城市时空大数据与云平台建设技术大纲（</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版）》并于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spacing w:val="-7"/>
        </w:rPr>
        <w:t>日印发《关于加快推进智慧城市时空大数据与云平台建设试点工作的通知》。</w:t>
      </w:r>
    </w:p>
    <w:p>
      <w:pPr>
        <w:pStyle w:val="BodyText"/>
        <w:spacing w:line="357" w:lineRule="auto" w:before="27"/>
        <w:ind w:right="271"/>
        <w:jc w:val="both"/>
      </w:pPr>
      <w:r>
        <w:rPr/>
        <w:t>《技术大纲》进一步明确了时空信息云平台作为时空基础设施的基础，将以数据服务、功能 服务、接口服务、基础设施服务和知识服务为核心，形成服务资源池，建立服务引擎、地名 地址引擎、业务流引擎和知识化引擎，通过云服务系统，为各种业务应用提供按需服务。</w:t>
      </w:r>
    </w:p>
    <w:p>
      <w:pPr>
        <w:pStyle w:val="BodyText"/>
        <w:spacing w:line="355" w:lineRule="auto" w:before="36"/>
        <w:ind w:right="98" w:firstLine="484"/>
        <w:jc w:val="left"/>
      </w:pPr>
      <w:r>
        <w:rPr>
          <w:spacing w:val="-2"/>
        </w:rPr>
        <w:t>时空大数据与云平台作为</w:t>
      </w:r>
      <w:r>
        <w:rPr>
          <w:rFonts w:ascii="Times New Roman" w:hAnsi="Times New Roman" w:cs="Times New Roman" w:eastAsia="Times New Roman" w:hint="default"/>
          <w:spacing w:val="-2"/>
        </w:rPr>
        <w:t>“</w:t>
      </w:r>
      <w:r>
        <w:rPr>
          <w:spacing w:val="-2"/>
        </w:rPr>
        <w:t>智慧城市</w:t>
      </w:r>
      <w:r>
        <w:rPr>
          <w:rFonts w:ascii="Times New Roman" w:hAnsi="Times New Roman" w:cs="Times New Roman" w:eastAsia="Times New Roman" w:hint="default"/>
          <w:spacing w:val="-2"/>
        </w:rPr>
        <w:t>”</w:t>
      </w:r>
      <w:r>
        <w:rPr>
          <w:spacing w:val="-2"/>
        </w:rPr>
        <w:t>整体框架中一个重要的、不可缺少的时空基础设施，</w:t>
      </w:r>
      <w:r>
        <w:rPr/>
        <w:t> 是建设智慧城市的关键性基础信息平台，能够更好地满足城市运行、管理与服务的自动化智 能化需求，及时有效地为智慧城市探索与建设提供地理信息服务，对驱动智慧城市建设与运 营起到越来越重要的作用。公司拥有丰富的项目实施经验，完善的智慧城市解决方案，以及 通过长期实践形成自主知识产权的云平台，能为智慧城市提供规划咨询、时空云产品、智慧 城市专题建设和智慧城市运营等多方面服务。公司将结合自身时空大数据云平台的多方面优 势，不断推进智慧城市建设与运营向更高水平迈进。</w:t>
      </w:r>
    </w:p>
    <w:p>
      <w:pPr>
        <w:spacing w:line="240" w:lineRule="auto" w:before="12"/>
        <w:rPr>
          <w:rFonts w:ascii="宋体" w:hAnsi="宋体" w:cs="宋体" w:eastAsia="宋体" w:hint="default"/>
          <w:sz w:val="25"/>
          <w:szCs w:val="25"/>
        </w:rPr>
      </w:pPr>
    </w:p>
    <w:p>
      <w:pPr>
        <w:pStyle w:val="Heading2"/>
        <w:spacing w:line="240" w:lineRule="auto"/>
        <w:ind w:right="0"/>
        <w:jc w:val="both"/>
        <w:rPr>
          <w:b w:val="0"/>
          <w:bCs w:val="0"/>
        </w:rPr>
      </w:pPr>
      <w:r>
        <w:rPr>
          <w:rFonts w:ascii="Times New Roman" w:hAnsi="Times New Roman" w:cs="Times New Roman" w:eastAsia="Times New Roman" w:hint="default"/>
          <w:spacing w:val="2"/>
        </w:rPr>
        <w:t>3</w:t>
      </w:r>
      <w:r>
        <w:rPr>
          <w:spacing w:val="2"/>
        </w:rPr>
        <w:t>、公司</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spacing w:val="3"/>
        </w:rPr>
        <w:t>年主要经营计划</w:t>
      </w:r>
      <w:r>
        <w:rPr>
          <w:b w:val="0"/>
          <w:bCs w:val="0"/>
          <w:spacing w:val="3"/>
        </w:rPr>
      </w:r>
    </w:p>
    <w:p>
      <w:pPr>
        <w:spacing w:line="240" w:lineRule="auto" w:before="4"/>
        <w:rPr>
          <w:rFonts w:ascii="宋体" w:hAnsi="宋体" w:cs="宋体" w:eastAsia="宋体" w:hint="default"/>
          <w:b/>
          <w:bCs/>
          <w:sz w:val="33"/>
          <w:szCs w:val="33"/>
        </w:rPr>
      </w:pPr>
    </w:p>
    <w:p>
      <w:pPr>
        <w:spacing w:line="367" w:lineRule="auto" w:before="0"/>
        <w:ind w:left="633" w:right="2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）结合国家机构改革机遇，积极布局空间地理信息产业新时代</w:t>
      </w:r>
      <w:r>
        <w:rPr>
          <w:rFonts w:ascii="宋体" w:hAnsi="宋体" w:cs="宋体" w:eastAsia="宋体" w:hint="default"/>
          <w:b/>
          <w:bCs/>
          <w:w w:val="99"/>
          <w:sz w:val="24"/>
          <w:szCs w:val="24"/>
        </w:rPr>
        <w:t> </w:t>
      </w:r>
      <w:r>
        <w:rPr>
          <w:rFonts w:ascii="宋体" w:hAnsi="宋体" w:cs="宋体" w:eastAsia="宋体" w:hint="default"/>
          <w:sz w:val="24"/>
          <w:szCs w:val="24"/>
        </w:rPr>
        <w:t>国家实施机构改革，组建自然资源部，在保留原有国土职责的同时，理顺了规划、调查</w:t>
      </w:r>
    </w:p>
    <w:p>
      <w:pPr>
        <w:pStyle w:val="BodyText"/>
        <w:spacing w:line="386" w:lineRule="auto" w:before="26"/>
        <w:ind w:left="633" w:right="253" w:hanging="480"/>
        <w:jc w:val="left"/>
      </w:pPr>
      <w:r>
        <w:rPr/>
        <w:t>等职能。公司将积极把握机遇，积极布局空间地理信息产业新时代的各项业务。 公司将利用不动产登记平台系统建设的先发优势，不断完善相关行业应用平台产品以及</w:t>
      </w:r>
    </w:p>
    <w:p>
      <w:pPr>
        <w:pStyle w:val="BodyText"/>
        <w:spacing w:line="357" w:lineRule="auto" w:before="7"/>
        <w:ind w:right="271"/>
        <w:jc w:val="both"/>
      </w:pPr>
      <w:r>
        <w:rPr/>
        <w:t>行业解决方案，不断提升服务品质，巩固并扩展市场份额。将依据第三次全国土地调查的工 作内容和技术要求，结合土地调查新技术经验，研发完善从外业调查、数据建库、数据库管 理到三调数据共享分析等全过程的完整国土三调软件产品体系，积极布局国土三调业务。</w:t>
      </w:r>
    </w:p>
    <w:p>
      <w:pPr>
        <w:pStyle w:val="BodyText"/>
        <w:spacing w:line="357" w:lineRule="auto" w:before="77"/>
        <w:ind w:right="269" w:firstLine="480"/>
        <w:jc w:val="both"/>
      </w:pPr>
      <w:r>
        <w:rPr/>
        <w:t>公司将紧抓新型智慧城市建设机遇，尤其是时空大数据和云平台项目的落地机遇，积极 拓展在智慧城市时空信息云平台建设方面的业务工作，</w:t>
      </w:r>
      <w:r>
        <w:rPr>
          <w:shd w:fill="FDFDFD" w:color="auto" w:val="clear"/>
        </w:rPr>
        <w:t>进一步完善智慧城市解决方案，以及</w:t>
      </w:r>
      <w:r>
        <w:rPr/>
      </w:r>
      <w:r>
        <w:rPr/>
        <w:t> </w:t>
      </w:r>
      <w:r>
        <w:rPr>
          <w:shd w:fill="FDFDFD" w:color="auto" w:val="clear"/>
        </w:rPr>
        <w:t>通过结合自身时空大数据云平台的多方面优势，为智慧城市提供规划咨询、时空云产品、智</w:t>
      </w:r>
      <w:r>
        <w:rPr/>
      </w:r>
      <w:r>
        <w:rPr/>
        <w:t> </w:t>
      </w:r>
      <w:r>
        <w:rPr>
          <w:shd w:fill="FDFDFD" w:color="auto" w:val="clear"/>
        </w:rPr>
        <w:t>慧城市专题建设和智慧城市运营等多方面服务，不断推进智慧城市建设与运营向更高水平迈</w:t>
      </w:r>
      <w:r>
        <w:rPr/>
      </w:r>
      <w:r>
        <w:rPr/>
        <w:t> </w:t>
      </w:r>
      <w:r>
        <w:rPr>
          <w:shd w:fill="FDFDFD" w:color="auto" w:val="clear"/>
        </w:rPr>
        <w:t>进。</w:t>
      </w:r>
      <w:r>
        <w:rPr/>
      </w:r>
    </w:p>
    <w:p>
      <w:pPr>
        <w:pStyle w:val="BodyText"/>
        <w:spacing w:line="357" w:lineRule="auto" w:before="77"/>
        <w:ind w:right="253" w:firstLine="480"/>
        <w:jc w:val="left"/>
      </w:pPr>
      <w:r>
        <w:rPr/>
        <w:t>面对多规合一、空间规划等市场机遇，公司将进一步发挥信息化在转型中的关键作用， 提升信息化支撑和服务能力，推进多规合一探索和空间规划改革，为城市的高起点规划、高</w:t>
      </w:r>
    </w:p>
    <w:p>
      <w:pPr>
        <w:spacing w:after="0" w:line="357" w:lineRule="auto"/>
        <w:jc w:val="left"/>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57" w:lineRule="auto" w:before="26"/>
        <w:ind w:right="251"/>
        <w:jc w:val="both"/>
      </w:pPr>
      <w:r>
        <w:rPr/>
        <w:t>品质落实、高内涵发展提供支撑技术，促进城市向公共服务便捷化、城市管理精细化、生活 环境宜居化、基础设施智能化方向发展。</w:t>
      </w:r>
    </w:p>
    <w:p>
      <w:pPr>
        <w:pStyle w:val="Heading2"/>
        <w:spacing w:line="240" w:lineRule="auto" w:before="77"/>
        <w:ind w:left="635" w:right="200"/>
        <w:jc w:val="left"/>
        <w:rPr>
          <w:b w:val="0"/>
          <w:bCs w:val="0"/>
        </w:rPr>
      </w:pPr>
      <w:r>
        <w:rPr/>
        <w:t>（</w:t>
      </w:r>
      <w:r>
        <w:rPr>
          <w:rFonts w:ascii="Times New Roman" w:hAnsi="Times New Roman" w:cs="Times New Roman" w:eastAsia="Times New Roman" w:hint="default"/>
        </w:rPr>
        <w:t>2</w:t>
      </w:r>
      <w:r>
        <w:rPr/>
        <w:t>）变革区域化营销体系，顺应国家机构改革长期趋势</w:t>
      </w:r>
      <w:r>
        <w:rPr>
          <w:b w:val="0"/>
          <w:bCs w:val="0"/>
        </w:rPr>
      </w:r>
    </w:p>
    <w:p>
      <w:pPr>
        <w:pStyle w:val="BodyText"/>
        <w:spacing w:line="352" w:lineRule="auto" w:before="174"/>
        <w:ind w:right="212" w:firstLine="48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t>年初，公司对超图信息与业务应用群进行组织结构变革创新，分为两个体系：产品 与交付体系（研发应用解决方案以及进行项目实施与交付）以及营销和服务体系。产品与交 付体系下设一部三中心，战略业务部以及资源资产业务中心、智慧城市业务中心、环境业务 中心。营销体系根据区域设立九大客户中心，将以前的营销中心改为客户中心，从客户角度 出发，注重客户体验，进一步提升服务意识，增强服务品质。</w:t>
      </w:r>
    </w:p>
    <w:p>
      <w:pPr>
        <w:pStyle w:val="BodyText"/>
        <w:spacing w:line="357" w:lineRule="auto" w:before="82"/>
        <w:ind w:right="249" w:firstLine="480"/>
        <w:jc w:val="both"/>
      </w:pPr>
      <w:r>
        <w:rPr/>
        <w:t>公司内部组织结构的变革顺应国家机构改革长期发展趋势，也将有利于进一步优化资源 配置，打破部门壁垒，实现技术、产品等资源共享，进一步提升组织创新能力，进一步提升 营销能力和服务能力，进一步促进公司战略以及目标的实现。</w:t>
      </w:r>
    </w:p>
    <w:p>
      <w:pPr>
        <w:spacing w:line="364" w:lineRule="auto" w:before="77"/>
        <w:ind w:left="633" w:right="200" w:firstLine="2"/>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）探索新技术，发布</w:t>
      </w:r>
      <w:r>
        <w:rPr>
          <w:rFonts w:ascii="宋体" w:hAnsi="宋体" w:cs="宋体" w:eastAsia="宋体" w:hint="default"/>
          <w:b/>
          <w:bCs/>
          <w:spacing w:val="-59"/>
          <w:sz w:val="24"/>
          <w:szCs w:val="24"/>
        </w:rPr>
        <w:t> </w:t>
      </w:r>
      <w:r>
        <w:rPr>
          <w:rFonts w:ascii="Times New Roman" w:hAnsi="Times New Roman" w:cs="Times New Roman" w:eastAsia="Times New Roman" w:hint="default"/>
          <w:b/>
          <w:bCs/>
          <w:sz w:val="24"/>
          <w:szCs w:val="24"/>
        </w:rPr>
        <w:t>SuperMap</w:t>
      </w:r>
      <w:r>
        <w:rPr>
          <w:rFonts w:ascii="Times New Roman" w:hAnsi="Times New Roman" w:cs="Times New Roman" w:eastAsia="Times New Roman" w:hint="default"/>
          <w:b/>
          <w:bCs/>
          <w:spacing w:val="-1"/>
          <w:sz w:val="24"/>
          <w:szCs w:val="24"/>
        </w:rPr>
        <w:t> </w:t>
      </w:r>
      <w:r>
        <w:rPr>
          <w:rFonts w:ascii="Times New Roman" w:hAnsi="Times New Roman" w:cs="Times New Roman" w:eastAsia="Times New Roman" w:hint="default"/>
          <w:b/>
          <w:bCs/>
          <w:sz w:val="24"/>
          <w:szCs w:val="24"/>
        </w:rPr>
        <w:t>GIS</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新版本产品</w:t>
      </w:r>
      <w:r>
        <w:rPr>
          <w:rFonts w:ascii="宋体" w:hAnsi="宋体" w:cs="宋体" w:eastAsia="宋体" w:hint="default"/>
          <w:b/>
          <w:bCs/>
          <w:w w:val="99"/>
          <w:sz w:val="24"/>
          <w:szCs w:val="24"/>
        </w:rPr>
        <w:t> </w:t>
      </w:r>
      <w:r>
        <w:rPr>
          <w:rFonts w:ascii="宋体" w:hAnsi="宋体" w:cs="宋体" w:eastAsia="宋体" w:hint="default"/>
          <w:spacing w:val="-2"/>
          <w:sz w:val="24"/>
          <w:szCs w:val="24"/>
        </w:rPr>
        <w:t>顺应发展趋势，公司将进一步完善公司产品，提升现有产品的技术水平，发布</w:t>
      </w:r>
      <w:r>
        <w:rPr>
          <w:rFonts w:ascii="宋体" w:hAnsi="宋体" w:cs="宋体" w:eastAsia="宋体" w:hint="default"/>
          <w:spacing w:val="-51"/>
          <w:sz w:val="24"/>
          <w:szCs w:val="24"/>
        </w:rPr>
        <w:t> </w:t>
      </w:r>
      <w:r>
        <w:rPr>
          <w:rFonts w:ascii="Times New Roman" w:hAnsi="Times New Roman" w:cs="Times New Roman" w:eastAsia="Times New Roman" w:hint="default"/>
          <w:spacing w:val="-1"/>
          <w:sz w:val="24"/>
          <w:szCs w:val="24"/>
        </w:rPr>
        <w:t>SuperMap</w:t>
      </w:r>
    </w:p>
    <w:p>
      <w:pPr>
        <w:pStyle w:val="BodyText"/>
        <w:spacing w:line="348" w:lineRule="auto" w:before="0"/>
        <w:ind w:right="99"/>
        <w:jc w:val="left"/>
      </w:pPr>
      <w:r>
        <w:rPr>
          <w:rFonts w:ascii="Times New Roman" w:hAnsi="Times New Roman" w:cs="Times New Roman" w:eastAsia="Times New Roman" w:hint="default"/>
        </w:rPr>
        <w:t>GIS</w:t>
      </w:r>
      <w:r>
        <w:rPr>
          <w:rFonts w:ascii="Times New Roman" w:hAnsi="Times New Roman" w:cs="Times New Roman" w:eastAsia="Times New Roman" w:hint="default"/>
          <w:spacing w:val="27"/>
        </w:rPr>
        <w:t> </w:t>
      </w:r>
      <w:r>
        <w:rPr>
          <w:rFonts w:ascii="Times New Roman" w:hAnsi="Times New Roman" w:cs="Times New Roman" w:eastAsia="Times New Roman" w:hint="default"/>
        </w:rPr>
        <w:t>9D</w:t>
      </w:r>
      <w:r>
        <w:rPr>
          <w:rFonts w:ascii="Times New Roman" w:hAnsi="Times New Roman" w:cs="Times New Roman" w:eastAsia="Times New Roman" w:hint="default"/>
          <w:spacing w:val="27"/>
        </w:rPr>
        <w:t> </w:t>
      </w:r>
      <w:r>
        <w:rPr/>
        <w:t>新版本，新版本将全面完善大数据产品，进一步夯实跨平台技术体系以及三维设计。</w:t>
      </w:r>
      <w:r>
        <w:rPr>
          <w:spacing w:val="-114"/>
        </w:rPr>
        <w:t> </w:t>
      </w:r>
      <w:r>
        <w:rPr>
          <w:spacing w:val="-114"/>
        </w:rPr>
      </w:r>
      <w:r>
        <w:rPr>
          <w:spacing w:val="-5"/>
        </w:rPr>
        <w:t>此外，公司将结合人工智能（机器学习）、区块链等新技术，积极开展现有业务与技术在相关</w:t>
      </w:r>
      <w:r>
        <w:rPr>
          <w:spacing w:val="-117"/>
        </w:rPr>
        <w:t> </w:t>
      </w:r>
      <w:r>
        <w:rPr>
          <w:spacing w:val="-117"/>
        </w:rPr>
      </w:r>
      <w:r>
        <w:rPr/>
        <w:t>领域的深度应用的研究与探索工作。</w:t>
      </w:r>
    </w:p>
    <w:p>
      <w:pPr>
        <w:spacing w:line="367" w:lineRule="auto" w:before="86"/>
        <w:ind w:left="633" w:right="23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）加大国际化投入，着力塑造国际知名品牌</w:t>
      </w:r>
      <w:r>
        <w:rPr>
          <w:rFonts w:ascii="宋体" w:hAnsi="宋体" w:cs="宋体" w:eastAsia="宋体" w:hint="default"/>
          <w:b/>
          <w:bCs/>
          <w:w w:val="99"/>
          <w:sz w:val="24"/>
          <w:szCs w:val="24"/>
        </w:rPr>
        <w:t> </w:t>
      </w:r>
      <w:r>
        <w:rPr>
          <w:rFonts w:ascii="宋体" w:hAnsi="宋体" w:cs="宋体" w:eastAsia="宋体" w:hint="default"/>
          <w:sz w:val="24"/>
          <w:szCs w:val="24"/>
        </w:rPr>
        <w:t>公司将围绕国际化战略进一步加大国际化投入，并采取一系列措施着力提高公司的品牌</w:t>
      </w:r>
    </w:p>
    <w:p>
      <w:pPr>
        <w:pStyle w:val="BodyText"/>
        <w:spacing w:line="338" w:lineRule="auto" w:before="26"/>
        <w:ind w:right="210"/>
        <w:jc w:val="both"/>
      </w:pPr>
      <w:r>
        <w:rPr/>
        <w:t>知名度，塑造国际知名品牌。将进一步调整优化人才队伍；联合政府相关机构筹建</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软件 国际培训中心，开展国际化培训，向国外输出中国</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应用经验以及</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技术；持续参加大 </w:t>
      </w:r>
      <w:r>
        <w:rPr>
          <w:spacing w:val="-3"/>
          <w:w w:val="99"/>
        </w:rPr>
        <w:t>型国际市场活动，如</w:t>
      </w:r>
      <w:r>
        <w:rPr>
          <w:color w:val="333333"/>
          <w:spacing w:val="-3"/>
          <w:w w:val="99"/>
        </w:rPr>
        <w:t>德国国际大地测量学和地球信息技术展（</w:t>
      </w:r>
      <w:r>
        <w:rPr>
          <w:rFonts w:ascii="Times New Roman" w:hAnsi="Times New Roman" w:cs="Times New Roman" w:eastAsia="Times New Roman" w:hint="default"/>
          <w:spacing w:val="-3"/>
          <w:w w:val="99"/>
        </w:rPr>
        <w:t>InterGeo</w:t>
      </w:r>
      <w:r>
        <w:rPr>
          <w:spacing w:val="-3"/>
          <w:w w:val="99"/>
        </w:rPr>
        <w:t>），联合国地理信息大</w:t>
      </w:r>
      <w:r>
        <w:rPr>
          <w:spacing w:val="-108"/>
          <w:w w:val="99"/>
        </w:rPr>
        <w:t> </w:t>
      </w:r>
      <w:r>
        <w:rPr>
          <w:spacing w:val="-108"/>
          <w:w w:val="99"/>
        </w:rPr>
      </w:r>
      <w:r>
        <w:rPr>
          <w:spacing w:val="-8"/>
        </w:rPr>
        <w:t>会等，增强影响力；布局国际化解决方案，积极开拓国外市场；积极参与国家援外，与政府</w:t>
      </w:r>
      <w:r>
        <w:rPr>
          <w:rFonts w:ascii="Times New Roman" w:hAnsi="Times New Roman" w:cs="Times New Roman" w:eastAsia="Times New Roman" w:hint="default"/>
          <w:spacing w:val="-8"/>
        </w:rPr>
        <w:t>“</w:t>
      </w:r>
      <w:r>
        <w:rPr>
          <w:spacing w:val="-8"/>
        </w:rPr>
        <w:t>一</w:t>
      </w:r>
      <w:r>
        <w:rPr>
          <w:spacing w:val="-94"/>
        </w:rPr>
        <w:t> </w:t>
      </w:r>
      <w:r>
        <w:rPr/>
        <w:t>带一路</w:t>
      </w:r>
      <w:r>
        <w:rPr>
          <w:rFonts w:ascii="Times New Roman" w:hAnsi="Times New Roman" w:cs="Times New Roman" w:eastAsia="Times New Roman" w:hint="default"/>
        </w:rPr>
        <w:t>”</w:t>
      </w:r>
      <w:r>
        <w:rPr/>
        <w:t>战略一起走出去。</w:t>
      </w:r>
    </w:p>
    <w:p>
      <w:pPr>
        <w:spacing w:line="367" w:lineRule="auto" w:before="66"/>
        <w:ind w:left="633" w:right="23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）深入民参军共建新模式</w:t>
      </w:r>
      <w:r>
        <w:rPr>
          <w:rFonts w:ascii="宋体" w:hAnsi="宋体" w:cs="宋体" w:eastAsia="宋体" w:hint="default"/>
          <w:b/>
          <w:bCs/>
          <w:w w:val="99"/>
          <w:sz w:val="24"/>
          <w:szCs w:val="24"/>
        </w:rPr>
        <w:t> </w:t>
      </w:r>
      <w:r>
        <w:rPr>
          <w:rFonts w:ascii="宋体" w:hAnsi="宋体" w:cs="宋体" w:eastAsia="宋体" w:hint="default"/>
          <w:sz w:val="24"/>
          <w:szCs w:val="24"/>
        </w:rPr>
        <w:t>公司将进一步深入研究国家军民融合政策，积极应对军品市场开放态势，提供高质量产</w:t>
      </w:r>
    </w:p>
    <w:p>
      <w:pPr>
        <w:pStyle w:val="BodyText"/>
        <w:spacing w:line="338" w:lineRule="auto" w:before="26"/>
        <w:ind w:right="210"/>
        <w:jc w:val="both"/>
        <w:rPr>
          <w:rFonts w:ascii="Times New Roman" w:hAnsi="Times New Roman" w:cs="Times New Roman" w:eastAsia="Times New Roman" w:hint="default"/>
        </w:rPr>
      </w:pPr>
      <w:r>
        <w:rPr/>
        <w:t>品，保障优质服务。一方面将完善公司产品，提高民参军能力：将进一步优化</w:t>
      </w:r>
      <w:r>
        <w:rPr>
          <w:spacing w:val="-59"/>
        </w:rPr>
        <w:t> </w:t>
      </w:r>
      <w:r>
        <w:rPr>
          <w:rFonts w:ascii="Times New Roman" w:hAnsi="Times New Roman" w:cs="Times New Roman" w:eastAsia="Times New Roman" w:hint="default"/>
        </w:rPr>
        <w:t>Linux</w:t>
      </w:r>
      <w:r>
        <w:rPr>
          <w:rFonts w:ascii="Times New Roman" w:hAnsi="Times New Roman" w:cs="Times New Roman" w:eastAsia="Times New Roman" w:hint="default"/>
          <w:spacing w:val="1"/>
        </w:rPr>
        <w:t> </w:t>
      </w:r>
      <w:r>
        <w:rPr/>
        <w:t>三维技 术，完善跨平台桌面</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平台软件，以及研发完善军标和军事指挥等等军事应用产品；另一 方面，创新参与模式，将民用优秀的解决方案应用到军事领域。</w:t>
      </w: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t>年公司时空信息云平台 应用到军用项目，取得了较好的成效，</w:t>
      </w:r>
      <w:r>
        <w:rPr>
          <w:rFonts w:ascii="Times New Roman" w:hAnsi="Times New Roman" w:cs="Times New Roman" w:eastAsia="Times New Roman" w:hint="default"/>
        </w:rPr>
        <w:t>2018 </w:t>
      </w:r>
      <w:r>
        <w:rPr>
          <w:spacing w:val="-3"/>
        </w:rPr>
        <w:t>年，公司将继续积极研究探索，结合国家在</w:t>
      </w:r>
      <w:r>
        <w:rPr>
          <w:spacing w:val="-86"/>
        </w:rPr>
        <w:t> </w:t>
      </w:r>
      <w:r>
        <w:rPr>
          <w:rFonts w:ascii="Times New Roman" w:hAnsi="Times New Roman" w:cs="Times New Roman" w:eastAsia="Times New Roman" w:hint="default"/>
        </w:rPr>
        <w:t>2016</w:t>
      </w:r>
    </w:p>
    <w:p>
      <w:pPr>
        <w:spacing w:after="0" w:line="338" w:lineRule="auto"/>
        <w:jc w:val="both"/>
        <w:rPr>
          <w:rFonts w:ascii="Times New Roman" w:hAnsi="Times New Roman" w:cs="Times New Roman" w:eastAsia="Times New Roman" w:hint="default"/>
        </w:rPr>
        <w:sectPr>
          <w:pgSz w:w="11910" w:h="16840"/>
          <w:pgMar w:header="877" w:footer="980" w:top="1100" w:bottom="1160" w:left="980" w:right="920"/>
        </w:sectPr>
      </w:pPr>
    </w:p>
    <w:p>
      <w:pPr>
        <w:spacing w:line="240" w:lineRule="auto" w:before="1"/>
        <w:rPr>
          <w:rFonts w:ascii="Times New Roman" w:hAnsi="Times New Roman" w:cs="Times New Roman" w:eastAsia="Times New Roman" w:hint="default"/>
          <w:sz w:val="29"/>
          <w:szCs w:val="29"/>
        </w:rPr>
      </w:pPr>
    </w:p>
    <w:p>
      <w:pPr>
        <w:pStyle w:val="BodyText"/>
        <w:spacing w:line="357" w:lineRule="auto" w:before="26"/>
        <w:ind w:right="191"/>
        <w:jc w:val="both"/>
      </w:pPr>
      <w:r>
        <w:rPr/>
        <w:t>年初提出并在近两年贯彻落实的深化国防和军队改革的整体思路，将民用先进的解决方案应 用于国防及军队信息化建设。</w:t>
      </w:r>
    </w:p>
    <w:p>
      <w:pPr>
        <w:spacing w:line="240" w:lineRule="auto" w:before="12"/>
        <w:rPr>
          <w:rFonts w:ascii="宋体" w:hAnsi="宋体" w:cs="宋体" w:eastAsia="宋体" w:hint="default"/>
          <w:sz w:val="25"/>
          <w:szCs w:val="25"/>
        </w:rPr>
      </w:pPr>
    </w:p>
    <w:p>
      <w:pPr>
        <w:pStyle w:val="Heading2"/>
        <w:spacing w:line="240" w:lineRule="auto"/>
        <w:ind w:right="0"/>
        <w:jc w:val="both"/>
        <w:rPr>
          <w:b w:val="0"/>
          <w:bCs w:val="0"/>
        </w:rPr>
      </w:pPr>
      <w:r>
        <w:rPr>
          <w:rFonts w:ascii="Times New Roman" w:hAnsi="Times New Roman" w:cs="Times New Roman" w:eastAsia="Times New Roman" w:hint="default"/>
          <w:spacing w:val="4"/>
        </w:rPr>
        <w:t>4</w:t>
      </w:r>
      <w:r>
        <w:rPr>
          <w:spacing w:val="4"/>
        </w:rPr>
        <w:t>、对公司未来发展战略和经营目标的实现产生不利影响的风险因素分析</w:t>
      </w:r>
      <w:r>
        <w:rPr>
          <w:b w:val="0"/>
          <w:bCs w:val="0"/>
        </w:rPr>
      </w:r>
    </w:p>
    <w:p>
      <w:pPr>
        <w:spacing w:line="240" w:lineRule="auto" w:before="2"/>
        <w:rPr>
          <w:rFonts w:ascii="宋体" w:hAnsi="宋体" w:cs="宋体" w:eastAsia="宋体" w:hint="default"/>
          <w:b/>
          <w:bCs/>
          <w:sz w:val="33"/>
          <w:szCs w:val="33"/>
        </w:rPr>
      </w:pPr>
    </w:p>
    <w:p>
      <w:pPr>
        <w:spacing w:line="338" w:lineRule="auto" w:before="0"/>
        <w:ind w:left="633" w:right="17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）上下半年业绩不均衡风险</w:t>
      </w:r>
      <w:r>
        <w:rPr>
          <w:rFonts w:ascii="宋体" w:hAnsi="宋体" w:cs="宋体" w:eastAsia="宋体" w:hint="default"/>
          <w:b/>
          <w:bCs/>
          <w:w w:val="99"/>
          <w:sz w:val="24"/>
          <w:szCs w:val="24"/>
        </w:rPr>
        <w:t> </w:t>
      </w:r>
      <w:r>
        <w:rPr>
          <w:rFonts w:ascii="宋体" w:hAnsi="宋体" w:cs="宋体" w:eastAsia="宋体" w:hint="default"/>
          <w:sz w:val="24"/>
          <w:szCs w:val="24"/>
        </w:rPr>
        <w:t>公司利润的实现具有明显的上下半年不均衡特点，下半年实现的收入占全年收入的比例</w:t>
      </w:r>
    </w:p>
    <w:p>
      <w:pPr>
        <w:pStyle w:val="BodyText"/>
        <w:spacing w:line="357" w:lineRule="auto"/>
        <w:ind w:right="152"/>
        <w:jc w:val="both"/>
      </w:pPr>
      <w:r>
        <w:rPr/>
        <w:t>较高。公司提供的地理信息系统产品和服务的用户多为政府部门或其事业单位，客户一般在 上半年制订采购预算，发布招标公告；正式采购合同通常在下半年签订，故此公司业务合同 </w:t>
      </w:r>
      <w:r>
        <w:rPr>
          <w:spacing w:val="-5"/>
        </w:rPr>
        <w:t>的签订主要集中于下半年。公司能否有效地维护和拓展客户资源，保证合同签订额保持增长，</w:t>
      </w:r>
      <w:r>
        <w:rPr>
          <w:spacing w:val="-117"/>
        </w:rPr>
        <w:t> </w:t>
      </w:r>
      <w:r>
        <w:rPr>
          <w:spacing w:val="-117"/>
        </w:rPr>
      </w:r>
      <w:r>
        <w:rPr/>
        <w:t>并确保合同的实施进度，将决定收入和利润能否保持良好增长。如果客户招投标进度延缓， 或对公司软件产品和技术开发服务的需求下降，都将可能影响公司合同的签订，进而影响全 年的业绩，并导致全年盈利情况存在不确定性。</w:t>
      </w:r>
    </w:p>
    <w:p>
      <w:pPr>
        <w:pStyle w:val="BodyText"/>
        <w:spacing w:line="357" w:lineRule="auto" w:before="36"/>
        <w:ind w:right="191" w:firstLine="480"/>
        <w:jc w:val="both"/>
      </w:pPr>
      <w:r>
        <w:rPr/>
        <w:t>应对措施：公司将进一步有效整合和拓展各方资源，充分发挥公司的技术储备优势，丰 富和优化公司的解决方案和业务结构，不断提升产品和服务质量，扩大客户覆盖范围和市场 影响力，在维护现有客户资源的基础上加强其他行业客户的开拓力度，实现主营业务收入水 平的均衡提升。</w:t>
      </w:r>
    </w:p>
    <w:p>
      <w:pPr>
        <w:pStyle w:val="Heading2"/>
        <w:spacing w:line="240" w:lineRule="auto" w:before="36"/>
        <w:ind w:left="635" w:right="293"/>
        <w:jc w:val="left"/>
        <w:rPr>
          <w:b w:val="0"/>
          <w:bCs w:val="0"/>
        </w:rPr>
      </w:pPr>
      <w:r>
        <w:rPr/>
        <w:t>（</w:t>
      </w:r>
      <w:r>
        <w:rPr>
          <w:rFonts w:ascii="Times New Roman" w:hAnsi="Times New Roman" w:cs="Times New Roman" w:eastAsia="Times New Roman" w:hint="default"/>
        </w:rPr>
        <w:t>2</w:t>
      </w:r>
      <w:r>
        <w:rPr/>
        <w:t>）项目管理风险</w:t>
      </w:r>
      <w:r>
        <w:rPr>
          <w:b w:val="0"/>
          <w:bCs w:val="0"/>
        </w:rPr>
      </w:r>
    </w:p>
    <w:p>
      <w:pPr>
        <w:pStyle w:val="BodyText"/>
        <w:spacing w:line="352" w:lineRule="auto" w:before="135"/>
        <w:ind w:right="170" w:firstLine="480"/>
        <w:jc w:val="both"/>
      </w:pPr>
      <w:r>
        <w:rPr/>
        <w:t>地理信息系统项目业务作为公司的主要收入来源，占总收入</w:t>
      </w:r>
      <w:r>
        <w:rPr>
          <w:spacing w:val="-60"/>
        </w:rPr>
        <w:t> </w:t>
      </w:r>
      <w:r>
        <w:rPr>
          <w:rFonts w:ascii="Times New Roman" w:hAnsi="Times New Roman" w:cs="Times New Roman" w:eastAsia="Times New Roman" w:hint="default"/>
        </w:rPr>
        <w:t>50%</w:t>
      </w:r>
      <w:r>
        <w:rPr/>
        <w:t>以上。随着公司规模的 扩大，不断增长的业务对公司的项目管理能力提出了更高的要求，公司需要同时协调、实施 与监管越来越多的项目，需要统筹安排项目人力资源、及时应对需求变更，把控项目建设进 度和实施质量，公司如未能对众多项目进行有效管理，则存在项目交付延期、项目质量下滑 的风险。</w:t>
      </w:r>
    </w:p>
    <w:p>
      <w:pPr>
        <w:pStyle w:val="BodyText"/>
        <w:spacing w:line="357" w:lineRule="auto" w:before="41"/>
        <w:ind w:right="191" w:firstLine="480"/>
        <w:jc w:val="both"/>
      </w:pPr>
      <w:r>
        <w:rPr/>
        <w:t>应对措施：公司将进一步完善项目管理机制，加强项目重要节点的里程碑监控，合理分 解项目总进度控制、主进度控制和详细进度控制，落实项目责任制，实现工程项目的有序管 理，确保项目按时按质交付。</w:t>
      </w:r>
    </w:p>
    <w:p>
      <w:pPr>
        <w:spacing w:line="338" w:lineRule="auto" w:before="36"/>
        <w:ind w:left="633" w:right="17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）组织管理风险</w:t>
      </w:r>
      <w:r>
        <w:rPr>
          <w:rFonts w:ascii="宋体" w:hAnsi="宋体" w:cs="宋体" w:eastAsia="宋体" w:hint="default"/>
          <w:b/>
          <w:bCs/>
          <w:w w:val="99"/>
          <w:sz w:val="24"/>
          <w:szCs w:val="24"/>
        </w:rPr>
        <w:t> </w:t>
      </w:r>
      <w:r>
        <w:rPr>
          <w:rFonts w:ascii="宋体" w:hAnsi="宋体" w:cs="宋体" w:eastAsia="宋体" w:hint="default"/>
          <w:sz w:val="24"/>
          <w:szCs w:val="24"/>
        </w:rPr>
        <w:t>随着公司经营规模的不断扩大以及公司外延式发展速度的不断提升，子公司及其人员数</w:t>
      </w:r>
    </w:p>
    <w:p>
      <w:pPr>
        <w:pStyle w:val="BodyText"/>
        <w:spacing w:line="357" w:lineRule="auto"/>
        <w:ind w:right="191"/>
        <w:jc w:val="both"/>
      </w:pPr>
      <w:r>
        <w:rPr/>
        <w:t>量的增多，对公司及子公司的经营决策、财务管理、人力资源、风险控制等多方面提出更高 的要求，虽然公司的战略规划及发展目标经过管理层的审慎研究与决策，但若不能进一步加</w:t>
      </w:r>
    </w:p>
    <w:p>
      <w:pPr>
        <w:spacing w:after="0" w:line="357" w:lineRule="auto"/>
        <w:jc w:val="both"/>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before="26"/>
        <w:ind w:right="173"/>
        <w:jc w:val="left"/>
      </w:pPr>
      <w:r>
        <w:rPr/>
        <w:t>强综合管理能力、完善内控流程，将可能面临管理能力的提升与公司快速发展不相适应的风 险。</w:t>
      </w:r>
    </w:p>
    <w:p>
      <w:pPr>
        <w:pStyle w:val="BodyText"/>
        <w:spacing w:line="357" w:lineRule="auto" w:before="36"/>
        <w:ind w:right="190" w:firstLine="480"/>
        <w:jc w:val="both"/>
      </w:pPr>
      <w:r>
        <w:rPr/>
        <w:t>应对措施：公司将采取内外部培训等多种措施，提高管理者的整体素质以及管理决策能 力；持续优化管理组织结构，加强并完善公司及子公司的内部控制建设，提高组织协调能力 和管理的执行力；加强集团信息化建设，不断提高管理效率；不断完善激励机制，为公司战 略目标的实现提供持续的内在动力。</w:t>
      </w:r>
    </w:p>
    <w:p>
      <w:pPr>
        <w:pStyle w:val="BodyText"/>
        <w:spacing w:line="338" w:lineRule="auto" w:before="36"/>
        <w:ind w:left="633" w:right="138" w:firstLine="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）应收账款坏账风险</w:t>
      </w:r>
      <w:r>
        <w:rPr>
          <w:rFonts w:ascii="宋体" w:hAnsi="宋体" w:cs="宋体" w:eastAsia="宋体" w:hint="default"/>
          <w:b/>
          <w:bCs/>
          <w:w w:val="99"/>
        </w:rPr>
        <w:t> </w:t>
      </w:r>
      <w:r>
        <w:rPr>
          <w:spacing w:val="-8"/>
        </w:rPr>
        <w:t>随着公司销售规模的扩大，公司应收账款呈现逐年增加的趋势，截至</w:t>
      </w:r>
      <w:r>
        <w:rPr>
          <w:spacing w:val="-7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74"/>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5"/>
        </w:rPr>
        <w:t> </w:t>
      </w:r>
      <w:r>
        <w:rPr/>
        <w:t>日，</w:t>
      </w:r>
    </w:p>
    <w:p>
      <w:pPr>
        <w:pStyle w:val="BodyText"/>
        <w:spacing w:line="240" w:lineRule="auto" w:before="27"/>
        <w:ind w:right="0"/>
        <w:jc w:val="left"/>
      </w:pPr>
      <w:r>
        <w:rPr/>
        <w:t>公司应收账款净额为</w:t>
      </w:r>
      <w:r>
        <w:rPr>
          <w:spacing w:val="-60"/>
        </w:rPr>
        <w:t> </w:t>
      </w:r>
      <w:r>
        <w:rPr>
          <w:rFonts w:ascii="Times New Roman" w:hAnsi="Times New Roman" w:cs="Times New Roman" w:eastAsia="Times New Roman" w:hint="default"/>
        </w:rPr>
        <w:t>4.13 </w:t>
      </w:r>
      <w:r>
        <w:rPr>
          <w:spacing w:val="-3"/>
        </w:rPr>
        <w:t>亿元，其中</w:t>
      </w:r>
      <w:r>
        <w:rPr>
          <w:spacing w:val="-60"/>
        </w:rPr>
        <w:t> </w:t>
      </w:r>
      <w:r>
        <w:rPr>
          <w:rFonts w:ascii="Times New Roman" w:hAnsi="Times New Roman" w:cs="Times New Roman" w:eastAsia="Times New Roman" w:hint="default"/>
        </w:rPr>
        <w:t>1 </w:t>
      </w:r>
      <w:r>
        <w:rPr/>
        <w:t>年期以内的应收账款净额约为</w:t>
      </w:r>
      <w:r>
        <w:rPr>
          <w:spacing w:val="-59"/>
        </w:rPr>
        <w:t> </w:t>
      </w:r>
      <w:r>
        <w:rPr>
          <w:rFonts w:ascii="Times New Roman" w:hAnsi="Times New Roman" w:cs="Times New Roman" w:eastAsia="Times New Roman" w:hint="default"/>
        </w:rPr>
        <w:t>3.77 </w:t>
      </w:r>
      <w:r>
        <w:rPr>
          <w:spacing w:val="-3"/>
        </w:rPr>
        <w:t>亿元，</w:t>
      </w:r>
      <w:r>
        <w:rPr>
          <w:rFonts w:ascii="Times New Roman" w:hAnsi="Times New Roman" w:cs="Times New Roman" w:eastAsia="Times New Roman" w:hint="default"/>
          <w:spacing w:val="-3"/>
        </w:rPr>
        <w:t>1</w:t>
      </w:r>
      <w:r>
        <w:rPr>
          <w:rFonts w:ascii="Times New Roman" w:hAnsi="Times New Roman" w:cs="Times New Roman" w:eastAsia="Times New Roman" w:hint="default"/>
        </w:rPr>
        <w:t> </w:t>
      </w:r>
      <w:r>
        <w:rPr/>
        <w:t>年期以上</w:t>
      </w:r>
    </w:p>
    <w:p>
      <w:pPr>
        <w:pStyle w:val="BodyText"/>
        <w:spacing w:line="352" w:lineRule="auto" w:before="135"/>
        <w:ind w:left="0" w:right="154"/>
        <w:jc w:val="right"/>
      </w:pPr>
      <w:r>
        <w:rPr/>
        <w:t>的应收账款净额累计有</w:t>
      </w:r>
      <w:r>
        <w:rPr>
          <w:spacing w:val="-72"/>
        </w:rPr>
        <w:t> </w:t>
      </w:r>
      <w:r>
        <w:rPr>
          <w:rFonts w:ascii="Times New Roman" w:hAnsi="Times New Roman" w:cs="Times New Roman" w:eastAsia="Times New Roman" w:hint="default"/>
        </w:rPr>
        <w:t>0.36</w:t>
      </w:r>
      <w:r>
        <w:rPr>
          <w:rFonts w:ascii="Times New Roman" w:hAnsi="Times New Roman" w:cs="Times New Roman" w:eastAsia="Times New Roman" w:hint="default"/>
          <w:spacing w:val="-12"/>
        </w:rPr>
        <w:t> </w:t>
      </w:r>
      <w:r>
        <w:rPr/>
        <w:t>亿元。虽然公司主要客户为政府客户，应收账款发生坏帐的风险 较小，但如果发生宏观经济环境波动，地方政府财政状况下降等变化，将带来应收账款不能 按期回收或无法回收产生坏账的风险，从而对公司资金使用效率及经营业绩产生不利影响。 应对措施：公司将加强应收账款的日常管理，对应收账款的运行状况进行经常性分析、 控制，及时发现问题，提前采取对策，防止恶化。此外将加强客户信用管理以及帐款回收管</w:t>
      </w:r>
    </w:p>
    <w:p>
      <w:pPr>
        <w:pStyle w:val="BodyText"/>
        <w:spacing w:line="240" w:lineRule="auto" w:before="41"/>
        <w:ind w:right="293"/>
        <w:jc w:val="left"/>
      </w:pPr>
      <w:r>
        <w:rPr/>
        <w:t>理，采用多种方式促进帐款回收。</w:t>
      </w:r>
    </w:p>
    <w:p>
      <w:pPr>
        <w:pStyle w:val="Heading2"/>
        <w:spacing w:line="240" w:lineRule="auto" w:before="154"/>
        <w:ind w:left="635" w:right="293"/>
        <w:jc w:val="left"/>
        <w:rPr>
          <w:b w:val="0"/>
          <w:bCs w:val="0"/>
        </w:rPr>
      </w:pPr>
      <w:r>
        <w:rPr/>
        <w:t>（</w:t>
      </w:r>
      <w:r>
        <w:rPr>
          <w:rFonts w:ascii="Times New Roman" w:hAnsi="Times New Roman" w:cs="Times New Roman" w:eastAsia="Times New Roman" w:hint="default"/>
        </w:rPr>
        <w:t>5</w:t>
      </w:r>
      <w:r>
        <w:rPr/>
        <w:t>）商誉减值的风险</w:t>
      </w:r>
      <w:r>
        <w:rPr>
          <w:b w:val="0"/>
          <w:bCs w:val="0"/>
        </w:rPr>
      </w:r>
    </w:p>
    <w:p>
      <w:pPr>
        <w:pStyle w:val="BodyText"/>
        <w:spacing w:line="345" w:lineRule="auto" w:before="136"/>
        <w:ind w:right="151" w:firstLine="480"/>
        <w:jc w:val="both"/>
      </w:pPr>
      <w:r>
        <w:rPr>
          <w:spacing w:val="-3"/>
        </w:rPr>
        <w:t>报告期末，公司商誉账面价值为</w:t>
      </w:r>
      <w:r>
        <w:rPr>
          <w:spacing w:val="-52"/>
        </w:rPr>
        <w:t> </w:t>
      </w:r>
      <w:r>
        <w:rPr>
          <w:rFonts w:ascii="Times New Roman" w:hAnsi="Times New Roman" w:cs="Times New Roman" w:eastAsia="Times New Roman" w:hint="default"/>
        </w:rPr>
        <w:t>70,726.99</w:t>
      </w:r>
      <w:r>
        <w:rPr>
          <w:rFonts w:ascii="Times New Roman" w:hAnsi="Times New Roman" w:cs="Times New Roman" w:eastAsia="Times New Roman" w:hint="default"/>
          <w:spacing w:val="8"/>
        </w:rPr>
        <w:t> </w:t>
      </w:r>
      <w:r>
        <w:rPr>
          <w:spacing w:val="-3"/>
        </w:rPr>
        <w:t>万元，占公司报告期末的归属于母公司所有者</w:t>
      </w:r>
      <w:r>
        <w:rPr/>
        <w:t> 权益比例为</w:t>
      </w:r>
      <w:r>
        <w:rPr>
          <w:spacing w:val="-98"/>
        </w:rPr>
        <w:t> </w:t>
      </w:r>
      <w:r>
        <w:rPr>
          <w:rFonts w:ascii="Times New Roman" w:hAnsi="Times New Roman" w:cs="Times New Roman" w:eastAsia="Times New Roman" w:hint="default"/>
        </w:rPr>
        <w:t>39.16%</w:t>
      </w:r>
      <w:r>
        <w:rPr/>
        <w:t>，主要为近年并购子公司所致。公司根据会计准则于每年度末对形成商誉 的相关资产组或资产组组合进行减值测试。截至期末，除日本超图之外公司并购</w:t>
      </w:r>
      <w:r>
        <w:rPr>
          <w:spacing w:val="-60"/>
        </w:rPr>
        <w:t> </w:t>
      </w:r>
      <w:r>
        <w:rPr>
          <w:rFonts w:ascii="Times New Roman" w:hAnsi="Times New Roman" w:cs="Times New Roman" w:eastAsia="Times New Roman" w:hint="default"/>
        </w:rPr>
        <w:t>4 </w:t>
      </w:r>
      <w:r>
        <w:rPr/>
        <w:t>家子公司 财务状况与经营情况较好，商誉资产不存在减值迹象，因此公司未对该等商誉资产计提减值 准备。未来若出现相关法律法规规定的资产减值迹象，则可能造成公司的商誉资产发生减值 风险，甚至形成减值损失，从而可能对公司的财务状况和经营业绩造成一定的不利影响。</w:t>
      </w:r>
    </w:p>
    <w:p>
      <w:pPr>
        <w:spacing w:line="240" w:lineRule="auto" w:before="10"/>
        <w:rPr>
          <w:rFonts w:ascii="宋体" w:hAnsi="宋体" w:cs="宋体" w:eastAsia="宋体" w:hint="default"/>
          <w:sz w:val="20"/>
          <w:szCs w:val="20"/>
        </w:rPr>
      </w:pPr>
    </w:p>
    <w:p>
      <w:pPr>
        <w:pStyle w:val="Heading2"/>
        <w:spacing w:line="240" w:lineRule="auto"/>
        <w:ind w:right="293"/>
        <w:jc w:val="left"/>
        <w:rPr>
          <w:b w:val="0"/>
          <w:bCs w:val="0"/>
        </w:rPr>
      </w:pPr>
      <w:r>
        <w:rPr/>
        <w:t>十、接待调研、沟通、采访等活动情况</w:t>
      </w:r>
      <w:r>
        <w:rPr>
          <w:b w:val="0"/>
          <w:bCs w:val="0"/>
        </w:rPr>
      </w:r>
    </w:p>
    <w:p>
      <w:pPr>
        <w:spacing w:line="240" w:lineRule="auto" w:before="9"/>
        <w:rPr>
          <w:rFonts w:ascii="宋体" w:hAnsi="宋体" w:cs="宋体" w:eastAsia="宋体" w:hint="default"/>
          <w:b/>
          <w:bCs/>
          <w:sz w:val="28"/>
          <w:szCs w:val="28"/>
        </w:rPr>
      </w:pPr>
    </w:p>
    <w:p>
      <w:pPr>
        <w:pStyle w:val="Heading2"/>
        <w:spacing w:line="240" w:lineRule="auto"/>
        <w:ind w:right="29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7"/>
          <w:szCs w:val="7"/>
        </w:rPr>
      </w:pPr>
    </w:p>
    <w:tbl>
      <w:tblPr>
        <w:tblW w:w="0" w:type="auto"/>
        <w:jc w:val="left"/>
        <w:tblInd w:w="395" w:type="dxa"/>
        <w:tblLayout w:type="fixed"/>
        <w:tblCellMar>
          <w:top w:w="0" w:type="dxa"/>
          <w:left w:w="0" w:type="dxa"/>
          <w:bottom w:w="0" w:type="dxa"/>
          <w:right w:w="0" w:type="dxa"/>
        </w:tblCellMar>
        <w:tblLook w:val="01E0"/>
      </w:tblPr>
      <w:tblGrid>
        <w:gridCol w:w="1726"/>
        <w:gridCol w:w="1349"/>
        <w:gridCol w:w="1508"/>
        <w:gridCol w:w="4563"/>
      </w:tblGrid>
      <w:tr>
        <w:trPr>
          <w:trHeight w:val="323"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接待时间</w:t>
            </w:r>
            <w:r>
              <w:rPr>
                <w:rFonts w:ascii="宋体" w:hAnsi="宋体" w:cs="宋体" w:eastAsia="宋体" w:hint="default"/>
                <w:sz w:val="21"/>
                <w:szCs w:val="21"/>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7" w:right="0"/>
              <w:jc w:val="left"/>
              <w:rPr>
                <w:rFonts w:ascii="宋体" w:hAnsi="宋体" w:cs="宋体" w:eastAsia="宋体" w:hint="default"/>
                <w:sz w:val="21"/>
                <w:szCs w:val="21"/>
              </w:rPr>
            </w:pPr>
            <w:r>
              <w:rPr>
                <w:rFonts w:ascii="宋体" w:hAnsi="宋体" w:cs="宋体" w:eastAsia="宋体" w:hint="default"/>
                <w:b/>
                <w:bCs/>
                <w:sz w:val="21"/>
                <w:szCs w:val="21"/>
              </w:rPr>
              <w:t>接待方式</w:t>
            </w:r>
            <w:r>
              <w:rPr>
                <w:rFonts w:ascii="宋体" w:hAnsi="宋体" w:cs="宋体" w:eastAsia="宋体" w:hint="default"/>
                <w:sz w:val="21"/>
                <w:szCs w:val="21"/>
              </w:rPr>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5" w:right="0"/>
              <w:jc w:val="left"/>
              <w:rPr>
                <w:rFonts w:ascii="宋体" w:hAnsi="宋体" w:cs="宋体" w:eastAsia="宋体" w:hint="default"/>
                <w:sz w:val="21"/>
                <w:szCs w:val="21"/>
              </w:rPr>
            </w:pPr>
            <w:r>
              <w:rPr>
                <w:rFonts w:ascii="宋体" w:hAnsi="宋体" w:cs="宋体" w:eastAsia="宋体" w:hint="default"/>
                <w:b/>
                <w:bCs/>
                <w:sz w:val="21"/>
                <w:szCs w:val="21"/>
              </w:rPr>
              <w:t>接待对象类型</w:t>
            </w:r>
            <w:r>
              <w:rPr>
                <w:rFonts w:ascii="宋体" w:hAnsi="宋体" w:cs="宋体" w:eastAsia="宋体" w:hint="default"/>
                <w:sz w:val="21"/>
                <w:szCs w:val="21"/>
              </w:rPr>
            </w:r>
          </w:p>
        </w:tc>
        <w:tc>
          <w:tcPr>
            <w:tcW w:w="4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调研基本情况索引</w:t>
            </w:r>
            <w:r>
              <w:rPr>
                <w:rFonts w:ascii="宋体" w:hAnsi="宋体" w:cs="宋体" w:eastAsia="宋体" w:hint="default"/>
                <w:sz w:val="21"/>
                <w:szCs w:val="21"/>
              </w:rPr>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电话会议调研</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7"/>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2017</w:t>
            </w:r>
            <w:r>
              <w:rPr>
                <w:rFonts w:ascii="Times New Roman" w:hAnsi="Times New Roman" w:cs="Times New Roman" w:eastAsia="Times New Roman" w:hint="default"/>
                <w:spacing w:val="9"/>
                <w:w w:val="100"/>
                <w:sz w:val="21"/>
                <w:szCs w:val="21"/>
              </w:rPr>
              <w:t> </w:t>
            </w:r>
            <w:r>
              <w:rPr>
                <w:rFonts w:ascii="宋体" w:hAnsi="宋体" w:cs="宋体" w:eastAsia="宋体" w:hint="default"/>
                <w:w w:val="100"/>
                <w:sz w:val="21"/>
                <w:szCs w:val="21"/>
              </w:rPr>
              <w:t>年</w:t>
            </w:r>
            <w:r>
              <w:rPr>
                <w:rFonts w:ascii="宋体" w:hAnsi="宋体" w:cs="宋体" w:eastAsia="宋体" w:hint="default"/>
                <w:spacing w:val="-45"/>
                <w:w w:val="100"/>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月</w:t>
            </w:r>
            <w:r>
              <w:rPr>
                <w:rFonts w:ascii="宋体" w:hAnsi="宋体" w:cs="宋体" w:eastAsia="宋体" w:hint="default"/>
                <w:spacing w:val="-43"/>
                <w:w w:val="100"/>
                <w:sz w:val="21"/>
                <w:szCs w:val="21"/>
              </w:rPr>
              <w:t> </w:t>
            </w:r>
            <w:r>
              <w:rPr>
                <w:rFonts w:ascii="Times New Roman" w:hAnsi="Times New Roman" w:cs="Times New Roman" w:eastAsia="Times New Roman" w:hint="default"/>
                <w:w w:val="100"/>
                <w:sz w:val="21"/>
                <w:szCs w:val="21"/>
              </w:rPr>
              <w:t>24</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9"/>
                <w:w w:val="100"/>
                <w:sz w:val="21"/>
                <w:szCs w:val="21"/>
              </w:rPr>
              <w:t>日投资者关系活动记录表》，披</w:t>
            </w:r>
            <w:r>
              <w:rPr>
                <w:rFonts w:ascii="宋体" w:hAnsi="宋体" w:cs="宋体" w:eastAsia="宋体" w:hint="default"/>
                <w:w w:val="100"/>
                <w:sz w:val="21"/>
                <w:szCs w:val="21"/>
              </w:rPr>
              <w:t> </w:t>
            </w:r>
            <w:r>
              <w:rPr>
                <w:rFonts w:ascii="宋体" w:hAnsi="宋体" w:cs="宋体" w:eastAsia="宋体" w:hint="default"/>
                <w:sz w:val="21"/>
                <w:szCs w:val="21"/>
              </w:rPr>
              <w:t>露网站：巨潮资讯网</w:t>
            </w:r>
            <w:r>
              <w:rPr>
                <w:rFonts w:ascii="Times New Roman" w:hAnsi="Times New Roman" w:cs="Times New Roman" w:eastAsia="Times New Roman" w:hint="default"/>
                <w:sz w:val="21"/>
                <w:szCs w:val="21"/>
              </w:rPr>
              <w:t>(www.cninfo.com.cn)</w:t>
            </w:r>
          </w:p>
        </w:tc>
      </w:tr>
      <w:tr>
        <w:trPr>
          <w:trHeight w:val="322"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4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投资</w:t>
            </w:r>
            <w:r>
              <w:rPr>
                <w:rFonts w:ascii="宋体" w:hAnsi="宋体" w:cs="宋体" w:eastAsia="宋体" w:hint="default"/>
                <w:w w:val="100"/>
                <w:sz w:val="21"/>
                <w:szCs w:val="21"/>
              </w:rPr>
              <w:t>者关</w:t>
            </w:r>
            <w:r>
              <w:rPr>
                <w:rFonts w:ascii="宋体" w:hAnsi="宋体" w:cs="宋体" w:eastAsia="宋体" w:hint="default"/>
                <w:spacing w:val="-3"/>
                <w:w w:val="100"/>
                <w:sz w:val="21"/>
                <w:szCs w:val="21"/>
              </w:rPr>
              <w:t>系</w:t>
            </w:r>
            <w:r>
              <w:rPr>
                <w:rFonts w:ascii="宋体" w:hAnsi="宋体" w:cs="宋体" w:eastAsia="宋体" w:hint="default"/>
                <w:w w:val="100"/>
                <w:sz w:val="21"/>
                <w:szCs w:val="21"/>
              </w:rPr>
              <w:t>活</w:t>
            </w:r>
            <w:r>
              <w:rPr>
                <w:rFonts w:ascii="宋体" w:hAnsi="宋体" w:cs="宋体" w:eastAsia="宋体" w:hint="default"/>
                <w:spacing w:val="-3"/>
                <w:w w:val="100"/>
                <w:sz w:val="21"/>
                <w:szCs w:val="21"/>
              </w:rPr>
              <w:t>动</w:t>
            </w:r>
            <w:r>
              <w:rPr>
                <w:rFonts w:ascii="宋体" w:hAnsi="宋体" w:cs="宋体" w:eastAsia="宋体" w:hint="default"/>
                <w:w w:val="100"/>
                <w:sz w:val="21"/>
                <w:szCs w:val="21"/>
              </w:rPr>
              <w:t>记</w:t>
            </w:r>
            <w:r>
              <w:rPr>
                <w:rFonts w:ascii="宋体" w:hAnsi="宋体" w:cs="宋体" w:eastAsia="宋体" w:hint="default"/>
                <w:spacing w:val="-3"/>
                <w:w w:val="100"/>
                <w:sz w:val="21"/>
                <w:szCs w:val="21"/>
              </w:rPr>
              <w:t>录</w:t>
            </w:r>
            <w:r>
              <w:rPr>
                <w:rFonts w:ascii="宋体" w:hAnsi="宋体" w:cs="宋体" w:eastAsia="宋体" w:hint="default"/>
                <w:w w:val="100"/>
                <w:sz w:val="21"/>
                <w:szCs w:val="21"/>
              </w:rPr>
              <w:t>表</w:t>
            </w:r>
            <w:r>
              <w:rPr>
                <w:rFonts w:ascii="宋体" w:hAnsi="宋体" w:cs="宋体" w:eastAsia="宋体" w:hint="default"/>
                <w:spacing w:val="-108"/>
                <w:w w:val="100"/>
                <w:sz w:val="21"/>
                <w:szCs w:val="21"/>
              </w:rPr>
              <w:t>》</w:t>
            </w:r>
            <w:r>
              <w:rPr>
                <w:rFonts w:ascii="宋体" w:hAnsi="宋体" w:cs="宋体" w:eastAsia="宋体" w:hint="default"/>
                <w:w w:val="100"/>
                <w:sz w:val="21"/>
                <w:szCs w:val="21"/>
              </w:rPr>
              <w:t>，披</w:t>
            </w:r>
          </w:p>
        </w:tc>
      </w:tr>
    </w:tbl>
    <w:p>
      <w:pPr>
        <w:spacing w:after="0" w:line="278" w:lineRule="exact"/>
        <w:jc w:val="center"/>
        <w:rPr>
          <w:rFonts w:ascii="宋体" w:hAnsi="宋体" w:cs="宋体" w:eastAsia="宋体" w:hint="default"/>
          <w:sz w:val="21"/>
          <w:szCs w:val="21"/>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395" w:type="dxa"/>
        <w:tblLayout w:type="fixed"/>
        <w:tblCellMar>
          <w:top w:w="0" w:type="dxa"/>
          <w:left w:w="0" w:type="dxa"/>
          <w:bottom w:w="0" w:type="dxa"/>
          <w:right w:w="0" w:type="dxa"/>
        </w:tblCellMar>
        <w:tblLook w:val="01E0"/>
      </w:tblPr>
      <w:tblGrid>
        <w:gridCol w:w="1726"/>
        <w:gridCol w:w="1349"/>
        <w:gridCol w:w="1508"/>
        <w:gridCol w:w="4563"/>
      </w:tblGrid>
      <w:tr>
        <w:trPr>
          <w:trHeight w:val="322" w:hRule="exact"/>
        </w:trPr>
        <w:tc>
          <w:tcPr>
            <w:tcW w:w="172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露网站：巨潮资讯网</w:t>
            </w:r>
            <w:r>
              <w:rPr>
                <w:rFonts w:ascii="Times New Roman" w:hAnsi="Times New Roman" w:cs="Times New Roman" w:eastAsia="Times New Roman" w:hint="default"/>
                <w:sz w:val="21"/>
                <w:szCs w:val="21"/>
              </w:rPr>
              <w:t>(www.cninfo.com.cn)</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7"/>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2017</w:t>
            </w:r>
            <w:r>
              <w:rPr>
                <w:rFonts w:ascii="Times New Roman" w:hAnsi="Times New Roman" w:cs="Times New Roman" w:eastAsia="Times New Roman" w:hint="default"/>
                <w:spacing w:val="9"/>
                <w:w w:val="100"/>
                <w:sz w:val="21"/>
                <w:szCs w:val="21"/>
              </w:rPr>
              <w:t> </w:t>
            </w:r>
            <w:r>
              <w:rPr>
                <w:rFonts w:ascii="宋体" w:hAnsi="宋体" w:cs="宋体" w:eastAsia="宋体" w:hint="default"/>
                <w:w w:val="100"/>
                <w:sz w:val="21"/>
                <w:szCs w:val="21"/>
              </w:rPr>
              <w:t>年</w:t>
            </w:r>
            <w:r>
              <w:rPr>
                <w:rFonts w:ascii="宋体" w:hAnsi="宋体" w:cs="宋体" w:eastAsia="宋体" w:hint="default"/>
                <w:spacing w:val="-43"/>
                <w:w w:val="100"/>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9"/>
                <w:w w:val="100"/>
                <w:sz w:val="21"/>
                <w:szCs w:val="21"/>
              </w:rPr>
              <w:t> </w:t>
            </w:r>
            <w:r>
              <w:rPr>
                <w:rFonts w:ascii="宋体" w:hAnsi="宋体" w:cs="宋体" w:eastAsia="宋体" w:hint="default"/>
                <w:w w:val="100"/>
                <w:sz w:val="21"/>
                <w:szCs w:val="21"/>
              </w:rPr>
              <w:t>月</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4"/>
                <w:w w:val="100"/>
                <w:sz w:val="21"/>
                <w:szCs w:val="21"/>
              </w:rPr>
              <w:t>11</w:t>
            </w:r>
            <w:r>
              <w:rPr>
                <w:rFonts w:ascii="Times New Roman" w:hAnsi="Times New Roman" w:cs="Times New Roman" w:eastAsia="Times New Roman" w:hint="default"/>
                <w:spacing w:val="9"/>
                <w:w w:val="100"/>
                <w:sz w:val="21"/>
                <w:szCs w:val="21"/>
              </w:rPr>
              <w:t> </w:t>
            </w:r>
            <w:r>
              <w:rPr>
                <w:rFonts w:ascii="宋体" w:hAnsi="宋体" w:cs="宋体" w:eastAsia="宋体" w:hint="default"/>
                <w:spacing w:val="-9"/>
                <w:w w:val="100"/>
                <w:sz w:val="21"/>
                <w:szCs w:val="21"/>
              </w:rPr>
              <w:t>日投资者关系活动记录表》，披</w:t>
            </w:r>
            <w:r>
              <w:rPr>
                <w:rFonts w:ascii="宋体" w:hAnsi="宋体" w:cs="宋体" w:eastAsia="宋体" w:hint="default"/>
                <w:w w:val="100"/>
                <w:sz w:val="21"/>
                <w:szCs w:val="21"/>
              </w:rPr>
              <w:t> </w:t>
            </w:r>
            <w:r>
              <w:rPr>
                <w:rFonts w:ascii="宋体" w:hAnsi="宋体" w:cs="宋体" w:eastAsia="宋体" w:hint="default"/>
                <w:sz w:val="21"/>
                <w:szCs w:val="21"/>
              </w:rPr>
              <w:t>露网站：巨潮资讯网</w:t>
            </w:r>
            <w:r>
              <w:rPr>
                <w:rFonts w:ascii="Times New Roman" w:hAnsi="Times New Roman" w:cs="Times New Roman" w:eastAsia="Times New Roman" w:hint="default"/>
                <w:sz w:val="21"/>
                <w:szCs w:val="21"/>
              </w:rPr>
              <w:t>(www.cninfo.com.cn)</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20"/>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2017</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3"/>
                <w:w w:val="100"/>
                <w:sz w:val="21"/>
                <w:szCs w:val="21"/>
              </w:rPr>
              <w:t>日投资者关系活动记录表》，披露</w:t>
            </w:r>
            <w:r>
              <w:rPr>
                <w:rFonts w:ascii="宋体" w:hAnsi="宋体" w:cs="宋体" w:eastAsia="宋体" w:hint="default"/>
                <w:w w:val="100"/>
                <w:sz w:val="21"/>
                <w:szCs w:val="21"/>
              </w:rPr>
              <w:t> </w:t>
            </w:r>
            <w:r>
              <w:rPr>
                <w:rFonts w:ascii="宋体" w:hAnsi="宋体" w:cs="宋体" w:eastAsia="宋体" w:hint="default"/>
                <w:sz w:val="21"/>
                <w:szCs w:val="21"/>
              </w:rPr>
              <w:t>网站：巨潮资讯网</w:t>
            </w:r>
            <w:r>
              <w:rPr>
                <w:rFonts w:ascii="Times New Roman" w:hAnsi="Times New Roman" w:cs="Times New Roman" w:eastAsia="Times New Roman" w:hint="default"/>
                <w:sz w:val="21"/>
                <w:szCs w:val="21"/>
              </w:rPr>
              <w:t>(www.cninfo.com.cn)</w:t>
            </w:r>
          </w:p>
        </w:tc>
      </w:tr>
      <w:tr>
        <w:trPr>
          <w:trHeight w:val="63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7"/>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2017</w:t>
            </w:r>
            <w:r>
              <w:rPr>
                <w:rFonts w:ascii="Times New Roman" w:hAnsi="Times New Roman" w:cs="Times New Roman" w:eastAsia="Times New Roman" w:hint="default"/>
                <w:spacing w:val="9"/>
                <w:w w:val="100"/>
                <w:sz w:val="21"/>
                <w:szCs w:val="21"/>
              </w:rPr>
              <w:t> </w:t>
            </w:r>
            <w:r>
              <w:rPr>
                <w:rFonts w:ascii="宋体" w:hAnsi="宋体" w:cs="宋体" w:eastAsia="宋体" w:hint="default"/>
                <w:w w:val="100"/>
                <w:sz w:val="21"/>
                <w:szCs w:val="21"/>
              </w:rPr>
              <w:t>年</w:t>
            </w:r>
            <w:r>
              <w:rPr>
                <w:rFonts w:ascii="宋体" w:hAnsi="宋体" w:cs="宋体" w:eastAsia="宋体" w:hint="default"/>
                <w:spacing w:val="-45"/>
                <w:w w:val="100"/>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月</w:t>
            </w:r>
            <w:r>
              <w:rPr>
                <w:rFonts w:ascii="宋体" w:hAnsi="宋体" w:cs="宋体" w:eastAsia="宋体" w:hint="default"/>
                <w:spacing w:val="-43"/>
                <w:w w:val="100"/>
                <w:sz w:val="21"/>
                <w:szCs w:val="21"/>
              </w:rPr>
              <w:t> </w:t>
            </w:r>
            <w:r>
              <w:rPr>
                <w:rFonts w:ascii="Times New Roman" w:hAnsi="Times New Roman" w:cs="Times New Roman" w:eastAsia="Times New Roman" w:hint="default"/>
                <w:w w:val="100"/>
                <w:sz w:val="21"/>
                <w:szCs w:val="21"/>
              </w:rPr>
              <w:t>17</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9"/>
                <w:w w:val="100"/>
                <w:sz w:val="21"/>
                <w:szCs w:val="21"/>
              </w:rPr>
              <w:t>日投资者关系活动记录表》，披</w:t>
            </w:r>
            <w:r>
              <w:rPr>
                <w:rFonts w:ascii="宋体" w:hAnsi="宋体" w:cs="宋体" w:eastAsia="宋体" w:hint="default"/>
                <w:w w:val="100"/>
                <w:sz w:val="21"/>
                <w:szCs w:val="21"/>
              </w:rPr>
              <w:t> </w:t>
            </w:r>
            <w:r>
              <w:rPr>
                <w:rFonts w:ascii="宋体" w:hAnsi="宋体" w:cs="宋体" w:eastAsia="宋体" w:hint="default"/>
                <w:sz w:val="21"/>
                <w:szCs w:val="21"/>
              </w:rPr>
              <w:t>露网站：巨潮资讯网</w:t>
            </w:r>
            <w:r>
              <w:rPr>
                <w:rFonts w:ascii="Times New Roman" w:hAnsi="Times New Roman" w:cs="Times New Roman" w:eastAsia="Times New Roman" w:hint="default"/>
                <w:sz w:val="21"/>
                <w:szCs w:val="21"/>
              </w:rPr>
              <w:t>(www.cninfo.com.cn)</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7"/>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2017</w:t>
            </w:r>
            <w:r>
              <w:rPr>
                <w:rFonts w:ascii="Times New Roman" w:hAnsi="Times New Roman" w:cs="Times New Roman" w:eastAsia="Times New Roman" w:hint="default"/>
                <w:spacing w:val="9"/>
                <w:w w:val="100"/>
                <w:sz w:val="21"/>
                <w:szCs w:val="21"/>
              </w:rPr>
              <w:t> </w:t>
            </w:r>
            <w:r>
              <w:rPr>
                <w:rFonts w:ascii="宋体" w:hAnsi="宋体" w:cs="宋体" w:eastAsia="宋体" w:hint="default"/>
                <w:w w:val="100"/>
                <w:sz w:val="21"/>
                <w:szCs w:val="21"/>
              </w:rPr>
              <w:t>年</w:t>
            </w:r>
            <w:r>
              <w:rPr>
                <w:rFonts w:ascii="宋体" w:hAnsi="宋体" w:cs="宋体" w:eastAsia="宋体" w:hint="default"/>
                <w:spacing w:val="-45"/>
                <w:w w:val="100"/>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月</w:t>
            </w:r>
            <w:r>
              <w:rPr>
                <w:rFonts w:ascii="宋体" w:hAnsi="宋体" w:cs="宋体" w:eastAsia="宋体" w:hint="default"/>
                <w:spacing w:val="-43"/>
                <w:w w:val="100"/>
                <w:sz w:val="21"/>
                <w:szCs w:val="21"/>
              </w:rPr>
              <w:t> </w:t>
            </w:r>
            <w:r>
              <w:rPr>
                <w:rFonts w:ascii="Times New Roman" w:hAnsi="Times New Roman" w:cs="Times New Roman" w:eastAsia="Times New Roman" w:hint="default"/>
                <w:w w:val="100"/>
                <w:sz w:val="21"/>
                <w:szCs w:val="21"/>
              </w:rPr>
              <w:t>29</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9"/>
                <w:w w:val="100"/>
                <w:sz w:val="21"/>
                <w:szCs w:val="21"/>
              </w:rPr>
              <w:t>日投资者关系活动记录表》，披</w:t>
            </w:r>
            <w:r>
              <w:rPr>
                <w:rFonts w:ascii="宋体" w:hAnsi="宋体" w:cs="宋体" w:eastAsia="宋体" w:hint="default"/>
                <w:w w:val="100"/>
                <w:sz w:val="21"/>
                <w:szCs w:val="21"/>
              </w:rPr>
              <w:t> </w:t>
            </w:r>
            <w:r>
              <w:rPr>
                <w:rFonts w:ascii="宋体" w:hAnsi="宋体" w:cs="宋体" w:eastAsia="宋体" w:hint="default"/>
                <w:sz w:val="21"/>
                <w:szCs w:val="21"/>
              </w:rPr>
              <w:t>露网站：巨潮资讯网</w:t>
            </w:r>
            <w:r>
              <w:rPr>
                <w:rFonts w:ascii="Times New Roman" w:hAnsi="Times New Roman" w:cs="Times New Roman" w:eastAsia="Times New Roman" w:hint="default"/>
                <w:sz w:val="21"/>
                <w:szCs w:val="21"/>
              </w:rPr>
              <w:t>(www.cninfo.com.cn)</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20"/>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2017</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Times New Roman" w:hAnsi="Times New Roman" w:cs="Times New Roman" w:eastAsia="Times New Roman" w:hint="default"/>
                <w:spacing w:val="-2"/>
                <w:w w:val="100"/>
                <w:sz w:val="21"/>
                <w:szCs w:val="21"/>
              </w:rPr>
              <w:t>10</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月</w:t>
            </w:r>
            <w:r>
              <w:rPr>
                <w:rFonts w:ascii="宋体" w:hAnsi="宋体" w:cs="宋体" w:eastAsia="宋体" w:hint="default"/>
                <w:spacing w:val="-56"/>
                <w:w w:val="100"/>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13"/>
                <w:w w:val="100"/>
                <w:sz w:val="21"/>
                <w:szCs w:val="21"/>
              </w:rPr>
              <w:t>日投资者关系活动记录表》，披</w:t>
            </w:r>
            <w:r>
              <w:rPr>
                <w:rFonts w:ascii="宋体" w:hAnsi="宋体" w:cs="宋体" w:eastAsia="宋体" w:hint="default"/>
                <w:w w:val="100"/>
                <w:sz w:val="21"/>
                <w:szCs w:val="21"/>
              </w:rPr>
              <w:t> </w:t>
            </w:r>
            <w:r>
              <w:rPr>
                <w:rFonts w:ascii="宋体" w:hAnsi="宋体" w:cs="宋体" w:eastAsia="宋体" w:hint="default"/>
                <w:sz w:val="21"/>
                <w:szCs w:val="21"/>
              </w:rPr>
              <w:t>露网站：巨潮资讯网</w:t>
            </w:r>
            <w:r>
              <w:rPr>
                <w:rFonts w:ascii="Times New Roman" w:hAnsi="Times New Roman" w:cs="Times New Roman" w:eastAsia="Times New Roman" w:hint="default"/>
                <w:sz w:val="21"/>
                <w:szCs w:val="21"/>
              </w:rPr>
              <w:t>(www.cninfo.com.cn)</w:t>
            </w:r>
          </w:p>
        </w:tc>
      </w:tr>
    </w:tbl>
    <w:p>
      <w:pPr>
        <w:pStyle w:val="BodyText"/>
        <w:spacing w:line="357" w:lineRule="auto" w:before="39"/>
        <w:ind w:right="98" w:firstLine="480"/>
        <w:jc w:val="left"/>
      </w:pPr>
      <w:r>
        <w:rPr>
          <w:spacing w:val="-3"/>
        </w:rPr>
        <w:t>除接待投资者实地调研，还通过深交所投资者互动平台和投资者热线与投资者进行互动，</w:t>
      </w:r>
      <w:r>
        <w:rPr/>
        <w:t> 在此不一一列举所接待的个人投资者的电话来访。</w:t>
      </w:r>
    </w:p>
    <w:p>
      <w:pPr>
        <w:spacing w:after="0" w:line="357" w:lineRule="auto"/>
        <w:jc w:val="left"/>
        <w:sectPr>
          <w:pgSz w:w="11910" w:h="16840"/>
          <w:pgMar w:header="877" w:footer="980" w:top="1100" w:bottom="1160" w:left="980" w:right="900"/>
        </w:sectPr>
      </w:pPr>
    </w:p>
    <w:p>
      <w:pPr>
        <w:spacing w:line="240" w:lineRule="auto" w:before="6"/>
        <w:rPr>
          <w:rFonts w:ascii="宋体" w:hAnsi="宋体" w:cs="宋体" w:eastAsia="宋体" w:hint="default"/>
          <w:sz w:val="28"/>
          <w:szCs w:val="28"/>
        </w:rPr>
      </w:pPr>
    </w:p>
    <w:p>
      <w:pPr>
        <w:pStyle w:val="Heading1"/>
        <w:spacing w:line="240" w:lineRule="auto"/>
        <w:ind w:left="3793" w:right="3819"/>
        <w:jc w:val="center"/>
        <w:rPr>
          <w:b w:val="0"/>
          <w:bCs w:val="0"/>
        </w:rPr>
      </w:pPr>
      <w:bookmarkStart w:name="_bookmark4" w:id="5"/>
      <w:bookmarkEnd w:id="5"/>
      <w:r>
        <w:rPr>
          <w:b w:val="0"/>
          <w:bCs w:val="0"/>
        </w:rPr>
      </w:r>
      <w:r>
        <w:rPr>
          <w:spacing w:val="4"/>
        </w:rPr>
        <w:t>第五节</w:t>
      </w:r>
      <w:r>
        <w:rPr>
          <w:spacing w:val="-1"/>
        </w:rPr>
        <w:t> </w:t>
      </w:r>
      <w:r>
        <w:rPr>
          <w:spacing w:val="3"/>
        </w:rPr>
        <w:t>重要事项</w:t>
      </w:r>
      <w:r>
        <w:rPr>
          <w:b w:val="0"/>
          <w:bCs w:val="0"/>
          <w:spacing w:val="3"/>
        </w:rPr>
      </w:r>
    </w:p>
    <w:p>
      <w:pPr>
        <w:spacing w:line="690" w:lineRule="atLeast" w:before="69"/>
        <w:ind w:left="693" w:right="1213" w:hanging="480"/>
        <w:jc w:val="left"/>
        <w:rPr>
          <w:rFonts w:ascii="宋体" w:hAnsi="宋体" w:cs="宋体" w:eastAsia="宋体" w:hint="default"/>
          <w:sz w:val="24"/>
          <w:szCs w:val="24"/>
        </w:rPr>
      </w:pPr>
      <w:r>
        <w:rPr>
          <w:rFonts w:ascii="宋体" w:hAnsi="宋体" w:cs="宋体" w:eastAsia="宋体" w:hint="default"/>
          <w:b/>
          <w:bCs/>
          <w:sz w:val="24"/>
          <w:szCs w:val="24"/>
        </w:rPr>
        <w:t>一、公司普通股利润分配及资本公积金转增股本情况</w:t>
      </w:r>
      <w:r>
        <w:rPr>
          <w:rFonts w:ascii="宋体" w:hAnsi="宋体" w:cs="宋体" w:eastAsia="宋体" w:hint="default"/>
          <w:b/>
          <w:bCs/>
          <w:w w:val="99"/>
          <w:sz w:val="24"/>
          <w:szCs w:val="24"/>
        </w:rPr>
        <w:t> </w:t>
      </w:r>
      <w:r>
        <w:rPr>
          <w:rFonts w:ascii="宋体" w:hAnsi="宋体" w:cs="宋体" w:eastAsia="宋体" w:hint="default"/>
          <w:sz w:val="24"/>
          <w:szCs w:val="24"/>
        </w:rPr>
        <w:t>报告期内普通股利润分配政策，特别是现金分红政策的制定、执行或调整情况</w:t>
      </w:r>
    </w:p>
    <w:p>
      <w:pPr>
        <w:pStyle w:val="BodyText"/>
        <w:spacing w:line="240" w:lineRule="auto" w:before="154"/>
        <w:ind w:left="6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5"/>
        <w:ind w:left="69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日，公司第三届董事会第二十六次会议审议通过了</w:t>
      </w:r>
      <w:r>
        <w:rPr>
          <w:spacing w:val="-6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年度利润分配方</w:t>
      </w:r>
    </w:p>
    <w:p>
      <w:pPr>
        <w:pStyle w:val="BodyText"/>
        <w:spacing w:line="240" w:lineRule="auto" w:before="135"/>
        <w:ind w:left="213" w:right="0"/>
        <w:jc w:val="left"/>
      </w:pPr>
      <w:r>
        <w:rPr>
          <w:spacing w:val="-9"/>
        </w:rPr>
        <w:t>案，以截止</w:t>
      </w:r>
      <w:r>
        <w:rPr>
          <w:spacing w:val="-61"/>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日公司总股本</w:t>
      </w:r>
      <w:r>
        <w:rPr>
          <w:spacing w:val="-60"/>
        </w:rPr>
        <w:t> </w:t>
      </w:r>
      <w:r>
        <w:rPr>
          <w:rFonts w:ascii="Times New Roman" w:hAnsi="Times New Roman" w:cs="Times New Roman" w:eastAsia="Times New Roman" w:hint="default"/>
        </w:rPr>
        <w:t>449,578,967 </w:t>
      </w:r>
      <w:r>
        <w:rPr>
          <w:spacing w:val="-4"/>
        </w:rPr>
        <w:t>股为基数，向全体股东每</w:t>
      </w:r>
      <w:r>
        <w:rPr>
          <w:spacing w:val="-60"/>
        </w:rPr>
        <w:t> </w:t>
      </w:r>
      <w:r>
        <w:rPr>
          <w:rFonts w:ascii="Times New Roman" w:hAnsi="Times New Roman" w:cs="Times New Roman" w:eastAsia="Times New Roman" w:hint="default"/>
        </w:rPr>
        <w:t>10 </w:t>
      </w:r>
      <w:r>
        <w:rPr/>
        <w:t>股派发人</w:t>
      </w:r>
    </w:p>
    <w:p>
      <w:pPr>
        <w:pStyle w:val="BodyText"/>
        <w:spacing w:line="240" w:lineRule="auto" w:before="135"/>
        <w:ind w:left="213" w:right="0"/>
        <w:jc w:val="left"/>
      </w:pPr>
      <w:r>
        <w:rPr/>
        <w:t>民币现金红利</w:t>
      </w:r>
      <w:r>
        <w:rPr>
          <w:spacing w:val="-61"/>
        </w:rPr>
        <w:t> </w:t>
      </w:r>
      <w:r>
        <w:rPr>
          <w:rFonts w:ascii="Times New Roman" w:hAnsi="Times New Roman" w:cs="Times New Roman" w:eastAsia="Times New Roman" w:hint="default"/>
        </w:rPr>
        <w:t>0.6 </w:t>
      </w:r>
      <w:r>
        <w:rPr/>
        <w:t>元（含税</w:t>
      </w:r>
      <w:r>
        <w:rPr>
          <w:spacing w:val="-120"/>
        </w:rPr>
        <w:t>）</w:t>
      </w:r>
      <w:r>
        <w:rPr/>
        <w:t>。</w:t>
      </w:r>
    </w:p>
    <w:p>
      <w:pPr>
        <w:pStyle w:val="BodyText"/>
        <w:spacing w:line="240" w:lineRule="auto" w:before="136"/>
        <w:ind w:left="693" w:right="0"/>
        <w:jc w:val="left"/>
      </w:pPr>
      <w:r>
        <w:rPr/>
        <w:t>根据</w:t>
      </w:r>
      <w:r>
        <w:rPr>
          <w:spacing w:val="-6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年度股东大会决议，公司于</w:t>
      </w:r>
      <w:r>
        <w:rPr>
          <w:spacing w:val="-6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日在巨潮资讯网刊登了《</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年度</w:t>
      </w:r>
    </w:p>
    <w:p>
      <w:pPr>
        <w:pStyle w:val="BodyText"/>
        <w:spacing w:line="240" w:lineRule="auto" w:before="135"/>
        <w:ind w:left="213" w:right="0"/>
        <w:jc w:val="left"/>
        <w:rPr>
          <w:rFonts w:ascii="Times New Roman" w:hAnsi="Times New Roman" w:cs="Times New Roman" w:eastAsia="Times New Roman" w:hint="default"/>
        </w:rPr>
      </w:pPr>
      <w:r>
        <w:rPr/>
        <w:t>权益分配实施的公告</w:t>
      </w:r>
      <w:r>
        <w:rPr>
          <w:spacing w:val="-120"/>
        </w:rPr>
        <w:t>》</w:t>
      </w:r>
      <w:r>
        <w:rPr>
          <w:spacing w:val="-65"/>
        </w:rPr>
        <w:t>，</w:t>
      </w:r>
      <w:r>
        <w:rPr/>
        <w:t>本次权益分配股权登记日为</w:t>
      </w:r>
      <w:r>
        <w:rPr>
          <w:spacing w:val="-64"/>
        </w:rPr>
        <w:t>：</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10 </w:t>
      </w:r>
      <w:r>
        <w:rPr/>
        <w:t>日</w:t>
      </w:r>
      <w:r>
        <w:rPr>
          <w:spacing w:val="-65"/>
        </w:rPr>
        <w:t>，</w:t>
      </w:r>
      <w:r>
        <w:rPr/>
        <w:t>除权除息日为</w:t>
      </w:r>
      <w:r>
        <w:rPr>
          <w:spacing w:val="-65"/>
        </w:rPr>
        <w:t>：</w:t>
      </w:r>
      <w:r>
        <w:rPr>
          <w:rFonts w:ascii="Times New Roman" w:hAnsi="Times New Roman" w:cs="Times New Roman" w:eastAsia="Times New Roman" w:hint="default"/>
        </w:rPr>
        <w:t>20</w:t>
      </w:r>
      <w:r>
        <w:rPr>
          <w:rFonts w:ascii="Times New Roman" w:hAnsi="Times New Roman" w:cs="Times New Roman" w:eastAsia="Times New Roman" w:hint="default"/>
          <w:spacing w:val="-3"/>
        </w:rPr>
        <w:t>1</w:t>
      </w:r>
      <w:r>
        <w:rPr>
          <w:rFonts w:ascii="Times New Roman" w:hAnsi="Times New Roman" w:cs="Times New Roman" w:eastAsia="Times New Roman" w:hint="default"/>
        </w:rPr>
        <w:t>7</w:t>
      </w:r>
    </w:p>
    <w:p>
      <w:pPr>
        <w:pStyle w:val="BodyText"/>
        <w:spacing w:line="240" w:lineRule="auto" w:before="135"/>
        <w:ind w:left="213" w:right="0"/>
        <w:jc w:val="left"/>
      </w:pP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日。截止本报告期末，该利润分配方案已实施完毕。</w:t>
      </w:r>
    </w:p>
    <w:p>
      <w:pPr>
        <w:spacing w:line="240" w:lineRule="auto" w:before="5"/>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8023"/>
        <w:gridCol w:w="1834"/>
      </w:tblGrid>
      <w:tr>
        <w:trPr>
          <w:trHeight w:val="324" w:hRule="exact"/>
        </w:trPr>
        <w:tc>
          <w:tcPr>
            <w:tcW w:w="9857" w:type="dxa"/>
            <w:gridSpan w:val="2"/>
            <w:tcBorders>
              <w:top w:val="single" w:sz="4" w:space="0" w:color="000000"/>
              <w:left w:val="single" w:sz="4" w:space="0" w:color="000000"/>
              <w:bottom w:val="single" w:sz="6"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现金分红政策的专项说明</w:t>
            </w:r>
            <w:r>
              <w:rPr>
                <w:rFonts w:ascii="宋体" w:hAnsi="宋体" w:cs="宋体" w:eastAsia="宋体" w:hint="default"/>
                <w:sz w:val="21"/>
                <w:szCs w:val="21"/>
              </w:rPr>
            </w:r>
          </w:p>
        </w:tc>
      </w:tr>
      <w:tr>
        <w:trPr>
          <w:trHeight w:val="328" w:hRule="exact"/>
        </w:trPr>
        <w:tc>
          <w:tcPr>
            <w:tcW w:w="8023"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183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8" w:hRule="exact"/>
        </w:trPr>
        <w:tc>
          <w:tcPr>
            <w:tcW w:w="8023"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4" w:lineRule="exact"/>
              <w:ind w:left="101"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1834" w:type="dxa"/>
            <w:tcBorders>
              <w:top w:val="single" w:sz="6" w:space="0" w:color="000000"/>
              <w:left w:val="single" w:sz="6" w:space="0" w:color="000000"/>
              <w:bottom w:val="single" w:sz="6"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6" w:hRule="exact"/>
        </w:trPr>
        <w:tc>
          <w:tcPr>
            <w:tcW w:w="8023"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183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6" w:hRule="exact"/>
        </w:trPr>
        <w:tc>
          <w:tcPr>
            <w:tcW w:w="8023"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183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8" w:hRule="exact"/>
        </w:trPr>
        <w:tc>
          <w:tcPr>
            <w:tcW w:w="8023"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183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6" w:hRule="exact"/>
        </w:trPr>
        <w:tc>
          <w:tcPr>
            <w:tcW w:w="8023" w:type="dxa"/>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6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1834" w:type="dxa"/>
            <w:tcBorders>
              <w:top w:val="single" w:sz="6" w:space="0" w:color="000000"/>
              <w:left w:val="single" w:sz="6"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357" w:lineRule="auto" w:before="39"/>
        <w:ind w:left="213" w:right="253" w:firstLine="480"/>
        <w:jc w:val="left"/>
      </w:pPr>
      <w:r>
        <w:rPr/>
        <w:t>公司报告期利润分配预案及资本公积金转增股本预案与公司章程和分红管理办法等的相 关规定一致</w:t>
      </w:r>
    </w:p>
    <w:p>
      <w:pPr>
        <w:pStyle w:val="BodyText"/>
        <w:spacing w:line="348" w:lineRule="auto" w:before="36"/>
        <w:ind w:left="693" w:right="7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 公司报告期利润分配预案及资本公积金转增股本预案符合公司章程等的相关规定。 本年度利润分配及资本公积金转增股本预案</w:t>
      </w:r>
    </w:p>
    <w:tbl>
      <w:tblPr>
        <w:tblW w:w="0" w:type="auto"/>
        <w:jc w:val="left"/>
        <w:tblInd w:w="191" w:type="dxa"/>
        <w:tblLayout w:type="fixed"/>
        <w:tblCellMar>
          <w:top w:w="0" w:type="dxa"/>
          <w:left w:w="0" w:type="dxa"/>
          <w:bottom w:w="0" w:type="dxa"/>
          <w:right w:w="0" w:type="dxa"/>
        </w:tblCellMar>
        <w:tblLook w:val="01E0"/>
      </w:tblPr>
      <w:tblGrid>
        <w:gridCol w:w="3744"/>
        <w:gridCol w:w="5943"/>
      </w:tblGrid>
      <w:tr>
        <w:trPr>
          <w:trHeight w:val="322" w:hRule="exact"/>
        </w:trPr>
        <w:tc>
          <w:tcPr>
            <w:tcW w:w="3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59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3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9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0.88</w:t>
            </w:r>
          </w:p>
        </w:tc>
      </w:tr>
      <w:tr>
        <w:trPr>
          <w:trHeight w:val="322" w:hRule="exact"/>
        </w:trPr>
        <w:tc>
          <w:tcPr>
            <w:tcW w:w="3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股转增数（股）</w:t>
            </w:r>
          </w:p>
        </w:tc>
        <w:tc>
          <w:tcPr>
            <w:tcW w:w="59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23" w:hRule="exact"/>
        </w:trPr>
        <w:tc>
          <w:tcPr>
            <w:tcW w:w="3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4"/>
              <w:jc w:val="center"/>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9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449,537,367</w:t>
            </w:r>
          </w:p>
        </w:tc>
      </w:tr>
      <w:tr>
        <w:trPr>
          <w:trHeight w:val="323" w:hRule="exact"/>
        </w:trPr>
        <w:tc>
          <w:tcPr>
            <w:tcW w:w="3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现金分红总额（元）</w:t>
            </w:r>
          </w:p>
        </w:tc>
        <w:tc>
          <w:tcPr>
            <w:tcW w:w="59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39,559,288.30</w:t>
            </w:r>
          </w:p>
        </w:tc>
      </w:tr>
      <w:tr>
        <w:trPr>
          <w:trHeight w:val="322" w:hRule="exact"/>
        </w:trPr>
        <w:tc>
          <w:tcPr>
            <w:tcW w:w="3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可分配利润（元）</w:t>
            </w:r>
          </w:p>
        </w:tc>
        <w:tc>
          <w:tcPr>
            <w:tcW w:w="59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293,063,731.31</w:t>
            </w:r>
          </w:p>
        </w:tc>
      </w:tr>
      <w:tr>
        <w:trPr>
          <w:trHeight w:val="322" w:hRule="exact"/>
        </w:trPr>
        <w:tc>
          <w:tcPr>
            <w:tcW w:w="3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
              <w:jc w:val="center"/>
              <w:rPr>
                <w:rFonts w:ascii="宋体" w:hAnsi="宋体" w:cs="宋体" w:eastAsia="宋体" w:hint="default"/>
                <w:sz w:val="21"/>
                <w:szCs w:val="21"/>
              </w:rPr>
            </w:pPr>
            <w:r>
              <w:rPr>
                <w:rFonts w:ascii="宋体" w:hAnsi="宋体" w:cs="宋体" w:eastAsia="宋体" w:hint="default"/>
                <w:sz w:val="21"/>
                <w:szCs w:val="21"/>
              </w:rPr>
              <w:t>现金分红占利润分配总额的比例（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9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100%</w:t>
            </w:r>
          </w:p>
        </w:tc>
      </w:tr>
      <w:tr>
        <w:trPr>
          <w:trHeight w:val="322" w:hRule="exact"/>
        </w:trPr>
        <w:tc>
          <w:tcPr>
            <w:tcW w:w="9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10"/>
              <w:jc w:val="center"/>
              <w:rPr>
                <w:rFonts w:ascii="宋体" w:hAnsi="宋体" w:cs="宋体" w:eastAsia="宋体" w:hint="default"/>
                <w:sz w:val="21"/>
                <w:szCs w:val="21"/>
              </w:rPr>
            </w:pPr>
            <w:r>
              <w:rPr>
                <w:rFonts w:ascii="宋体" w:hAnsi="宋体" w:cs="宋体" w:eastAsia="宋体" w:hint="default"/>
                <w:b/>
                <w:bCs/>
                <w:sz w:val="21"/>
                <w:szCs w:val="21"/>
              </w:rPr>
              <w:t>本次现金分红情况：</w:t>
            </w:r>
            <w:r>
              <w:rPr>
                <w:rFonts w:ascii="宋体" w:hAnsi="宋体" w:cs="宋体" w:eastAsia="宋体" w:hint="default"/>
                <w:sz w:val="21"/>
                <w:szCs w:val="21"/>
              </w:rPr>
            </w:r>
          </w:p>
        </w:tc>
      </w:tr>
      <w:tr>
        <w:trPr>
          <w:trHeight w:val="634" w:hRule="exact"/>
        </w:trPr>
        <w:tc>
          <w:tcPr>
            <w:tcW w:w="9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 w:right="17"/>
              <w:jc w:val="left"/>
              <w:rPr>
                <w:rFonts w:ascii="宋体" w:hAnsi="宋体" w:cs="宋体" w:eastAsia="宋体" w:hint="default"/>
                <w:sz w:val="21"/>
                <w:szCs w:val="21"/>
              </w:rPr>
            </w:pPr>
            <w:r>
              <w:rPr>
                <w:rFonts w:ascii="宋体" w:hAnsi="宋体" w:cs="宋体" w:eastAsia="宋体" w:hint="default"/>
                <w:spacing w:val="-2"/>
                <w:sz w:val="21"/>
                <w:szCs w:val="21"/>
              </w:rPr>
              <w:t>公司发展阶段属成长期且有重大资金支出安排的，进行利润分配时，现金分红在本次利润分配中所占比例</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最低应达到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tc>
      </w:tr>
      <w:tr>
        <w:trPr>
          <w:trHeight w:val="322" w:hRule="exact"/>
        </w:trPr>
        <w:tc>
          <w:tcPr>
            <w:tcW w:w="9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616" w:right="0"/>
              <w:jc w:val="left"/>
              <w:rPr>
                <w:rFonts w:ascii="宋体" w:hAnsi="宋体" w:cs="宋体" w:eastAsia="宋体" w:hint="default"/>
                <w:sz w:val="21"/>
                <w:szCs w:val="21"/>
              </w:rPr>
            </w:pPr>
            <w:r>
              <w:rPr>
                <w:rFonts w:ascii="宋体" w:hAnsi="宋体" w:cs="宋体" w:eastAsia="宋体" w:hint="default"/>
                <w:b/>
                <w:bCs/>
                <w:sz w:val="21"/>
                <w:szCs w:val="21"/>
              </w:rPr>
              <w:t>利润分配或资本公积金转增预案的详细情况说明</w:t>
            </w:r>
            <w:r>
              <w:rPr>
                <w:rFonts w:ascii="宋体" w:hAnsi="宋体" w:cs="宋体" w:eastAsia="宋体" w:hint="default"/>
                <w:sz w:val="21"/>
                <w:szCs w:val="21"/>
              </w:rPr>
            </w:r>
          </w:p>
        </w:tc>
      </w:tr>
      <w:tr>
        <w:trPr>
          <w:trHeight w:val="324" w:hRule="exact"/>
        </w:trPr>
        <w:tc>
          <w:tcPr>
            <w:tcW w:w="9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429" w:right="0"/>
              <w:jc w:val="left"/>
              <w:rPr>
                <w:rFonts w:ascii="宋体" w:hAnsi="宋体" w:cs="宋体" w:eastAsia="宋体" w:hint="default"/>
                <w:sz w:val="21"/>
                <w:szCs w:val="21"/>
              </w:rPr>
            </w:pPr>
            <w:r>
              <w:rPr>
                <w:rFonts w:ascii="宋体" w:hAnsi="宋体" w:cs="宋体" w:eastAsia="宋体" w:hint="default"/>
                <w:w w:val="100"/>
                <w:sz w:val="21"/>
                <w:szCs w:val="21"/>
              </w:rPr>
              <w:t>以公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现</w:t>
            </w:r>
            <w:r>
              <w:rPr>
                <w:rFonts w:ascii="宋体" w:hAnsi="宋体" w:cs="宋体" w:eastAsia="宋体" w:hint="default"/>
                <w:spacing w:val="-3"/>
                <w:w w:val="100"/>
                <w:sz w:val="21"/>
                <w:szCs w:val="21"/>
              </w:rPr>
              <w:t>有</w:t>
            </w:r>
            <w:r>
              <w:rPr>
                <w:rFonts w:ascii="宋体" w:hAnsi="宋体" w:cs="宋体" w:eastAsia="宋体" w:hint="default"/>
                <w:w w:val="100"/>
                <w:sz w:val="21"/>
                <w:szCs w:val="21"/>
              </w:rPr>
              <w:t>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49,5</w:t>
            </w:r>
            <w:r>
              <w:rPr>
                <w:rFonts w:ascii="Times New Roman" w:hAnsi="Times New Roman" w:cs="Times New Roman" w:eastAsia="Times New Roman" w:hint="default"/>
                <w:spacing w:val="-3"/>
                <w:w w:val="100"/>
                <w:sz w:val="21"/>
                <w:szCs w:val="21"/>
              </w:rPr>
              <w:t>37</w:t>
            </w:r>
            <w:r>
              <w:rPr>
                <w:rFonts w:ascii="Times New Roman" w:hAnsi="Times New Roman" w:cs="Times New Roman" w:eastAsia="Times New Roman" w:hint="default"/>
                <w:w w:val="100"/>
                <w:sz w:val="21"/>
                <w:szCs w:val="21"/>
              </w:rPr>
              <w:t>,367</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为</w:t>
            </w:r>
            <w:r>
              <w:rPr>
                <w:rFonts w:ascii="宋体" w:hAnsi="宋体" w:cs="宋体" w:eastAsia="宋体" w:hint="default"/>
                <w:spacing w:val="-3"/>
                <w:w w:val="100"/>
                <w:sz w:val="21"/>
                <w:szCs w:val="21"/>
              </w:rPr>
              <w:t>基</w:t>
            </w:r>
            <w:r>
              <w:rPr>
                <w:rFonts w:ascii="宋体" w:hAnsi="宋体" w:cs="宋体" w:eastAsia="宋体" w:hint="default"/>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股</w:t>
            </w:r>
            <w:r>
              <w:rPr>
                <w:rFonts w:ascii="宋体" w:hAnsi="宋体" w:cs="宋体" w:eastAsia="宋体" w:hint="default"/>
                <w:w w:val="100"/>
                <w:sz w:val="21"/>
                <w:szCs w:val="21"/>
              </w:rPr>
              <w:t>东每</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现金</w:t>
            </w:r>
            <w:r>
              <w:rPr>
                <w:rFonts w:ascii="宋体" w:hAnsi="宋体" w:cs="宋体" w:eastAsia="宋体" w:hint="default"/>
                <w:w w:val="100"/>
                <w:sz w:val="21"/>
                <w:szCs w:val="21"/>
              </w:rPr>
              <w:t>红利</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88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r>
    </w:tbl>
    <w:p>
      <w:pPr>
        <w:spacing w:after="0" w:line="281" w:lineRule="exact"/>
        <w:jc w:val="left"/>
        <w:rPr>
          <w:rFonts w:ascii="宋体" w:hAnsi="宋体" w:cs="宋体" w:eastAsia="宋体" w:hint="default"/>
          <w:sz w:val="21"/>
          <w:szCs w:val="21"/>
        </w:rPr>
        <w:sectPr>
          <w:pgSz w:w="11910" w:h="16840"/>
          <w:pgMar w:header="877" w:footer="980" w:top="1100" w:bottom="1160" w:left="920" w:right="900"/>
        </w:sectPr>
      </w:pPr>
    </w:p>
    <w:p>
      <w:pPr>
        <w:spacing w:line="240" w:lineRule="auto" w:before="7"/>
        <w:rPr>
          <w:rFonts w:ascii="宋体" w:hAnsi="宋体" w:cs="宋体" w:eastAsia="宋体" w:hint="default"/>
          <w:sz w:val="25"/>
          <w:szCs w:val="25"/>
        </w:rPr>
      </w:pPr>
    </w:p>
    <w:p>
      <w:pPr>
        <w:pStyle w:val="BodyText"/>
        <w:spacing w:line="240" w:lineRule="auto" w:before="26"/>
        <w:ind w:left="913" w:right="0"/>
        <w:jc w:val="left"/>
      </w:pPr>
      <w:r>
        <w:rPr/>
        <w:t>公司近</w:t>
      </w:r>
      <w:r>
        <w:rPr>
          <w:spacing w:val="-61"/>
        </w:rPr>
        <w:t> </w:t>
      </w:r>
      <w:r>
        <w:rPr>
          <w:rFonts w:ascii="Times New Roman" w:hAnsi="Times New Roman" w:cs="Times New Roman" w:eastAsia="Times New Roman" w:hint="default"/>
        </w:rPr>
        <w:t>3 </w:t>
      </w:r>
      <w:r>
        <w:rPr>
          <w:spacing w:val="-22"/>
        </w:rPr>
        <w:t>年</w:t>
      </w:r>
      <w:r>
        <w:rPr/>
        <w:t>（包括本</w:t>
      </w:r>
      <w:r>
        <w:rPr>
          <w:spacing w:val="2"/>
        </w:rPr>
        <w:t>报</w:t>
      </w:r>
      <w:r>
        <w:rPr/>
        <w:t>告期</w:t>
      </w:r>
      <w:r>
        <w:rPr>
          <w:spacing w:val="-22"/>
        </w:rPr>
        <w:t>）</w:t>
      </w:r>
      <w:r>
        <w:rPr/>
        <w:t>的普通股股利</w:t>
      </w:r>
      <w:r>
        <w:rPr>
          <w:spacing w:val="2"/>
        </w:rPr>
        <w:t>分</w:t>
      </w:r>
      <w:r>
        <w:rPr/>
        <w:t>配方</w:t>
      </w:r>
      <w:r>
        <w:rPr>
          <w:spacing w:val="-22"/>
        </w:rPr>
        <w:t>案</w:t>
      </w:r>
      <w:r>
        <w:rPr/>
        <w:t>（预案</w:t>
      </w:r>
      <w:r>
        <w:rPr>
          <w:spacing w:val="-120"/>
        </w:rPr>
        <w:t>）</w:t>
      </w:r>
      <w:r>
        <w:rPr>
          <w:spacing w:val="-22"/>
        </w:rPr>
        <w:t>、</w:t>
      </w:r>
      <w:r>
        <w:rPr/>
        <w:t>资</w:t>
      </w:r>
      <w:r>
        <w:rPr>
          <w:spacing w:val="2"/>
        </w:rPr>
        <w:t>本</w:t>
      </w:r>
      <w:r>
        <w:rPr/>
        <w:t>公积金转增股本方案</w:t>
      </w:r>
    </w:p>
    <w:p>
      <w:pPr>
        <w:pStyle w:val="BodyText"/>
        <w:spacing w:line="240" w:lineRule="auto" w:before="136"/>
        <w:ind w:left="433" w:right="512"/>
        <w:jc w:val="left"/>
      </w:pPr>
      <w:r>
        <w:rPr/>
        <w:t>（预案）情况：</w:t>
      </w:r>
    </w:p>
    <w:p>
      <w:pPr>
        <w:pStyle w:val="BodyText"/>
        <w:spacing w:line="240" w:lineRule="auto" w:before="154"/>
        <w:ind w:left="9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年利润分配预案：以公司现有总股本</w:t>
      </w:r>
      <w:r>
        <w:rPr>
          <w:spacing w:val="-67"/>
        </w:rPr>
        <w:t> </w:t>
      </w:r>
      <w:r>
        <w:rPr>
          <w:rFonts w:ascii="Times New Roman" w:hAnsi="Times New Roman" w:cs="Times New Roman" w:eastAsia="Times New Roman" w:hint="default"/>
        </w:rPr>
        <w:t>449,537,367</w:t>
      </w:r>
      <w:r>
        <w:rPr>
          <w:rFonts w:ascii="Times New Roman" w:hAnsi="Times New Roman" w:cs="Times New Roman" w:eastAsia="Times New Roman" w:hint="default"/>
          <w:spacing w:val="-8"/>
        </w:rPr>
        <w:t> </w:t>
      </w:r>
      <w:r>
        <w:rPr/>
        <w:t>股为基数，向全体股东每</w:t>
      </w:r>
      <w:r>
        <w:rPr>
          <w:spacing w:val="-67"/>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w:t>
      </w:r>
    </w:p>
    <w:p>
      <w:pPr>
        <w:pStyle w:val="BodyText"/>
        <w:spacing w:line="240" w:lineRule="auto" w:before="135"/>
        <w:ind w:left="433" w:right="512"/>
        <w:jc w:val="left"/>
      </w:pPr>
      <w:r>
        <w:rPr/>
        <w:t>派发人民币现金红利</w:t>
      </w:r>
      <w:r>
        <w:rPr>
          <w:spacing w:val="-60"/>
        </w:rPr>
        <w:t> </w:t>
      </w:r>
      <w:r>
        <w:rPr>
          <w:rFonts w:ascii="Times New Roman" w:hAnsi="Times New Roman" w:cs="Times New Roman" w:eastAsia="Times New Roman" w:hint="default"/>
        </w:rPr>
        <w:t>0.88 </w:t>
      </w:r>
      <w:r>
        <w:rPr/>
        <w:t>元（含税</w:t>
      </w:r>
      <w:r>
        <w:rPr>
          <w:spacing w:val="-120"/>
        </w:rPr>
        <w:t>）</w:t>
      </w:r>
      <w:r>
        <w:rPr/>
        <w:t>。</w:t>
      </w:r>
    </w:p>
    <w:p>
      <w:pPr>
        <w:pStyle w:val="BodyText"/>
        <w:spacing w:line="240" w:lineRule="auto" w:before="135"/>
        <w:ind w:left="913" w:right="0"/>
        <w:jc w:val="left"/>
      </w:pPr>
      <w:r>
        <w:rPr>
          <w:rFonts w:ascii="Times New Roman" w:hAnsi="Times New Roman" w:cs="Times New Roman" w:eastAsia="Times New Roman" w:hint="default"/>
          <w:spacing w:val="-12"/>
        </w:rPr>
        <w:t>2</w:t>
      </w:r>
      <w:r>
        <w:rPr>
          <w:spacing w:val="-12"/>
        </w:rPr>
        <w:t>）</w:t>
      </w:r>
      <w:r>
        <w:rPr>
          <w:rFonts w:ascii="Times New Roman" w:hAnsi="Times New Roman" w:cs="Times New Roman" w:eastAsia="Times New Roman" w:hint="default"/>
          <w:spacing w:val="-12"/>
        </w:rPr>
        <w:t>2016</w:t>
      </w:r>
      <w:r>
        <w:rPr>
          <w:rFonts w:ascii="Times New Roman" w:hAnsi="Times New Roman" w:cs="Times New Roman" w:eastAsia="Times New Roman" w:hint="default"/>
          <w:spacing w:val="-1"/>
        </w:rPr>
        <w:t> </w:t>
      </w:r>
      <w:r>
        <w:rPr>
          <w:spacing w:val="-7"/>
        </w:rPr>
        <w:t>年利润分配方案：以截止</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日公司总股本</w:t>
      </w:r>
      <w:r>
        <w:rPr>
          <w:spacing w:val="-60"/>
        </w:rPr>
        <w:t> </w:t>
      </w:r>
      <w:r>
        <w:rPr>
          <w:rFonts w:ascii="Times New Roman" w:hAnsi="Times New Roman" w:cs="Times New Roman" w:eastAsia="Times New Roman" w:hint="default"/>
        </w:rPr>
        <w:t>449,578,967 </w:t>
      </w:r>
      <w:r>
        <w:rPr/>
        <w:t>股为基数，</w:t>
      </w:r>
    </w:p>
    <w:p>
      <w:pPr>
        <w:pStyle w:val="BodyText"/>
        <w:spacing w:line="240" w:lineRule="auto" w:before="135"/>
        <w:ind w:left="433" w:right="512"/>
        <w:jc w:val="left"/>
      </w:pPr>
      <w:r>
        <w:rPr/>
        <w:t>向全体股东每</w:t>
      </w:r>
      <w:r>
        <w:rPr>
          <w:spacing w:val="-61"/>
        </w:rPr>
        <w:t> </w:t>
      </w:r>
      <w:r>
        <w:rPr>
          <w:rFonts w:ascii="Times New Roman" w:hAnsi="Times New Roman" w:cs="Times New Roman" w:eastAsia="Times New Roman" w:hint="default"/>
        </w:rPr>
        <w:t>10 </w:t>
      </w:r>
      <w:r>
        <w:rPr/>
        <w:t>股派发人民币现金红利</w:t>
      </w:r>
      <w:r>
        <w:rPr>
          <w:spacing w:val="-60"/>
        </w:rPr>
        <w:t> </w:t>
      </w:r>
      <w:r>
        <w:rPr>
          <w:rFonts w:ascii="Times New Roman" w:hAnsi="Times New Roman" w:cs="Times New Roman" w:eastAsia="Times New Roman" w:hint="default"/>
        </w:rPr>
        <w:t>0.6 </w:t>
      </w:r>
      <w:r>
        <w:rPr/>
        <w:t>元（含税</w:t>
      </w:r>
      <w:r>
        <w:rPr>
          <w:spacing w:val="-120"/>
        </w:rPr>
        <w:t>）</w:t>
      </w:r>
      <w:r>
        <w:rPr/>
        <w:t>。</w:t>
      </w:r>
    </w:p>
    <w:p>
      <w:pPr>
        <w:pStyle w:val="BodyText"/>
        <w:spacing w:line="338" w:lineRule="auto" w:before="135"/>
        <w:ind w:left="433" w:right="148" w:firstLine="48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年利润分配方案：以截止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195,821,670</w:t>
      </w:r>
      <w:r>
        <w:rPr>
          <w:spacing w:val="-2"/>
        </w:rPr>
        <w:t>股为基数，向全</w:t>
      </w:r>
      <w:r>
        <w:rPr/>
        <w:t> </w:t>
      </w:r>
      <w:r>
        <w:rPr>
          <w:spacing w:val="-5"/>
        </w:rPr>
        <w:t>体股东每</w:t>
      </w:r>
      <w:r>
        <w:rPr>
          <w:rFonts w:ascii="Times New Roman" w:hAnsi="Times New Roman" w:cs="Times New Roman" w:eastAsia="Times New Roman" w:hint="default"/>
          <w:spacing w:val="-5"/>
        </w:rPr>
        <w:t>10</w:t>
      </w:r>
      <w:r>
        <w:rPr>
          <w:spacing w:val="-5"/>
        </w:rPr>
        <w:t>股派发人民币现金红利</w:t>
      </w:r>
      <w:r>
        <w:rPr>
          <w:rFonts w:ascii="Times New Roman" w:hAnsi="Times New Roman" w:cs="Times New Roman" w:eastAsia="Times New Roman" w:hint="default"/>
          <w:spacing w:val="-5"/>
        </w:rPr>
        <w:t>1</w:t>
      </w:r>
      <w:r>
        <w:rPr>
          <w:spacing w:val="-5"/>
        </w:rPr>
        <w:t>元（含税），共计派发现金</w:t>
      </w:r>
      <w:r>
        <w:rPr>
          <w:rFonts w:ascii="Times New Roman" w:hAnsi="Times New Roman" w:cs="Times New Roman" w:eastAsia="Times New Roman" w:hint="default"/>
          <w:spacing w:val="-5"/>
        </w:rPr>
        <w:t>19,582,167</w:t>
      </w:r>
      <w:r>
        <w:rPr>
          <w:spacing w:val="-5"/>
        </w:rPr>
        <w:t>元，同时，以资本公</w:t>
      </w:r>
      <w:r>
        <w:rPr>
          <w:spacing w:val="-83"/>
        </w:rPr>
        <w:t> </w:t>
      </w:r>
      <w:r>
        <w:rPr>
          <w:spacing w:val="-83"/>
        </w:rPr>
      </w:r>
      <w:r>
        <w:rPr/>
        <w:t>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26"/>
        <w:ind w:left="913" w:right="512"/>
        <w:jc w:val="left"/>
      </w:pPr>
      <w:r>
        <w:rPr/>
        <w:t>公司近三年（包括本报告期）普通股现金分红情况表</w:t>
      </w:r>
    </w:p>
    <w:p>
      <w:pPr>
        <w:pStyle w:val="BodyText"/>
        <w:spacing w:line="240" w:lineRule="auto" w:before="154"/>
        <w:ind w:left="0" w:right="151"/>
        <w:jc w:val="right"/>
      </w:pPr>
      <w:r>
        <w:rPr/>
        <w:t>单位：元</w:t>
      </w:r>
    </w:p>
    <w:p>
      <w:pPr>
        <w:spacing w:line="240" w:lineRule="auto" w:before="10"/>
        <w:rPr>
          <w:rFonts w:ascii="宋体" w:hAnsi="宋体" w:cs="宋体" w:eastAsia="宋体" w:hint="default"/>
          <w:sz w:val="8"/>
          <w:szCs w:val="8"/>
        </w:rPr>
      </w:pPr>
    </w:p>
    <w:tbl>
      <w:tblPr>
        <w:tblW w:w="0" w:type="auto"/>
        <w:jc w:val="left"/>
        <w:tblInd w:w="42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25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5" w:right="53"/>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5" w:right="55"/>
              <w:jc w:val="center"/>
              <w:rPr>
                <w:rFonts w:ascii="宋体" w:hAnsi="宋体" w:cs="宋体" w:eastAsia="宋体" w:hint="default"/>
                <w:sz w:val="21"/>
                <w:szCs w:val="21"/>
              </w:rPr>
            </w:pPr>
            <w:r>
              <w:rPr>
                <w:rFonts w:ascii="宋体" w:hAnsi="宋体" w:cs="宋体" w:eastAsia="宋体" w:hint="default"/>
                <w:spacing w:val="-1"/>
                <w:sz w:val="21"/>
                <w:szCs w:val="21"/>
              </w:rPr>
              <w:t>占合并报表中归</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属于上市公司普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通股股东的净利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6" w:right="53" w:hanging="212"/>
              <w:jc w:val="left"/>
              <w:rPr>
                <w:rFonts w:ascii="宋体" w:hAnsi="宋体" w:cs="宋体" w:eastAsia="宋体" w:hint="default"/>
                <w:sz w:val="21"/>
                <w:szCs w:val="21"/>
              </w:rPr>
            </w:pPr>
            <w:r>
              <w:rPr>
                <w:rFonts w:ascii="宋体" w:hAnsi="宋体" w:cs="宋体" w:eastAsia="宋体" w:hint="default"/>
                <w:sz w:val="21"/>
                <w:szCs w:val="21"/>
              </w:rPr>
              <w:t>以其他方式现金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6" w:right="53" w:hanging="212"/>
              <w:jc w:val="left"/>
              <w:rPr>
                <w:rFonts w:ascii="宋体" w:hAnsi="宋体" w:cs="宋体" w:eastAsia="宋体" w:hint="default"/>
                <w:sz w:val="21"/>
                <w:szCs w:val="21"/>
              </w:rPr>
            </w:pPr>
            <w:r>
              <w:rPr>
                <w:rFonts w:ascii="宋体" w:hAnsi="宋体" w:cs="宋体" w:eastAsia="宋体" w:hint="default"/>
                <w:sz w:val="21"/>
                <w:szCs w:val="21"/>
              </w:rPr>
              <w:t>以其他方式现金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分红的比例</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39,559,288.30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196,266,033.25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26,974,738.02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127,450,223.24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0.00%</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19,582,167.00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58,778,892.50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33.31%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Times New Roman" w:hAnsi="Times New Roman" w:cs="Times New Roman" w:eastAsia="Times New Roman" w:hint="default"/>
                <w:sz w:val="21"/>
                <w:szCs w:val="21"/>
              </w:rPr>
            </w:pPr>
            <w:r>
              <w:rPr>
                <w:rFonts w:ascii="Times New Roman"/>
                <w:sz w:val="21"/>
              </w:rPr>
              <w:t>0.00%</w:t>
            </w:r>
          </w:p>
        </w:tc>
      </w:tr>
    </w:tbl>
    <w:p>
      <w:pPr>
        <w:pStyle w:val="BodyText"/>
        <w:spacing w:line="357" w:lineRule="auto" w:before="39"/>
        <w:ind w:left="433" w:right="173" w:firstLine="480"/>
        <w:jc w:val="left"/>
      </w:pPr>
      <w:r>
        <w:rPr/>
        <w:t>公司报告期内盈利且母公司可供普通股股东分配利润为正但未提出普通股现金红利分配 预案</w:t>
      </w:r>
    </w:p>
    <w:p>
      <w:pPr>
        <w:spacing w:line="499" w:lineRule="auto" w:before="36"/>
        <w:ind w:left="433" w:right="7364"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二、承诺事项履行情况</w:t>
      </w:r>
      <w:r>
        <w:rPr>
          <w:rFonts w:ascii="宋体" w:hAnsi="宋体" w:cs="宋体" w:eastAsia="宋体" w:hint="default"/>
          <w:sz w:val="24"/>
          <w:szCs w:val="24"/>
        </w:rPr>
      </w:r>
    </w:p>
    <w:p>
      <w:pPr>
        <w:pStyle w:val="Heading2"/>
        <w:spacing w:line="338" w:lineRule="auto" w:before="115"/>
        <w:ind w:left="433" w:right="512" w:firstLine="480"/>
        <w:jc w:val="left"/>
        <w:rPr>
          <w:b w:val="0"/>
          <w:bCs w:val="0"/>
        </w:rPr>
      </w:pPr>
      <w:r>
        <w:rPr>
          <w:rFonts w:ascii="Times New Roman" w:hAnsi="Times New Roman" w:cs="Times New Roman" w:eastAsia="Times New Roman" w:hint="default"/>
          <w:spacing w:val="-3"/>
        </w:rPr>
        <w:t>1</w:t>
      </w:r>
      <w:r>
        <w:rPr>
          <w:spacing w:val="-3"/>
        </w:rPr>
        <w:t>、公司实际控制人、股东、关联方、收购人以及公司等承诺相关方在报告期内履行完毕</w:t>
      </w:r>
      <w:r>
        <w:rPr>
          <w:w w:val="99"/>
        </w:rPr>
        <w:t> </w:t>
      </w:r>
      <w:r>
        <w:rPr/>
        <w:t>及截至报告期末尚未履行完毕的承诺事项</w:t>
      </w:r>
      <w:r>
        <w:rPr>
          <w:b w:val="0"/>
          <w:bCs w:val="0"/>
        </w:rPr>
      </w:r>
    </w:p>
    <w:p>
      <w:pPr>
        <w:spacing w:line="240" w:lineRule="auto" w:before="3"/>
        <w:rPr>
          <w:rFonts w:ascii="宋体" w:hAnsi="宋体" w:cs="宋体" w:eastAsia="宋体" w:hint="default"/>
          <w:b/>
          <w:bCs/>
          <w:sz w:val="24"/>
          <w:szCs w:val="24"/>
        </w:rPr>
      </w:pPr>
    </w:p>
    <w:tbl>
      <w:tblPr>
        <w:tblW w:w="0" w:type="auto"/>
        <w:jc w:val="left"/>
        <w:tblInd w:w="111" w:type="dxa"/>
        <w:tblLayout w:type="fixed"/>
        <w:tblCellMar>
          <w:top w:w="0" w:type="dxa"/>
          <w:left w:w="0" w:type="dxa"/>
          <w:bottom w:w="0" w:type="dxa"/>
          <w:right w:w="0" w:type="dxa"/>
        </w:tblCellMar>
        <w:tblLook w:val="01E0"/>
      </w:tblPr>
      <w:tblGrid>
        <w:gridCol w:w="1740"/>
        <w:gridCol w:w="1162"/>
        <w:gridCol w:w="864"/>
        <w:gridCol w:w="3632"/>
        <w:gridCol w:w="919"/>
        <w:gridCol w:w="852"/>
        <w:gridCol w:w="821"/>
      </w:tblGrid>
      <w:tr>
        <w:trPr>
          <w:trHeight w:val="634"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439"/>
              <w:jc w:val="right"/>
              <w:rPr>
                <w:rFonts w:ascii="宋体" w:hAnsi="宋体" w:cs="宋体" w:eastAsia="宋体" w:hint="default"/>
                <w:sz w:val="21"/>
                <w:szCs w:val="21"/>
              </w:rPr>
            </w:pPr>
            <w:r>
              <w:rPr>
                <w:rFonts w:ascii="宋体" w:hAnsi="宋体" w:cs="宋体" w:eastAsia="宋体" w:hint="default"/>
                <w:b/>
                <w:bCs/>
                <w:sz w:val="21"/>
                <w:szCs w:val="21"/>
              </w:rPr>
              <w:t>承诺事项</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56" w:right="0"/>
              <w:jc w:val="left"/>
              <w:rPr>
                <w:rFonts w:ascii="宋体" w:hAnsi="宋体" w:cs="宋体" w:eastAsia="宋体" w:hint="default"/>
                <w:sz w:val="21"/>
                <w:szCs w:val="21"/>
              </w:rPr>
            </w:pPr>
            <w:r>
              <w:rPr>
                <w:rFonts w:ascii="宋体" w:hAnsi="宋体" w:cs="宋体" w:eastAsia="宋体" w:hint="default"/>
                <w:b/>
                <w:bCs/>
                <w:sz w:val="21"/>
                <w:szCs w:val="21"/>
              </w:rPr>
              <w:t>承诺方</w:t>
            </w:r>
            <w:r>
              <w:rPr>
                <w:rFonts w:ascii="宋体" w:hAnsi="宋体" w:cs="宋体" w:eastAsia="宋体" w:hint="default"/>
                <w:sz w:val="21"/>
                <w:szCs w:val="21"/>
              </w:rPr>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15" w:right="215"/>
              <w:jc w:val="left"/>
              <w:rPr>
                <w:rFonts w:ascii="宋体" w:hAnsi="宋体" w:cs="宋体" w:eastAsia="宋体" w:hint="default"/>
                <w:sz w:val="21"/>
                <w:szCs w:val="21"/>
              </w:rPr>
            </w:pPr>
            <w:r>
              <w:rPr>
                <w:rFonts w:ascii="宋体" w:hAnsi="宋体" w:cs="宋体" w:eastAsia="宋体" w:hint="default"/>
                <w:b/>
                <w:bCs/>
                <w:sz w:val="21"/>
                <w:szCs w:val="21"/>
              </w:rPr>
              <w:t>承诺</w:t>
            </w:r>
            <w:r>
              <w:rPr>
                <w:rFonts w:ascii="宋体" w:hAnsi="宋体" w:cs="宋体" w:eastAsia="宋体" w:hint="default"/>
                <w:b/>
                <w:bCs/>
                <w:w w:val="100"/>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b/>
                <w:bCs/>
                <w:sz w:val="21"/>
                <w:szCs w:val="21"/>
              </w:rPr>
              <w:t>承诺内容</w:t>
            </w:r>
            <w:r>
              <w:rPr>
                <w:rFonts w:ascii="宋体" w:hAnsi="宋体" w:cs="宋体" w:eastAsia="宋体" w:hint="default"/>
                <w:sz w:val="21"/>
                <w:szCs w:val="21"/>
              </w:rPr>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3" w:right="0"/>
              <w:jc w:val="left"/>
              <w:rPr>
                <w:rFonts w:ascii="宋体" w:hAnsi="宋体" w:cs="宋体" w:eastAsia="宋体" w:hint="default"/>
                <w:sz w:val="21"/>
                <w:szCs w:val="21"/>
              </w:rPr>
            </w:pPr>
            <w:r>
              <w:rPr>
                <w:rFonts w:ascii="宋体" w:hAnsi="宋体" w:cs="宋体" w:eastAsia="宋体" w:hint="default"/>
                <w:b/>
                <w:bCs/>
                <w:sz w:val="21"/>
                <w:szCs w:val="21"/>
              </w:rPr>
              <w:t>承诺时间</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16" w:right="101" w:hanging="212"/>
              <w:jc w:val="left"/>
              <w:rPr>
                <w:rFonts w:ascii="宋体" w:hAnsi="宋体" w:cs="宋体" w:eastAsia="宋体" w:hint="default"/>
                <w:sz w:val="21"/>
                <w:szCs w:val="21"/>
              </w:rPr>
            </w:pPr>
            <w:r>
              <w:rPr>
                <w:rFonts w:ascii="宋体" w:hAnsi="宋体" w:cs="宋体" w:eastAsia="宋体" w:hint="default"/>
                <w:b/>
                <w:bCs/>
                <w:sz w:val="21"/>
                <w:szCs w:val="21"/>
              </w:rPr>
              <w:t>承诺期</w:t>
            </w:r>
            <w:r>
              <w:rPr>
                <w:rFonts w:ascii="宋体" w:hAnsi="宋体" w:cs="宋体" w:eastAsia="宋体" w:hint="default"/>
                <w:b/>
                <w:bCs/>
                <w:w w:val="100"/>
                <w:sz w:val="21"/>
                <w:szCs w:val="21"/>
              </w:rPr>
              <w:t> </w:t>
            </w:r>
            <w:r>
              <w:rPr>
                <w:rFonts w:ascii="宋体" w:hAnsi="宋体" w:cs="宋体" w:eastAsia="宋体" w:hint="default"/>
                <w:b/>
                <w:bCs/>
                <w:sz w:val="21"/>
                <w:szCs w:val="21"/>
              </w:rPr>
              <w:t>限</w:t>
            </w:r>
            <w:r>
              <w:rPr>
                <w:rFonts w:ascii="宋体" w:hAnsi="宋体" w:cs="宋体" w:eastAsia="宋体" w:hint="default"/>
                <w:sz w:val="21"/>
                <w:szCs w:val="21"/>
              </w:rPr>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00" w:right="86" w:hanging="212"/>
              <w:jc w:val="left"/>
              <w:rPr>
                <w:rFonts w:ascii="宋体" w:hAnsi="宋体" w:cs="宋体" w:eastAsia="宋体" w:hint="default"/>
                <w:sz w:val="21"/>
                <w:szCs w:val="21"/>
              </w:rPr>
            </w:pPr>
            <w:r>
              <w:rPr>
                <w:rFonts w:ascii="宋体" w:hAnsi="宋体" w:cs="宋体" w:eastAsia="宋体" w:hint="default"/>
                <w:b/>
                <w:bCs/>
                <w:sz w:val="21"/>
                <w:szCs w:val="21"/>
              </w:rPr>
              <w:t>履行情</w:t>
            </w:r>
            <w:r>
              <w:rPr>
                <w:rFonts w:ascii="宋体" w:hAnsi="宋体" w:cs="宋体" w:eastAsia="宋体" w:hint="default"/>
                <w:b/>
                <w:bCs/>
                <w:w w:val="100"/>
                <w:sz w:val="21"/>
                <w:szCs w:val="21"/>
              </w:rPr>
              <w:t> </w:t>
            </w:r>
            <w:r>
              <w:rPr>
                <w:rFonts w:ascii="宋体" w:hAnsi="宋体" w:cs="宋体" w:eastAsia="宋体" w:hint="default"/>
                <w:b/>
                <w:bCs/>
                <w:sz w:val="21"/>
                <w:szCs w:val="21"/>
              </w:rPr>
              <w:t>况</w:t>
            </w:r>
            <w:r>
              <w:rPr>
                <w:rFonts w:ascii="宋体" w:hAnsi="宋体" w:cs="宋体" w:eastAsia="宋体" w:hint="default"/>
                <w:sz w:val="21"/>
                <w:szCs w:val="21"/>
              </w:rPr>
            </w:r>
          </w:p>
        </w:tc>
      </w:tr>
      <w:tr>
        <w:trPr>
          <w:trHeight w:val="1884" w:hRule="exact"/>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437"/>
              <w:jc w:val="right"/>
              <w:rPr>
                <w:rFonts w:ascii="宋体" w:hAnsi="宋体" w:cs="宋体" w:eastAsia="宋体" w:hint="default"/>
                <w:sz w:val="21"/>
                <w:szCs w:val="21"/>
              </w:rPr>
            </w:pPr>
            <w:r>
              <w:rPr>
                <w:rFonts w:ascii="宋体" w:hAnsi="宋体" w:cs="宋体" w:eastAsia="宋体" w:hint="default"/>
                <w:spacing w:val="-1"/>
                <w:sz w:val="21"/>
                <w:szCs w:val="21"/>
              </w:rPr>
              <w:t>股权激励承诺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73" w:lineRule="auto"/>
              <w:ind w:left="21" w:right="194" w:firstLine="2"/>
              <w:jc w:val="left"/>
              <w:rPr>
                <w:rFonts w:ascii="宋体" w:hAnsi="宋体" w:cs="宋体" w:eastAsia="宋体" w:hint="default"/>
                <w:sz w:val="21"/>
                <w:szCs w:val="21"/>
              </w:rPr>
            </w:pPr>
            <w:r>
              <w:rPr>
                <w:rFonts w:ascii="宋体" w:hAnsi="宋体" w:cs="宋体" w:eastAsia="宋体" w:hint="default"/>
                <w:sz w:val="21"/>
                <w:szCs w:val="21"/>
              </w:rPr>
              <w:t>其他承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1" w:right="24" w:firstLine="360"/>
              <w:jc w:val="left"/>
              <w:rPr>
                <w:rFonts w:ascii="宋体" w:hAnsi="宋体" w:cs="宋体" w:eastAsia="宋体" w:hint="default"/>
                <w:sz w:val="21"/>
                <w:szCs w:val="21"/>
              </w:rPr>
            </w:pPr>
            <w:r>
              <w:rPr>
                <w:rFonts w:ascii="宋体" w:hAnsi="宋体" w:cs="宋体" w:eastAsia="宋体" w:hint="default"/>
                <w:sz w:val="21"/>
                <w:szCs w:val="21"/>
              </w:rPr>
              <w:t>持股</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以上的主要股东或实际控</w:t>
            </w:r>
            <w:r>
              <w:rPr>
                <w:rFonts w:ascii="宋体" w:hAnsi="宋体" w:cs="宋体" w:eastAsia="宋体" w:hint="default"/>
                <w:w w:val="100"/>
                <w:sz w:val="21"/>
                <w:szCs w:val="21"/>
              </w:rPr>
              <w:t> </w:t>
            </w:r>
            <w:r>
              <w:rPr>
                <w:rFonts w:ascii="宋体" w:hAnsi="宋体" w:cs="宋体" w:eastAsia="宋体" w:hint="default"/>
                <w:spacing w:val="-2"/>
                <w:sz w:val="21"/>
                <w:szCs w:val="21"/>
              </w:rPr>
              <w:t>制人及其配偶、直系近亲属未参与本激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励计划。</w:t>
            </w:r>
          </w:p>
          <w:p>
            <w:pPr>
              <w:pStyle w:val="TableParagraph"/>
              <w:spacing w:line="273" w:lineRule="auto" w:before="16"/>
              <w:ind w:left="21" w:right="24" w:firstLine="360"/>
              <w:jc w:val="both"/>
              <w:rPr>
                <w:rFonts w:ascii="宋体" w:hAnsi="宋体" w:cs="宋体" w:eastAsia="宋体" w:hint="default"/>
                <w:sz w:val="21"/>
                <w:szCs w:val="21"/>
              </w:rPr>
            </w:pPr>
            <w:r>
              <w:rPr>
                <w:rFonts w:ascii="宋体" w:hAnsi="宋体" w:cs="宋体" w:eastAsia="宋体" w:hint="default"/>
                <w:sz w:val="21"/>
                <w:szCs w:val="21"/>
              </w:rPr>
              <w:t>不为激励对象依限制性股票激励计</w:t>
            </w:r>
            <w:r>
              <w:rPr>
                <w:rFonts w:ascii="宋体" w:hAnsi="宋体" w:cs="宋体" w:eastAsia="宋体" w:hint="default"/>
                <w:w w:val="100"/>
                <w:sz w:val="21"/>
                <w:szCs w:val="21"/>
              </w:rPr>
              <w:t> </w:t>
            </w:r>
            <w:r>
              <w:rPr>
                <w:rFonts w:ascii="宋体" w:hAnsi="宋体" w:cs="宋体" w:eastAsia="宋体" w:hint="default"/>
                <w:spacing w:val="-2"/>
                <w:sz w:val="21"/>
                <w:szCs w:val="21"/>
              </w:rPr>
              <w:t>划获取有关权益提供贷款以及其他任何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形式的财务资助，包括为其贷款提供担</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70"/>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40" w:lineRule="auto" w:before="21"/>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18</w:t>
            </w:r>
            <w:r>
              <w:rPr>
                <w:rFonts w:ascii="Times New Roman" w:hAnsi="Times New Roman" w:cs="Times New Roman" w:eastAsia="Times New Roman" w:hint="default"/>
                <w:sz w:val="21"/>
                <w:szCs w:val="21"/>
              </w:rPr>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3"/>
              <w:jc w:val="both"/>
              <w:rPr>
                <w:rFonts w:ascii="宋体" w:hAnsi="宋体" w:cs="宋体" w:eastAsia="宋体" w:hint="default"/>
                <w:sz w:val="21"/>
                <w:szCs w:val="21"/>
              </w:rPr>
            </w:pPr>
            <w:r>
              <w:rPr>
                <w:rFonts w:ascii="宋体" w:hAnsi="宋体" w:cs="宋体" w:eastAsia="宋体" w:hint="default"/>
                <w:sz w:val="21"/>
                <w:szCs w:val="21"/>
              </w:rPr>
              <w:t>至本次</w:t>
            </w:r>
            <w:r>
              <w:rPr>
                <w:rFonts w:ascii="宋体" w:hAnsi="宋体" w:cs="宋体" w:eastAsia="宋体" w:hint="default"/>
                <w:spacing w:val="-102"/>
                <w:sz w:val="21"/>
                <w:szCs w:val="21"/>
              </w:rPr>
              <w:t> </w:t>
            </w:r>
            <w:r>
              <w:rPr>
                <w:rFonts w:ascii="宋体" w:hAnsi="宋体" w:cs="宋体" w:eastAsia="宋体" w:hint="default"/>
                <w:sz w:val="21"/>
                <w:szCs w:val="21"/>
              </w:rPr>
              <w:t>股权激</w:t>
            </w:r>
            <w:r>
              <w:rPr>
                <w:rFonts w:ascii="宋体" w:hAnsi="宋体" w:cs="宋体" w:eastAsia="宋体" w:hint="default"/>
                <w:spacing w:val="-102"/>
                <w:sz w:val="21"/>
                <w:szCs w:val="21"/>
              </w:rPr>
              <w:t> </w:t>
            </w:r>
            <w:r>
              <w:rPr>
                <w:rFonts w:ascii="宋体" w:hAnsi="宋体" w:cs="宋体" w:eastAsia="宋体" w:hint="default"/>
                <w:sz w:val="21"/>
                <w:szCs w:val="21"/>
              </w:rPr>
              <w:t>励计划</w:t>
            </w:r>
            <w:r>
              <w:rPr>
                <w:rFonts w:ascii="宋体" w:hAnsi="宋体" w:cs="宋体" w:eastAsia="宋体" w:hint="default"/>
                <w:spacing w:val="-102"/>
                <w:sz w:val="21"/>
                <w:szCs w:val="21"/>
              </w:rPr>
              <w:t> </w:t>
            </w:r>
            <w:r>
              <w:rPr>
                <w:rFonts w:ascii="宋体" w:hAnsi="宋体" w:cs="宋体" w:eastAsia="宋体" w:hint="default"/>
                <w:sz w:val="21"/>
                <w:szCs w:val="21"/>
              </w:rPr>
              <w:t>终止或</w:t>
            </w:r>
            <w:r>
              <w:rPr>
                <w:rFonts w:ascii="宋体" w:hAnsi="宋体" w:cs="宋体" w:eastAsia="宋体" w:hint="default"/>
                <w:spacing w:val="-102"/>
                <w:sz w:val="21"/>
                <w:szCs w:val="21"/>
              </w:rPr>
              <w:t> </w:t>
            </w:r>
            <w:r>
              <w:rPr>
                <w:rFonts w:ascii="宋体" w:hAnsi="宋体" w:cs="宋体" w:eastAsia="宋体" w:hint="default"/>
                <w:sz w:val="21"/>
                <w:szCs w:val="21"/>
              </w:rPr>
              <w:t>有效期</w:t>
            </w:r>
            <w:r>
              <w:rPr>
                <w:rFonts w:ascii="宋体" w:hAnsi="宋体" w:cs="宋体" w:eastAsia="宋体" w:hint="default"/>
                <w:spacing w:val="-102"/>
                <w:sz w:val="21"/>
                <w:szCs w:val="21"/>
              </w:rPr>
              <w:t> </w:t>
            </w:r>
            <w:r>
              <w:rPr>
                <w:rFonts w:ascii="宋体" w:hAnsi="宋体" w:cs="宋体" w:eastAsia="宋体" w:hint="default"/>
                <w:sz w:val="21"/>
                <w:szCs w:val="21"/>
              </w:rPr>
              <w:t>结束。</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73" w:lineRule="auto"/>
              <w:ind w:left="24" w:right="151"/>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bl>
    <w:p>
      <w:pPr>
        <w:spacing w:after="0" w:line="273" w:lineRule="auto"/>
        <w:jc w:val="both"/>
        <w:rPr>
          <w:rFonts w:ascii="宋体" w:hAnsi="宋体" w:cs="宋体" w:eastAsia="宋体" w:hint="default"/>
          <w:sz w:val="21"/>
          <w:szCs w:val="21"/>
        </w:rPr>
        <w:sectPr>
          <w:pgSz w:w="11910" w:h="16840"/>
          <w:pgMar w:header="877" w:footer="980" w:top="1100" w:bottom="1160" w:left="700" w:right="980"/>
        </w:sectPr>
      </w:pPr>
    </w:p>
    <w:p>
      <w:pPr>
        <w:spacing w:line="240" w:lineRule="auto" w:before="0"/>
        <w:rPr>
          <w:rFonts w:ascii="宋体" w:hAnsi="宋体" w:cs="宋体" w:eastAsia="宋体" w:hint="default"/>
          <w:b/>
          <w:bCs/>
          <w:sz w:val="20"/>
          <w:szCs w:val="20"/>
        </w:rPr>
      </w:pPr>
      <w:r>
        <w:rPr/>
        <w:pict>
          <v:shape style="position:absolute;margin-left:40.560001pt;margin-top:71.999985pt;width:500.3pt;height:689.0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0"/>
                    <w:gridCol w:w="1162"/>
                    <w:gridCol w:w="864"/>
                    <w:gridCol w:w="3632"/>
                    <w:gridCol w:w="919"/>
                    <w:gridCol w:w="852"/>
                    <w:gridCol w:w="821"/>
                  </w:tblGrid>
                  <w:tr>
                    <w:trPr>
                      <w:trHeight w:val="322" w:hRule="exact"/>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保。</w:t>
                        </w: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1" w:right="24"/>
                          <w:jc w:val="both"/>
                          <w:rPr>
                            <w:rFonts w:ascii="宋体" w:hAnsi="宋体" w:cs="宋体" w:eastAsia="宋体" w:hint="default"/>
                            <w:sz w:val="21"/>
                            <w:szCs w:val="21"/>
                          </w:rPr>
                        </w:pPr>
                        <w:r>
                          <w:rPr>
                            <w:rFonts w:ascii="宋体" w:hAnsi="宋体" w:cs="宋体" w:eastAsia="宋体" w:hint="default"/>
                            <w:sz w:val="21"/>
                            <w:szCs w:val="21"/>
                          </w:rPr>
                          <w:t>收购报告书或权益</w:t>
                        </w:r>
                        <w:r>
                          <w:rPr>
                            <w:rFonts w:ascii="宋体" w:hAnsi="宋体" w:cs="宋体" w:eastAsia="宋体" w:hint="default"/>
                            <w:w w:val="100"/>
                            <w:sz w:val="21"/>
                            <w:szCs w:val="21"/>
                          </w:rPr>
                          <w:t> </w:t>
                        </w:r>
                        <w:r>
                          <w:rPr>
                            <w:rFonts w:ascii="宋体" w:hAnsi="宋体" w:cs="宋体" w:eastAsia="宋体" w:hint="default"/>
                            <w:sz w:val="21"/>
                            <w:szCs w:val="21"/>
                          </w:rPr>
                          <w:t>变动报告书中所作</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1162"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9995" w:hRule="exact"/>
                    </w:trPr>
                    <w:tc>
                      <w:tcPr>
                        <w:tcW w:w="174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0"/>
                          <w:ind w:left="21" w:right="24"/>
                          <w:jc w:val="left"/>
                          <w:rPr>
                            <w:rFonts w:ascii="宋体" w:hAnsi="宋体" w:cs="宋体" w:eastAsia="宋体" w:hint="default"/>
                            <w:sz w:val="21"/>
                            <w:szCs w:val="21"/>
                          </w:rPr>
                        </w:pPr>
                        <w:r>
                          <w:rPr>
                            <w:rFonts w:ascii="宋体" w:hAnsi="宋体" w:cs="宋体" w:eastAsia="宋体" w:hint="default"/>
                            <w:sz w:val="21"/>
                            <w:szCs w:val="21"/>
                          </w:rPr>
                          <w:t>资产重组时所作承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116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73" w:lineRule="auto"/>
                          <w:ind w:left="21" w:right="65" w:firstLine="2"/>
                          <w:jc w:val="both"/>
                          <w:rPr>
                            <w:rFonts w:ascii="宋体" w:hAnsi="宋体" w:cs="宋体" w:eastAsia="宋体" w:hint="default"/>
                            <w:sz w:val="21"/>
                            <w:szCs w:val="21"/>
                          </w:rPr>
                        </w:pPr>
                        <w:r>
                          <w:rPr>
                            <w:rFonts w:ascii="宋体" w:hAnsi="宋体" w:cs="宋体" w:eastAsia="宋体" w:hint="default"/>
                            <w:sz w:val="21"/>
                            <w:szCs w:val="21"/>
                          </w:rPr>
                          <w:t>孙在宏、吴</w:t>
                        </w:r>
                        <w:r>
                          <w:rPr>
                            <w:rFonts w:ascii="宋体" w:hAnsi="宋体" w:cs="宋体" w:eastAsia="宋体" w:hint="default"/>
                            <w:w w:val="100"/>
                            <w:sz w:val="21"/>
                            <w:szCs w:val="21"/>
                          </w:rPr>
                          <w:t> </w:t>
                        </w:r>
                        <w:r>
                          <w:rPr>
                            <w:rFonts w:ascii="宋体" w:hAnsi="宋体" w:cs="宋体" w:eastAsia="宋体" w:hint="default"/>
                            <w:spacing w:val="-11"/>
                            <w:sz w:val="21"/>
                            <w:szCs w:val="21"/>
                          </w:rPr>
                          <w:t>长彬、蒋斌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张伟良、刘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新平、王履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华、王亚华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胡永珍、吉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波</w:t>
                        </w:r>
                      </w:p>
                    </w:tc>
                    <w:tc>
                      <w:tcPr>
                        <w:tcW w:w="86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73" w:lineRule="auto"/>
                          <w:ind w:left="16" w:right="194"/>
                          <w:jc w:val="left"/>
                          <w:rPr>
                            <w:rFonts w:ascii="宋体" w:hAnsi="宋体" w:cs="宋体" w:eastAsia="宋体" w:hint="default"/>
                            <w:sz w:val="21"/>
                            <w:szCs w:val="21"/>
                          </w:rPr>
                        </w:pPr>
                        <w:r>
                          <w:rPr>
                            <w:rFonts w:ascii="宋体" w:hAnsi="宋体" w:cs="宋体" w:eastAsia="宋体" w:hint="default"/>
                            <w:sz w:val="21"/>
                            <w:szCs w:val="21"/>
                          </w:rPr>
                          <w:t>股份锁</w:t>
                        </w:r>
                        <w:r>
                          <w:rPr>
                            <w:rFonts w:ascii="宋体" w:hAnsi="宋体" w:cs="宋体" w:eastAsia="宋体" w:hint="default"/>
                            <w:spacing w:val="-102"/>
                            <w:sz w:val="21"/>
                            <w:szCs w:val="21"/>
                          </w:rPr>
                          <w:t> </w:t>
                        </w:r>
                        <w:r>
                          <w:rPr>
                            <w:rFonts w:ascii="宋体" w:hAnsi="宋体" w:cs="宋体" w:eastAsia="宋体" w:hint="default"/>
                            <w:sz w:val="21"/>
                            <w:szCs w:val="21"/>
                          </w:rPr>
                          <w:t>定承诺</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3" w:right="2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日，南京国图经南</w:t>
                        </w:r>
                        <w:r>
                          <w:rPr>
                            <w:rFonts w:ascii="宋体" w:hAnsi="宋体" w:cs="宋体" w:eastAsia="宋体" w:hint="default"/>
                            <w:w w:val="100"/>
                            <w:sz w:val="21"/>
                            <w:szCs w:val="21"/>
                          </w:rPr>
                          <w:t> </w:t>
                        </w:r>
                        <w:r>
                          <w:rPr>
                            <w:rFonts w:ascii="宋体" w:hAnsi="宋体" w:cs="宋体" w:eastAsia="宋体" w:hint="default"/>
                            <w:sz w:val="21"/>
                            <w:szCs w:val="21"/>
                          </w:rPr>
                          <w:t>京市工商行政管理局核准，南京国图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的股权已过户登记至超图软件名</w:t>
                        </w:r>
                        <w:r>
                          <w:rPr>
                            <w:rFonts w:ascii="宋体" w:hAnsi="宋体" w:cs="宋体" w:eastAsia="宋体" w:hint="default"/>
                            <w:w w:val="100"/>
                            <w:sz w:val="21"/>
                            <w:szCs w:val="21"/>
                          </w:rPr>
                          <w:t> </w:t>
                        </w:r>
                        <w:r>
                          <w:rPr>
                            <w:rFonts w:ascii="宋体" w:hAnsi="宋体" w:cs="宋体" w:eastAsia="宋体" w:hint="default"/>
                            <w:spacing w:val="-2"/>
                            <w:sz w:val="21"/>
                            <w:szCs w:val="21"/>
                          </w:rPr>
                          <w:t>下，在满足相关法律法规以及证券监督</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管理部门准许范围内，根据相关协议的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约定，超图软件本次向其发行的股份按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照如下方式进行锁定和解禁：</w:t>
                        </w:r>
                      </w:p>
                      <w:p>
                        <w:pPr>
                          <w:pStyle w:val="TableParagraph"/>
                          <w:spacing w:line="261" w:lineRule="auto" w:before="14"/>
                          <w:ind w:left="23" w:right="20" w:firstLine="420"/>
                          <w:jc w:val="both"/>
                          <w:rPr>
                            <w:rFonts w:ascii="宋体" w:hAnsi="宋体" w:cs="宋体" w:eastAsia="宋体" w:hint="default"/>
                            <w:sz w:val="21"/>
                            <w:szCs w:val="21"/>
                          </w:rPr>
                        </w:pPr>
                        <w:r>
                          <w:rPr>
                            <w:rFonts w:ascii="Times New Roman" w:hAnsi="Times New Roman" w:cs="Times New Roman" w:eastAsia="Times New Roman" w:hint="default"/>
                            <w:spacing w:val="-8"/>
                            <w:w w:val="100"/>
                            <w:sz w:val="21"/>
                            <w:szCs w:val="21"/>
                          </w:rPr>
                          <w:t>1</w:t>
                        </w:r>
                        <w:r>
                          <w:rPr>
                            <w:rFonts w:ascii="宋体" w:hAnsi="宋体" w:cs="宋体" w:eastAsia="宋体" w:hint="default"/>
                            <w:spacing w:val="-8"/>
                            <w:w w:val="100"/>
                            <w:sz w:val="21"/>
                            <w:szCs w:val="21"/>
                          </w:rPr>
                          <w:t>、自发行结束并完成股份登记之日</w:t>
                        </w:r>
                        <w:r>
                          <w:rPr>
                            <w:rFonts w:ascii="宋体" w:hAnsi="宋体" w:cs="宋体" w:eastAsia="宋体" w:hint="default"/>
                            <w:w w:val="100"/>
                            <w:sz w:val="21"/>
                            <w:szCs w:val="21"/>
                          </w:rPr>
                          <w:t> </w:t>
                        </w:r>
                        <w:r>
                          <w:rPr>
                            <w:rFonts w:ascii="宋体" w:hAnsi="宋体" w:cs="宋体" w:eastAsia="宋体" w:hint="default"/>
                            <w:sz w:val="21"/>
                            <w:szCs w:val="21"/>
                          </w:rPr>
                          <w:t>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个月内且南京国图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年度审计</w:t>
                        </w:r>
                        <w:r>
                          <w:rPr>
                            <w:rFonts w:ascii="宋体" w:hAnsi="宋体" w:cs="宋体" w:eastAsia="宋体" w:hint="default"/>
                            <w:w w:val="100"/>
                            <w:sz w:val="21"/>
                            <w:szCs w:val="21"/>
                          </w:rPr>
                          <w:t> </w:t>
                        </w:r>
                        <w:r>
                          <w:rPr>
                            <w:rFonts w:ascii="宋体" w:hAnsi="宋体" w:cs="宋体" w:eastAsia="宋体" w:hint="default"/>
                            <w:spacing w:val="-2"/>
                            <w:sz w:val="21"/>
                            <w:szCs w:val="21"/>
                          </w:rPr>
                          <w:t>报告出具日之前，本人所持股份不得转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让；</w:t>
                        </w:r>
                      </w:p>
                      <w:p>
                        <w:pPr>
                          <w:pStyle w:val="TableParagraph"/>
                          <w:spacing w:line="266" w:lineRule="auto" w:before="18"/>
                          <w:ind w:left="23" w:right="2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、南京国图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年度审计报告出</w:t>
                        </w:r>
                        <w:r>
                          <w:rPr>
                            <w:rFonts w:ascii="宋体" w:hAnsi="宋体" w:cs="宋体" w:eastAsia="宋体" w:hint="default"/>
                            <w:w w:val="100"/>
                            <w:sz w:val="21"/>
                            <w:szCs w:val="21"/>
                          </w:rPr>
                          <w:t> </w:t>
                        </w:r>
                        <w:r>
                          <w:rPr>
                            <w:rFonts w:ascii="宋体" w:hAnsi="宋体" w:cs="宋体" w:eastAsia="宋体" w:hint="default"/>
                            <w:spacing w:val="-2"/>
                            <w:sz w:val="21"/>
                            <w:szCs w:val="21"/>
                          </w:rPr>
                          <w:t>具且相应承诺利润已达成《盈利预测补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偿协议》之相关约定，当年不需要进行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业绩补偿的情况下，解禁本人所持股份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w:t>
                        </w:r>
                        <w:r>
                          <w:rPr>
                            <w:rFonts w:ascii="宋体" w:hAnsi="宋体" w:cs="宋体" w:eastAsia="宋体" w:hint="default"/>
                            <w:spacing w:val="-27"/>
                            <w:sz w:val="21"/>
                            <w:szCs w:val="21"/>
                          </w:rPr>
                          <w:t> </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，否则应在履行相应业绩补偿义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务并取得超图软件同意后该等股份方可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转让；</w:t>
                        </w:r>
                      </w:p>
                      <w:p>
                        <w:pPr>
                          <w:pStyle w:val="TableParagraph"/>
                          <w:spacing w:line="266" w:lineRule="auto" w:before="14"/>
                          <w:ind w:left="23" w:right="2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、南京国图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年度审计报告出</w:t>
                        </w:r>
                        <w:r>
                          <w:rPr>
                            <w:rFonts w:ascii="宋体" w:hAnsi="宋体" w:cs="宋体" w:eastAsia="宋体" w:hint="default"/>
                            <w:w w:val="100"/>
                            <w:sz w:val="21"/>
                            <w:szCs w:val="21"/>
                          </w:rPr>
                          <w:t> </w:t>
                        </w:r>
                        <w:r>
                          <w:rPr>
                            <w:rFonts w:ascii="宋体" w:hAnsi="宋体" w:cs="宋体" w:eastAsia="宋体" w:hint="default"/>
                            <w:spacing w:val="-2"/>
                            <w:sz w:val="21"/>
                            <w:szCs w:val="21"/>
                          </w:rPr>
                          <w:t>具且相应承诺利润已达成《盈利预测补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偿协议》之相关约定，当年不需要进行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业绩补偿的情况下，解禁本人所持股份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w:t>
                        </w:r>
                        <w:r>
                          <w:rPr>
                            <w:rFonts w:ascii="宋体" w:hAnsi="宋体" w:cs="宋体" w:eastAsia="宋体" w:hint="default"/>
                            <w:spacing w:val="-27"/>
                            <w:sz w:val="21"/>
                            <w:szCs w:val="21"/>
                          </w:rPr>
                          <w:t> </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，否则应在履行相应业绩补偿义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务并取得超图软件同意后该等股份方可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转让；</w:t>
                        </w:r>
                      </w:p>
                      <w:p>
                        <w:pPr>
                          <w:pStyle w:val="TableParagraph"/>
                          <w:spacing w:line="268" w:lineRule="auto" w:before="14"/>
                          <w:ind w:left="23" w:right="2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、南京国图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年度审计报告出</w:t>
                        </w:r>
                        <w:r>
                          <w:rPr>
                            <w:rFonts w:ascii="宋体" w:hAnsi="宋体" w:cs="宋体" w:eastAsia="宋体" w:hint="default"/>
                            <w:w w:val="100"/>
                            <w:sz w:val="21"/>
                            <w:szCs w:val="21"/>
                          </w:rPr>
                          <w:t> </w:t>
                        </w:r>
                        <w:r>
                          <w:rPr>
                            <w:rFonts w:ascii="宋体" w:hAnsi="宋体" w:cs="宋体" w:eastAsia="宋体" w:hint="default"/>
                            <w:spacing w:val="-2"/>
                            <w:sz w:val="21"/>
                            <w:szCs w:val="21"/>
                          </w:rPr>
                          <w:t>具且相应承诺利润已达成《盈利预测补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偿协议》之相关约定，当年不需要进行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业绩补偿的情况下，解禁本人所持股份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w:t>
                        </w:r>
                        <w:r>
                          <w:rPr>
                            <w:rFonts w:ascii="宋体" w:hAnsi="宋体" w:cs="宋体" w:eastAsia="宋体" w:hint="default"/>
                            <w:spacing w:val="-27"/>
                            <w:sz w:val="21"/>
                            <w:szCs w:val="21"/>
                          </w:rPr>
                          <w:t> </w:t>
                        </w:r>
                        <w:r>
                          <w:rPr>
                            <w:rFonts w:ascii="Times New Roman" w:hAnsi="Times New Roman" w:cs="Times New Roman" w:eastAsia="Times New Roman" w:hint="default"/>
                            <w:spacing w:val="-3"/>
                            <w:sz w:val="21"/>
                            <w:szCs w:val="21"/>
                          </w:rPr>
                          <w:t>40%</w:t>
                        </w:r>
                        <w:r>
                          <w:rPr>
                            <w:rFonts w:ascii="宋体" w:hAnsi="宋体" w:cs="宋体" w:eastAsia="宋体" w:hint="default"/>
                            <w:spacing w:val="-3"/>
                            <w:sz w:val="21"/>
                            <w:szCs w:val="21"/>
                          </w:rPr>
                          <w:t>，否则应在履行相应业绩补偿义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务并取得超图软件同意后该等股份方可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转让。</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9"/>
                            <w:szCs w:val="29"/>
                          </w:rPr>
                        </w:pPr>
                      </w:p>
                      <w:p>
                        <w:pPr>
                          <w:pStyle w:val="TableParagraph"/>
                          <w:spacing w:line="273" w:lineRule="auto"/>
                          <w:ind w:left="21" w:right="185" w:firstLine="420"/>
                          <w:jc w:val="both"/>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w w:val="100"/>
                            <w:sz w:val="21"/>
                            <w:szCs w:val="21"/>
                          </w:rPr>
                          <w:t> </w:t>
                        </w:r>
                        <w:r>
                          <w:rPr>
                            <w:rFonts w:ascii="宋体" w:hAnsi="宋体" w:cs="宋体" w:eastAsia="宋体" w:hint="default"/>
                            <w:sz w:val="21"/>
                            <w:szCs w:val="21"/>
                          </w:rPr>
                          <w:t>业绩承</w:t>
                        </w:r>
                        <w:r>
                          <w:rPr>
                            <w:rFonts w:ascii="宋体" w:hAnsi="宋体" w:cs="宋体" w:eastAsia="宋体" w:hint="default"/>
                            <w:spacing w:val="-102"/>
                            <w:sz w:val="21"/>
                            <w:szCs w:val="21"/>
                          </w:rPr>
                          <w:t> </w:t>
                        </w:r>
                        <w:r>
                          <w:rPr>
                            <w:rFonts w:ascii="宋体" w:hAnsi="宋体" w:cs="宋体" w:eastAsia="宋体" w:hint="default"/>
                            <w:sz w:val="21"/>
                            <w:szCs w:val="21"/>
                          </w:rPr>
                          <w:t>诺实现</w:t>
                        </w:r>
                        <w:r>
                          <w:rPr>
                            <w:rFonts w:ascii="宋体" w:hAnsi="宋体" w:cs="宋体" w:eastAsia="宋体" w:hint="default"/>
                            <w:spacing w:val="-102"/>
                            <w:sz w:val="21"/>
                            <w:szCs w:val="21"/>
                          </w:rPr>
                          <w:t> </w:t>
                        </w:r>
                        <w:r>
                          <w:rPr>
                            <w:rFonts w:ascii="宋体" w:hAnsi="宋体" w:cs="宋体" w:eastAsia="宋体" w:hint="default"/>
                            <w:sz w:val="21"/>
                            <w:szCs w:val="21"/>
                          </w:rPr>
                          <w:t>且办理</w:t>
                        </w:r>
                        <w:r>
                          <w:rPr>
                            <w:rFonts w:ascii="宋体" w:hAnsi="宋体" w:cs="宋体" w:eastAsia="宋体" w:hint="default"/>
                            <w:spacing w:val="-102"/>
                            <w:sz w:val="21"/>
                            <w:szCs w:val="21"/>
                          </w:rPr>
                          <w:t> </w:t>
                        </w:r>
                        <w:r>
                          <w:rPr>
                            <w:rFonts w:ascii="宋体" w:hAnsi="宋体" w:cs="宋体" w:eastAsia="宋体" w:hint="default"/>
                            <w:sz w:val="21"/>
                            <w:szCs w:val="21"/>
                          </w:rPr>
                          <w:t>解锁手</w:t>
                        </w:r>
                        <w:r>
                          <w:rPr>
                            <w:rFonts w:ascii="宋体" w:hAnsi="宋体" w:cs="宋体" w:eastAsia="宋体" w:hint="default"/>
                            <w:spacing w:val="-102"/>
                            <w:sz w:val="21"/>
                            <w:szCs w:val="21"/>
                          </w:rPr>
                          <w:t> </w:t>
                        </w:r>
                        <w:r>
                          <w:rPr>
                            <w:rFonts w:ascii="宋体" w:hAnsi="宋体" w:cs="宋体" w:eastAsia="宋体" w:hint="default"/>
                            <w:sz w:val="21"/>
                            <w:szCs w:val="21"/>
                          </w:rPr>
                          <w:t>续</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73" w:lineRule="auto"/>
                          <w:ind w:left="21" w:right="155" w:firstLine="420"/>
                          <w:jc w:val="both"/>
                          <w:rPr>
                            <w:rFonts w:ascii="宋体" w:hAnsi="宋体" w:cs="宋体" w:eastAsia="宋体" w:hint="default"/>
                            <w:sz w:val="21"/>
                            <w:szCs w:val="21"/>
                          </w:rPr>
                        </w:pPr>
                        <w:r>
                          <w:rPr>
                            <w:rFonts w:ascii="宋体" w:hAnsi="宋体" w:cs="宋体" w:eastAsia="宋体" w:hint="default"/>
                            <w:sz w:val="21"/>
                            <w:szCs w:val="21"/>
                          </w:rPr>
                          <w:t>严</w:t>
                        </w:r>
                        <w:r>
                          <w:rPr>
                            <w:rFonts w:ascii="宋体" w:hAnsi="宋体" w:cs="宋体" w:eastAsia="宋体" w:hint="default"/>
                            <w:w w:val="100"/>
                            <w:sz w:val="21"/>
                            <w:szCs w:val="21"/>
                          </w:rPr>
                          <w:t> </w:t>
                        </w:r>
                        <w:r>
                          <w:rPr>
                            <w:rFonts w:ascii="宋体" w:hAnsi="宋体" w:cs="宋体" w:eastAsia="宋体" w:hint="default"/>
                            <w:sz w:val="21"/>
                            <w:szCs w:val="21"/>
                          </w:rPr>
                          <w:t>格遵守</w:t>
                        </w:r>
                        <w:r>
                          <w:rPr>
                            <w:rFonts w:ascii="宋体" w:hAnsi="宋体" w:cs="宋体" w:eastAsia="宋体" w:hint="default"/>
                            <w:spacing w:val="-102"/>
                            <w:sz w:val="21"/>
                            <w:szCs w:val="21"/>
                          </w:rPr>
                          <w:t> </w:t>
                        </w:r>
                        <w:r>
                          <w:rPr>
                            <w:rFonts w:ascii="宋体" w:hAnsi="宋体" w:cs="宋体" w:eastAsia="宋体" w:hint="default"/>
                            <w:sz w:val="21"/>
                            <w:szCs w:val="21"/>
                          </w:rPr>
                          <w:t>了承诺</w:t>
                        </w:r>
                      </w:p>
                    </w:tc>
                  </w:tr>
                  <w:tr>
                    <w:trPr>
                      <w:trHeight w:val="2508" w:hRule="exact"/>
                    </w:trPr>
                    <w:tc>
                      <w:tcPr>
                        <w:tcW w:w="1740" w:type="dxa"/>
                        <w:vMerge/>
                        <w:tcBorders>
                          <w:left w:val="single" w:sz="4" w:space="0" w:color="000000"/>
                          <w:bottom w:val="nil" w:sz="6" w:space="0" w:color="auto"/>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75"/>
                          <w:jc w:val="both"/>
                          <w:rPr>
                            <w:rFonts w:ascii="宋体" w:hAnsi="宋体" w:cs="宋体" w:eastAsia="宋体" w:hint="default"/>
                            <w:sz w:val="21"/>
                            <w:szCs w:val="21"/>
                          </w:rPr>
                        </w:pPr>
                        <w:r>
                          <w:rPr>
                            <w:rFonts w:ascii="宋体" w:hAnsi="宋体" w:cs="宋体" w:eastAsia="宋体" w:hint="default"/>
                            <w:sz w:val="21"/>
                            <w:szCs w:val="21"/>
                          </w:rPr>
                          <w:t>江苏人才创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新创业投资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合伙企业</w:t>
                        </w:r>
                      </w:p>
                      <w:p>
                        <w:pPr>
                          <w:pStyle w:val="TableParagraph"/>
                          <w:spacing w:line="273" w:lineRule="auto" w:before="7"/>
                          <w:ind w:left="21" w:right="75"/>
                          <w:jc w:val="left"/>
                          <w:rPr>
                            <w:rFonts w:ascii="宋体" w:hAnsi="宋体" w:cs="宋体" w:eastAsia="宋体" w:hint="default"/>
                            <w:sz w:val="21"/>
                            <w:szCs w:val="21"/>
                          </w:rPr>
                        </w:pPr>
                        <w:r>
                          <w:rPr>
                            <w:rFonts w:ascii="宋体" w:hAnsi="宋体" w:cs="宋体" w:eastAsia="宋体" w:hint="default"/>
                            <w:sz w:val="21"/>
                            <w:szCs w:val="21"/>
                          </w:rPr>
                          <w:t>（有限合</w:t>
                        </w:r>
                        <w:r>
                          <w:rPr>
                            <w:rFonts w:ascii="宋体" w:hAnsi="宋体" w:cs="宋体" w:eastAsia="宋体" w:hint="default"/>
                            <w:w w:val="100"/>
                            <w:sz w:val="21"/>
                            <w:szCs w:val="21"/>
                          </w:rPr>
                          <w:t> </w:t>
                        </w:r>
                        <w:r>
                          <w:rPr>
                            <w:rFonts w:ascii="宋体" w:hAnsi="宋体" w:cs="宋体" w:eastAsia="宋体" w:hint="default"/>
                            <w:sz w:val="21"/>
                            <w:szCs w:val="21"/>
                          </w:rPr>
                          <w:t>伙）与江苏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高投科贷创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业投资企业</w:t>
                        </w:r>
                      </w:p>
                      <w:p>
                        <w:pPr>
                          <w:pStyle w:val="TableParagraph"/>
                          <w:spacing w:line="240" w:lineRule="auto" w:before="7"/>
                          <w:ind w:left="21" w:right="0"/>
                          <w:jc w:val="left"/>
                          <w:rPr>
                            <w:rFonts w:ascii="宋体" w:hAnsi="宋体" w:cs="宋体" w:eastAsia="宋体" w:hint="default"/>
                            <w:sz w:val="21"/>
                            <w:szCs w:val="21"/>
                          </w:rPr>
                        </w:pPr>
                        <w:r>
                          <w:rPr>
                            <w:rFonts w:ascii="宋体" w:hAnsi="宋体" w:cs="宋体" w:eastAsia="宋体" w:hint="default"/>
                            <w:sz w:val="21"/>
                            <w:szCs w:val="21"/>
                          </w:rPr>
                          <w:t>（有限合</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0"/>
                          <w:ind w:left="23" w:right="194"/>
                          <w:jc w:val="left"/>
                          <w:rPr>
                            <w:rFonts w:ascii="宋体" w:hAnsi="宋体" w:cs="宋体" w:eastAsia="宋体" w:hint="default"/>
                            <w:sz w:val="21"/>
                            <w:szCs w:val="21"/>
                          </w:rPr>
                        </w:pPr>
                        <w:r>
                          <w:rPr>
                            <w:rFonts w:ascii="宋体" w:hAnsi="宋体" w:cs="宋体" w:eastAsia="宋体" w:hint="default"/>
                            <w:sz w:val="21"/>
                            <w:szCs w:val="21"/>
                          </w:rPr>
                          <w:t>股份锁</w:t>
                        </w:r>
                        <w:r>
                          <w:rPr>
                            <w:rFonts w:ascii="宋体" w:hAnsi="宋体" w:cs="宋体" w:eastAsia="宋体" w:hint="default"/>
                            <w:spacing w:val="-102"/>
                            <w:sz w:val="21"/>
                            <w:szCs w:val="21"/>
                          </w:rPr>
                          <w:t> </w:t>
                        </w:r>
                        <w:r>
                          <w:rPr>
                            <w:rFonts w:ascii="宋体" w:hAnsi="宋体" w:cs="宋体" w:eastAsia="宋体" w:hint="default"/>
                            <w:sz w:val="21"/>
                            <w:szCs w:val="21"/>
                          </w:rPr>
                          <w:t>定承诺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3" w:right="2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日，南京国图经南</w:t>
                        </w:r>
                        <w:r>
                          <w:rPr>
                            <w:rFonts w:ascii="宋体" w:hAnsi="宋体" w:cs="宋体" w:eastAsia="宋体" w:hint="default"/>
                            <w:w w:val="100"/>
                            <w:sz w:val="21"/>
                            <w:szCs w:val="21"/>
                          </w:rPr>
                          <w:t> </w:t>
                        </w:r>
                        <w:r>
                          <w:rPr>
                            <w:rFonts w:ascii="宋体" w:hAnsi="宋体" w:cs="宋体" w:eastAsia="宋体" w:hint="default"/>
                            <w:sz w:val="21"/>
                            <w:szCs w:val="21"/>
                          </w:rPr>
                          <w:t>京市工商行政管理局核准，南京国图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的股权已过户登记至超图软件名</w:t>
                        </w:r>
                        <w:r>
                          <w:rPr>
                            <w:rFonts w:ascii="宋体" w:hAnsi="宋体" w:cs="宋体" w:eastAsia="宋体" w:hint="default"/>
                            <w:w w:val="100"/>
                            <w:sz w:val="21"/>
                            <w:szCs w:val="21"/>
                          </w:rPr>
                          <w:t> </w:t>
                        </w:r>
                        <w:r>
                          <w:rPr>
                            <w:rFonts w:ascii="宋体" w:hAnsi="宋体" w:cs="宋体" w:eastAsia="宋体" w:hint="default"/>
                            <w:spacing w:val="-2"/>
                            <w:sz w:val="21"/>
                            <w:szCs w:val="21"/>
                          </w:rPr>
                          <w:t>下，在满足相关法律法规以及证券监督</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管理部门准许范围内，根据相关协议的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约定，超图软件本次向其发行的股份按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照如下方式进行锁定和解禁：</w:t>
                        </w:r>
                      </w:p>
                      <w:p>
                        <w:pPr>
                          <w:pStyle w:val="TableParagraph"/>
                          <w:spacing w:line="240" w:lineRule="auto" w:before="14"/>
                          <w:ind w:left="443" w:right="0"/>
                          <w:jc w:val="left"/>
                          <w:rPr>
                            <w:rFonts w:ascii="宋体" w:hAnsi="宋体" w:cs="宋体" w:eastAsia="宋体" w:hint="default"/>
                            <w:sz w:val="21"/>
                            <w:szCs w:val="21"/>
                          </w:rPr>
                        </w:pPr>
                        <w:r>
                          <w:rPr>
                            <w:rFonts w:ascii="宋体" w:hAnsi="宋体" w:cs="宋体" w:eastAsia="宋体" w:hint="default"/>
                            <w:sz w:val="21"/>
                            <w:szCs w:val="21"/>
                          </w:rPr>
                          <w:t>自发行结束并完成股份登记之日起</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4"/>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73" w:lineRule="auto"/>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spacing w:line="4680" w:lineRule="exact"/>
        <w:ind w:left="3023" w:right="0" w:firstLine="0"/>
        <w:rPr>
          <w:rFonts w:ascii="宋体" w:hAnsi="宋体" w:cs="宋体" w:eastAsia="宋体" w:hint="default"/>
          <w:sz w:val="20"/>
          <w:szCs w:val="20"/>
        </w:rPr>
      </w:pPr>
      <w:r>
        <w:rPr>
          <w:rFonts w:ascii="宋体" w:hAnsi="宋体" w:cs="宋体" w:eastAsia="宋体" w:hint="default"/>
          <w:position w:val="-93"/>
          <w:sz w:val="20"/>
          <w:szCs w:val="20"/>
        </w:rPr>
        <w:pict>
          <v:group style="width:42.75pt;height:234.05pt;mso-position-horizontal-relative:char;mso-position-vertical-relative:line" coordorigin="0,0" coordsize="855,4681">
            <v:group style="position:absolute;left:0;top:0;width:855;height:4681" coordorigin="0,0" coordsize="855,4681">
              <v:shape style="position:absolute;left:0;top:0;width:855;height:4681" coordorigin="0,0" coordsize="855,4681" path="m0,4680l854,4680,854,0,0,0,0,4680xe" filled="true" fillcolor="#ffffff" stroked="false">
                <v:path arrowok="t"/>
                <v:fill type="solid"/>
              </v:shape>
            </v:group>
          </v:group>
        </w:pict>
      </w:r>
      <w:r>
        <w:rPr>
          <w:rFonts w:ascii="宋体" w:hAnsi="宋体" w:cs="宋体" w:eastAsia="宋体" w:hint="default"/>
          <w:position w:val="-93"/>
          <w:sz w:val="20"/>
          <w:szCs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before="0"/>
        <w:ind w:left="0" w:right="109" w:firstLine="0"/>
        <w:jc w:val="right"/>
        <w:rPr>
          <w:rFonts w:ascii="宋体" w:hAnsi="宋体" w:cs="宋体" w:eastAsia="宋体" w:hint="default"/>
          <w:sz w:val="21"/>
          <w:szCs w:val="21"/>
        </w:rPr>
      </w:pPr>
      <w:r>
        <w:rPr/>
        <w:pict>
          <v:shape style="position:absolute;margin-left:179.416168pt;margin-top:-256.796326pt;width:49.5pt;height:234.05pt;mso-position-horizontal-relative:page;mso-position-vertical-relative:paragraph;z-index:-998920"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179.426727pt;margin-top:3.188662pt;width:49.5pt;height:239.3pt;mso-position-horizontal-relative:page;mso-position-vertical-relative:paragraph;z-index:-998896"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186.169998pt;margin-top:8.423662pt;width:42.75pt;height:234.05pt;mso-position-horizontal-relative:page;mso-position-vertical-relative:paragraph;z-index:1240" coordorigin="3723,168" coordsize="855,4681">
            <v:shape style="position:absolute;left:3723;top:168;width:855;height:4681" coordorigin="3723,168" coordsize="855,4681" path="m3723,4849l4578,4849,4578,168,3723,168,3723,4849xe" filled="true" fillcolor="#ffffff" stroked="false">
              <v:path arrowok="t"/>
              <v:fill type="solid"/>
            </v:shape>
            <w10:wrap type="none"/>
          </v:group>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877" w:footer="980" w:top="1100" w:bottom="1160" w:left="700" w:right="940"/>
        </w:sectPr>
      </w:pPr>
    </w:p>
    <w:p>
      <w:pPr>
        <w:spacing w:line="240" w:lineRule="auto" w:before="11"/>
        <w:rPr>
          <w:rFonts w:ascii="Times New Roman" w:hAnsi="Times New Roman" w:cs="Times New Roman" w:eastAsia="Times New Roman" w:hint="default"/>
          <w:sz w:val="27"/>
          <w:szCs w:val="27"/>
        </w:rPr>
      </w:pPr>
      <w:r>
        <w:rPr/>
        <w:pict>
          <v:shape style="position:absolute;margin-left:403.996887pt;margin-top:612.315979pt;width:52.5pt;height:148.25pt;mso-position-horizontal-relative:page;mso-position-vertical-relative:page;z-index:-998800" type="#_x0000_t202" filled="false" stroked="false">
            <v:textbox inset="0,0,0,0">
              <w:txbxContent>
                <w:p>
                  <w:pPr>
                    <w:spacing w:before="144"/>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11" w:type="dxa"/>
        <w:tblLayout w:type="fixed"/>
        <w:tblCellMar>
          <w:top w:w="0" w:type="dxa"/>
          <w:left w:w="0" w:type="dxa"/>
          <w:bottom w:w="0" w:type="dxa"/>
          <w:right w:w="0" w:type="dxa"/>
        </w:tblCellMar>
        <w:tblLook w:val="01E0"/>
      </w:tblPr>
      <w:tblGrid>
        <w:gridCol w:w="1740"/>
        <w:gridCol w:w="1162"/>
        <w:gridCol w:w="864"/>
        <w:gridCol w:w="3632"/>
        <w:gridCol w:w="919"/>
        <w:gridCol w:w="852"/>
        <w:gridCol w:w="821"/>
      </w:tblGrid>
      <w:tr>
        <w:trPr>
          <w:trHeight w:val="634" w:hRule="exact"/>
        </w:trPr>
        <w:tc>
          <w:tcPr>
            <w:tcW w:w="1740" w:type="dxa"/>
            <w:vMerge w:val="restart"/>
            <w:tcBorders>
              <w:top w:val="nil" w:sz="6" w:space="0" w:color="auto"/>
              <w:left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伙）</w:t>
            </w:r>
          </w:p>
        </w:tc>
        <w:tc>
          <w:tcPr>
            <w:tcW w:w="864"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3" w:right="2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1"/>
                <w:sz w:val="21"/>
                <w:szCs w:val="21"/>
              </w:rPr>
              <w:t> </w:t>
            </w:r>
            <w:r>
              <w:rPr>
                <w:rFonts w:ascii="宋体" w:hAnsi="宋体" w:cs="宋体" w:eastAsia="宋体" w:hint="default"/>
                <w:spacing w:val="-5"/>
                <w:sz w:val="21"/>
                <w:szCs w:val="21"/>
              </w:rPr>
              <w:t>个月内不进行转让。锁定期结束后可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全部一次性解禁。</w:t>
            </w: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1740" w:type="dxa"/>
            <w:vMerge/>
            <w:tcBorders>
              <w:left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兴证资管</w:t>
            </w:r>
          </w:p>
          <w:p>
            <w:pPr>
              <w:pStyle w:val="TableParagraph"/>
              <w:spacing w:line="273" w:lineRule="auto" w:before="37"/>
              <w:ind w:left="23" w:right="72"/>
              <w:jc w:val="left"/>
              <w:rPr>
                <w:rFonts w:ascii="宋体" w:hAnsi="宋体" w:cs="宋体" w:eastAsia="宋体" w:hint="default"/>
                <w:sz w:val="21"/>
                <w:szCs w:val="21"/>
              </w:rPr>
            </w:pPr>
            <w:r>
              <w:rPr>
                <w:rFonts w:ascii="宋体" w:hAnsi="宋体" w:cs="宋体" w:eastAsia="宋体" w:hint="default"/>
                <w:sz w:val="21"/>
                <w:szCs w:val="21"/>
              </w:rPr>
              <w:t>（代兴证资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4"/>
              <w:jc w:val="both"/>
              <w:rPr>
                <w:rFonts w:ascii="宋体" w:hAnsi="宋体" w:cs="宋体" w:eastAsia="宋体" w:hint="default"/>
                <w:sz w:val="21"/>
                <w:szCs w:val="21"/>
              </w:rPr>
            </w:pPr>
            <w:r>
              <w:rPr>
                <w:rFonts w:ascii="宋体" w:hAnsi="宋体" w:cs="宋体" w:eastAsia="宋体" w:hint="default"/>
                <w:sz w:val="21"/>
                <w:szCs w:val="21"/>
              </w:rPr>
              <w:t>关于股</w:t>
            </w:r>
            <w:r>
              <w:rPr>
                <w:rFonts w:ascii="宋体" w:hAnsi="宋体" w:cs="宋体" w:eastAsia="宋体" w:hint="default"/>
                <w:spacing w:val="-102"/>
                <w:sz w:val="21"/>
                <w:szCs w:val="21"/>
              </w:rPr>
              <w:t> </w:t>
            </w:r>
            <w:r>
              <w:rPr>
                <w:rFonts w:ascii="宋体" w:hAnsi="宋体" w:cs="宋体" w:eastAsia="宋体" w:hint="default"/>
                <w:sz w:val="21"/>
                <w:szCs w:val="21"/>
              </w:rPr>
              <w:t>份锁定</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2" w:firstLine="420"/>
              <w:jc w:val="both"/>
              <w:rPr>
                <w:rFonts w:ascii="宋体" w:hAnsi="宋体" w:cs="宋体" w:eastAsia="宋体" w:hint="default"/>
                <w:sz w:val="21"/>
                <w:szCs w:val="21"/>
              </w:rPr>
            </w:pPr>
            <w:r>
              <w:rPr>
                <w:rFonts w:ascii="宋体" w:hAnsi="宋体" w:cs="宋体" w:eastAsia="宋体" w:hint="default"/>
                <w:spacing w:val="-2"/>
                <w:sz w:val="21"/>
                <w:szCs w:val="21"/>
              </w:rPr>
              <w:t>我方保证本次非公开发行的股票过</w:t>
            </w:r>
            <w:r>
              <w:rPr>
                <w:rFonts w:ascii="宋体" w:hAnsi="宋体" w:cs="宋体" w:eastAsia="宋体" w:hint="default"/>
                <w:w w:val="100"/>
                <w:sz w:val="21"/>
                <w:szCs w:val="21"/>
              </w:rPr>
              <w:t> </w:t>
            </w:r>
            <w:r>
              <w:rPr>
                <w:rFonts w:ascii="宋体" w:hAnsi="宋体" w:cs="宋体" w:eastAsia="宋体" w:hint="default"/>
                <w:spacing w:val="-2"/>
                <w:sz w:val="21"/>
                <w:szCs w:val="21"/>
              </w:rPr>
              <w:t>户至我方资产管理计划名下之日起，在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法律、行政法规和中国证监会所规定的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限制股票转让期限内，不转让我方资产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管理计划所认购的本次非公开发行的股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票，亦不得接受资产管理计划的委托人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转让或退出其持有的资产管理计划份额</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的申请。</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64"/>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4066" w:hRule="exact"/>
        </w:trPr>
        <w:tc>
          <w:tcPr>
            <w:tcW w:w="1740" w:type="dxa"/>
            <w:vMerge/>
            <w:tcBorders>
              <w:left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3" w:right="20"/>
              <w:jc w:val="left"/>
              <w:rPr>
                <w:rFonts w:ascii="宋体" w:hAnsi="宋体" w:cs="宋体" w:eastAsia="宋体" w:hint="default"/>
                <w:sz w:val="21"/>
                <w:szCs w:val="21"/>
              </w:rPr>
            </w:pPr>
            <w:r>
              <w:rPr>
                <w:rFonts w:ascii="宋体" w:hAnsi="宋体" w:cs="宋体" w:eastAsia="宋体" w:hint="default"/>
                <w:sz w:val="21"/>
                <w:szCs w:val="21"/>
              </w:rPr>
              <w:t>南京毅达汇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聚股权投资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7"/>
                <w:w w:val="100"/>
                <w:sz w:val="21"/>
                <w:szCs w:val="21"/>
              </w:rPr>
              <w:t>合伙）、西南</w:t>
            </w:r>
            <w:r>
              <w:rPr>
                <w:rFonts w:ascii="宋体" w:hAnsi="宋体" w:cs="宋体" w:eastAsia="宋体" w:hint="default"/>
                <w:w w:val="100"/>
                <w:sz w:val="21"/>
                <w:szCs w:val="21"/>
              </w:rPr>
              <w:t> </w:t>
            </w:r>
            <w:r>
              <w:rPr>
                <w:rFonts w:ascii="宋体" w:hAnsi="宋体" w:cs="宋体" w:eastAsia="宋体" w:hint="default"/>
                <w:sz w:val="21"/>
                <w:szCs w:val="21"/>
              </w:rPr>
              <w:t>证券</w:t>
            </w:r>
            <w:r>
              <w:rPr>
                <w:rFonts w:ascii="Times New Roman" w:hAnsi="Times New Roman" w:cs="Times New Roman" w:eastAsia="Times New Roman" w:hint="default"/>
                <w:sz w:val="21"/>
                <w:szCs w:val="21"/>
              </w:rPr>
              <w:t>-</w:t>
            </w:r>
            <w:r>
              <w:rPr>
                <w:rFonts w:ascii="宋体" w:hAnsi="宋体" w:cs="宋体" w:eastAsia="宋体" w:hint="default"/>
                <w:sz w:val="21"/>
                <w:szCs w:val="21"/>
              </w:rPr>
              <w:t>超图</w:t>
            </w:r>
            <w:r>
              <w:rPr>
                <w:rFonts w:ascii="宋体" w:hAnsi="宋体" w:cs="宋体" w:eastAsia="宋体" w:hint="default"/>
                <w:w w:val="100"/>
                <w:sz w:val="21"/>
                <w:szCs w:val="21"/>
              </w:rPr>
              <w:t> </w:t>
            </w:r>
            <w:r>
              <w:rPr>
                <w:rFonts w:ascii="宋体" w:hAnsi="宋体" w:cs="宋体" w:eastAsia="宋体" w:hint="default"/>
                <w:sz w:val="21"/>
                <w:szCs w:val="21"/>
              </w:rPr>
              <w:t>软件</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号定</w:t>
            </w:r>
            <w:r>
              <w:rPr>
                <w:rFonts w:ascii="宋体" w:hAnsi="宋体" w:cs="宋体" w:eastAsia="宋体" w:hint="default"/>
                <w:spacing w:val="-103"/>
                <w:sz w:val="21"/>
                <w:szCs w:val="21"/>
              </w:rPr>
              <w:t> </w:t>
            </w:r>
            <w:r>
              <w:rPr>
                <w:rFonts w:ascii="宋体" w:hAnsi="宋体" w:cs="宋体" w:eastAsia="宋体" w:hint="default"/>
                <w:sz w:val="21"/>
                <w:szCs w:val="21"/>
              </w:rPr>
              <w:t>向资产管理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计划、王继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青、谛都融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成基金投资</w:t>
            </w:r>
          </w:p>
          <w:p>
            <w:pPr>
              <w:pStyle w:val="TableParagraph"/>
              <w:spacing w:line="273" w:lineRule="auto" w:before="12"/>
              <w:ind w:left="23" w:right="72"/>
              <w:jc w:val="both"/>
              <w:rPr>
                <w:rFonts w:ascii="宋体" w:hAnsi="宋体" w:cs="宋体" w:eastAsia="宋体" w:hint="default"/>
                <w:sz w:val="21"/>
                <w:szCs w:val="21"/>
              </w:rPr>
            </w:pPr>
            <w:r>
              <w:rPr>
                <w:rFonts w:ascii="宋体" w:hAnsi="宋体" w:cs="宋体" w:eastAsia="宋体" w:hint="default"/>
                <w:sz w:val="21"/>
                <w:szCs w:val="21"/>
              </w:rPr>
              <w:t>（三明）有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4"/>
              <w:jc w:val="both"/>
              <w:rPr>
                <w:rFonts w:ascii="宋体" w:hAnsi="宋体" w:cs="宋体" w:eastAsia="宋体" w:hint="default"/>
                <w:sz w:val="21"/>
                <w:szCs w:val="21"/>
              </w:rPr>
            </w:pPr>
            <w:r>
              <w:rPr>
                <w:rFonts w:ascii="宋体" w:hAnsi="宋体" w:cs="宋体" w:eastAsia="宋体" w:hint="default"/>
                <w:sz w:val="21"/>
                <w:szCs w:val="21"/>
              </w:rPr>
              <w:t>关于股</w:t>
            </w:r>
            <w:r>
              <w:rPr>
                <w:rFonts w:ascii="宋体" w:hAnsi="宋体" w:cs="宋体" w:eastAsia="宋体" w:hint="default"/>
                <w:spacing w:val="-102"/>
                <w:sz w:val="21"/>
                <w:szCs w:val="21"/>
              </w:rPr>
              <w:t> </w:t>
            </w:r>
            <w:r>
              <w:rPr>
                <w:rFonts w:ascii="宋体" w:hAnsi="宋体" w:cs="宋体" w:eastAsia="宋体" w:hint="default"/>
                <w:sz w:val="21"/>
                <w:szCs w:val="21"/>
              </w:rPr>
              <w:t>份锁定</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3" w:right="23" w:firstLine="420"/>
              <w:jc w:val="left"/>
              <w:rPr>
                <w:rFonts w:ascii="宋体" w:hAnsi="宋体" w:cs="宋体" w:eastAsia="宋体" w:hint="default"/>
                <w:sz w:val="21"/>
                <w:szCs w:val="21"/>
              </w:rPr>
            </w:pPr>
            <w:r>
              <w:rPr>
                <w:rFonts w:ascii="宋体" w:hAnsi="宋体" w:cs="宋体" w:eastAsia="宋体" w:hint="default"/>
                <w:sz w:val="21"/>
                <w:szCs w:val="21"/>
              </w:rPr>
              <w:t>我方</w:t>
            </w:r>
            <w:r>
              <w:rPr>
                <w:rFonts w:ascii="Times New Roman" w:hAnsi="Times New Roman" w:cs="Times New Roman" w:eastAsia="Times New Roman" w:hint="default"/>
                <w:sz w:val="21"/>
                <w:szCs w:val="21"/>
              </w:rPr>
              <w:t>/</w:t>
            </w:r>
            <w:r>
              <w:rPr>
                <w:rFonts w:ascii="宋体" w:hAnsi="宋体" w:cs="宋体" w:eastAsia="宋体" w:hint="default"/>
                <w:sz w:val="21"/>
                <w:szCs w:val="21"/>
              </w:rPr>
              <w:t>本人通过本次非公开发行认</w:t>
            </w:r>
            <w:r>
              <w:rPr>
                <w:rFonts w:ascii="宋体" w:hAnsi="宋体" w:cs="宋体" w:eastAsia="宋体" w:hint="default"/>
                <w:w w:val="100"/>
                <w:sz w:val="21"/>
                <w:szCs w:val="21"/>
              </w:rPr>
              <w:t> </w:t>
            </w:r>
            <w:r>
              <w:rPr>
                <w:rFonts w:ascii="宋体" w:hAnsi="宋体" w:cs="宋体" w:eastAsia="宋体" w:hint="default"/>
                <w:sz w:val="21"/>
                <w:szCs w:val="21"/>
              </w:rPr>
              <w:t>购的北京超图软件股份有限公司的股</w:t>
            </w:r>
            <w:r>
              <w:rPr>
                <w:rFonts w:ascii="宋体" w:hAnsi="宋体" w:cs="宋体" w:eastAsia="宋体" w:hint="default"/>
                <w:w w:val="100"/>
                <w:sz w:val="21"/>
                <w:szCs w:val="21"/>
              </w:rPr>
              <w:t> </w:t>
            </w:r>
            <w:r>
              <w:rPr>
                <w:rFonts w:ascii="宋体" w:hAnsi="宋体" w:cs="宋体" w:eastAsia="宋体" w:hint="default"/>
                <w:spacing w:val="-9"/>
                <w:w w:val="100"/>
                <w:sz w:val="21"/>
                <w:szCs w:val="21"/>
              </w:rPr>
              <w:t>份，自该等股份发行结束之日起</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2"/>
                <w:w w:val="100"/>
                <w:sz w:val="21"/>
                <w:szCs w:val="21"/>
              </w:rPr>
              <w:t>36</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3"/>
                <w:w w:val="100"/>
                <w:sz w:val="21"/>
                <w:szCs w:val="21"/>
              </w:rPr>
              <w:t>个月 </w:t>
            </w:r>
            <w:r>
              <w:rPr>
                <w:rFonts w:ascii="宋体" w:hAnsi="宋体" w:cs="宋体" w:eastAsia="宋体" w:hint="default"/>
                <w:sz w:val="21"/>
                <w:szCs w:val="21"/>
              </w:rPr>
              <w:t>内不得转让。</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6"/>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8"/>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6565" w:hRule="exact"/>
        </w:trPr>
        <w:tc>
          <w:tcPr>
            <w:tcW w:w="1740" w:type="dxa"/>
            <w:vMerge/>
            <w:tcBorders>
              <w:left w:val="single" w:sz="4" w:space="0" w:color="000000"/>
              <w:bottom w:val="nil" w:sz="6" w:space="0" w:color="auto"/>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left="23" w:right="0"/>
              <w:jc w:val="left"/>
              <w:rPr>
                <w:rFonts w:ascii="宋体" w:hAnsi="宋体" w:cs="宋体" w:eastAsia="宋体" w:hint="default"/>
                <w:sz w:val="21"/>
                <w:szCs w:val="21"/>
              </w:rPr>
            </w:pPr>
            <w:r>
              <w:rPr>
                <w:rFonts w:ascii="宋体" w:hAnsi="宋体" w:cs="宋体" w:eastAsia="宋体" w:hint="default"/>
                <w:sz w:val="21"/>
                <w:szCs w:val="21"/>
              </w:rPr>
              <w:t>孙在宏</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73" w:lineRule="auto"/>
              <w:ind w:left="23" w:right="194"/>
              <w:jc w:val="both"/>
              <w:rPr>
                <w:rFonts w:ascii="宋体" w:hAnsi="宋体" w:cs="宋体" w:eastAsia="宋体" w:hint="default"/>
                <w:sz w:val="21"/>
                <w:szCs w:val="21"/>
              </w:rPr>
            </w:pPr>
            <w:r>
              <w:rPr>
                <w:rFonts w:ascii="宋体" w:hAnsi="宋体" w:cs="宋体" w:eastAsia="宋体" w:hint="default"/>
                <w:sz w:val="21"/>
                <w:szCs w:val="21"/>
              </w:rPr>
              <w:t>关于避</w:t>
            </w:r>
            <w:r>
              <w:rPr>
                <w:rFonts w:ascii="宋体" w:hAnsi="宋体" w:cs="宋体" w:eastAsia="宋体" w:hint="default"/>
                <w:spacing w:val="-102"/>
                <w:sz w:val="21"/>
                <w:szCs w:val="21"/>
              </w:rPr>
              <w:t> </w:t>
            </w:r>
            <w:r>
              <w:rPr>
                <w:rFonts w:ascii="宋体" w:hAnsi="宋体" w:cs="宋体" w:eastAsia="宋体" w:hint="default"/>
                <w:sz w:val="21"/>
                <w:szCs w:val="21"/>
              </w:rPr>
              <w:t>免同业</w:t>
            </w:r>
            <w:r>
              <w:rPr>
                <w:rFonts w:ascii="宋体" w:hAnsi="宋体" w:cs="宋体" w:eastAsia="宋体" w:hint="default"/>
                <w:spacing w:val="-102"/>
                <w:sz w:val="21"/>
                <w:szCs w:val="21"/>
              </w:rPr>
              <w:t> </w:t>
            </w:r>
            <w:r>
              <w:rPr>
                <w:rFonts w:ascii="宋体" w:hAnsi="宋体" w:cs="宋体" w:eastAsia="宋体" w:hint="default"/>
                <w:sz w:val="21"/>
                <w:szCs w:val="21"/>
              </w:rPr>
              <w:t>竞争的</w:t>
            </w:r>
            <w:r>
              <w:rPr>
                <w:rFonts w:ascii="宋体" w:hAnsi="宋体" w:cs="宋体" w:eastAsia="宋体" w:hint="default"/>
                <w:spacing w:val="-102"/>
                <w:sz w:val="21"/>
                <w:szCs w:val="21"/>
              </w:rPr>
              <w:t> </w:t>
            </w:r>
            <w:r>
              <w:rPr>
                <w:rFonts w:ascii="宋体" w:hAnsi="宋体" w:cs="宋体" w:eastAsia="宋体" w:hint="default"/>
                <w:sz w:val="21"/>
                <w:szCs w:val="21"/>
              </w:rPr>
              <w:t>承诺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3" w:right="20"/>
              <w:jc w:val="both"/>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、本人或本人近亲属、本人或本人近亲</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属实际控制的公司或者企业、由本人或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本人近亲属担任董事或高级管理人员的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w w:val="100"/>
                <w:sz w:val="21"/>
                <w:szCs w:val="21"/>
              </w:rPr>
              <w:t>公司或者企业（以下统称为</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本人或本人</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8"/>
                <w:w w:val="100"/>
                <w:sz w:val="21"/>
                <w:szCs w:val="21"/>
              </w:rPr>
              <w:t>近亲属控制或影响的企业</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）（南京国图</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2"/>
                <w:sz w:val="21"/>
                <w:szCs w:val="21"/>
              </w:rPr>
              <w:t>及其下属控股子公司除外）目前并没有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以任何方式（包括但不限于自营、合资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或联营）从事与超图软件及其下属子公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司、南京国图及其下属子公司的主营业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务存在竞争或可能构成竞争的业务。</w:t>
            </w:r>
          </w:p>
          <w:p>
            <w:pPr>
              <w:pStyle w:val="TableParagraph"/>
              <w:spacing w:line="256" w:lineRule="auto" w:before="14"/>
              <w:ind w:left="23" w:right="20" w:firstLine="42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、在《发行股份及支付现金购买资</w:t>
            </w:r>
            <w:r>
              <w:rPr>
                <w:rFonts w:ascii="宋体" w:hAnsi="宋体" w:cs="宋体" w:eastAsia="宋体" w:hint="default"/>
                <w:w w:val="100"/>
                <w:sz w:val="21"/>
                <w:szCs w:val="21"/>
              </w:rPr>
              <w:t> </w:t>
            </w:r>
            <w:r>
              <w:rPr>
                <w:rFonts w:ascii="宋体" w:hAnsi="宋体" w:cs="宋体" w:eastAsia="宋体" w:hint="default"/>
                <w:spacing w:val="-2"/>
                <w:sz w:val="21"/>
                <w:szCs w:val="21"/>
              </w:rPr>
              <w:t>产协议》中约定的本人承诺任职期限内</w:t>
            </w:r>
          </w:p>
          <w:p>
            <w:pPr>
              <w:pStyle w:val="TableParagraph"/>
              <w:spacing w:line="273" w:lineRule="auto" w:before="23"/>
              <w:ind w:left="23" w:right="22"/>
              <w:jc w:val="left"/>
              <w:rPr>
                <w:rFonts w:ascii="宋体" w:hAnsi="宋体" w:cs="宋体" w:eastAsia="宋体" w:hint="default"/>
                <w:sz w:val="21"/>
                <w:szCs w:val="21"/>
              </w:rPr>
            </w:pPr>
            <w:r>
              <w:rPr>
                <w:rFonts w:ascii="宋体" w:hAnsi="宋体" w:cs="宋体" w:eastAsia="宋体" w:hint="default"/>
                <w:spacing w:val="-8"/>
                <w:w w:val="100"/>
                <w:sz w:val="21"/>
                <w:szCs w:val="21"/>
              </w:rPr>
              <w:t>（即利润承诺期及期满后两年），本人</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sz w:val="21"/>
                <w:szCs w:val="21"/>
              </w:rPr>
              <w:t>本人近亲属、本人或本人近亲属控制或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影响的企业将不会以任何方式（包括但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不限于自营、合资或联营）参与或进行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与超图软件及其下属子公司（含南京国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图）的主营业务存在竞争或可能构成竞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争的业务。</w:t>
            </w:r>
          </w:p>
          <w:p>
            <w:pPr>
              <w:pStyle w:val="TableParagraph"/>
              <w:spacing w:line="256" w:lineRule="auto" w:before="7"/>
              <w:ind w:left="23" w:right="20" w:firstLine="42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、在《发行股份及支付现金购买资</w:t>
            </w:r>
            <w:r>
              <w:rPr>
                <w:rFonts w:ascii="宋体" w:hAnsi="宋体" w:cs="宋体" w:eastAsia="宋体" w:hint="default"/>
                <w:w w:val="100"/>
                <w:sz w:val="21"/>
                <w:szCs w:val="21"/>
              </w:rPr>
              <w:t> </w:t>
            </w:r>
            <w:r>
              <w:rPr>
                <w:rFonts w:ascii="宋体" w:hAnsi="宋体" w:cs="宋体" w:eastAsia="宋体" w:hint="default"/>
                <w:spacing w:val="-2"/>
                <w:sz w:val="21"/>
                <w:szCs w:val="21"/>
              </w:rPr>
              <w:t>产协议》中约定的本人承诺任职期限内</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1"/>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96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8"/>
                <w:sz w:val="20"/>
                <w:szCs w:val="20"/>
              </w:rPr>
              <w:pict>
                <v:group style="width:45.5pt;height:148.25pt;mso-position-horizontal-relative:char;mso-position-vertical-relative:line" coordorigin="0,0" coordsize="910,2965">
                  <v:group style="position:absolute;left:0;top:0;width:910;height:2965" coordorigin="0,0" coordsize="910,2965">
                    <v:shape style="position:absolute;left:0;top:0;width:910;height:2965" coordorigin="0,0" coordsize="910,2965" path="m0,2964l910,2964,910,0,0,0,0,2964xe" filled="true" fillcolor="#ffffff" stroked="false">
                      <v:path arrowok="t"/>
                      <v:fill type="solid"/>
                    </v:shape>
                  </v:group>
                </v:group>
              </w:pict>
            </w:r>
            <w:r>
              <w:rPr>
                <w:rFonts w:ascii="Times New Roman" w:hAnsi="Times New Roman" w:cs="Times New Roman" w:eastAsia="Times New Roman" w:hint="default"/>
                <w:position w:val="-58"/>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73" w:lineRule="auto"/>
              <w:ind w:left="21" w:right="185"/>
              <w:jc w:val="both"/>
              <w:rPr>
                <w:rFonts w:ascii="宋体" w:hAnsi="宋体" w:cs="宋体" w:eastAsia="宋体" w:hint="default"/>
                <w:sz w:val="21"/>
                <w:szCs w:val="21"/>
              </w:rPr>
            </w:pPr>
            <w:r>
              <w:rPr>
                <w:rFonts w:ascii="宋体" w:hAnsi="宋体" w:cs="宋体" w:eastAsia="宋体" w:hint="default"/>
                <w:sz w:val="21"/>
                <w:szCs w:val="21"/>
              </w:rPr>
              <w:t>利润承</w:t>
            </w:r>
            <w:r>
              <w:rPr>
                <w:rFonts w:ascii="宋体" w:hAnsi="宋体" w:cs="宋体" w:eastAsia="宋体" w:hint="default"/>
                <w:spacing w:val="-102"/>
                <w:sz w:val="21"/>
                <w:szCs w:val="21"/>
              </w:rPr>
              <w:t> </w:t>
            </w:r>
            <w:r>
              <w:rPr>
                <w:rFonts w:ascii="宋体" w:hAnsi="宋体" w:cs="宋体" w:eastAsia="宋体" w:hint="default"/>
                <w:sz w:val="21"/>
                <w:szCs w:val="21"/>
              </w:rPr>
              <w:t>诺期及</w:t>
            </w:r>
            <w:r>
              <w:rPr>
                <w:rFonts w:ascii="宋体" w:hAnsi="宋体" w:cs="宋体" w:eastAsia="宋体" w:hint="default"/>
                <w:spacing w:val="-102"/>
                <w:sz w:val="21"/>
                <w:szCs w:val="21"/>
              </w:rPr>
              <w:t> </w:t>
            </w:r>
            <w:r>
              <w:rPr>
                <w:rFonts w:ascii="宋体" w:hAnsi="宋体" w:cs="宋体" w:eastAsia="宋体" w:hint="default"/>
                <w:sz w:val="21"/>
                <w:szCs w:val="21"/>
              </w:rPr>
              <w:t>期满后</w:t>
            </w:r>
            <w:r>
              <w:rPr>
                <w:rFonts w:ascii="宋体" w:hAnsi="宋体" w:cs="宋体" w:eastAsia="宋体" w:hint="default"/>
                <w:spacing w:val="-102"/>
                <w:sz w:val="21"/>
                <w:szCs w:val="21"/>
              </w:rPr>
              <w:t> </w:t>
            </w:r>
            <w:r>
              <w:rPr>
                <w:rFonts w:ascii="宋体" w:hAnsi="宋体" w:cs="宋体" w:eastAsia="宋体" w:hint="default"/>
                <w:sz w:val="21"/>
                <w:szCs w:val="21"/>
              </w:rPr>
              <w:t>两年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73" w:lineRule="auto"/>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bl>
    <w:p>
      <w:pPr>
        <w:spacing w:after="0" w:line="273" w:lineRule="auto"/>
        <w:jc w:val="both"/>
        <w:rPr>
          <w:rFonts w:ascii="宋体" w:hAnsi="宋体" w:cs="宋体" w:eastAsia="宋体" w:hint="default"/>
          <w:sz w:val="21"/>
          <w:szCs w:val="21"/>
        </w:rPr>
        <w:sectPr>
          <w:pgSz w:w="11910" w:h="16840"/>
          <w:pgMar w:header="877" w:footer="980" w:top="1100" w:bottom="1160" w:left="700" w:right="980"/>
        </w:sectPr>
      </w:pPr>
    </w:p>
    <w:p>
      <w:pPr>
        <w:spacing w:line="240" w:lineRule="auto" w:before="11"/>
        <w:rPr>
          <w:rFonts w:ascii="Times New Roman" w:hAnsi="Times New Roman" w:cs="Times New Roman" w:eastAsia="Times New Roman" w:hint="default"/>
          <w:sz w:val="27"/>
          <w:szCs w:val="27"/>
        </w:rPr>
      </w:pPr>
      <w:r>
        <w:rPr/>
        <w:pict>
          <v:shape style="position:absolute;margin-left:403.996887pt;margin-top:658.055969pt;width:52.5pt;height:101.4pt;mso-position-horizontal-relative:page;mso-position-vertical-relative:page;z-index:-998704"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11" w:type="dxa"/>
        <w:tblLayout w:type="fixed"/>
        <w:tblCellMar>
          <w:top w:w="0" w:type="dxa"/>
          <w:left w:w="0" w:type="dxa"/>
          <w:bottom w:w="0" w:type="dxa"/>
          <w:right w:w="0" w:type="dxa"/>
        </w:tblCellMar>
        <w:tblLook w:val="01E0"/>
      </w:tblPr>
      <w:tblGrid>
        <w:gridCol w:w="1740"/>
        <w:gridCol w:w="1162"/>
        <w:gridCol w:w="864"/>
        <w:gridCol w:w="3632"/>
        <w:gridCol w:w="919"/>
        <w:gridCol w:w="852"/>
        <w:gridCol w:w="821"/>
      </w:tblGrid>
      <w:tr>
        <w:trPr>
          <w:trHeight w:val="9059" w:hRule="exact"/>
        </w:trPr>
        <w:tc>
          <w:tcPr>
            <w:tcW w:w="1740" w:type="dxa"/>
            <w:vMerge w:val="restart"/>
            <w:tcBorders>
              <w:top w:val="nil" w:sz="6" w:space="0" w:color="auto"/>
              <w:left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pacing w:val="-13"/>
                <w:w w:val="100"/>
                <w:sz w:val="21"/>
                <w:szCs w:val="21"/>
              </w:rPr>
              <w:t>（即利润承诺期及期满后两年），本人除</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2"/>
                <w:sz w:val="21"/>
                <w:szCs w:val="21"/>
              </w:rPr>
              <w:t>在超图软件及其下属子公司（含南京国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图）担任职务外，不在同超图软件及其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下属子公司（含南京国图）存在相同或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者相类似业务的实体任职或者担任任何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形式的顾问；不在为超图软件及其下属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子公司（含南京国图）工作之外以超图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软件及其下属子公司（含南京国图）的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名义为超图软件及其下属子公司（含南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京国图）现有客户提供相同或类似的商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品或服务。</w:t>
            </w:r>
          </w:p>
          <w:p>
            <w:pPr>
              <w:pStyle w:val="TableParagraph"/>
              <w:spacing w:line="268" w:lineRule="auto" w:before="7"/>
              <w:ind w:left="23" w:right="19" w:firstLine="42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4</w:t>
            </w:r>
            <w:r>
              <w:rPr>
                <w:rFonts w:ascii="宋体" w:hAnsi="宋体" w:cs="宋体" w:eastAsia="宋体" w:hint="default"/>
                <w:spacing w:val="-8"/>
                <w:sz w:val="21"/>
                <w:szCs w:val="21"/>
              </w:rPr>
              <w:t>、如果本人、本人近亲属、本人或</w:t>
            </w:r>
            <w:r>
              <w:rPr>
                <w:rFonts w:ascii="宋体" w:hAnsi="宋体" w:cs="宋体" w:eastAsia="宋体" w:hint="default"/>
                <w:w w:val="100"/>
                <w:sz w:val="21"/>
                <w:szCs w:val="21"/>
              </w:rPr>
              <w:t> </w:t>
            </w:r>
            <w:r>
              <w:rPr>
                <w:rFonts w:ascii="宋体" w:hAnsi="宋体" w:cs="宋体" w:eastAsia="宋体" w:hint="default"/>
                <w:spacing w:val="-2"/>
                <w:sz w:val="21"/>
                <w:szCs w:val="21"/>
              </w:rPr>
              <w:t>本人近亲属控制或影响的企业违反上述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声明、保证与承诺，并造成超图软件及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其下属子公司（含南京国图）经济损失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的，本人同意立即停止与超图软件及其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下属子公司（含南京国图）构成竞争之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业务，并采取必要措施予以纠正补救；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同时对因未履行承诺而给超图软件及其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下属子公司（含南京国图）造成的损失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和后果承担赔偿责任，具体赔偿标准为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本人按照本次交易时本人持有的南京国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图的股权比例</w:t>
            </w:r>
            <w:r>
              <w:rPr>
                <w:rFonts w:ascii="Times New Roman" w:hAnsi="Times New Roman" w:cs="Times New Roman" w:eastAsia="Times New Roman" w:hint="default"/>
                <w:sz w:val="21"/>
                <w:szCs w:val="21"/>
              </w:rPr>
              <w:t>×</w:t>
            </w:r>
            <w:r>
              <w:rPr>
                <w:rFonts w:ascii="宋体" w:hAnsi="宋体" w:cs="宋体" w:eastAsia="宋体" w:hint="default"/>
                <w:sz w:val="21"/>
                <w:szCs w:val="21"/>
              </w:rPr>
              <w:t>本次交易的资产交易总</w:t>
            </w:r>
            <w:r>
              <w:rPr>
                <w:rFonts w:ascii="宋体" w:hAnsi="宋体" w:cs="宋体" w:eastAsia="宋体" w:hint="default"/>
                <w:w w:val="100"/>
                <w:sz w:val="21"/>
                <w:szCs w:val="21"/>
              </w:rPr>
              <w:t> </w:t>
            </w:r>
            <w:r>
              <w:rPr>
                <w:rFonts w:ascii="宋体" w:hAnsi="宋体" w:cs="宋体" w:eastAsia="宋体" w:hint="default"/>
                <w:spacing w:val="-6"/>
                <w:sz w:val="21"/>
                <w:szCs w:val="21"/>
              </w:rPr>
              <w:t>价</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。在超图软件确认本人违反上述</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
                <w:w w:val="100"/>
                <w:sz w:val="21"/>
                <w:szCs w:val="21"/>
              </w:rPr>
              <w:t>承诺后的</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2"/>
                <w:w w:val="100"/>
                <w:sz w:val="21"/>
                <w:szCs w:val="21"/>
              </w:rPr>
              <w:t>30</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0"/>
                <w:w w:val="100"/>
                <w:sz w:val="21"/>
                <w:szCs w:val="21"/>
              </w:rPr>
              <w:t>天内，以现金方式对超图软</w:t>
            </w:r>
            <w:r>
              <w:rPr>
                <w:rFonts w:ascii="宋体" w:hAnsi="宋体" w:cs="宋体" w:eastAsia="宋体" w:hint="default"/>
                <w:w w:val="100"/>
                <w:sz w:val="21"/>
                <w:szCs w:val="21"/>
              </w:rPr>
              <w:t> </w:t>
            </w:r>
            <w:r>
              <w:rPr>
                <w:rFonts w:ascii="宋体" w:hAnsi="宋体" w:cs="宋体" w:eastAsia="宋体" w:hint="default"/>
                <w:sz w:val="21"/>
                <w:szCs w:val="21"/>
              </w:rPr>
              <w:t>件进行赔偿。</w:t>
            </w:r>
          </w:p>
          <w:p>
            <w:pPr>
              <w:pStyle w:val="TableParagraph"/>
              <w:spacing w:line="264" w:lineRule="auto" w:before="12"/>
              <w:ind w:left="23" w:right="20" w:firstLine="420"/>
              <w:jc w:val="both"/>
              <w:rPr>
                <w:rFonts w:ascii="宋体" w:hAnsi="宋体" w:cs="宋体" w:eastAsia="宋体" w:hint="default"/>
                <w:sz w:val="21"/>
                <w:szCs w:val="21"/>
              </w:rPr>
            </w:pPr>
            <w:r>
              <w:rPr>
                <w:rFonts w:ascii="Times New Roman" w:hAnsi="Times New Roman" w:cs="Times New Roman" w:eastAsia="Times New Roman" w:hint="default"/>
                <w:spacing w:val="-8"/>
                <w:sz w:val="21"/>
                <w:szCs w:val="21"/>
              </w:rPr>
              <w:t>5</w:t>
            </w:r>
            <w:r>
              <w:rPr>
                <w:rFonts w:ascii="宋体" w:hAnsi="宋体" w:cs="宋体" w:eastAsia="宋体" w:hint="default"/>
                <w:spacing w:val="-8"/>
                <w:sz w:val="21"/>
                <w:szCs w:val="21"/>
              </w:rPr>
              <w:t>、本声明、承诺与保证应被视为本</w:t>
            </w:r>
            <w:r>
              <w:rPr>
                <w:rFonts w:ascii="宋体" w:hAnsi="宋体" w:cs="宋体" w:eastAsia="宋体" w:hint="default"/>
                <w:w w:val="100"/>
                <w:sz w:val="21"/>
                <w:szCs w:val="21"/>
              </w:rPr>
              <w:t> </w:t>
            </w:r>
            <w:r>
              <w:rPr>
                <w:rFonts w:ascii="宋体" w:hAnsi="宋体" w:cs="宋体" w:eastAsia="宋体" w:hint="default"/>
                <w:spacing w:val="-2"/>
                <w:sz w:val="21"/>
                <w:szCs w:val="21"/>
              </w:rPr>
              <w:t>人对超图软件及超图软件的其他股东共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同和分别作出的声明、承诺和保证。</w:t>
            </w: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4690" w:hRule="exact"/>
        </w:trPr>
        <w:tc>
          <w:tcPr>
            <w:tcW w:w="1740" w:type="dxa"/>
            <w:vMerge/>
            <w:tcBorders>
              <w:left w:val="single" w:sz="4" w:space="0" w:color="000000"/>
              <w:bottom w:val="nil" w:sz="6" w:space="0" w:color="auto"/>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吴长彬、蒋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斌、张伟良、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刘新平、王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履华、王亚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华、胡永珍、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吉波</w:t>
            </w:r>
          </w:p>
        </w:tc>
        <w:tc>
          <w:tcPr>
            <w:tcW w:w="86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16" w:right="194"/>
              <w:jc w:val="both"/>
              <w:rPr>
                <w:rFonts w:ascii="宋体" w:hAnsi="宋体" w:cs="宋体" w:eastAsia="宋体" w:hint="default"/>
                <w:sz w:val="21"/>
                <w:szCs w:val="21"/>
              </w:rPr>
            </w:pPr>
            <w:r>
              <w:rPr>
                <w:rFonts w:ascii="宋体" w:hAnsi="宋体" w:cs="宋体" w:eastAsia="宋体" w:hint="default"/>
                <w:sz w:val="21"/>
                <w:szCs w:val="21"/>
              </w:rPr>
              <w:t>关于避</w:t>
            </w:r>
            <w:r>
              <w:rPr>
                <w:rFonts w:ascii="宋体" w:hAnsi="宋体" w:cs="宋体" w:eastAsia="宋体" w:hint="default"/>
                <w:spacing w:val="-102"/>
                <w:sz w:val="21"/>
                <w:szCs w:val="21"/>
              </w:rPr>
              <w:t> </w:t>
            </w:r>
            <w:r>
              <w:rPr>
                <w:rFonts w:ascii="宋体" w:hAnsi="宋体" w:cs="宋体" w:eastAsia="宋体" w:hint="default"/>
                <w:sz w:val="21"/>
                <w:szCs w:val="21"/>
              </w:rPr>
              <w:t>免同业</w:t>
            </w:r>
            <w:r>
              <w:rPr>
                <w:rFonts w:ascii="宋体" w:hAnsi="宋体" w:cs="宋体" w:eastAsia="宋体" w:hint="default"/>
                <w:spacing w:val="-102"/>
                <w:sz w:val="21"/>
                <w:szCs w:val="21"/>
              </w:rPr>
              <w:t> </w:t>
            </w:r>
            <w:r>
              <w:rPr>
                <w:rFonts w:ascii="宋体" w:hAnsi="宋体" w:cs="宋体" w:eastAsia="宋体" w:hint="default"/>
                <w:sz w:val="21"/>
                <w:szCs w:val="21"/>
              </w:rPr>
              <w:t>竞争的</w:t>
            </w:r>
            <w:r>
              <w:rPr>
                <w:rFonts w:ascii="宋体" w:hAnsi="宋体" w:cs="宋体" w:eastAsia="宋体" w:hint="default"/>
                <w:spacing w:val="-102"/>
                <w:sz w:val="21"/>
                <w:szCs w:val="21"/>
              </w:rPr>
              <w:t> </w:t>
            </w:r>
            <w:r>
              <w:rPr>
                <w:rFonts w:ascii="宋体" w:hAnsi="宋体" w:cs="宋体" w:eastAsia="宋体" w:hint="default"/>
                <w:sz w:val="21"/>
                <w:szCs w:val="21"/>
              </w:rPr>
              <w:t>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31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0.450pt;height:15.65pt;mso-position-horizontal-relative:char;mso-position-vertical-relative:line" coordorigin="0,0" coordsize="809,313">
                  <v:group style="position:absolute;left:0;top:0;width:809;height:313" coordorigin="0,0" coordsize="809,313">
                    <v:shape style="position:absolute;left:0;top:0;width:809;height:313" coordorigin="0,0" coordsize="809,313" path="m0,312l809,312,809,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0.450pt;height:15.6pt;mso-position-horizontal-relative:char;mso-position-vertical-relative:line" coordorigin="0,0" coordsize="809,312">
                  <v:group style="position:absolute;left:0;top:0;width:809;height:312" coordorigin="0,0" coordsize="809,312">
                    <v:shape style="position:absolute;left:0;top:0;width:809;height:312" coordorigin="0,0" coordsize="809,312" path="m0,312l809,312,809,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9"/>
                <w:szCs w:val="29"/>
              </w:rPr>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3" w:right="20" w:firstLine="42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、本人或本人近亲属、本人或本人</w:t>
            </w:r>
            <w:r>
              <w:rPr>
                <w:rFonts w:ascii="宋体" w:hAnsi="宋体" w:cs="宋体" w:eastAsia="宋体" w:hint="default"/>
                <w:w w:val="100"/>
                <w:sz w:val="21"/>
                <w:szCs w:val="21"/>
              </w:rPr>
              <w:t> </w:t>
            </w:r>
            <w:r>
              <w:rPr>
                <w:rFonts w:ascii="宋体" w:hAnsi="宋体" w:cs="宋体" w:eastAsia="宋体" w:hint="default"/>
                <w:spacing w:val="-2"/>
                <w:sz w:val="21"/>
                <w:szCs w:val="21"/>
              </w:rPr>
              <w:t>近亲属实际控制的公司或者企业、由本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人或本人近亲属担任董事或高级管理人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w w:val="100"/>
                <w:sz w:val="21"/>
                <w:szCs w:val="21"/>
              </w:rPr>
              <w:t>员的公司或者企业（以下统称为</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本人或</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7"/>
                <w:w w:val="100"/>
                <w:sz w:val="21"/>
                <w:szCs w:val="21"/>
              </w:rPr>
              <w:t>本人近亲属控制或影响的企业</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）（南京</w:t>
            </w:r>
            <w:r>
              <w:rPr>
                <w:rFonts w:ascii="宋体" w:hAnsi="宋体" w:cs="宋体" w:eastAsia="宋体" w:hint="default"/>
                <w:w w:val="100"/>
                <w:sz w:val="21"/>
                <w:szCs w:val="21"/>
              </w:rPr>
              <w:t> </w:t>
            </w:r>
            <w:r>
              <w:rPr>
                <w:rFonts w:ascii="宋体" w:hAnsi="宋体" w:cs="宋体" w:eastAsia="宋体" w:hint="default"/>
                <w:spacing w:val="-2"/>
                <w:sz w:val="21"/>
                <w:szCs w:val="21"/>
              </w:rPr>
              <w:t>国图及其下属控股子公司除外）目前并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没有以任何方式（包括但不限于自营、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合资或联营）从事与超图软件及其下属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子公司、南京国图及其下属子公司的主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营业务存在竞争或可能构成竞争的业</w:t>
            </w:r>
            <w:r>
              <w:rPr>
                <w:rFonts w:ascii="宋体" w:hAnsi="宋体" w:cs="宋体" w:eastAsia="宋体" w:hint="default"/>
                <w:w w:val="100"/>
                <w:sz w:val="21"/>
                <w:szCs w:val="21"/>
              </w:rPr>
              <w:t> </w:t>
            </w:r>
            <w:r>
              <w:rPr>
                <w:rFonts w:ascii="宋体" w:hAnsi="宋体" w:cs="宋体" w:eastAsia="宋体" w:hint="default"/>
                <w:sz w:val="21"/>
                <w:szCs w:val="21"/>
              </w:rPr>
              <w:t>务。</w:t>
            </w:r>
          </w:p>
          <w:p>
            <w:pPr>
              <w:pStyle w:val="TableParagraph"/>
              <w:spacing w:line="256" w:lineRule="auto" w:before="12"/>
              <w:ind w:left="23" w:right="20" w:firstLine="42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、在《发行股份及支付现金购买资</w:t>
            </w:r>
            <w:r>
              <w:rPr>
                <w:rFonts w:ascii="宋体" w:hAnsi="宋体" w:cs="宋体" w:eastAsia="宋体" w:hint="default"/>
                <w:w w:val="100"/>
                <w:sz w:val="21"/>
                <w:szCs w:val="21"/>
              </w:rPr>
              <w:t> </w:t>
            </w:r>
            <w:r>
              <w:rPr>
                <w:rFonts w:ascii="宋体" w:hAnsi="宋体" w:cs="宋体" w:eastAsia="宋体" w:hint="default"/>
                <w:spacing w:val="-2"/>
                <w:sz w:val="21"/>
                <w:szCs w:val="21"/>
              </w:rPr>
              <w:t>产协议》中约定的本人承诺任职期限内</w:t>
            </w:r>
          </w:p>
          <w:p>
            <w:pPr>
              <w:pStyle w:val="TableParagraph"/>
              <w:spacing w:line="273" w:lineRule="auto" w:before="22"/>
              <w:ind w:left="23" w:right="22"/>
              <w:jc w:val="left"/>
              <w:rPr>
                <w:rFonts w:ascii="宋体" w:hAnsi="宋体" w:cs="宋体" w:eastAsia="宋体" w:hint="default"/>
                <w:sz w:val="21"/>
                <w:szCs w:val="21"/>
              </w:rPr>
            </w:pPr>
            <w:r>
              <w:rPr>
                <w:rFonts w:ascii="宋体" w:hAnsi="宋体" w:cs="宋体" w:eastAsia="宋体" w:hint="default"/>
                <w:spacing w:val="-8"/>
                <w:w w:val="100"/>
                <w:sz w:val="21"/>
                <w:szCs w:val="21"/>
              </w:rPr>
              <w:t>（即利润承诺期及期满后一年），本人</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sz w:val="21"/>
                <w:szCs w:val="21"/>
              </w:rPr>
              <w:t>本人近亲属、本人或本人近亲属控制或</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202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pict>
                <v:group style="width:45.5pt;height:101.4pt;mso-position-horizontal-relative:char;mso-position-vertical-relative:line" coordorigin="0,0" coordsize="910,2028">
                  <v:group style="position:absolute;left:0;top:0;width:910;height:2028" coordorigin="0,0" coordsize="910,2028">
                    <v:shape style="position:absolute;left:0;top:0;width:910;height:2028" coordorigin="0,0" coordsize="910,2028" path="m0,2028l910,2028,910,0,0,0,0,2028xe" filled="true" fillcolor="#ffffff" stroked="false">
                      <v:path arrowok="t"/>
                      <v:fill type="solid"/>
                    </v:shape>
                  </v:group>
                </v:group>
              </w:pict>
            </w:r>
            <w:r>
              <w:rPr>
                <w:rFonts w:ascii="Times New Roman" w:hAnsi="Times New Roman" w:cs="Times New Roman" w:eastAsia="Times New Roman" w:hint="default"/>
                <w:position w:val="-40"/>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21" w:right="185"/>
              <w:jc w:val="both"/>
              <w:rPr>
                <w:rFonts w:ascii="宋体" w:hAnsi="宋体" w:cs="宋体" w:eastAsia="宋体" w:hint="default"/>
                <w:sz w:val="21"/>
                <w:szCs w:val="21"/>
              </w:rPr>
            </w:pPr>
            <w:r>
              <w:rPr>
                <w:rFonts w:ascii="宋体" w:hAnsi="宋体" w:cs="宋体" w:eastAsia="宋体" w:hint="default"/>
                <w:sz w:val="21"/>
                <w:szCs w:val="21"/>
              </w:rPr>
              <w:t>利润承</w:t>
            </w:r>
            <w:r>
              <w:rPr>
                <w:rFonts w:ascii="宋体" w:hAnsi="宋体" w:cs="宋体" w:eastAsia="宋体" w:hint="default"/>
                <w:spacing w:val="-102"/>
                <w:sz w:val="21"/>
                <w:szCs w:val="21"/>
              </w:rPr>
              <w:t> </w:t>
            </w:r>
            <w:r>
              <w:rPr>
                <w:rFonts w:ascii="宋体" w:hAnsi="宋体" w:cs="宋体" w:eastAsia="宋体" w:hint="default"/>
                <w:sz w:val="21"/>
                <w:szCs w:val="21"/>
              </w:rPr>
              <w:t>诺期及</w:t>
            </w:r>
            <w:r>
              <w:rPr>
                <w:rFonts w:ascii="宋体" w:hAnsi="宋体" w:cs="宋体" w:eastAsia="宋体" w:hint="default"/>
                <w:spacing w:val="-102"/>
                <w:sz w:val="21"/>
                <w:szCs w:val="21"/>
              </w:rPr>
              <w:t> </w:t>
            </w:r>
            <w:r>
              <w:rPr>
                <w:rFonts w:ascii="宋体" w:hAnsi="宋体" w:cs="宋体" w:eastAsia="宋体" w:hint="default"/>
                <w:sz w:val="21"/>
                <w:szCs w:val="21"/>
              </w:rPr>
              <w:t>期满后</w:t>
            </w:r>
            <w:r>
              <w:rPr>
                <w:rFonts w:ascii="宋体" w:hAnsi="宋体" w:cs="宋体" w:eastAsia="宋体" w:hint="default"/>
                <w:spacing w:val="-102"/>
                <w:sz w:val="21"/>
                <w:szCs w:val="21"/>
              </w:rPr>
              <w:t> </w:t>
            </w:r>
            <w:r>
              <w:rPr>
                <w:rFonts w:ascii="宋体" w:hAnsi="宋体" w:cs="宋体" w:eastAsia="宋体" w:hint="default"/>
                <w:sz w:val="21"/>
                <w:szCs w:val="21"/>
              </w:rPr>
              <w:t>一年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73" w:lineRule="auto"/>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bl>
    <w:p>
      <w:pPr>
        <w:spacing w:after="0" w:line="273" w:lineRule="auto"/>
        <w:jc w:val="both"/>
        <w:rPr>
          <w:rFonts w:ascii="宋体" w:hAnsi="宋体" w:cs="宋体" w:eastAsia="宋体" w:hint="default"/>
          <w:sz w:val="21"/>
          <w:szCs w:val="21"/>
        </w:rPr>
        <w:sectPr>
          <w:pgSz w:w="11910" w:h="16840"/>
          <w:pgMar w:header="877" w:footer="980" w:top="1100" w:bottom="1160" w:left="70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740"/>
        <w:gridCol w:w="1162"/>
        <w:gridCol w:w="864"/>
        <w:gridCol w:w="3632"/>
        <w:gridCol w:w="919"/>
        <w:gridCol w:w="852"/>
        <w:gridCol w:w="821"/>
      </w:tblGrid>
      <w:tr>
        <w:trPr>
          <w:trHeight w:val="11244" w:hRule="exact"/>
        </w:trPr>
        <w:tc>
          <w:tcPr>
            <w:tcW w:w="1740" w:type="dxa"/>
            <w:vMerge w:val="restart"/>
            <w:tcBorders>
              <w:top w:val="nil" w:sz="6" w:space="0" w:color="auto"/>
              <w:left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2"/>
              <w:jc w:val="both"/>
              <w:rPr>
                <w:rFonts w:ascii="宋体" w:hAnsi="宋体" w:cs="宋体" w:eastAsia="宋体" w:hint="default"/>
                <w:sz w:val="21"/>
                <w:szCs w:val="21"/>
              </w:rPr>
            </w:pPr>
            <w:r>
              <w:rPr>
                <w:rFonts w:ascii="宋体" w:hAnsi="宋体" w:cs="宋体" w:eastAsia="宋体" w:hint="default"/>
                <w:spacing w:val="-2"/>
                <w:sz w:val="21"/>
                <w:szCs w:val="21"/>
              </w:rPr>
              <w:t>影响的企业将不会以任何方式（包括但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不限于自营、合资或联营）参与或进行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与超图软件及其下属子公司（含南京国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图）的主营业务存在竞争或可能构成竞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争的业务。</w:t>
            </w:r>
          </w:p>
          <w:p>
            <w:pPr>
              <w:pStyle w:val="TableParagraph"/>
              <w:spacing w:line="256" w:lineRule="auto" w:before="7"/>
              <w:ind w:left="23" w:right="20" w:firstLine="42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、在《发行股份及支付现金购买资</w:t>
            </w:r>
            <w:r>
              <w:rPr>
                <w:rFonts w:ascii="宋体" w:hAnsi="宋体" w:cs="宋体" w:eastAsia="宋体" w:hint="default"/>
                <w:w w:val="100"/>
                <w:sz w:val="21"/>
                <w:szCs w:val="21"/>
              </w:rPr>
              <w:t> </w:t>
            </w:r>
            <w:r>
              <w:rPr>
                <w:rFonts w:ascii="宋体" w:hAnsi="宋体" w:cs="宋体" w:eastAsia="宋体" w:hint="default"/>
                <w:spacing w:val="-2"/>
                <w:sz w:val="21"/>
                <w:szCs w:val="21"/>
              </w:rPr>
              <w:t>产协议》中约定的本人承诺任职期限内</w:t>
            </w:r>
          </w:p>
          <w:p>
            <w:pPr>
              <w:pStyle w:val="TableParagraph"/>
              <w:spacing w:line="273" w:lineRule="auto" w:before="22"/>
              <w:ind w:left="23" w:right="17"/>
              <w:jc w:val="both"/>
              <w:rPr>
                <w:rFonts w:ascii="宋体" w:hAnsi="宋体" w:cs="宋体" w:eastAsia="宋体" w:hint="default"/>
                <w:sz w:val="21"/>
                <w:szCs w:val="21"/>
              </w:rPr>
            </w:pPr>
            <w:r>
              <w:rPr>
                <w:rFonts w:ascii="宋体" w:hAnsi="宋体" w:cs="宋体" w:eastAsia="宋体" w:hint="default"/>
                <w:spacing w:val="-13"/>
                <w:w w:val="100"/>
                <w:sz w:val="21"/>
                <w:szCs w:val="21"/>
              </w:rPr>
              <w:t>（即利润承诺期及期满后一年），本人除</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2"/>
                <w:sz w:val="21"/>
                <w:szCs w:val="21"/>
              </w:rPr>
              <w:t>在超图软件及其下属子公司（含南京国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图）担任职务外，不在同超图软件及其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下属子公司（含南京国图）存在相同或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者相类似业务的实体任职或者担任任何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形式的顾问；不在为超图软件及其下属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子公司（含南京国图）工作之外以超图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软件及其下属子公司（含南京国图）的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名义为超图软件及其下属子公司（含南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京国图）现有客户提供相同或类似的商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品或服务。</w:t>
            </w:r>
          </w:p>
          <w:p>
            <w:pPr>
              <w:pStyle w:val="TableParagraph"/>
              <w:spacing w:line="268" w:lineRule="auto" w:before="7"/>
              <w:ind w:left="23" w:right="19" w:firstLine="42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4</w:t>
            </w:r>
            <w:r>
              <w:rPr>
                <w:rFonts w:ascii="宋体" w:hAnsi="宋体" w:cs="宋体" w:eastAsia="宋体" w:hint="default"/>
                <w:spacing w:val="-8"/>
                <w:sz w:val="21"/>
                <w:szCs w:val="21"/>
              </w:rPr>
              <w:t>、如果本人、本人近亲属、本人或</w:t>
            </w:r>
            <w:r>
              <w:rPr>
                <w:rFonts w:ascii="宋体" w:hAnsi="宋体" w:cs="宋体" w:eastAsia="宋体" w:hint="default"/>
                <w:w w:val="100"/>
                <w:sz w:val="21"/>
                <w:szCs w:val="21"/>
              </w:rPr>
              <w:t> </w:t>
            </w:r>
            <w:r>
              <w:rPr>
                <w:rFonts w:ascii="宋体" w:hAnsi="宋体" w:cs="宋体" w:eastAsia="宋体" w:hint="default"/>
                <w:spacing w:val="-2"/>
                <w:sz w:val="21"/>
                <w:szCs w:val="21"/>
              </w:rPr>
              <w:t>本人近亲属控制或影响的企业违反上述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声明、保证与承诺，并造成超图软件及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其下属子公司（含南京国图）经济损失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的，本人同意立即停止与超图软件及其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下属子公司（含南京国图）构成竞争之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业务，并采取必要措施予以纠正补救；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同时对因未履行承诺而给超图软件及其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下属子公司（含南京国图）造成的损失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和后果承担赔偿责任，具体赔偿标准为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本人按照本次交易时本人持有的南京国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图的股权比例</w:t>
            </w:r>
            <w:r>
              <w:rPr>
                <w:rFonts w:ascii="Times New Roman" w:hAnsi="Times New Roman" w:cs="Times New Roman" w:eastAsia="Times New Roman" w:hint="default"/>
                <w:sz w:val="21"/>
                <w:szCs w:val="21"/>
              </w:rPr>
              <w:t>×</w:t>
            </w:r>
            <w:r>
              <w:rPr>
                <w:rFonts w:ascii="宋体" w:hAnsi="宋体" w:cs="宋体" w:eastAsia="宋体" w:hint="default"/>
                <w:sz w:val="21"/>
                <w:szCs w:val="21"/>
              </w:rPr>
              <w:t>本次交易的资产交易总</w:t>
            </w:r>
            <w:r>
              <w:rPr>
                <w:rFonts w:ascii="宋体" w:hAnsi="宋体" w:cs="宋体" w:eastAsia="宋体" w:hint="default"/>
                <w:w w:val="100"/>
                <w:sz w:val="21"/>
                <w:szCs w:val="21"/>
              </w:rPr>
              <w:t> </w:t>
            </w:r>
            <w:r>
              <w:rPr>
                <w:rFonts w:ascii="宋体" w:hAnsi="宋体" w:cs="宋体" w:eastAsia="宋体" w:hint="default"/>
                <w:spacing w:val="-6"/>
                <w:sz w:val="21"/>
                <w:szCs w:val="21"/>
              </w:rPr>
              <w:t>价</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。在超图软件确认本人违反上述</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
                <w:w w:val="100"/>
                <w:sz w:val="21"/>
                <w:szCs w:val="21"/>
              </w:rPr>
              <w:t>承诺后的</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2"/>
                <w:w w:val="100"/>
                <w:sz w:val="21"/>
                <w:szCs w:val="21"/>
              </w:rPr>
              <w:t>30</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0"/>
                <w:w w:val="100"/>
                <w:sz w:val="21"/>
                <w:szCs w:val="21"/>
              </w:rPr>
              <w:t>天内，以现金方式对超图软</w:t>
            </w:r>
            <w:r>
              <w:rPr>
                <w:rFonts w:ascii="宋体" w:hAnsi="宋体" w:cs="宋体" w:eastAsia="宋体" w:hint="default"/>
                <w:w w:val="100"/>
                <w:sz w:val="21"/>
                <w:szCs w:val="21"/>
              </w:rPr>
              <w:t> </w:t>
            </w:r>
            <w:r>
              <w:rPr>
                <w:rFonts w:ascii="宋体" w:hAnsi="宋体" w:cs="宋体" w:eastAsia="宋体" w:hint="default"/>
                <w:sz w:val="21"/>
                <w:szCs w:val="21"/>
              </w:rPr>
              <w:t>件进行赔偿。</w:t>
            </w:r>
          </w:p>
          <w:p>
            <w:pPr>
              <w:pStyle w:val="TableParagraph"/>
              <w:spacing w:line="266" w:lineRule="auto" w:before="12"/>
              <w:ind w:left="23" w:right="20" w:firstLine="420"/>
              <w:jc w:val="both"/>
              <w:rPr>
                <w:rFonts w:ascii="宋体" w:hAnsi="宋体" w:cs="宋体" w:eastAsia="宋体" w:hint="default"/>
                <w:sz w:val="21"/>
                <w:szCs w:val="21"/>
              </w:rPr>
            </w:pPr>
            <w:r>
              <w:rPr>
                <w:rFonts w:ascii="Times New Roman" w:hAnsi="Times New Roman" w:cs="Times New Roman" w:eastAsia="Times New Roman" w:hint="default"/>
                <w:spacing w:val="-8"/>
                <w:sz w:val="21"/>
                <w:szCs w:val="21"/>
              </w:rPr>
              <w:t>5</w:t>
            </w:r>
            <w:r>
              <w:rPr>
                <w:rFonts w:ascii="宋体" w:hAnsi="宋体" w:cs="宋体" w:eastAsia="宋体" w:hint="default"/>
                <w:spacing w:val="-8"/>
                <w:sz w:val="21"/>
                <w:szCs w:val="21"/>
              </w:rPr>
              <w:t>、本声明、承诺与保证应被视为本</w:t>
            </w:r>
            <w:r>
              <w:rPr>
                <w:rFonts w:ascii="宋体" w:hAnsi="宋体" w:cs="宋体" w:eastAsia="宋体" w:hint="default"/>
                <w:w w:val="100"/>
                <w:sz w:val="21"/>
                <w:szCs w:val="21"/>
              </w:rPr>
              <w:t> </w:t>
            </w:r>
            <w:r>
              <w:rPr>
                <w:rFonts w:ascii="宋体" w:hAnsi="宋体" w:cs="宋体" w:eastAsia="宋体" w:hint="default"/>
                <w:spacing w:val="-2"/>
                <w:sz w:val="21"/>
                <w:szCs w:val="21"/>
              </w:rPr>
              <w:t>人对超图软件及超图软件的其他股东共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同和分别作出的声明、承诺和保证。</w:t>
            </w: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1740" w:type="dxa"/>
            <w:vMerge/>
            <w:tcBorders>
              <w:left w:val="single" w:sz="4" w:space="0" w:color="000000"/>
              <w:bottom w:val="nil" w:sz="6" w:space="0" w:color="auto"/>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21" w:right="0"/>
              <w:jc w:val="left"/>
              <w:rPr>
                <w:rFonts w:ascii="宋体" w:hAnsi="宋体" w:cs="宋体" w:eastAsia="宋体" w:hint="default"/>
                <w:sz w:val="21"/>
                <w:szCs w:val="21"/>
              </w:rPr>
            </w:pPr>
            <w:r>
              <w:rPr>
                <w:rFonts w:ascii="宋体" w:hAnsi="宋体" w:cs="宋体" w:eastAsia="宋体" w:hint="default"/>
                <w:sz w:val="21"/>
                <w:szCs w:val="21"/>
              </w:rPr>
              <w:t>孙在宏</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21" w:right="197"/>
              <w:jc w:val="both"/>
              <w:rPr>
                <w:rFonts w:ascii="宋体" w:hAnsi="宋体" w:cs="宋体" w:eastAsia="宋体" w:hint="default"/>
                <w:sz w:val="21"/>
                <w:szCs w:val="21"/>
              </w:rPr>
            </w:pPr>
            <w:r>
              <w:rPr>
                <w:rFonts w:ascii="宋体" w:hAnsi="宋体" w:cs="宋体" w:eastAsia="宋体" w:hint="default"/>
                <w:sz w:val="21"/>
                <w:szCs w:val="21"/>
              </w:rPr>
              <w:t>关于任</w:t>
            </w:r>
            <w:r>
              <w:rPr>
                <w:rFonts w:ascii="宋体" w:hAnsi="宋体" w:cs="宋体" w:eastAsia="宋体" w:hint="default"/>
                <w:spacing w:val="-102"/>
                <w:sz w:val="21"/>
                <w:szCs w:val="21"/>
              </w:rPr>
              <w:t> </w:t>
            </w:r>
            <w:r>
              <w:rPr>
                <w:rFonts w:ascii="宋体" w:hAnsi="宋体" w:cs="宋体" w:eastAsia="宋体" w:hint="default"/>
                <w:sz w:val="21"/>
                <w:szCs w:val="21"/>
              </w:rPr>
              <w:t>职期限</w:t>
            </w:r>
            <w:r>
              <w:rPr>
                <w:rFonts w:ascii="宋体" w:hAnsi="宋体" w:cs="宋体" w:eastAsia="宋体" w:hint="default"/>
                <w:spacing w:val="-102"/>
                <w:sz w:val="21"/>
                <w:szCs w:val="21"/>
              </w:rPr>
              <w:t> </w:t>
            </w:r>
            <w:r>
              <w:rPr>
                <w:rFonts w:ascii="宋体" w:hAnsi="宋体" w:cs="宋体" w:eastAsia="宋体" w:hint="default"/>
                <w:sz w:val="21"/>
                <w:szCs w:val="21"/>
              </w:rPr>
              <w:t>和竞业</w:t>
            </w:r>
            <w:r>
              <w:rPr>
                <w:rFonts w:ascii="宋体" w:hAnsi="宋体" w:cs="宋体" w:eastAsia="宋体" w:hint="default"/>
                <w:spacing w:val="-102"/>
                <w:sz w:val="21"/>
                <w:szCs w:val="21"/>
              </w:rPr>
              <w:t> </w:t>
            </w:r>
            <w:r>
              <w:rPr>
                <w:rFonts w:ascii="宋体" w:hAnsi="宋体" w:cs="宋体" w:eastAsia="宋体" w:hint="default"/>
                <w:sz w:val="21"/>
                <w:szCs w:val="21"/>
              </w:rPr>
              <w:t>禁止的</w:t>
            </w:r>
            <w:r>
              <w:rPr>
                <w:rFonts w:ascii="宋体" w:hAnsi="宋体" w:cs="宋体" w:eastAsia="宋体" w:hint="default"/>
                <w:spacing w:val="-102"/>
                <w:sz w:val="21"/>
                <w:szCs w:val="21"/>
              </w:rPr>
              <w:t> </w:t>
            </w:r>
            <w:r>
              <w:rPr>
                <w:rFonts w:ascii="宋体" w:hAnsi="宋体" w:cs="宋体" w:eastAsia="宋体" w:hint="default"/>
                <w:sz w:val="21"/>
                <w:szCs w:val="21"/>
              </w:rPr>
              <w:t>承诺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41" w:right="2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、关于任职期限</w:t>
            </w:r>
            <w:r>
              <w:rPr>
                <w:rFonts w:ascii="宋体" w:hAnsi="宋体" w:cs="宋体" w:eastAsia="宋体" w:hint="default"/>
                <w:w w:val="100"/>
                <w:sz w:val="21"/>
                <w:szCs w:val="21"/>
              </w:rPr>
              <w:t> </w:t>
            </w:r>
            <w:r>
              <w:rPr>
                <w:rFonts w:ascii="宋体" w:hAnsi="宋体" w:cs="宋体" w:eastAsia="宋体" w:hint="default"/>
                <w:spacing w:val="-2"/>
                <w:sz w:val="21"/>
                <w:szCs w:val="21"/>
              </w:rPr>
              <w:t>为保证南京国图及其子公司持续发</w:t>
            </w:r>
          </w:p>
          <w:p>
            <w:pPr>
              <w:pStyle w:val="TableParagraph"/>
              <w:spacing w:line="266" w:lineRule="auto" w:before="22"/>
              <w:ind w:left="21" w:right="24"/>
              <w:jc w:val="right"/>
              <w:rPr>
                <w:rFonts w:ascii="宋体" w:hAnsi="宋体" w:cs="宋体" w:eastAsia="宋体" w:hint="default"/>
                <w:sz w:val="21"/>
                <w:szCs w:val="21"/>
              </w:rPr>
            </w:pPr>
            <w:r>
              <w:rPr>
                <w:rFonts w:ascii="宋体" w:hAnsi="宋体" w:cs="宋体" w:eastAsia="宋体" w:hint="default"/>
                <w:spacing w:val="-2"/>
                <w:sz w:val="21"/>
                <w:szCs w:val="21"/>
              </w:rPr>
              <w:t>展和保持持续竞争优势，在本次交易交</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割前，本人应与南京国图签订不短于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年期限的聘用合同，在本次交易完成南</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京国图股权交割后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年内，非经超图软</w:t>
            </w:r>
            <w:r>
              <w:rPr>
                <w:rFonts w:ascii="宋体" w:hAnsi="宋体" w:cs="宋体" w:eastAsia="宋体" w:hint="default"/>
                <w:w w:val="100"/>
                <w:sz w:val="21"/>
                <w:szCs w:val="21"/>
              </w:rPr>
              <w:t> </w:t>
            </w:r>
            <w:r>
              <w:rPr>
                <w:rFonts w:ascii="宋体" w:hAnsi="宋体" w:cs="宋体" w:eastAsia="宋体" w:hint="default"/>
                <w:spacing w:val="-2"/>
                <w:sz w:val="21"/>
                <w:szCs w:val="21"/>
              </w:rPr>
              <w:t>件同意，本人不主动从南京国图离职。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本人承诺，在利润承诺期内不得以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64"/>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bl>
    <w:p>
      <w:pPr>
        <w:spacing w:after="0" w:line="273" w:lineRule="auto"/>
        <w:jc w:val="both"/>
        <w:rPr>
          <w:rFonts w:ascii="宋体" w:hAnsi="宋体" w:cs="宋体" w:eastAsia="宋体" w:hint="default"/>
          <w:sz w:val="21"/>
          <w:szCs w:val="21"/>
        </w:rPr>
        <w:sectPr>
          <w:pgSz w:w="11910" w:h="16840"/>
          <w:pgMar w:header="877" w:footer="980" w:top="1100" w:bottom="1160" w:left="700" w:right="980"/>
        </w:sectPr>
      </w:pPr>
    </w:p>
    <w:p>
      <w:pPr>
        <w:spacing w:line="240" w:lineRule="auto" w:before="11"/>
        <w:rPr>
          <w:rFonts w:ascii="Times New Roman" w:hAnsi="Times New Roman" w:cs="Times New Roman" w:eastAsia="Times New Roman" w:hint="default"/>
          <w:sz w:val="27"/>
          <w:szCs w:val="27"/>
        </w:rPr>
      </w:pPr>
      <w:r>
        <w:rPr/>
        <w:pict>
          <v:shape style="position:absolute;margin-left:403.87384pt;margin-top:72.475983pt;width:52.6pt;height:686.5pt;mso-position-horizontal-relative:page;mso-position-vertical-relative:page;z-index:-998656"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6"/>
                      <w:szCs w:val="26"/>
                    </w:rPr>
                  </w:pPr>
                </w:p>
                <w:p>
                  <w:pPr>
                    <w:spacing w:before="0"/>
                    <w:ind w:left="4" w:right="0" w:firstLine="0"/>
                    <w:jc w:val="lef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8"/>
                      <w:szCs w:val="28"/>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11" w:type="dxa"/>
        <w:tblLayout w:type="fixed"/>
        <w:tblCellMar>
          <w:top w:w="0" w:type="dxa"/>
          <w:left w:w="0" w:type="dxa"/>
          <w:bottom w:w="0" w:type="dxa"/>
          <w:right w:w="0" w:type="dxa"/>
        </w:tblCellMar>
        <w:tblLook w:val="01E0"/>
      </w:tblPr>
      <w:tblGrid>
        <w:gridCol w:w="1740"/>
        <w:gridCol w:w="1162"/>
        <w:gridCol w:w="864"/>
        <w:gridCol w:w="3632"/>
        <w:gridCol w:w="919"/>
        <w:gridCol w:w="852"/>
        <w:gridCol w:w="821"/>
      </w:tblGrid>
      <w:tr>
        <w:trPr>
          <w:trHeight w:val="318" w:hRule="exact"/>
        </w:trPr>
        <w:tc>
          <w:tcPr>
            <w:tcW w:w="1740" w:type="dxa"/>
            <w:vMerge w:val="restart"/>
            <w:tcBorders>
              <w:top w:val="nil" w:sz="6" w:space="0" w:color="auto"/>
              <w:left w:val="single" w:sz="4" w:space="0" w:color="000000"/>
              <w:right w:val="single" w:sz="4" w:space="0" w:color="000000"/>
            </w:tcBorders>
            <w:shd w:val="clear" w:color="auto" w:fill="D9D9D9"/>
          </w:tcPr>
          <w:p>
            <w:pPr/>
          </w:p>
        </w:tc>
        <w:tc>
          <w:tcPr>
            <w:tcW w:w="1162"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
        </w:tc>
        <w:tc>
          <w:tcPr>
            <w:tcW w:w="363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任何原因主动从超图软件（含超图软件</w:t>
            </w:r>
          </w:p>
        </w:tc>
        <w:tc>
          <w:tcPr>
            <w:tcW w:w="919"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5.5pt;height:686.5pt;mso-position-horizontal-relative:char;mso-position-vertical-relative:line" coordorigin="0,0" coordsize="910,13730">
                  <v:group style="position:absolute;left:0;top:0;width:910;height:13730" coordorigin="0,0" coordsize="910,13730">
                    <v:shape style="position:absolute;left:0;top:0;width:910;height:13730" coordorigin="0,0" coordsize="910,13730" path="m0,13730l910,13730,910,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852"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关联方）离职，并应履行本人应尽勤勉</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尽责义务。若本人在利润承诺期内从超</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图软件（含超图软件关联方）或南京国</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图离职，则本人届时所持有的全部尚未</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到期解禁的本次发行股份将在利润承诺</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期满后方能解禁，届时，该部分股份应</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在超图软件监管账户下完成转让，并将</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转让价款全额支付给超图软件作为赔偿</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金。此外，本人承诺在利润承诺期满后</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的二年内不得从超图软件（含超图软件</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关联方）或南京国图离职，并继续履行</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本人应尽勤勉尽责义务，否则每提前一</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年（不足一年的视为一年）应向南京国</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1" w:right="0"/>
              <w:jc w:val="left"/>
              <w:rPr>
                <w:rFonts w:ascii="宋体" w:hAnsi="宋体" w:cs="宋体" w:eastAsia="宋体" w:hint="default"/>
                <w:sz w:val="21"/>
                <w:szCs w:val="21"/>
              </w:rPr>
            </w:pPr>
            <w:r>
              <w:rPr>
                <w:rFonts w:ascii="宋体" w:hAnsi="宋体" w:cs="宋体" w:eastAsia="宋体" w:hint="default"/>
                <w:spacing w:val="-7"/>
                <w:sz w:val="21"/>
                <w:szCs w:val="21"/>
              </w:rPr>
              <w:t>图支付【</w:t>
            </w:r>
            <w:r>
              <w:rPr>
                <w:rFonts w:ascii="Times New Roman" w:hAnsi="Times New Roman" w:cs="Times New Roman" w:eastAsia="Times New Roman" w:hint="default"/>
                <w:spacing w:val="-7"/>
                <w:sz w:val="21"/>
                <w:szCs w:val="21"/>
              </w:rPr>
              <w:t>100</w:t>
            </w:r>
            <w:r>
              <w:rPr>
                <w:rFonts w:ascii="宋体" w:hAnsi="宋体" w:cs="宋体" w:eastAsia="宋体" w:hint="default"/>
                <w:spacing w:val="-7"/>
                <w:sz w:val="21"/>
                <w:szCs w:val="21"/>
              </w:rPr>
              <w:t>】万元赔偿款。但在利润承</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06"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pacing w:val="-8"/>
                <w:sz w:val="21"/>
                <w:szCs w:val="21"/>
              </w:rPr>
              <w:t>诺期内，如本人因疾病、丧失劳动能力</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死亡等身体原因无法继续任职而离职</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的，该等离职不属于违反任职期限承诺</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的事项。</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、关于竞业禁止</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06"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在《发行股份及支付现金购买资产</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协</w:t>
            </w:r>
            <w:r>
              <w:rPr>
                <w:rFonts w:ascii="宋体" w:hAnsi="宋体" w:cs="宋体" w:eastAsia="宋体" w:hint="default"/>
                <w:spacing w:val="-3"/>
                <w:w w:val="100"/>
                <w:sz w:val="21"/>
                <w:szCs w:val="21"/>
              </w:rPr>
              <w:t>议</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约</w:t>
            </w:r>
            <w:r>
              <w:rPr>
                <w:rFonts w:ascii="宋体" w:hAnsi="宋体" w:cs="宋体" w:eastAsia="宋体" w:hint="default"/>
                <w:spacing w:val="-3"/>
                <w:w w:val="100"/>
                <w:sz w:val="21"/>
                <w:szCs w:val="21"/>
              </w:rPr>
              <w:t>定</w:t>
            </w:r>
            <w:r>
              <w:rPr>
                <w:rFonts w:ascii="宋体" w:hAnsi="宋体" w:cs="宋体" w:eastAsia="宋体" w:hint="default"/>
                <w:w w:val="100"/>
                <w:sz w:val="21"/>
                <w:szCs w:val="21"/>
              </w:rPr>
              <w:t>的</w:t>
            </w:r>
            <w:r>
              <w:rPr>
                <w:rFonts w:ascii="宋体" w:hAnsi="宋体" w:cs="宋体" w:eastAsia="宋体" w:hint="default"/>
                <w:spacing w:val="-3"/>
                <w:w w:val="100"/>
                <w:sz w:val="21"/>
                <w:szCs w:val="21"/>
              </w:rPr>
              <w:t>本</w:t>
            </w:r>
            <w:r>
              <w:rPr>
                <w:rFonts w:ascii="宋体" w:hAnsi="宋体" w:cs="宋体" w:eastAsia="宋体" w:hint="default"/>
                <w:w w:val="100"/>
                <w:sz w:val="21"/>
                <w:szCs w:val="21"/>
              </w:rPr>
              <w:t>人</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任</w:t>
            </w:r>
            <w:r>
              <w:rPr>
                <w:rFonts w:ascii="宋体" w:hAnsi="宋体" w:cs="宋体" w:eastAsia="宋体" w:hint="default"/>
                <w:w w:val="100"/>
                <w:sz w:val="21"/>
                <w:szCs w:val="21"/>
              </w:rPr>
              <w:t>职期</w:t>
            </w:r>
            <w:r>
              <w:rPr>
                <w:rFonts w:ascii="宋体" w:hAnsi="宋体" w:cs="宋体" w:eastAsia="宋体" w:hint="default"/>
                <w:spacing w:val="-3"/>
                <w:w w:val="100"/>
                <w:sz w:val="21"/>
                <w:szCs w:val="21"/>
              </w:rPr>
              <w:t>限</w:t>
            </w:r>
            <w:r>
              <w:rPr>
                <w:rFonts w:ascii="宋体" w:hAnsi="宋体" w:cs="宋体" w:eastAsia="宋体" w:hint="default"/>
                <w:spacing w:val="-104"/>
                <w:w w:val="100"/>
                <w:sz w:val="21"/>
                <w:szCs w:val="21"/>
              </w:rPr>
              <w:t>内</w:t>
            </w:r>
            <w:r>
              <w:rPr>
                <w:rFonts w:ascii="宋体" w:hAnsi="宋体" w:cs="宋体" w:eastAsia="宋体" w:hint="default"/>
                <w:w w:val="100"/>
                <w:sz w:val="21"/>
                <w:szCs w:val="21"/>
              </w:rPr>
              <w:t>（即</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利润</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期</w:t>
            </w:r>
            <w:r>
              <w:rPr>
                <w:rFonts w:ascii="宋体" w:hAnsi="宋体" w:cs="宋体" w:eastAsia="宋体" w:hint="default"/>
                <w:w w:val="100"/>
                <w:sz w:val="21"/>
                <w:szCs w:val="21"/>
              </w:rPr>
              <w:t>及</w:t>
            </w:r>
            <w:r>
              <w:rPr>
                <w:rFonts w:ascii="宋体" w:hAnsi="宋体" w:cs="宋体" w:eastAsia="宋体" w:hint="default"/>
                <w:spacing w:val="-3"/>
                <w:w w:val="100"/>
                <w:sz w:val="21"/>
                <w:szCs w:val="21"/>
              </w:rPr>
              <w:t>期</w:t>
            </w:r>
            <w:r>
              <w:rPr>
                <w:rFonts w:ascii="宋体" w:hAnsi="宋体" w:cs="宋体" w:eastAsia="宋体" w:hint="default"/>
                <w:w w:val="100"/>
                <w:sz w:val="21"/>
                <w:szCs w:val="21"/>
              </w:rPr>
              <w:t>满</w:t>
            </w:r>
            <w:r>
              <w:rPr>
                <w:rFonts w:ascii="宋体" w:hAnsi="宋体" w:cs="宋体" w:eastAsia="宋体" w:hint="default"/>
                <w:spacing w:val="-3"/>
                <w:w w:val="100"/>
                <w:sz w:val="21"/>
                <w:szCs w:val="21"/>
              </w:rPr>
              <w:t>后</w:t>
            </w:r>
            <w:r>
              <w:rPr>
                <w:rFonts w:ascii="宋体" w:hAnsi="宋体" w:cs="宋体" w:eastAsia="宋体" w:hint="default"/>
                <w:w w:val="100"/>
                <w:sz w:val="21"/>
                <w:szCs w:val="21"/>
              </w:rPr>
              <w:t>两</w:t>
            </w:r>
            <w:r>
              <w:rPr>
                <w:rFonts w:ascii="宋体" w:hAnsi="宋体" w:cs="宋体" w:eastAsia="宋体" w:hint="default"/>
                <w:spacing w:val="-3"/>
                <w:w w:val="100"/>
                <w:sz w:val="21"/>
                <w:szCs w:val="21"/>
              </w:rPr>
              <w:t>年</w:t>
            </w:r>
            <w:r>
              <w:rPr>
                <w:rFonts w:ascii="宋体" w:hAnsi="宋体" w:cs="宋体" w:eastAsia="宋体" w:hint="default"/>
                <w:spacing w:val="-108"/>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人</w:t>
            </w:r>
            <w:r>
              <w:rPr>
                <w:rFonts w:ascii="宋体" w:hAnsi="宋体" w:cs="宋体" w:eastAsia="宋体" w:hint="default"/>
                <w:w w:val="100"/>
                <w:sz w:val="21"/>
                <w:szCs w:val="21"/>
              </w:rPr>
              <w:t>除</w:t>
            </w:r>
            <w:r>
              <w:rPr>
                <w:rFonts w:ascii="宋体" w:hAnsi="宋体" w:cs="宋体" w:eastAsia="宋体" w:hint="default"/>
                <w:spacing w:val="-3"/>
                <w:w w:val="100"/>
                <w:sz w:val="21"/>
                <w:szCs w:val="21"/>
              </w:rPr>
              <w:t>在</w:t>
            </w:r>
            <w:r>
              <w:rPr>
                <w:rFonts w:ascii="宋体" w:hAnsi="宋体" w:cs="宋体" w:eastAsia="宋体" w:hint="default"/>
                <w:w w:val="100"/>
                <w:sz w:val="21"/>
                <w:szCs w:val="21"/>
              </w:rPr>
              <w:t>超</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图软件及其下属子公司（含南京国图）</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担任职务外，不在同超图软件及其下属</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子公司（含南京国图）存在相同或者相</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类似业务的实体任职或者担任任何形式</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的顾问；不在为超图软件及其下属子公</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司（含南京国图）工作之外以超图软件</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及其下属子公司（含南京国图）的名义</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为超图软件及其下属子公司（含南京国</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图）现有客户提供相同或类似的商品或</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若本人违反上述承诺，应立即停止</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与超图软件及其下属子公司（含南京国</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图）构成竞争之业务，并采取必要措施</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予以纠正补救；同时对因未履行承诺而</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给超图软件及其下属子公司（含南京国</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图）造成的损失和后果承担赔偿责任，</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具体赔偿标准为本人按照本次交易时所</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1" w:right="0"/>
              <w:jc w:val="left"/>
              <w:rPr>
                <w:rFonts w:ascii="宋体" w:hAnsi="宋体" w:cs="宋体" w:eastAsia="宋体" w:hint="default"/>
                <w:sz w:val="21"/>
                <w:szCs w:val="21"/>
              </w:rPr>
            </w:pPr>
            <w:r>
              <w:rPr>
                <w:rFonts w:ascii="宋体" w:hAnsi="宋体" w:cs="宋体" w:eastAsia="宋体" w:hint="default"/>
                <w:sz w:val="21"/>
                <w:szCs w:val="21"/>
              </w:rPr>
              <w:t>持有的南京国图的股权比例</w:t>
            </w:r>
            <w:r>
              <w:rPr>
                <w:rFonts w:ascii="Times New Roman" w:hAnsi="Times New Roman" w:cs="Times New Roman" w:eastAsia="Times New Roman" w:hint="default"/>
                <w:sz w:val="21"/>
                <w:szCs w:val="21"/>
              </w:rPr>
              <w:t>×</w:t>
            </w:r>
            <w:r>
              <w:rPr>
                <w:rFonts w:ascii="宋体" w:hAnsi="宋体" w:cs="宋体" w:eastAsia="宋体" w:hint="default"/>
                <w:sz w:val="21"/>
                <w:szCs w:val="21"/>
              </w:rPr>
              <w:t>本次交易</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pacing w:val="-6"/>
                <w:sz w:val="21"/>
                <w:szCs w:val="21"/>
              </w:rPr>
              <w:t>的资产交易总价</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。本人应在超图软</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件确认本人违反上述承诺后的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天内</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0" w:hRule="exact"/>
        </w:trPr>
        <w:tc>
          <w:tcPr>
            <w:tcW w:w="1740" w:type="dxa"/>
            <w:vMerge/>
            <w:tcBorders>
              <w:left w:val="single" w:sz="4" w:space="0" w:color="000000"/>
              <w:bottom w:val="nil" w:sz="6" w:space="0" w:color="auto"/>
              <w:right w:val="single" w:sz="4" w:space="0" w:color="000000"/>
            </w:tcBorders>
            <w:shd w:val="clear" w:color="auto" w:fill="D9D9D9"/>
          </w:tcPr>
          <w:p>
            <w:pPr/>
          </w:p>
        </w:tc>
        <w:tc>
          <w:tcPr>
            <w:tcW w:w="1162"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3632"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以现金方式对超图软件进行赔偿。</w:t>
            </w:r>
          </w:p>
        </w:tc>
        <w:tc>
          <w:tcPr>
            <w:tcW w:w="919"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70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740"/>
        <w:gridCol w:w="1162"/>
        <w:gridCol w:w="864"/>
        <w:gridCol w:w="3632"/>
        <w:gridCol w:w="919"/>
        <w:gridCol w:w="852"/>
        <w:gridCol w:w="821"/>
      </w:tblGrid>
      <w:tr>
        <w:trPr>
          <w:trHeight w:val="13740" w:hRule="exact"/>
        </w:trPr>
        <w:tc>
          <w:tcPr>
            <w:tcW w:w="1740" w:type="dxa"/>
            <w:tcBorders>
              <w:top w:val="nil" w:sz="6" w:space="0" w:color="auto"/>
              <w:left w:val="single" w:sz="4" w:space="0" w:color="000000"/>
              <w:bottom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4" w:lineRule="auto" w:before="175"/>
              <w:ind w:left="21" w:right="75"/>
              <w:jc w:val="both"/>
              <w:rPr>
                <w:rFonts w:ascii="宋体" w:hAnsi="宋体" w:cs="宋体" w:eastAsia="宋体" w:hint="default"/>
                <w:sz w:val="21"/>
                <w:szCs w:val="21"/>
              </w:rPr>
            </w:pPr>
            <w:r>
              <w:rPr>
                <w:rFonts w:ascii="宋体" w:hAnsi="宋体" w:cs="宋体" w:eastAsia="宋体" w:hint="default"/>
                <w:sz w:val="21"/>
                <w:szCs w:val="21"/>
              </w:rPr>
              <w:t>吴长彬等其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名业绩</w:t>
            </w:r>
            <w:r>
              <w:rPr>
                <w:rFonts w:ascii="宋体" w:hAnsi="宋体" w:cs="宋体" w:eastAsia="宋体" w:hint="default"/>
                <w:w w:val="100"/>
                <w:sz w:val="21"/>
                <w:szCs w:val="21"/>
              </w:rPr>
              <w:t> </w:t>
            </w:r>
            <w:r>
              <w:rPr>
                <w:rFonts w:ascii="宋体" w:hAnsi="宋体" w:cs="宋体" w:eastAsia="宋体" w:hint="default"/>
                <w:sz w:val="21"/>
                <w:szCs w:val="21"/>
              </w:rPr>
              <w:t>承诺人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73" w:lineRule="auto"/>
              <w:ind w:left="21" w:right="197"/>
              <w:jc w:val="both"/>
              <w:rPr>
                <w:rFonts w:ascii="宋体" w:hAnsi="宋体" w:cs="宋体" w:eastAsia="宋体" w:hint="default"/>
                <w:sz w:val="21"/>
                <w:szCs w:val="21"/>
              </w:rPr>
            </w:pPr>
            <w:r>
              <w:rPr>
                <w:rFonts w:ascii="宋体" w:hAnsi="宋体" w:cs="宋体" w:eastAsia="宋体" w:hint="default"/>
                <w:sz w:val="21"/>
                <w:szCs w:val="21"/>
              </w:rPr>
              <w:t>关于任</w:t>
            </w:r>
            <w:r>
              <w:rPr>
                <w:rFonts w:ascii="宋体" w:hAnsi="宋体" w:cs="宋体" w:eastAsia="宋体" w:hint="default"/>
                <w:spacing w:val="-102"/>
                <w:sz w:val="21"/>
                <w:szCs w:val="21"/>
              </w:rPr>
              <w:t> </w:t>
            </w:r>
            <w:r>
              <w:rPr>
                <w:rFonts w:ascii="宋体" w:hAnsi="宋体" w:cs="宋体" w:eastAsia="宋体" w:hint="default"/>
                <w:sz w:val="21"/>
                <w:szCs w:val="21"/>
              </w:rPr>
              <w:t>职期限</w:t>
            </w:r>
            <w:r>
              <w:rPr>
                <w:rFonts w:ascii="宋体" w:hAnsi="宋体" w:cs="宋体" w:eastAsia="宋体" w:hint="default"/>
                <w:spacing w:val="-102"/>
                <w:sz w:val="21"/>
                <w:szCs w:val="21"/>
              </w:rPr>
              <w:t> </w:t>
            </w:r>
            <w:r>
              <w:rPr>
                <w:rFonts w:ascii="宋体" w:hAnsi="宋体" w:cs="宋体" w:eastAsia="宋体" w:hint="default"/>
                <w:sz w:val="21"/>
                <w:szCs w:val="21"/>
              </w:rPr>
              <w:t>和竞业</w:t>
            </w:r>
            <w:r>
              <w:rPr>
                <w:rFonts w:ascii="宋体" w:hAnsi="宋体" w:cs="宋体" w:eastAsia="宋体" w:hint="default"/>
                <w:spacing w:val="-102"/>
                <w:sz w:val="21"/>
                <w:szCs w:val="21"/>
              </w:rPr>
              <w:t> </w:t>
            </w:r>
            <w:r>
              <w:rPr>
                <w:rFonts w:ascii="宋体" w:hAnsi="宋体" w:cs="宋体" w:eastAsia="宋体" w:hint="default"/>
                <w:sz w:val="21"/>
                <w:szCs w:val="21"/>
              </w:rPr>
              <w:t>禁止的</w:t>
            </w:r>
            <w:r>
              <w:rPr>
                <w:rFonts w:ascii="宋体" w:hAnsi="宋体" w:cs="宋体" w:eastAsia="宋体" w:hint="default"/>
                <w:spacing w:val="-102"/>
                <w:sz w:val="21"/>
                <w:szCs w:val="21"/>
              </w:rPr>
              <w:t> </w:t>
            </w:r>
            <w:r>
              <w:rPr>
                <w:rFonts w:ascii="宋体" w:hAnsi="宋体" w:cs="宋体" w:eastAsia="宋体" w:hint="default"/>
                <w:sz w:val="21"/>
                <w:szCs w:val="21"/>
              </w:rPr>
              <w:t>承诺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41" w:right="2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、关于任职期限</w:t>
            </w:r>
            <w:r>
              <w:rPr>
                <w:rFonts w:ascii="宋体" w:hAnsi="宋体" w:cs="宋体" w:eastAsia="宋体" w:hint="default"/>
                <w:w w:val="100"/>
                <w:sz w:val="21"/>
                <w:szCs w:val="21"/>
              </w:rPr>
              <w:t> </w:t>
            </w:r>
            <w:r>
              <w:rPr>
                <w:rFonts w:ascii="宋体" w:hAnsi="宋体" w:cs="宋体" w:eastAsia="宋体" w:hint="default"/>
                <w:spacing w:val="-2"/>
                <w:sz w:val="21"/>
                <w:szCs w:val="21"/>
              </w:rPr>
              <w:t>为保证南京国图及其子公司持续发</w:t>
            </w:r>
          </w:p>
          <w:p>
            <w:pPr>
              <w:pStyle w:val="TableParagraph"/>
              <w:spacing w:line="271" w:lineRule="auto" w:before="22"/>
              <w:ind w:left="21" w:right="24"/>
              <w:jc w:val="right"/>
              <w:rPr>
                <w:rFonts w:ascii="宋体" w:hAnsi="宋体" w:cs="宋体" w:eastAsia="宋体" w:hint="default"/>
                <w:sz w:val="21"/>
                <w:szCs w:val="21"/>
              </w:rPr>
            </w:pPr>
            <w:r>
              <w:rPr>
                <w:rFonts w:ascii="宋体" w:hAnsi="宋体" w:cs="宋体" w:eastAsia="宋体" w:hint="default"/>
                <w:spacing w:val="-2"/>
                <w:sz w:val="21"/>
                <w:szCs w:val="21"/>
              </w:rPr>
              <w:t>展和保持持续竞争优势，在本次交易交</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割前，本人应与南京国图签订不短于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年期限的聘用合同，在本次交易完成南</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京国图股权交割后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年内，非经超图软</w:t>
            </w:r>
            <w:r>
              <w:rPr>
                <w:rFonts w:ascii="宋体" w:hAnsi="宋体" w:cs="宋体" w:eastAsia="宋体" w:hint="default"/>
                <w:w w:val="100"/>
                <w:sz w:val="21"/>
                <w:szCs w:val="21"/>
              </w:rPr>
              <w:t> </w:t>
            </w:r>
            <w:r>
              <w:rPr>
                <w:rFonts w:ascii="宋体" w:hAnsi="宋体" w:cs="宋体" w:eastAsia="宋体" w:hint="default"/>
                <w:spacing w:val="-2"/>
                <w:sz w:val="21"/>
                <w:szCs w:val="21"/>
              </w:rPr>
              <w:t>件同意，本人不主动从南京国图离职。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本人承诺，在利润承诺期内不得以</w:t>
            </w:r>
            <w:r>
              <w:rPr>
                <w:rFonts w:ascii="宋体" w:hAnsi="宋体" w:cs="宋体" w:eastAsia="宋体" w:hint="default"/>
                <w:w w:val="100"/>
                <w:sz w:val="21"/>
                <w:szCs w:val="21"/>
              </w:rPr>
              <w:t> </w:t>
            </w:r>
            <w:r>
              <w:rPr>
                <w:rFonts w:ascii="宋体" w:hAnsi="宋体" w:cs="宋体" w:eastAsia="宋体" w:hint="default"/>
                <w:spacing w:val="-2"/>
                <w:sz w:val="21"/>
                <w:szCs w:val="21"/>
              </w:rPr>
              <w:t>任何原因主动从超图软件（含超图软件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关联方）离职，并应履行本人应尽勤勉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尽责义务。如本人在利润承诺期内从超</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图软件（含超图软件关联方）或南京国</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图离职，则本人届时所持有的全部尚未</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到期解禁的本次发行股份将在利润承诺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期满后方能解禁，届时，该部分股份应</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在超图软件监管账户下完成转让，并将</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转让价款全额支付给孙在宏先生，由孙</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在宏先生将该等转让价款向尚未离职的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其他管理层股东或其他南京国图骨干人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员进行分配。此外，本人承诺在利润承</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诺期满后一年内不得从超图软件（含超</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图软件关联方）或南京国图离职，并继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续履行本人应尽勤勉尽责义务，若一年</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内（不足一年的视同为一年）从超图软</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件（含超图软件关联方）或南京国图离</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9"/>
                <w:sz w:val="21"/>
                <w:szCs w:val="21"/>
              </w:rPr>
              <w:t>职，则本人应向南京国图支付【</w:t>
            </w:r>
            <w:r>
              <w:rPr>
                <w:rFonts w:ascii="Times New Roman" w:hAnsi="Times New Roman" w:cs="Times New Roman" w:eastAsia="Times New Roman" w:hint="default"/>
                <w:spacing w:val="-9"/>
                <w:sz w:val="21"/>
                <w:szCs w:val="21"/>
              </w:rPr>
              <w:t>100</w:t>
            </w:r>
            <w:r>
              <w:rPr>
                <w:rFonts w:ascii="宋体" w:hAnsi="宋体" w:cs="宋体" w:eastAsia="宋体" w:hint="default"/>
                <w:spacing w:val="-9"/>
                <w:sz w:val="21"/>
                <w:szCs w:val="21"/>
              </w:rPr>
              <w:t>】万</w:t>
            </w:r>
            <w:r>
              <w:rPr>
                <w:rFonts w:ascii="宋体" w:hAnsi="宋体" w:cs="宋体" w:eastAsia="宋体" w:hint="default"/>
                <w:spacing w:val="-34"/>
                <w:w w:val="100"/>
                <w:sz w:val="21"/>
                <w:szCs w:val="21"/>
              </w:rPr>
              <w:t> </w:t>
            </w:r>
            <w:r>
              <w:rPr>
                <w:rFonts w:ascii="宋体" w:hAnsi="宋体" w:cs="宋体" w:eastAsia="宋体" w:hint="default"/>
                <w:spacing w:val="-2"/>
                <w:sz w:val="21"/>
                <w:szCs w:val="21"/>
              </w:rPr>
              <w:t>元赔偿款。但在利润承诺期内，如本人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因疾病、丧失劳动能力、死亡等身体原</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因无法继续任职而离职的，该等离职不</w:t>
            </w:r>
          </w:p>
          <w:p>
            <w:pPr>
              <w:pStyle w:val="TableParagraph"/>
              <w:spacing w:line="264" w:lineRule="auto" w:before="10"/>
              <w:ind w:left="441" w:right="24" w:hanging="420"/>
              <w:jc w:val="left"/>
              <w:rPr>
                <w:rFonts w:ascii="宋体" w:hAnsi="宋体" w:cs="宋体" w:eastAsia="宋体" w:hint="default"/>
                <w:sz w:val="21"/>
                <w:szCs w:val="21"/>
              </w:rPr>
            </w:pPr>
            <w:r>
              <w:rPr>
                <w:rFonts w:ascii="宋体" w:hAnsi="宋体" w:cs="宋体" w:eastAsia="宋体" w:hint="default"/>
                <w:sz w:val="21"/>
                <w:szCs w:val="21"/>
              </w:rPr>
              <w:t>属于违反任职期限承诺的事项。</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、关于竞业禁止</w:t>
            </w:r>
            <w:r>
              <w:rPr>
                <w:rFonts w:ascii="宋体" w:hAnsi="宋体" w:cs="宋体" w:eastAsia="宋体" w:hint="default"/>
                <w:w w:val="100"/>
                <w:sz w:val="21"/>
                <w:szCs w:val="21"/>
              </w:rPr>
              <w:t> </w:t>
            </w:r>
            <w:r>
              <w:rPr>
                <w:rFonts w:ascii="宋体" w:hAnsi="宋体" w:cs="宋体" w:eastAsia="宋体" w:hint="default"/>
                <w:spacing w:val="-2"/>
                <w:sz w:val="21"/>
                <w:szCs w:val="21"/>
              </w:rPr>
              <w:t>在《发行股份及支付现金购买资产</w:t>
            </w:r>
          </w:p>
          <w:p>
            <w:pPr>
              <w:pStyle w:val="TableParagraph"/>
              <w:spacing w:line="273" w:lineRule="auto" w:before="16"/>
              <w:ind w:left="21" w:right="17"/>
              <w:jc w:val="both"/>
              <w:rPr>
                <w:rFonts w:ascii="宋体" w:hAnsi="宋体" w:cs="宋体" w:eastAsia="宋体" w:hint="default"/>
                <w:sz w:val="21"/>
                <w:szCs w:val="21"/>
              </w:rPr>
            </w:pPr>
            <w:r>
              <w:rPr>
                <w:rFonts w:ascii="宋体" w:hAnsi="宋体" w:cs="宋体" w:eastAsia="宋体" w:hint="default"/>
                <w:spacing w:val="-13"/>
                <w:w w:val="100"/>
                <w:sz w:val="21"/>
                <w:szCs w:val="21"/>
              </w:rPr>
              <w:t>协议》中约定的本人承诺任职期限内（即</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13"/>
                <w:w w:val="100"/>
                <w:sz w:val="21"/>
                <w:szCs w:val="21"/>
              </w:rPr>
              <w:t>利润承诺期及期满后一年），本人除在超</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2"/>
                <w:sz w:val="21"/>
                <w:szCs w:val="21"/>
              </w:rPr>
              <w:t>图软件及其下属子公司（含南京国图）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担任职务外，不在同超图软件及其下属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子公司（含南京国图）存在相同或者相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类似业务的实体任职或者担任任何形式</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的顾问；不在为超图软件及其下属子公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司（含南京国图）工作之外以超图软件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及其下属子公司（含南京国图）的名义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为超图软件及其下属子公司（含南京国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图）现有客户提供相同或类似的商品或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服务。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5"/>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bl>
    <w:p>
      <w:pPr>
        <w:spacing w:after="0" w:line="273" w:lineRule="auto"/>
        <w:jc w:val="both"/>
        <w:rPr>
          <w:rFonts w:ascii="宋体" w:hAnsi="宋体" w:cs="宋体" w:eastAsia="宋体" w:hint="default"/>
          <w:sz w:val="21"/>
          <w:szCs w:val="21"/>
        </w:rPr>
        <w:sectPr>
          <w:pgSz w:w="11910" w:h="16840"/>
          <w:pgMar w:header="877" w:footer="980" w:top="1100" w:bottom="1160" w:left="700" w:right="980"/>
        </w:sectPr>
      </w:pPr>
    </w:p>
    <w:p>
      <w:pPr>
        <w:spacing w:line="240" w:lineRule="auto" w:before="11"/>
        <w:rPr>
          <w:rFonts w:ascii="Times New Roman" w:hAnsi="Times New Roman" w:cs="Times New Roman" w:eastAsia="Times New Roman" w:hint="default"/>
          <w:sz w:val="27"/>
          <w:szCs w:val="27"/>
        </w:rPr>
      </w:pPr>
      <w:r>
        <w:rPr/>
        <w:pict>
          <v:shape style="position:absolute;margin-left:403.87384pt;margin-top:72.47998pt;width:52.6pt;height:171.65pt;mso-position-horizontal-relative:page;mso-position-vertical-relative:page;z-index:-998584"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404.119781pt;margin-top:291.409973pt;width:52.35pt;height:140.4pt;mso-position-horizontal-relative:page;mso-position-vertical-relative:page;z-index:-998560"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404.119781pt;margin-top:432.28598pt;width:52.35pt;height:85.85pt;mso-position-horizontal-relative:page;mso-position-vertical-relative:page;z-index:-998536"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2"/>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410.980011pt;margin-top:291.409973pt;width:45.5pt;height:226.7pt;mso-position-horizontal-relative:page;mso-position-vertical-relative:page;z-index:-998512" coordorigin="8220,5828" coordsize="910,4534">
            <v:group style="position:absolute;left:8220;top:5828;width:910;height:2808" coordorigin="8220,5828" coordsize="910,2808">
              <v:shape style="position:absolute;left:8220;top:5828;width:910;height:2808" coordorigin="8220,5828" coordsize="910,2808" path="m8220,8636l9129,8636,9129,5828,8220,5828,8220,8636xe" filled="true" fillcolor="#ffffff" stroked="false">
                <v:path arrowok="t"/>
                <v:fill type="solid"/>
              </v:shape>
            </v:group>
            <v:group style="position:absolute;left:8220;top:8646;width:910;height:1717" coordorigin="8220,8646" coordsize="910,1717">
              <v:shape style="position:absolute;left:8220;top:8646;width:910;height:1717" coordorigin="8220,8646" coordsize="910,1717" path="m8220,10362l9129,10362,9129,8646,8220,8646,8220,10362xe" filled="true" fillcolor="#ffffff" stroked="false">
                <v:path arrowok="t"/>
                <v:fill type="solid"/>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1740"/>
        <w:gridCol w:w="1162"/>
        <w:gridCol w:w="864"/>
        <w:gridCol w:w="3632"/>
        <w:gridCol w:w="919"/>
        <w:gridCol w:w="852"/>
        <w:gridCol w:w="821"/>
      </w:tblGrid>
      <w:tr>
        <w:trPr>
          <w:trHeight w:val="3442" w:hRule="exact"/>
        </w:trPr>
        <w:tc>
          <w:tcPr>
            <w:tcW w:w="1740" w:type="dxa"/>
            <w:tcBorders>
              <w:top w:val="nil" w:sz="6" w:space="0" w:color="auto"/>
              <w:left w:val="single" w:sz="4" w:space="0" w:color="000000"/>
              <w:bottom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1" w:right="19" w:firstLine="420"/>
              <w:jc w:val="left"/>
              <w:rPr>
                <w:rFonts w:ascii="宋体" w:hAnsi="宋体" w:cs="宋体" w:eastAsia="宋体" w:hint="default"/>
                <w:sz w:val="21"/>
                <w:szCs w:val="21"/>
              </w:rPr>
            </w:pPr>
            <w:r>
              <w:rPr>
                <w:rFonts w:ascii="宋体" w:hAnsi="宋体" w:cs="宋体" w:eastAsia="宋体" w:hint="default"/>
                <w:spacing w:val="-2"/>
                <w:sz w:val="21"/>
                <w:szCs w:val="21"/>
              </w:rPr>
              <w:t>若本人违反上述承诺，应立即停止</w:t>
            </w:r>
            <w:r>
              <w:rPr>
                <w:rFonts w:ascii="宋体" w:hAnsi="宋体" w:cs="宋体" w:eastAsia="宋体" w:hint="default"/>
                <w:w w:val="100"/>
                <w:sz w:val="21"/>
                <w:szCs w:val="21"/>
              </w:rPr>
              <w:t> </w:t>
            </w:r>
            <w:r>
              <w:rPr>
                <w:rFonts w:ascii="宋体" w:hAnsi="宋体" w:cs="宋体" w:eastAsia="宋体" w:hint="default"/>
                <w:spacing w:val="-2"/>
                <w:sz w:val="21"/>
                <w:szCs w:val="21"/>
              </w:rPr>
              <w:t>与超图软件及其下属子公司（含南京国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图）构成竞争之业务，并采取必要措施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予以纠正补救；同时对因未履行承诺而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给超图软件及其下属子公司（含南京国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图）造成的损失和后果承担赔偿责任，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具体赔偿标准为本人按照本次交易时所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持有的南京国图的股权比例</w:t>
            </w:r>
            <w:r>
              <w:rPr>
                <w:rFonts w:ascii="Times New Roman" w:hAnsi="Times New Roman" w:cs="Times New Roman" w:eastAsia="Times New Roman" w:hint="default"/>
                <w:sz w:val="21"/>
                <w:szCs w:val="21"/>
              </w:rPr>
              <w:t>×</w:t>
            </w:r>
            <w:r>
              <w:rPr>
                <w:rFonts w:ascii="宋体" w:hAnsi="宋体" w:cs="宋体" w:eastAsia="宋体" w:hint="default"/>
                <w:sz w:val="21"/>
                <w:szCs w:val="21"/>
              </w:rPr>
              <w:t>本次交易</w:t>
            </w:r>
            <w:r>
              <w:rPr>
                <w:rFonts w:ascii="宋体" w:hAnsi="宋体" w:cs="宋体" w:eastAsia="宋体" w:hint="default"/>
                <w:w w:val="100"/>
                <w:sz w:val="21"/>
                <w:szCs w:val="21"/>
              </w:rPr>
              <w:t> </w:t>
            </w:r>
            <w:r>
              <w:rPr>
                <w:rFonts w:ascii="宋体" w:hAnsi="宋体" w:cs="宋体" w:eastAsia="宋体" w:hint="default"/>
                <w:spacing w:val="-6"/>
                <w:sz w:val="21"/>
                <w:szCs w:val="21"/>
              </w:rPr>
              <w:t>的资产交易总价</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。本人应在超图软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件确认本人违反上述承诺后的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天内</w:t>
            </w:r>
            <w:r>
              <w:rPr>
                <w:rFonts w:ascii="宋体" w:hAnsi="宋体" w:cs="宋体" w:eastAsia="宋体" w:hint="default"/>
                <w:w w:val="100"/>
                <w:sz w:val="21"/>
                <w:szCs w:val="21"/>
              </w:rPr>
              <w:t> </w:t>
            </w:r>
            <w:r>
              <w:rPr>
                <w:rFonts w:ascii="宋体" w:hAnsi="宋体" w:cs="宋体" w:eastAsia="宋体" w:hint="default"/>
                <w:sz w:val="21"/>
                <w:szCs w:val="21"/>
              </w:rPr>
              <w:t>以现金方式对超图软件进行赔偿。</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343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45.5pt;height:171.65pt;mso-position-horizontal-relative:char;mso-position-vertical-relative:line" coordorigin="0,0" coordsize="910,3433">
                  <v:group style="position:absolute;left:0;top:0;width:910;height:3433" coordorigin="0,0" coordsize="910,3433">
                    <v:shape style="position:absolute;left:0;top:0;width:910;height:3433" coordorigin="0,0" coordsize="910,3433" path="m0,3432l910,3432,910,0,0,0,0,3432xe" filled="true" fillcolor="#ffffff" stroked="false">
                      <v:path arrowok="t"/>
                      <v:fill type="solid"/>
                    </v:shape>
                  </v:group>
                </v:group>
              </w:pict>
            </w:r>
            <w:r>
              <w:rPr>
                <w:rFonts w:ascii="Times New Roman" w:hAnsi="Times New Roman" w:cs="Times New Roman" w:eastAsia="Times New Roman" w:hint="default"/>
                <w:position w:val="-68"/>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174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73" w:lineRule="auto"/>
              <w:ind w:left="21" w:right="24"/>
              <w:jc w:val="left"/>
              <w:rPr>
                <w:rFonts w:ascii="宋体" w:hAnsi="宋体" w:cs="宋体" w:eastAsia="宋体" w:hint="default"/>
                <w:sz w:val="21"/>
                <w:szCs w:val="21"/>
              </w:rPr>
            </w:pPr>
            <w:r>
              <w:rPr>
                <w:rFonts w:ascii="宋体" w:hAnsi="宋体" w:cs="宋体" w:eastAsia="宋体" w:hint="default"/>
                <w:sz w:val="21"/>
                <w:szCs w:val="21"/>
              </w:rPr>
              <w:t>首次公开发行或再</w:t>
            </w:r>
            <w:r>
              <w:rPr>
                <w:rFonts w:ascii="宋体" w:hAnsi="宋体" w:cs="宋体" w:eastAsia="宋体" w:hint="default"/>
                <w:w w:val="100"/>
                <w:sz w:val="21"/>
                <w:szCs w:val="21"/>
              </w:rPr>
              <w:t> </w:t>
            </w:r>
            <w:r>
              <w:rPr>
                <w:rFonts w:ascii="宋体" w:hAnsi="宋体" w:cs="宋体" w:eastAsia="宋体" w:hint="default"/>
                <w:sz w:val="21"/>
                <w:szCs w:val="21"/>
              </w:rPr>
              <w:t>融资时所作承诺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495"/>
              <w:jc w:val="right"/>
              <w:rPr>
                <w:rFonts w:ascii="宋体" w:hAnsi="宋体" w:cs="宋体" w:eastAsia="宋体" w:hint="default"/>
                <w:sz w:val="21"/>
                <w:szCs w:val="21"/>
              </w:rPr>
            </w:pPr>
            <w:r>
              <w:rPr>
                <w:rFonts w:ascii="宋体" w:hAnsi="宋体" w:cs="宋体" w:eastAsia="宋体" w:hint="default"/>
                <w:sz w:val="21"/>
                <w:szCs w:val="21"/>
              </w:rPr>
              <w:t>钟耳顺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8"/>
              <w:ind w:left="21" w:right="197"/>
              <w:jc w:val="left"/>
              <w:rPr>
                <w:rFonts w:ascii="宋体" w:hAnsi="宋体" w:cs="宋体" w:eastAsia="宋体" w:hint="default"/>
                <w:sz w:val="21"/>
                <w:szCs w:val="21"/>
              </w:rPr>
            </w:pPr>
            <w:r>
              <w:rPr>
                <w:rFonts w:ascii="宋体" w:hAnsi="宋体" w:cs="宋体" w:eastAsia="宋体" w:hint="default"/>
                <w:sz w:val="21"/>
                <w:szCs w:val="21"/>
              </w:rPr>
              <w:t>其他承</w:t>
            </w:r>
            <w:r>
              <w:rPr>
                <w:rFonts w:ascii="宋体" w:hAnsi="宋体" w:cs="宋体" w:eastAsia="宋体" w:hint="default"/>
                <w:spacing w:val="-102"/>
                <w:sz w:val="21"/>
                <w:szCs w:val="21"/>
              </w:rPr>
              <w:t> </w:t>
            </w:r>
            <w:r>
              <w:rPr>
                <w:rFonts w:ascii="宋体" w:hAnsi="宋体" w:cs="宋体" w:eastAsia="宋体" w:hint="default"/>
                <w:sz w:val="21"/>
                <w:szCs w:val="21"/>
              </w:rPr>
              <w:t>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1" w:right="20" w:firstLine="420"/>
              <w:jc w:val="left"/>
              <w:rPr>
                <w:rFonts w:ascii="宋体" w:hAnsi="宋体" w:cs="宋体" w:eastAsia="宋体" w:hint="default"/>
                <w:sz w:val="21"/>
                <w:szCs w:val="21"/>
              </w:rPr>
            </w:pPr>
            <w:r>
              <w:rPr>
                <w:rFonts w:ascii="宋体" w:hAnsi="宋体" w:cs="宋体" w:eastAsia="宋体" w:hint="default"/>
                <w:spacing w:val="-2"/>
                <w:sz w:val="21"/>
                <w:szCs w:val="21"/>
              </w:rPr>
              <w:t>控股股东钟耳顺的避免同业竞争承</w:t>
            </w:r>
            <w:r>
              <w:rPr>
                <w:rFonts w:ascii="宋体" w:hAnsi="宋体" w:cs="宋体" w:eastAsia="宋体" w:hint="default"/>
                <w:w w:val="100"/>
                <w:sz w:val="21"/>
                <w:szCs w:val="21"/>
              </w:rPr>
              <w:t> </w:t>
            </w:r>
            <w:r>
              <w:rPr>
                <w:rFonts w:ascii="宋体" w:hAnsi="宋体" w:cs="宋体" w:eastAsia="宋体" w:hint="default"/>
                <w:spacing w:val="-7"/>
                <w:sz w:val="21"/>
                <w:szCs w:val="21"/>
              </w:rPr>
              <w:t>诺函：</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将来不以任何方式从事，包括与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他人合作直接或间接从事与超图股份相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w w:val="100"/>
                <w:sz w:val="21"/>
                <w:szCs w:val="21"/>
              </w:rPr>
              <w:t>同、相似或在任何方面构成竞争的业务</w:t>
            </w:r>
            <w:r>
              <w:rPr>
                <w:rFonts w:ascii="宋体" w:hAnsi="宋体" w:cs="宋体" w:eastAsia="宋体" w:hint="default"/>
                <w:w w:val="100"/>
                <w:sz w:val="21"/>
                <w:szCs w:val="21"/>
              </w:rPr>
              <w:t> </w:t>
            </w:r>
            <w:r>
              <w:rPr>
                <w:rFonts w:ascii="宋体" w:hAnsi="宋体" w:cs="宋体" w:eastAsia="宋体" w:hint="default"/>
                <w:spacing w:val="-2"/>
                <w:sz w:val="21"/>
                <w:szCs w:val="21"/>
              </w:rPr>
              <w:t>不投资控股于业务与超图股份相同、类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似或在任何方面构成竞争的公司、企业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或其他机构、组织；不向其他业务与超</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图股份相同、类似或在任何方面构成竞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争的公司、企业或其他机构、组织或个</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人提供专有技术或提供销售渠道、客户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信息等商业秘密</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p>
            <w:pPr>
              <w:pStyle w:val="TableParagraph"/>
              <w:spacing w:line="240" w:lineRule="auto" w:before="22"/>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z w:val="21"/>
                <w:szCs w:val="21"/>
              </w:rPr>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7"/>
              <w:jc w:val="left"/>
              <w:rPr>
                <w:rFonts w:ascii="宋体" w:hAnsi="宋体" w:cs="宋体" w:eastAsia="宋体" w:hint="default"/>
                <w:sz w:val="21"/>
                <w:szCs w:val="21"/>
              </w:rPr>
            </w:pP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东的避</w:t>
            </w:r>
            <w:r>
              <w:rPr>
                <w:rFonts w:ascii="宋体" w:hAnsi="宋体" w:cs="宋体" w:eastAsia="宋体" w:hint="default"/>
                <w:spacing w:val="-102"/>
                <w:sz w:val="21"/>
                <w:szCs w:val="21"/>
              </w:rPr>
              <w:t> </w:t>
            </w:r>
            <w:r>
              <w:rPr>
                <w:rFonts w:ascii="宋体" w:hAnsi="宋体" w:cs="宋体" w:eastAsia="宋体" w:hint="default"/>
                <w:sz w:val="21"/>
                <w:szCs w:val="21"/>
              </w:rPr>
              <w:t>免同业</w:t>
            </w:r>
            <w:r>
              <w:rPr>
                <w:rFonts w:ascii="宋体" w:hAnsi="宋体" w:cs="宋体" w:eastAsia="宋体" w:hint="default"/>
                <w:spacing w:val="-102"/>
                <w:sz w:val="21"/>
                <w:szCs w:val="21"/>
              </w:rPr>
              <w:t> </w:t>
            </w:r>
            <w:r>
              <w:rPr>
                <w:rFonts w:ascii="宋体" w:hAnsi="宋体" w:cs="宋体" w:eastAsia="宋体" w:hint="default"/>
                <w:sz w:val="21"/>
                <w:szCs w:val="21"/>
              </w:rPr>
              <w:t>竞争的</w:t>
            </w:r>
            <w:r>
              <w:rPr>
                <w:rFonts w:ascii="宋体" w:hAnsi="宋体" w:cs="宋体" w:eastAsia="宋体" w:hint="default"/>
                <w:spacing w:val="-102"/>
                <w:sz w:val="21"/>
                <w:szCs w:val="21"/>
              </w:rPr>
              <w:t> </w:t>
            </w:r>
            <w:r>
              <w:rPr>
                <w:rFonts w:ascii="宋体" w:hAnsi="宋体" w:cs="宋体" w:eastAsia="宋体" w:hint="default"/>
                <w:sz w:val="21"/>
                <w:szCs w:val="21"/>
              </w:rPr>
              <w:t>承诺期</w:t>
            </w:r>
            <w:r>
              <w:rPr>
                <w:rFonts w:ascii="宋体" w:hAnsi="宋体" w:cs="宋体" w:eastAsia="宋体" w:hint="default"/>
                <w:spacing w:val="-102"/>
                <w:sz w:val="21"/>
                <w:szCs w:val="21"/>
              </w:rPr>
              <w:t> </w:t>
            </w:r>
            <w:r>
              <w:rPr>
                <w:rFonts w:ascii="宋体" w:hAnsi="宋体" w:cs="宋体" w:eastAsia="宋体" w:hint="default"/>
                <w:spacing w:val="-11"/>
                <w:sz w:val="21"/>
                <w:szCs w:val="21"/>
              </w:rPr>
              <w:t>限为：作</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为超图</w:t>
            </w:r>
            <w:r>
              <w:rPr>
                <w:rFonts w:ascii="宋体" w:hAnsi="宋体" w:cs="宋体" w:eastAsia="宋体" w:hint="default"/>
                <w:spacing w:val="-102"/>
                <w:sz w:val="21"/>
                <w:szCs w:val="21"/>
              </w:rPr>
              <w:t> </w:t>
            </w:r>
            <w:r>
              <w:rPr>
                <w:rFonts w:ascii="宋体" w:hAnsi="宋体" w:cs="宋体" w:eastAsia="宋体" w:hint="default"/>
                <w:sz w:val="21"/>
                <w:szCs w:val="21"/>
              </w:rPr>
              <w:t>股份股</w:t>
            </w:r>
            <w:r>
              <w:rPr>
                <w:rFonts w:ascii="宋体" w:hAnsi="宋体" w:cs="宋体" w:eastAsia="宋体" w:hint="default"/>
                <w:spacing w:val="-102"/>
                <w:sz w:val="21"/>
                <w:szCs w:val="21"/>
              </w:rPr>
              <w:t> </w:t>
            </w:r>
            <w:r>
              <w:rPr>
                <w:rFonts w:ascii="宋体" w:hAnsi="宋体" w:cs="宋体" w:eastAsia="宋体" w:hint="default"/>
                <w:sz w:val="21"/>
                <w:szCs w:val="21"/>
              </w:rPr>
              <w:t>东或关</w:t>
            </w:r>
            <w:r>
              <w:rPr>
                <w:rFonts w:ascii="宋体" w:hAnsi="宋体" w:cs="宋体" w:eastAsia="宋体" w:hint="default"/>
                <w:spacing w:val="-102"/>
                <w:sz w:val="21"/>
                <w:szCs w:val="21"/>
              </w:rPr>
              <w:t> </w:t>
            </w:r>
            <w:r>
              <w:rPr>
                <w:rFonts w:ascii="宋体" w:hAnsi="宋体" w:cs="宋体" w:eastAsia="宋体" w:hint="default"/>
                <w:sz w:val="21"/>
                <w:szCs w:val="21"/>
              </w:rPr>
              <w:t>联方的</w:t>
            </w:r>
            <w:r>
              <w:rPr>
                <w:rFonts w:ascii="宋体" w:hAnsi="宋体" w:cs="宋体" w:eastAsia="宋体" w:hint="default"/>
                <w:spacing w:val="-102"/>
                <w:sz w:val="21"/>
                <w:szCs w:val="21"/>
              </w:rPr>
              <w:t> </w:t>
            </w:r>
            <w:r>
              <w:rPr>
                <w:rFonts w:ascii="宋体" w:hAnsi="宋体" w:cs="宋体" w:eastAsia="宋体" w:hint="default"/>
                <w:sz w:val="21"/>
                <w:szCs w:val="21"/>
              </w:rPr>
              <w:t>整个期</w:t>
            </w:r>
            <w:r>
              <w:rPr>
                <w:rFonts w:ascii="宋体" w:hAnsi="宋体" w:cs="宋体" w:eastAsia="宋体" w:hint="default"/>
                <w:spacing w:val="-102"/>
                <w:sz w:val="21"/>
                <w:szCs w:val="21"/>
              </w:rPr>
              <w:t> </w:t>
            </w:r>
            <w:r>
              <w:rPr>
                <w:rFonts w:ascii="宋体" w:hAnsi="宋体" w:cs="宋体" w:eastAsia="宋体" w:hint="default"/>
                <w:sz w:val="21"/>
                <w:szCs w:val="21"/>
              </w:rPr>
              <w:t>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4379" w:hRule="exact"/>
        </w:trPr>
        <w:tc>
          <w:tcPr>
            <w:tcW w:w="1740" w:type="dxa"/>
            <w:vMerge/>
            <w:tcBorders>
              <w:left w:val="single" w:sz="4" w:space="0" w:color="000000"/>
              <w:bottom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73" w:lineRule="auto"/>
              <w:ind w:left="21" w:right="68"/>
              <w:jc w:val="both"/>
              <w:rPr>
                <w:rFonts w:ascii="宋体" w:hAnsi="宋体" w:cs="宋体" w:eastAsia="宋体" w:hint="default"/>
                <w:sz w:val="21"/>
                <w:szCs w:val="21"/>
              </w:rPr>
            </w:pPr>
            <w:r>
              <w:rPr>
                <w:rFonts w:ascii="宋体" w:hAnsi="宋体" w:cs="宋体" w:eastAsia="宋体" w:hint="default"/>
                <w:sz w:val="21"/>
                <w:szCs w:val="21"/>
              </w:rPr>
              <w:t>钟耳顺、宋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关福、杜庆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娥、王康弘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王继晖、曾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志明</w:t>
            </w:r>
          </w:p>
        </w:tc>
        <w:tc>
          <w:tcPr>
            <w:tcW w:w="86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15" w:lineRule="exact"/>
              <w:ind w:left="14" w:right="0"/>
              <w:jc w:val="left"/>
              <w:rPr>
                <w:rFonts w:ascii="宋体" w:hAnsi="宋体" w:cs="宋体" w:eastAsia="宋体" w:hint="default"/>
                <w:sz w:val="21"/>
                <w:szCs w:val="21"/>
              </w:rPr>
            </w:pPr>
            <w:r>
              <w:rPr>
                <w:rFonts w:ascii="宋体" w:hAnsi="宋体" w:cs="宋体" w:eastAsia="宋体" w:hint="default"/>
                <w:sz w:val="21"/>
                <w:szCs w:val="21"/>
              </w:rPr>
              <w:t>股份限</w:t>
            </w:r>
          </w:p>
          <w:p>
            <w:pPr>
              <w:pStyle w:val="TableParagraph"/>
              <w:spacing w:line="156" w:lineRule="exact"/>
              <w:ind w:left="-143"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5" w:lineRule="exact"/>
              <w:ind w:left="14" w:right="0"/>
              <w:jc w:val="left"/>
              <w:rPr>
                <w:rFonts w:ascii="宋体" w:hAnsi="宋体" w:cs="宋体" w:eastAsia="宋体" w:hint="default"/>
                <w:sz w:val="21"/>
                <w:szCs w:val="21"/>
              </w:rPr>
            </w:pPr>
            <w:r>
              <w:rPr>
                <w:rFonts w:ascii="宋体" w:hAnsi="宋体" w:cs="宋体" w:eastAsia="宋体" w:hint="default"/>
                <w:sz w:val="21"/>
                <w:szCs w:val="21"/>
              </w:rPr>
              <w:t>售承诺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624"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0.450pt;height:31.2pt;mso-position-horizontal-relative:char;mso-position-vertical-relative:line" coordorigin="0,0" coordsize="809,624">
                  <v:group style="position:absolute;left:0;top:0;width:809;height:312" coordorigin="0,0" coordsize="809,312">
                    <v:shape style="position:absolute;left:0;top:0;width:809;height:312" coordorigin="0,0" coordsize="809,312" path="m0,312l809,312,809,0,0,0,0,312xe" filled="true" fillcolor="#ffffff" stroked="false">
                      <v:path arrowok="t"/>
                      <v:fill type="solid"/>
                    </v:shape>
                  </v:group>
                  <v:group style="position:absolute;left:0;top:312;width:809;height:312" coordorigin="0,312" coordsize="809,312">
                    <v:shape style="position:absolute;left:0;top:312;width:809;height:312" coordorigin="0,312" coordsize="809,312" path="m0,624l809,624,809,312,0,312,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4" w:firstLine="420"/>
              <w:jc w:val="left"/>
              <w:rPr>
                <w:rFonts w:ascii="宋体" w:hAnsi="宋体" w:cs="宋体" w:eastAsia="宋体" w:hint="default"/>
                <w:sz w:val="21"/>
                <w:szCs w:val="21"/>
              </w:rPr>
            </w:pPr>
            <w:r>
              <w:rPr>
                <w:rFonts w:ascii="宋体" w:hAnsi="宋体" w:cs="宋体" w:eastAsia="宋体" w:hint="default"/>
                <w:spacing w:val="-2"/>
                <w:sz w:val="21"/>
                <w:szCs w:val="21"/>
              </w:rPr>
              <w:t>自股票上市之起三十六个月内，不</w:t>
            </w:r>
            <w:r>
              <w:rPr>
                <w:rFonts w:ascii="宋体" w:hAnsi="宋体" w:cs="宋体" w:eastAsia="宋体" w:hint="default"/>
                <w:w w:val="100"/>
                <w:sz w:val="21"/>
                <w:szCs w:val="21"/>
              </w:rPr>
              <w:t> </w:t>
            </w:r>
            <w:r>
              <w:rPr>
                <w:rFonts w:ascii="宋体" w:hAnsi="宋体" w:cs="宋体" w:eastAsia="宋体" w:hint="default"/>
                <w:spacing w:val="-2"/>
                <w:sz w:val="21"/>
                <w:szCs w:val="21"/>
              </w:rPr>
              <w:t>转让或者委托他人管理其持有的发行人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w w:val="100"/>
                <w:sz w:val="21"/>
                <w:szCs w:val="21"/>
              </w:rPr>
              <w:t>股份，也不由发行人回购其持有的股份</w:t>
            </w:r>
            <w:r>
              <w:rPr>
                <w:rFonts w:ascii="宋体" w:hAnsi="宋体" w:cs="宋体" w:eastAsia="宋体" w:hint="default"/>
                <w:w w:val="100"/>
                <w:sz w:val="21"/>
                <w:szCs w:val="21"/>
              </w:rPr>
              <w:t> </w:t>
            </w:r>
            <w:r>
              <w:rPr>
                <w:rFonts w:ascii="宋体" w:hAnsi="宋体" w:cs="宋体" w:eastAsia="宋体" w:hint="default"/>
                <w:spacing w:val="-2"/>
                <w:sz w:val="21"/>
                <w:szCs w:val="21"/>
              </w:rPr>
              <w:t>在担任公司董事或高级管理人员期间，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每年转让的股份不超过本人所持发行人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股份总数的百分之二十五，离职后半年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内，不转让所持有的发行人股份，如在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公司首次公开发行股票上市之日起六个</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月内申报离职的，自申报离职之日起十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八个月内不得转让其直接持有的本公司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股份，在首次公开发行股票上市之日起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第七个月至第十二个月之内申报离职</w:t>
            </w:r>
            <w:r>
              <w:rPr>
                <w:rFonts w:ascii="宋体" w:hAnsi="宋体" w:cs="宋体" w:eastAsia="宋体" w:hint="default"/>
                <w:w w:val="100"/>
                <w:sz w:val="21"/>
                <w:szCs w:val="21"/>
              </w:rPr>
              <w:t> </w:t>
            </w:r>
            <w:r>
              <w:rPr>
                <w:rFonts w:ascii="宋体" w:hAnsi="宋体" w:cs="宋体" w:eastAsia="宋体" w:hint="default"/>
                <w:spacing w:val="-2"/>
                <w:sz w:val="21"/>
                <w:szCs w:val="21"/>
              </w:rPr>
              <w:t>的，自申报离职之日起十二个月内不得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转让其直接持有的本公司股份。</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p>
            <w:pPr>
              <w:pStyle w:val="TableParagraph"/>
              <w:spacing w:line="240" w:lineRule="auto" w:before="21"/>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z w:val="21"/>
                <w:szCs w:val="21"/>
              </w:rPr>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21" w:right="-22"/>
              <w:jc w:val="left"/>
              <w:rPr>
                <w:rFonts w:ascii="宋体" w:hAnsi="宋体" w:cs="宋体" w:eastAsia="宋体" w:hint="default"/>
                <w:sz w:val="21"/>
                <w:szCs w:val="21"/>
              </w:rPr>
            </w:pPr>
            <w:r>
              <w:rPr>
                <w:rFonts w:ascii="宋体" w:hAnsi="宋体" w:cs="宋体" w:eastAsia="宋体" w:hint="default"/>
                <w:sz w:val="21"/>
                <w:szCs w:val="21"/>
              </w:rPr>
              <w:t>股票上</w:t>
            </w:r>
            <w:r>
              <w:rPr>
                <w:rFonts w:ascii="宋体" w:hAnsi="宋体" w:cs="宋体" w:eastAsia="宋体" w:hint="default"/>
                <w:spacing w:val="-102"/>
                <w:sz w:val="21"/>
                <w:szCs w:val="21"/>
              </w:rPr>
              <w:t> </w:t>
            </w:r>
            <w:r>
              <w:rPr>
                <w:rFonts w:ascii="宋体" w:hAnsi="宋体" w:cs="宋体" w:eastAsia="宋体" w:hint="default"/>
                <w:sz w:val="21"/>
                <w:szCs w:val="21"/>
              </w:rPr>
              <w:t>市之日</w:t>
            </w:r>
            <w:r>
              <w:rPr>
                <w:rFonts w:ascii="宋体" w:hAnsi="宋体" w:cs="宋体" w:eastAsia="宋体" w:hint="default"/>
                <w:spacing w:val="-102"/>
                <w:sz w:val="21"/>
                <w:szCs w:val="21"/>
              </w:rPr>
              <w:t> </w:t>
            </w:r>
            <w:r>
              <w:rPr>
                <w:rFonts w:ascii="宋体" w:hAnsi="宋体" w:cs="宋体" w:eastAsia="宋体" w:hint="default"/>
                <w:sz w:val="21"/>
                <w:szCs w:val="21"/>
              </w:rPr>
              <w:t>起三十</w:t>
            </w:r>
            <w:r>
              <w:rPr>
                <w:rFonts w:ascii="宋体" w:hAnsi="宋体" w:cs="宋体" w:eastAsia="宋体" w:hint="default"/>
                <w:spacing w:val="-102"/>
                <w:sz w:val="21"/>
                <w:szCs w:val="21"/>
              </w:rPr>
              <w:t> </w:t>
            </w:r>
            <w:r>
              <w:rPr>
                <w:rFonts w:ascii="宋体" w:hAnsi="宋体" w:cs="宋体" w:eastAsia="宋体" w:hint="default"/>
                <w:sz w:val="21"/>
                <w:szCs w:val="21"/>
              </w:rPr>
              <w:t>六个月</w:t>
            </w:r>
            <w:r>
              <w:rPr>
                <w:rFonts w:ascii="宋体" w:hAnsi="宋体" w:cs="宋体" w:eastAsia="宋体" w:hint="default"/>
                <w:spacing w:val="-102"/>
                <w:sz w:val="21"/>
                <w:szCs w:val="21"/>
              </w:rPr>
              <w:t> </w:t>
            </w:r>
            <w:r>
              <w:rPr>
                <w:rFonts w:ascii="宋体" w:hAnsi="宋体" w:cs="宋体" w:eastAsia="宋体" w:hint="default"/>
                <w:sz w:val="21"/>
                <w:szCs w:val="21"/>
              </w:rPr>
              <w:t>内以及</w:t>
            </w:r>
            <w:r>
              <w:rPr>
                <w:rFonts w:ascii="宋体" w:hAnsi="宋体" w:cs="宋体" w:eastAsia="宋体" w:hint="default"/>
                <w:spacing w:val="-102"/>
                <w:sz w:val="21"/>
                <w:szCs w:val="21"/>
              </w:rPr>
              <w:t> </w:t>
            </w:r>
            <w:r>
              <w:rPr>
                <w:rFonts w:ascii="宋体" w:hAnsi="宋体" w:cs="宋体" w:eastAsia="宋体" w:hint="default"/>
                <w:sz w:val="21"/>
                <w:szCs w:val="21"/>
              </w:rPr>
              <w:t>担任公</w:t>
            </w:r>
            <w:r>
              <w:rPr>
                <w:rFonts w:ascii="宋体" w:hAnsi="宋体" w:cs="宋体" w:eastAsia="宋体" w:hint="default"/>
                <w:spacing w:val="-102"/>
                <w:sz w:val="21"/>
                <w:szCs w:val="21"/>
              </w:rPr>
              <w:t> </w:t>
            </w:r>
            <w:r>
              <w:rPr>
                <w:rFonts w:ascii="宋体" w:hAnsi="宋体" w:cs="宋体" w:eastAsia="宋体" w:hint="default"/>
                <w:sz w:val="21"/>
                <w:szCs w:val="21"/>
              </w:rPr>
              <w:t>司董事、</w:t>
            </w:r>
            <w:r>
              <w:rPr>
                <w:rFonts w:ascii="宋体" w:hAnsi="宋体" w:cs="宋体" w:eastAsia="宋体" w:hint="default"/>
                <w:w w:val="100"/>
                <w:sz w:val="21"/>
                <w:szCs w:val="21"/>
              </w:rPr>
              <w:t> </w:t>
            </w:r>
            <w:r>
              <w:rPr>
                <w:rFonts w:ascii="宋体" w:hAnsi="宋体" w:cs="宋体" w:eastAsia="宋体" w:hint="default"/>
                <w:sz w:val="21"/>
                <w:szCs w:val="21"/>
              </w:rPr>
              <w:t>高管人</w:t>
            </w:r>
            <w:r>
              <w:rPr>
                <w:rFonts w:ascii="宋体" w:hAnsi="宋体" w:cs="宋体" w:eastAsia="宋体" w:hint="default"/>
                <w:spacing w:val="-102"/>
                <w:sz w:val="21"/>
                <w:szCs w:val="21"/>
              </w:rPr>
              <w:t> </w:t>
            </w:r>
            <w:r>
              <w:rPr>
                <w:rFonts w:ascii="宋体" w:hAnsi="宋体" w:cs="宋体" w:eastAsia="宋体" w:hint="default"/>
                <w:sz w:val="21"/>
                <w:szCs w:val="21"/>
              </w:rPr>
              <w:t>员期间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636" w:hRule="exact"/>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1" w:right="24"/>
              <w:jc w:val="left"/>
              <w:rPr>
                <w:rFonts w:ascii="宋体" w:hAnsi="宋体" w:cs="宋体" w:eastAsia="宋体" w:hint="default"/>
                <w:sz w:val="21"/>
                <w:szCs w:val="21"/>
              </w:rPr>
            </w:pPr>
            <w:r>
              <w:rPr>
                <w:rFonts w:ascii="宋体" w:hAnsi="宋体" w:cs="宋体" w:eastAsia="宋体" w:hint="default"/>
                <w:sz w:val="21"/>
                <w:szCs w:val="21"/>
              </w:rPr>
              <w:t>其他对公司中小股</w:t>
            </w:r>
            <w:r>
              <w:rPr>
                <w:rFonts w:ascii="宋体" w:hAnsi="宋体" w:cs="宋体" w:eastAsia="宋体" w:hint="default"/>
                <w:w w:val="100"/>
                <w:sz w:val="21"/>
                <w:szCs w:val="21"/>
              </w:rPr>
              <w:t> </w:t>
            </w:r>
            <w:r>
              <w:rPr>
                <w:rFonts w:ascii="宋体" w:hAnsi="宋体" w:cs="宋体" w:eastAsia="宋体" w:hint="default"/>
                <w:sz w:val="21"/>
                <w:szCs w:val="21"/>
              </w:rPr>
              <w:t>东所作承诺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97"/>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864"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82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258" w:hRule="exact"/>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1" w:right="24"/>
              <w:jc w:val="both"/>
              <w:rPr>
                <w:rFonts w:ascii="宋体" w:hAnsi="宋体" w:cs="宋体" w:eastAsia="宋体" w:hint="default"/>
                <w:sz w:val="21"/>
                <w:szCs w:val="21"/>
              </w:rPr>
            </w:pPr>
            <w:r>
              <w:rPr>
                <w:rFonts w:ascii="宋体" w:hAnsi="宋体" w:cs="宋体" w:eastAsia="宋体" w:hint="default"/>
                <w:sz w:val="21"/>
                <w:szCs w:val="21"/>
              </w:rPr>
              <w:t>如超期未履行完毕</w:t>
            </w:r>
            <w:r>
              <w:rPr>
                <w:rFonts w:ascii="宋体" w:hAnsi="宋体" w:cs="宋体" w:eastAsia="宋体" w:hint="default"/>
                <w:w w:val="100"/>
                <w:sz w:val="21"/>
                <w:szCs w:val="21"/>
              </w:rPr>
              <w:t> </w:t>
            </w:r>
            <w:r>
              <w:rPr>
                <w:rFonts w:ascii="宋体" w:hAnsi="宋体" w:cs="宋体" w:eastAsia="宋体" w:hint="default"/>
                <w:sz w:val="21"/>
                <w:szCs w:val="21"/>
              </w:rPr>
              <w:t>的，应详细说明未</w:t>
            </w:r>
            <w:r>
              <w:rPr>
                <w:rFonts w:ascii="宋体" w:hAnsi="宋体" w:cs="宋体" w:eastAsia="宋体" w:hint="default"/>
                <w:w w:val="100"/>
                <w:sz w:val="21"/>
                <w:szCs w:val="21"/>
              </w:rPr>
              <w:t> </w:t>
            </w:r>
            <w:r>
              <w:rPr>
                <w:rFonts w:ascii="宋体" w:hAnsi="宋体" w:cs="宋体" w:eastAsia="宋体" w:hint="default"/>
                <w:sz w:val="21"/>
                <w:szCs w:val="21"/>
              </w:rPr>
              <w:t>完成履行的具体原</w:t>
            </w:r>
            <w:r>
              <w:rPr>
                <w:rFonts w:ascii="宋体" w:hAnsi="宋体" w:cs="宋体" w:eastAsia="宋体" w:hint="default"/>
                <w:w w:val="100"/>
                <w:sz w:val="21"/>
                <w:szCs w:val="21"/>
              </w:rPr>
              <w:t> </w:t>
            </w:r>
            <w:r>
              <w:rPr>
                <w:rFonts w:ascii="宋体" w:hAnsi="宋体" w:cs="宋体" w:eastAsia="宋体" w:hint="default"/>
                <w:sz w:val="21"/>
                <w:szCs w:val="21"/>
              </w:rPr>
              <w:t>因及下一步计划</w:t>
            </w:r>
          </w:p>
        </w:tc>
        <w:tc>
          <w:tcPr>
            <w:tcW w:w="82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无此情况</w:t>
            </w:r>
          </w:p>
        </w:tc>
      </w:tr>
    </w:tbl>
    <w:p>
      <w:pPr>
        <w:spacing w:after="0" w:line="262" w:lineRule="exact"/>
        <w:jc w:val="center"/>
        <w:rPr>
          <w:rFonts w:ascii="宋体" w:hAnsi="宋体" w:cs="宋体" w:eastAsia="宋体" w:hint="default"/>
          <w:sz w:val="21"/>
          <w:szCs w:val="21"/>
        </w:rPr>
        <w:sectPr>
          <w:pgSz w:w="11910" w:h="16840"/>
          <w:pgMar w:header="877" w:footer="980" w:top="1100" w:bottom="1160" w:left="700" w:right="980"/>
        </w:sectPr>
      </w:pPr>
    </w:p>
    <w:p>
      <w:pPr>
        <w:spacing w:line="240" w:lineRule="auto" w:before="6"/>
        <w:rPr>
          <w:rFonts w:ascii="Times New Roman" w:hAnsi="Times New Roman" w:cs="Times New Roman" w:eastAsia="Times New Roman" w:hint="default"/>
          <w:sz w:val="27"/>
          <w:szCs w:val="27"/>
        </w:rPr>
      </w:pPr>
    </w:p>
    <w:p>
      <w:pPr>
        <w:spacing w:line="340" w:lineRule="exact"/>
        <w:ind w:left="1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00.05pt;height:17.05pt;mso-position-horizontal-relative:char;mso-position-vertical-relative:line" coordorigin="0,0" coordsize="10001,341">
            <v:group style="position:absolute;left:22;top:14;width:2;height:312" coordorigin="22,14" coordsize="2,312">
              <v:shape style="position:absolute;left:22;top:14;width:2;height:312" coordorigin="22,14" coordsize="0,312" path="m22,14l22,326e" filled="false" stroked="true" strokeweight="1.2pt" strokecolor="#d9d9d9">
                <v:path arrowok="t"/>
              </v:shape>
            </v:group>
            <v:group style="position:absolute;left:1730;top:14;width:2;height:312" coordorigin="1730,14" coordsize="2,312">
              <v:shape style="position:absolute;left:1730;top:14;width:2;height:312" coordorigin="1730,14" coordsize="0,312" path="m1730,14l1730,326e" filled="false" stroked="true" strokeweight="1.08pt" strokecolor="#d9d9d9">
                <v:path arrowok="t"/>
              </v:shape>
            </v:group>
            <v:group style="position:absolute;left:34;top:14;width:1686;height:312" coordorigin="34,14" coordsize="1686,312">
              <v:shape style="position:absolute;left:34;top:14;width:1686;height:312" coordorigin="34,14" coordsize="1686,312" path="m34,326l1719,326,1719,14,34,14,34,326xe" filled="true" fillcolor="#d9d9d9" stroked="false">
                <v:path arrowok="t"/>
                <v:fill type="solid"/>
              </v:shape>
            </v:group>
            <v:group style="position:absolute;left:10;top:10;width:1731;height:2" coordorigin="10,10" coordsize="1731,2">
              <v:shape style="position:absolute;left:10;top:10;width:1731;height:2" coordorigin="10,10" coordsize="1731,0" path="m10,10l1740,10e" filled="false" stroked="true" strokeweight=".48pt" strokecolor="#000000">
                <v:path arrowok="t"/>
              </v:shape>
            </v:group>
            <v:group style="position:absolute;left:1750;top:10;width:8242;height:2" coordorigin="1750,10" coordsize="8242,2">
              <v:shape style="position:absolute;left:1750;top:10;width:8242;height:2" coordorigin="1750,10" coordsize="8242,0" path="m1750,10l9991,10e" filled="false" stroked="true" strokeweight=".48pt" strokecolor="#000000">
                <v:path arrowok="t"/>
              </v:shape>
            </v:group>
            <v:group style="position:absolute;left:5;top:5;width:2;height:332" coordorigin="5,5" coordsize="2,332">
              <v:shape style="position:absolute;left:5;top:5;width:2;height:332" coordorigin="5,5" coordsize="0,332" path="m5,5l5,336e" filled="false" stroked="true" strokeweight=".48pt" strokecolor="#000000">
                <v:path arrowok="t"/>
              </v:shape>
            </v:group>
            <v:group style="position:absolute;left:10;top:331;width:1731;height:2" coordorigin="10,331" coordsize="1731,2">
              <v:shape style="position:absolute;left:10;top:331;width:1731;height:2" coordorigin="10,331" coordsize="1731,0" path="m10,331l1740,331e" filled="false" stroked="true" strokeweight=".48pt" strokecolor="#000000">
                <v:path arrowok="t"/>
              </v:shape>
            </v:group>
            <v:group style="position:absolute;left:1745;top:5;width:2;height:332" coordorigin="1745,5" coordsize="2,332">
              <v:shape style="position:absolute;left:1745;top:5;width:2;height:332" coordorigin="1745,5" coordsize="0,332" path="m1745,5l1745,336e" filled="false" stroked="true" strokeweight=".48pt" strokecolor="#000000">
                <v:path arrowok="t"/>
              </v:shape>
            </v:group>
            <v:group style="position:absolute;left:1750;top:331;width:8242;height:2" coordorigin="1750,331" coordsize="8242,2">
              <v:shape style="position:absolute;left:1750;top:331;width:8242;height:2" coordorigin="1750,331" coordsize="8242,0" path="m1750,331l9991,331e" filled="false" stroked="true" strokeweight=".48pt" strokecolor="#000000">
                <v:path arrowok="t"/>
              </v:shape>
            </v:group>
            <v:group style="position:absolute;left:9996;top:5;width:2;height:332" coordorigin="9996,5" coordsize="2,332">
              <v:shape style="position:absolute;left:9996;top:5;width:2;height:332" coordorigin="9996,5" coordsize="0,332" path="m9996,5l9996,336e" filled="false" stroked="true" strokeweight=".47998pt" strokecolor="#000000">
                <v:path arrowok="t"/>
              </v:shape>
              <v:shape style="position:absolute;left:5;top:10;width:1741;height:322" type="#_x0000_t202" filled="false" stroked="false">
                <v:textbox inset="0,0,0,0">
                  <w:txbxContent>
                    <w:p>
                      <w:pPr>
                        <w:spacing w:line="267" w:lineRule="exact" w:before="0"/>
                        <w:ind w:left="26" w:right="0" w:firstLine="0"/>
                        <w:jc w:val="left"/>
                        <w:rPr>
                          <w:rFonts w:ascii="宋体" w:hAnsi="宋体" w:cs="宋体" w:eastAsia="宋体" w:hint="default"/>
                          <w:sz w:val="21"/>
                          <w:szCs w:val="21"/>
                        </w:rPr>
                      </w:pPr>
                      <w:r>
                        <w:rPr>
                          <w:rFonts w:ascii="宋体" w:hAnsi="宋体" w:cs="宋体" w:eastAsia="宋体" w:hint="default"/>
                          <w:sz w:val="21"/>
                          <w:szCs w:val="21"/>
                        </w:rPr>
                        <w:t>（如有）</w:t>
                      </w:r>
                    </w:p>
                  </w:txbxContent>
                </v:textbox>
                <w10:wrap type="none"/>
              </v:shape>
            </v:group>
          </v:group>
        </w:pict>
      </w:r>
      <w:r>
        <w:rPr>
          <w:rFonts w:ascii="Times New Roman" w:hAnsi="Times New Roman" w:cs="Times New Roman" w:eastAsia="Times New Roman" w:hint="default"/>
          <w:position w:val="-6"/>
          <w:sz w:val="20"/>
          <w:szCs w:val="20"/>
        </w:rPr>
      </w:r>
    </w:p>
    <w:p>
      <w:pPr>
        <w:spacing w:line="386" w:lineRule="auto" w:before="60"/>
        <w:ind w:left="433" w:right="0" w:firstLine="42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：谛都融成基金投资（三明）有限公司于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日变更名称为</w:t>
      </w:r>
      <w:r>
        <w:rPr>
          <w:rFonts w:ascii="Times New Roman" w:hAnsi="Times New Roman" w:cs="Times New Roman" w:eastAsia="Times New Roman" w:hint="default"/>
          <w:sz w:val="21"/>
          <w:szCs w:val="21"/>
        </w:rPr>
        <w:t>“</w:t>
      </w:r>
      <w:r>
        <w:rPr>
          <w:rFonts w:ascii="宋体" w:hAnsi="宋体" w:cs="宋体" w:eastAsia="宋体" w:hint="default"/>
          <w:sz w:val="21"/>
          <w:szCs w:val="21"/>
        </w:rPr>
        <w:t>中地信基金投资（三明）</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p>
    <w:p>
      <w:pPr>
        <w:spacing w:line="240" w:lineRule="auto" w:before="11"/>
        <w:rPr>
          <w:rFonts w:ascii="Times New Roman" w:hAnsi="Times New Roman" w:cs="Times New Roman" w:eastAsia="Times New Roman" w:hint="default"/>
          <w:sz w:val="26"/>
          <w:szCs w:val="26"/>
        </w:rPr>
      </w:pPr>
    </w:p>
    <w:p>
      <w:pPr>
        <w:pStyle w:val="Heading2"/>
        <w:spacing w:line="338" w:lineRule="auto"/>
        <w:ind w:left="433" w:right="198"/>
        <w:jc w:val="left"/>
        <w:rPr>
          <w:b w:val="0"/>
          <w:bCs w:val="0"/>
        </w:rPr>
      </w:pPr>
      <w:r>
        <w:rPr>
          <w:rFonts w:ascii="Times New Roman" w:hAnsi="Times New Roman" w:cs="Times New Roman" w:eastAsia="Times New Roman" w:hint="default"/>
          <w:spacing w:val="-3"/>
        </w:rPr>
        <w:t>2</w:t>
      </w:r>
      <w:r>
        <w:rPr>
          <w:spacing w:val="-3"/>
        </w:rPr>
        <w:t>、公司资产或项目存在盈利预测，且报告期仍处在盈利预测期间，公司就资产或项目达到原</w:t>
      </w:r>
      <w:r>
        <w:rPr>
          <w:w w:val="99"/>
        </w:rPr>
        <w:t> </w:t>
      </w:r>
      <w:r>
        <w:rPr/>
        <w:t>盈利预测及其原因做出说明</w:t>
      </w:r>
      <w:r>
        <w:rPr>
          <w:b w:val="0"/>
          <w:bCs w:val="0"/>
        </w:rPr>
      </w:r>
    </w:p>
    <w:p>
      <w:pPr>
        <w:spacing w:line="240" w:lineRule="auto" w:before="2"/>
        <w:rPr>
          <w:rFonts w:ascii="宋体" w:hAnsi="宋体" w:cs="宋体" w:eastAsia="宋体" w:hint="default"/>
          <w:b/>
          <w:bCs/>
          <w:sz w:val="27"/>
          <w:szCs w:val="27"/>
        </w:rPr>
      </w:pPr>
    </w:p>
    <w:p>
      <w:pPr>
        <w:pStyle w:val="BodyText"/>
        <w:spacing w:line="240" w:lineRule="auto" w:before="0"/>
        <w:ind w:left="913" w:right="3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428" w:type="dxa"/>
        <w:tblLayout w:type="fixed"/>
        <w:tblCellMar>
          <w:top w:w="0" w:type="dxa"/>
          <w:left w:w="0" w:type="dxa"/>
          <w:bottom w:w="0" w:type="dxa"/>
          <w:right w:w="0" w:type="dxa"/>
        </w:tblCellMar>
        <w:tblLook w:val="01E0"/>
      </w:tblPr>
      <w:tblGrid>
        <w:gridCol w:w="1306"/>
        <w:gridCol w:w="1179"/>
        <w:gridCol w:w="1181"/>
        <w:gridCol w:w="1181"/>
        <w:gridCol w:w="1178"/>
        <w:gridCol w:w="1181"/>
        <w:gridCol w:w="1183"/>
        <w:gridCol w:w="1176"/>
      </w:tblGrid>
      <w:tr>
        <w:trPr>
          <w:trHeight w:val="94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0" w:right="120"/>
              <w:jc w:val="center"/>
              <w:rPr>
                <w:rFonts w:ascii="宋体" w:hAnsi="宋体" w:cs="宋体" w:eastAsia="宋体" w:hint="default"/>
                <w:sz w:val="21"/>
                <w:szCs w:val="21"/>
              </w:rPr>
            </w:pPr>
            <w:r>
              <w:rPr>
                <w:rFonts w:ascii="宋体" w:hAnsi="宋体" w:cs="宋体" w:eastAsia="宋体" w:hint="default"/>
                <w:sz w:val="21"/>
                <w:szCs w:val="21"/>
              </w:rPr>
              <w:t>盈利预测资</w:t>
            </w:r>
            <w:r>
              <w:rPr>
                <w:rFonts w:ascii="宋体" w:hAnsi="宋体" w:cs="宋体" w:eastAsia="宋体" w:hint="default"/>
                <w:w w:val="100"/>
                <w:sz w:val="21"/>
                <w:szCs w:val="21"/>
              </w:rPr>
              <w:t> </w:t>
            </w:r>
            <w:r>
              <w:rPr>
                <w:rFonts w:ascii="宋体" w:hAnsi="宋体" w:cs="宋体" w:eastAsia="宋体" w:hint="default"/>
                <w:sz w:val="21"/>
                <w:szCs w:val="21"/>
              </w:rPr>
              <w:t>产或项目名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477" w:right="56" w:hanging="420"/>
              <w:jc w:val="left"/>
              <w:rPr>
                <w:rFonts w:ascii="宋体" w:hAnsi="宋体" w:cs="宋体" w:eastAsia="宋体" w:hint="default"/>
                <w:sz w:val="21"/>
                <w:szCs w:val="21"/>
              </w:rPr>
            </w:pPr>
            <w:r>
              <w:rPr>
                <w:rFonts w:ascii="宋体" w:hAnsi="宋体" w:cs="宋体" w:eastAsia="宋体" w:hint="default"/>
                <w:sz w:val="21"/>
                <w:szCs w:val="21"/>
              </w:rPr>
              <w:t>预测起始时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479" w:right="55" w:hanging="420"/>
              <w:jc w:val="left"/>
              <w:rPr>
                <w:rFonts w:ascii="宋体" w:hAnsi="宋体" w:cs="宋体" w:eastAsia="宋体" w:hint="default"/>
                <w:sz w:val="21"/>
                <w:szCs w:val="21"/>
              </w:rPr>
            </w:pPr>
            <w:r>
              <w:rPr>
                <w:rFonts w:ascii="宋体" w:hAnsi="宋体" w:cs="宋体" w:eastAsia="宋体" w:hint="default"/>
                <w:sz w:val="21"/>
                <w:szCs w:val="21"/>
              </w:rPr>
              <w:t>预测终止时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57" w:right="58"/>
              <w:jc w:val="left"/>
              <w:rPr>
                <w:rFonts w:ascii="宋体" w:hAnsi="宋体" w:cs="宋体" w:eastAsia="宋体" w:hint="default"/>
                <w:sz w:val="21"/>
                <w:szCs w:val="21"/>
              </w:rPr>
            </w:pPr>
            <w:r>
              <w:rPr>
                <w:rFonts w:ascii="宋体" w:hAnsi="宋体" w:cs="宋体" w:eastAsia="宋体" w:hint="default"/>
                <w:sz w:val="21"/>
                <w:szCs w:val="21"/>
              </w:rPr>
              <w:t>当期预测业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绩（万元）</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57" w:right="55"/>
              <w:jc w:val="left"/>
              <w:rPr>
                <w:rFonts w:ascii="宋体" w:hAnsi="宋体" w:cs="宋体" w:eastAsia="宋体" w:hint="default"/>
                <w:sz w:val="21"/>
                <w:szCs w:val="21"/>
              </w:rPr>
            </w:pPr>
            <w:r>
              <w:rPr>
                <w:rFonts w:ascii="宋体" w:hAnsi="宋体" w:cs="宋体" w:eastAsia="宋体" w:hint="default"/>
                <w:sz w:val="21"/>
                <w:szCs w:val="21"/>
              </w:rPr>
              <w:t>当期实际业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绩（万元）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9" w:right="56"/>
              <w:jc w:val="center"/>
              <w:rPr>
                <w:rFonts w:ascii="宋体" w:hAnsi="宋体" w:cs="宋体" w:eastAsia="宋体" w:hint="default"/>
                <w:sz w:val="21"/>
                <w:szCs w:val="21"/>
              </w:rPr>
            </w:pPr>
            <w:r>
              <w:rPr>
                <w:rFonts w:ascii="宋体" w:hAnsi="宋体" w:cs="宋体" w:eastAsia="宋体" w:hint="default"/>
                <w:sz w:val="21"/>
                <w:szCs w:val="21"/>
              </w:rPr>
              <w:t>未达预测的</w:t>
            </w:r>
            <w:r>
              <w:rPr>
                <w:rFonts w:ascii="宋体" w:hAnsi="宋体" w:cs="宋体" w:eastAsia="宋体" w:hint="default"/>
                <w:w w:val="100"/>
                <w:sz w:val="21"/>
                <w:szCs w:val="21"/>
              </w:rPr>
              <w:t> </w:t>
            </w:r>
            <w:r>
              <w:rPr>
                <w:rFonts w:ascii="宋体" w:hAnsi="宋体" w:cs="宋体" w:eastAsia="宋体" w:hint="default"/>
                <w:sz w:val="21"/>
                <w:szCs w:val="21"/>
              </w:rPr>
              <w:t>原因（如适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374" w:right="57" w:hanging="315"/>
              <w:jc w:val="left"/>
              <w:rPr>
                <w:rFonts w:ascii="宋体" w:hAnsi="宋体" w:cs="宋体" w:eastAsia="宋体" w:hint="default"/>
                <w:sz w:val="21"/>
                <w:szCs w:val="21"/>
              </w:rPr>
            </w:pPr>
            <w:r>
              <w:rPr>
                <w:rFonts w:ascii="宋体" w:hAnsi="宋体" w:cs="宋体" w:eastAsia="宋体" w:hint="default"/>
                <w:sz w:val="21"/>
                <w:szCs w:val="21"/>
              </w:rPr>
              <w:t>原预测披露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374" w:right="53" w:hanging="317"/>
              <w:jc w:val="left"/>
              <w:rPr>
                <w:rFonts w:ascii="宋体" w:hAnsi="宋体" w:cs="宋体" w:eastAsia="宋体" w:hint="default"/>
                <w:sz w:val="21"/>
                <w:szCs w:val="21"/>
              </w:rPr>
            </w:pPr>
            <w:r>
              <w:rPr>
                <w:rFonts w:ascii="宋体" w:hAnsi="宋体" w:cs="宋体" w:eastAsia="宋体" w:hint="default"/>
                <w:sz w:val="21"/>
                <w:szCs w:val="21"/>
              </w:rPr>
              <w:t>原预测披露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索引</w:t>
            </w:r>
          </w:p>
        </w:tc>
      </w:tr>
      <w:tr>
        <w:trPr>
          <w:trHeight w:val="94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1" w:right="17"/>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54"/>
                <w:sz w:val="21"/>
                <w:szCs w:val="21"/>
              </w:rPr>
              <w:t> </w:t>
            </w:r>
            <w:r>
              <w:rPr>
                <w:rFonts w:ascii="宋体" w:hAnsi="宋体" w:cs="宋体" w:eastAsia="宋体" w:hint="default"/>
                <w:sz w:val="21"/>
                <w:szCs w:val="21"/>
              </w:rPr>
              <w:t>购</w:t>
            </w:r>
            <w:r>
              <w:rPr>
                <w:rFonts w:ascii="宋体" w:hAnsi="宋体" w:cs="宋体" w:eastAsia="宋体" w:hint="default"/>
                <w:spacing w:val="-54"/>
                <w:sz w:val="21"/>
                <w:szCs w:val="21"/>
              </w:rPr>
              <w:t> </w:t>
            </w:r>
            <w:r>
              <w:rPr>
                <w:rFonts w:ascii="宋体" w:hAnsi="宋体" w:cs="宋体" w:eastAsia="宋体" w:hint="default"/>
                <w:sz w:val="21"/>
                <w:szCs w:val="21"/>
              </w:rPr>
              <w:t>上</w:t>
            </w:r>
            <w:r>
              <w:rPr>
                <w:rFonts w:ascii="宋体" w:hAnsi="宋体" w:cs="宋体" w:eastAsia="宋体" w:hint="default"/>
                <w:spacing w:val="-57"/>
                <w:sz w:val="21"/>
                <w:szCs w:val="21"/>
              </w:rPr>
              <w:t> </w:t>
            </w:r>
            <w:r>
              <w:rPr>
                <w:rFonts w:ascii="宋体" w:hAnsi="宋体" w:cs="宋体" w:eastAsia="宋体" w:hint="default"/>
                <w:sz w:val="21"/>
                <w:szCs w:val="21"/>
              </w:rPr>
              <w:t>海</w:t>
            </w:r>
            <w:r>
              <w:rPr>
                <w:rFonts w:ascii="宋体" w:hAnsi="宋体" w:cs="宋体" w:eastAsia="宋体" w:hint="default"/>
                <w:spacing w:val="-54"/>
                <w:sz w:val="21"/>
                <w:szCs w:val="21"/>
              </w:rPr>
              <w:t> </w:t>
            </w:r>
            <w:r>
              <w:rPr>
                <w:rFonts w:ascii="宋体" w:hAnsi="宋体" w:cs="宋体" w:eastAsia="宋体" w:hint="default"/>
                <w:sz w:val="21"/>
                <w:szCs w:val="21"/>
              </w:rPr>
              <w:t>南</w:t>
            </w:r>
            <w:r>
              <w:rPr>
                <w:rFonts w:ascii="宋体" w:hAnsi="宋体" w:cs="宋体" w:eastAsia="宋体" w:hint="default"/>
                <w:w w:val="100"/>
                <w:sz w:val="21"/>
                <w:szCs w:val="21"/>
              </w:rPr>
              <w:t> </w:t>
            </w:r>
            <w:r>
              <w:rPr>
                <w:rFonts w:ascii="宋体" w:hAnsi="宋体" w:cs="宋体" w:eastAsia="宋体" w:hint="default"/>
                <w:sz w:val="21"/>
                <w:szCs w:val="21"/>
              </w:rPr>
              <w:t>康</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1,250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1,381.22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6"/>
              <w:ind w:left="21" w:right="34"/>
              <w:jc w:val="left"/>
              <w:rPr>
                <w:rFonts w:ascii="Times New Roman" w:hAnsi="Times New Roman" w:cs="Times New Roman" w:eastAsia="Times New Roman" w:hint="default"/>
                <w:sz w:val="21"/>
                <w:szCs w:val="21"/>
              </w:rPr>
            </w:pPr>
            <w:r>
              <w:rPr>
                <w:rFonts w:ascii="Times New Roman"/>
                <w:spacing w:val="-3"/>
                <w:sz w:val="21"/>
              </w:rPr>
              <w:t>http://www.c</w:t>
            </w:r>
            <w:r>
              <w:rPr>
                <w:rFonts w:ascii="Times New Roman"/>
                <w:spacing w:val="-39"/>
                <w:sz w:val="21"/>
              </w:rPr>
              <w:t> </w:t>
            </w:r>
            <w:r>
              <w:rPr>
                <w:rFonts w:ascii="Times New Roman"/>
                <w:spacing w:val="-39"/>
                <w:sz w:val="21"/>
              </w:rPr>
            </w:r>
            <w:r>
              <w:rPr>
                <w:rFonts w:ascii="Times New Roman"/>
                <w:sz w:val="21"/>
              </w:rPr>
              <w:t>ninfo.com.cn</w:t>
            </w:r>
          </w:p>
          <w:p>
            <w:pPr>
              <w:pStyle w:val="TableParagraph"/>
              <w:spacing w:line="240" w:lineRule="auto" w:before="3"/>
              <w:ind w:left="21" w:right="0"/>
              <w:jc w:val="left"/>
              <w:rPr>
                <w:rFonts w:ascii="Times New Roman" w:hAnsi="Times New Roman" w:cs="Times New Roman" w:eastAsia="Times New Roman" w:hint="default"/>
                <w:sz w:val="21"/>
                <w:szCs w:val="21"/>
              </w:rPr>
            </w:pPr>
            <w:r>
              <w:rPr>
                <w:rFonts w:ascii="Times New Roman"/>
                <w:w w:val="100"/>
                <w:sz w:val="21"/>
              </w:rPr>
              <w:t>/</w:t>
            </w:r>
          </w:p>
        </w:tc>
      </w:tr>
      <w:tr>
        <w:trPr>
          <w:trHeight w:val="94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1" w:right="17"/>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54"/>
                <w:sz w:val="21"/>
                <w:szCs w:val="21"/>
              </w:rPr>
              <w:t> </w:t>
            </w:r>
            <w:r>
              <w:rPr>
                <w:rFonts w:ascii="宋体" w:hAnsi="宋体" w:cs="宋体" w:eastAsia="宋体" w:hint="default"/>
                <w:sz w:val="21"/>
                <w:szCs w:val="21"/>
              </w:rPr>
              <w:t>购</w:t>
            </w:r>
            <w:r>
              <w:rPr>
                <w:rFonts w:ascii="宋体" w:hAnsi="宋体" w:cs="宋体" w:eastAsia="宋体" w:hint="default"/>
                <w:spacing w:val="-54"/>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京</w:t>
            </w:r>
            <w:r>
              <w:rPr>
                <w:rFonts w:ascii="宋体" w:hAnsi="宋体" w:cs="宋体" w:eastAsia="宋体" w:hint="default"/>
                <w:spacing w:val="-54"/>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图</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4,420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4,537.35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4"/>
              <w:ind w:left="21" w:right="34"/>
              <w:jc w:val="left"/>
              <w:rPr>
                <w:rFonts w:ascii="Times New Roman" w:hAnsi="Times New Roman" w:cs="Times New Roman" w:eastAsia="Times New Roman" w:hint="default"/>
                <w:sz w:val="21"/>
                <w:szCs w:val="21"/>
              </w:rPr>
            </w:pPr>
            <w:r>
              <w:rPr>
                <w:rFonts w:ascii="Times New Roman"/>
                <w:spacing w:val="-3"/>
                <w:sz w:val="21"/>
              </w:rPr>
              <w:t>http://www.c</w:t>
            </w:r>
            <w:r>
              <w:rPr>
                <w:rFonts w:ascii="Times New Roman"/>
                <w:spacing w:val="-39"/>
                <w:sz w:val="21"/>
              </w:rPr>
              <w:t> </w:t>
            </w:r>
            <w:r>
              <w:rPr>
                <w:rFonts w:ascii="Times New Roman"/>
                <w:spacing w:val="-39"/>
                <w:sz w:val="21"/>
              </w:rPr>
            </w:r>
            <w:r>
              <w:rPr>
                <w:rFonts w:ascii="Times New Roman"/>
                <w:sz w:val="21"/>
              </w:rPr>
              <w:t>ninfo.com.cn</w:t>
            </w:r>
          </w:p>
          <w:p>
            <w:pPr>
              <w:pStyle w:val="TableParagraph"/>
              <w:spacing w:line="240" w:lineRule="auto" w:before="3"/>
              <w:ind w:left="21" w:right="0"/>
              <w:jc w:val="left"/>
              <w:rPr>
                <w:rFonts w:ascii="Times New Roman" w:hAnsi="Times New Roman" w:cs="Times New Roman" w:eastAsia="Times New Roman" w:hint="default"/>
                <w:sz w:val="21"/>
                <w:szCs w:val="21"/>
              </w:rPr>
            </w:pPr>
            <w:r>
              <w:rPr>
                <w:rFonts w:ascii="Times New Roman"/>
                <w:w w:val="100"/>
                <w:sz w:val="21"/>
              </w:rPr>
              <w:t>/</w:t>
            </w:r>
          </w:p>
        </w:tc>
      </w:tr>
      <w:tr>
        <w:trPr>
          <w:trHeight w:val="94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1" w:right="17"/>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54"/>
                <w:sz w:val="21"/>
                <w:szCs w:val="21"/>
              </w:rPr>
              <w:t> </w:t>
            </w:r>
            <w:r>
              <w:rPr>
                <w:rFonts w:ascii="宋体" w:hAnsi="宋体" w:cs="宋体" w:eastAsia="宋体" w:hint="default"/>
                <w:sz w:val="21"/>
                <w:szCs w:val="21"/>
              </w:rPr>
              <w:t>购</w:t>
            </w:r>
            <w:r>
              <w:rPr>
                <w:rFonts w:ascii="宋体" w:hAnsi="宋体" w:cs="宋体" w:eastAsia="宋体" w:hint="default"/>
                <w:spacing w:val="-54"/>
                <w:sz w:val="21"/>
                <w:szCs w:val="21"/>
              </w:rPr>
              <w:t> </w:t>
            </w:r>
            <w:r>
              <w:rPr>
                <w:rFonts w:ascii="宋体" w:hAnsi="宋体" w:cs="宋体" w:eastAsia="宋体" w:hint="default"/>
                <w:sz w:val="21"/>
                <w:szCs w:val="21"/>
              </w:rPr>
              <w:t>北</w:t>
            </w:r>
            <w:r>
              <w:rPr>
                <w:rFonts w:ascii="宋体" w:hAnsi="宋体" w:cs="宋体" w:eastAsia="宋体" w:hint="default"/>
                <w:spacing w:val="-57"/>
                <w:sz w:val="21"/>
                <w:szCs w:val="21"/>
              </w:rPr>
              <w:t> </w:t>
            </w:r>
            <w:r>
              <w:rPr>
                <w:rFonts w:ascii="宋体" w:hAnsi="宋体" w:cs="宋体" w:eastAsia="宋体" w:hint="default"/>
                <w:sz w:val="21"/>
                <w:szCs w:val="21"/>
              </w:rPr>
              <w:t>京</w:t>
            </w:r>
            <w:r>
              <w:rPr>
                <w:rFonts w:ascii="宋体" w:hAnsi="宋体" w:cs="宋体" w:eastAsia="宋体" w:hint="default"/>
                <w:spacing w:val="-54"/>
                <w:sz w:val="21"/>
                <w:szCs w:val="21"/>
              </w:rPr>
              <w:t> </w:t>
            </w: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图</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1,250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1,269.14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4"/>
              <w:ind w:left="21" w:right="34"/>
              <w:jc w:val="left"/>
              <w:rPr>
                <w:rFonts w:ascii="Times New Roman" w:hAnsi="Times New Roman" w:cs="Times New Roman" w:eastAsia="Times New Roman" w:hint="default"/>
                <w:sz w:val="21"/>
                <w:szCs w:val="21"/>
              </w:rPr>
            </w:pPr>
            <w:r>
              <w:rPr>
                <w:rFonts w:ascii="Times New Roman"/>
                <w:spacing w:val="-3"/>
                <w:sz w:val="21"/>
              </w:rPr>
              <w:t>http://www.c</w:t>
            </w:r>
            <w:r>
              <w:rPr>
                <w:rFonts w:ascii="Times New Roman"/>
                <w:spacing w:val="-39"/>
                <w:sz w:val="21"/>
              </w:rPr>
              <w:t> </w:t>
            </w:r>
            <w:r>
              <w:rPr>
                <w:rFonts w:ascii="Times New Roman"/>
                <w:spacing w:val="-39"/>
                <w:sz w:val="21"/>
              </w:rPr>
            </w:r>
            <w:r>
              <w:rPr>
                <w:rFonts w:ascii="Times New Roman"/>
                <w:sz w:val="21"/>
              </w:rPr>
              <w:t>ninfo.com.cn</w:t>
            </w:r>
          </w:p>
          <w:p>
            <w:pPr>
              <w:pStyle w:val="TableParagraph"/>
              <w:spacing w:line="240" w:lineRule="auto" w:before="3"/>
              <w:ind w:left="21" w:right="0"/>
              <w:jc w:val="left"/>
              <w:rPr>
                <w:rFonts w:ascii="Times New Roman" w:hAnsi="Times New Roman" w:cs="Times New Roman" w:eastAsia="Times New Roman" w:hint="default"/>
                <w:sz w:val="21"/>
                <w:szCs w:val="21"/>
              </w:rPr>
            </w:pPr>
            <w:r>
              <w:rPr>
                <w:rFonts w:ascii="Times New Roman"/>
                <w:w w:val="100"/>
                <w:sz w:val="21"/>
              </w:rPr>
              <w:t>/</w:t>
            </w:r>
          </w:p>
        </w:tc>
      </w:tr>
      <w:tr>
        <w:trPr>
          <w:trHeight w:val="94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1" w:right="17"/>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54"/>
                <w:sz w:val="21"/>
                <w:szCs w:val="21"/>
              </w:rPr>
              <w:t> </w:t>
            </w:r>
            <w:r>
              <w:rPr>
                <w:rFonts w:ascii="宋体" w:hAnsi="宋体" w:cs="宋体" w:eastAsia="宋体" w:hint="default"/>
                <w:sz w:val="21"/>
                <w:szCs w:val="21"/>
              </w:rPr>
              <w:t>购</w:t>
            </w:r>
            <w:r>
              <w:rPr>
                <w:rFonts w:ascii="宋体" w:hAnsi="宋体" w:cs="宋体" w:eastAsia="宋体" w:hint="default"/>
                <w:spacing w:val="-54"/>
                <w:sz w:val="21"/>
                <w:szCs w:val="21"/>
              </w:rPr>
              <w:t> </w:t>
            </w:r>
            <w:r>
              <w:rPr>
                <w:rFonts w:ascii="宋体" w:hAnsi="宋体" w:cs="宋体" w:eastAsia="宋体" w:hint="default"/>
                <w:sz w:val="21"/>
                <w:szCs w:val="21"/>
              </w:rPr>
              <w:t>上</w:t>
            </w:r>
            <w:r>
              <w:rPr>
                <w:rFonts w:ascii="宋体" w:hAnsi="宋体" w:cs="宋体" w:eastAsia="宋体" w:hint="default"/>
                <w:spacing w:val="-57"/>
                <w:sz w:val="21"/>
                <w:szCs w:val="21"/>
              </w:rPr>
              <w:t> </w:t>
            </w:r>
            <w:r>
              <w:rPr>
                <w:rFonts w:ascii="宋体" w:hAnsi="宋体" w:cs="宋体" w:eastAsia="宋体" w:hint="default"/>
                <w:sz w:val="21"/>
                <w:szCs w:val="21"/>
              </w:rPr>
              <w:t>海</w:t>
            </w:r>
            <w:r>
              <w:rPr>
                <w:rFonts w:ascii="宋体" w:hAnsi="宋体" w:cs="宋体" w:eastAsia="宋体" w:hint="default"/>
                <w:spacing w:val="-54"/>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慧</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2,400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2,609.76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4"/>
              <w:ind w:left="21" w:right="34"/>
              <w:jc w:val="left"/>
              <w:rPr>
                <w:rFonts w:ascii="Times New Roman" w:hAnsi="Times New Roman" w:cs="Times New Roman" w:eastAsia="Times New Roman" w:hint="default"/>
                <w:sz w:val="21"/>
                <w:szCs w:val="21"/>
              </w:rPr>
            </w:pPr>
            <w:r>
              <w:rPr>
                <w:rFonts w:ascii="Times New Roman"/>
                <w:spacing w:val="-3"/>
                <w:sz w:val="21"/>
              </w:rPr>
              <w:t>http://www.c</w:t>
            </w:r>
            <w:r>
              <w:rPr>
                <w:rFonts w:ascii="Times New Roman"/>
                <w:spacing w:val="-39"/>
                <w:sz w:val="21"/>
              </w:rPr>
              <w:t> </w:t>
            </w:r>
            <w:r>
              <w:rPr>
                <w:rFonts w:ascii="Times New Roman"/>
                <w:spacing w:val="-39"/>
                <w:sz w:val="21"/>
              </w:rPr>
            </w:r>
            <w:r>
              <w:rPr>
                <w:rFonts w:ascii="Times New Roman"/>
                <w:sz w:val="21"/>
              </w:rPr>
              <w:t>ninfo.com.cn</w:t>
            </w:r>
          </w:p>
          <w:p>
            <w:pPr>
              <w:pStyle w:val="TableParagraph"/>
              <w:spacing w:line="240" w:lineRule="auto" w:before="3"/>
              <w:ind w:left="21" w:right="0"/>
              <w:jc w:val="lef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39"/>
        <w:ind w:left="913" w:right="396"/>
        <w:jc w:val="left"/>
      </w:pPr>
      <w:r>
        <w:rPr/>
        <w:t>公司股东、交易对手方对公司或相关资产年度经营业绩作出的承诺情况</w:t>
      </w:r>
    </w:p>
    <w:p>
      <w:pPr>
        <w:pStyle w:val="BodyText"/>
        <w:spacing w:line="240" w:lineRule="auto" w:before="154"/>
        <w:ind w:left="913" w:right="3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5"/>
        <w:ind w:left="913" w:right="0"/>
        <w:jc w:val="left"/>
      </w:pPr>
      <w:r>
        <w:rPr/>
        <w:t>根据公司与上海南康曹彤宇等股东</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10 </w:t>
      </w:r>
      <w:r>
        <w:rPr/>
        <w:t>日签署</w:t>
      </w:r>
      <w:r>
        <w:rPr>
          <w:spacing w:val="-41"/>
        </w:rPr>
        <w:t>的</w:t>
      </w:r>
      <w:r>
        <w:rPr/>
        <w:t>《股权转让协议</w:t>
      </w:r>
      <w:r>
        <w:rPr>
          <w:spacing w:val="-120"/>
        </w:rPr>
        <w:t>》</w:t>
      </w:r>
      <w:r>
        <w:rPr>
          <w:spacing w:val="-41"/>
        </w:rPr>
        <w:t>，</w:t>
      </w:r>
      <w:r>
        <w:rPr/>
        <w:t>转让方承</w:t>
      </w:r>
    </w:p>
    <w:p>
      <w:pPr>
        <w:pStyle w:val="BodyText"/>
        <w:spacing w:line="240" w:lineRule="auto" w:before="135"/>
        <w:ind w:left="433" w:right="0"/>
        <w:jc w:val="left"/>
        <w:rPr>
          <w:rFonts w:ascii="Times New Roman" w:hAnsi="Times New Roman" w:cs="Times New Roman" w:eastAsia="Times New Roman" w:hint="default"/>
        </w:rPr>
      </w:pPr>
      <w:r>
        <w:rPr/>
        <w:t>诺</w:t>
      </w:r>
      <w:r>
        <w:rPr>
          <w:spacing w:val="-120"/>
        </w:rPr>
        <w:t>，</w:t>
      </w:r>
      <w:r>
        <w:rPr/>
        <w:t>上海南康</w:t>
      </w:r>
      <w:r>
        <w:rPr>
          <w:spacing w:val="-8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t>年</w:t>
      </w:r>
      <w:r>
        <w:rPr>
          <w:spacing w:val="-3"/>
        </w:rPr>
        <w:t>实</w:t>
      </w:r>
      <w:r>
        <w:rPr/>
        <w:t>现的扣除非经常性损益和研发资本化费用的税后净利</w:t>
      </w:r>
      <w:r>
        <w:rPr>
          <w:spacing w:val="1"/>
        </w:rPr>
        <w:t>润</w:t>
      </w:r>
      <w:r>
        <w:rPr/>
        <w:t>将不少于</w:t>
      </w:r>
      <w:r>
        <w:rPr>
          <w:spacing w:val="-86"/>
        </w:rPr>
        <w:t> </w:t>
      </w:r>
      <w:r>
        <w:rPr>
          <w:rFonts w:ascii="Times New Roman" w:hAnsi="Times New Roman" w:cs="Times New Roman" w:eastAsia="Times New Roman" w:hint="default"/>
        </w:rPr>
        <w:t>1,250</w:t>
      </w:r>
    </w:p>
    <w:p>
      <w:pPr>
        <w:pStyle w:val="BodyText"/>
        <w:spacing w:line="240" w:lineRule="auto" w:before="135"/>
        <w:ind w:left="433" w:right="396"/>
        <w:jc w:val="left"/>
      </w:pPr>
      <w:r>
        <w:rPr/>
        <w:t>万元。</w:t>
      </w:r>
    </w:p>
    <w:p>
      <w:pPr>
        <w:pStyle w:val="BodyText"/>
        <w:spacing w:line="357" w:lineRule="auto" w:before="154"/>
        <w:ind w:left="433" w:right="233" w:firstLine="480"/>
        <w:jc w:val="left"/>
      </w:pPr>
      <w:r>
        <w:rPr/>
        <w:t>根据中汇会计师事务所（特殊普通合伙）出具的《关于上海南康科技有限公司业绩承诺 </w:t>
      </w:r>
      <w:r>
        <w:rPr>
          <w:spacing w:val="-8"/>
        </w:rPr>
        <w:t>完成情况的鉴证报告》，上海南康</w:t>
      </w:r>
      <w:r>
        <w:rPr>
          <w:spacing w:val="-60"/>
        </w:rPr>
        <w:t> </w:t>
      </w:r>
      <w:r>
        <w:rPr>
          <w:rFonts w:ascii="Times New Roman" w:hAnsi="Times New Roman" w:cs="Times New Roman" w:eastAsia="Times New Roman" w:hint="default"/>
        </w:rPr>
        <w:t>2017 </w:t>
      </w:r>
      <w:r>
        <w:rPr/>
        <w:t>年度实现的扣除非经常性损益和研发资本化费用后归</w:t>
      </w:r>
    </w:p>
    <w:p>
      <w:pPr>
        <w:pStyle w:val="BodyText"/>
        <w:spacing w:line="240" w:lineRule="auto" w:before="5"/>
        <w:ind w:left="433" w:right="396"/>
        <w:jc w:val="left"/>
      </w:pPr>
      <w:r>
        <w:rPr/>
        <w:t>属于母公司的净利润</w:t>
      </w:r>
      <w:r>
        <w:rPr>
          <w:spacing w:val="-60"/>
        </w:rPr>
        <w:t> </w:t>
      </w:r>
      <w:r>
        <w:rPr>
          <w:rFonts w:ascii="Times New Roman" w:hAnsi="Times New Roman" w:cs="Times New Roman" w:eastAsia="Times New Roman" w:hint="default"/>
        </w:rPr>
        <w:t>1,381.22 </w:t>
      </w:r>
      <w:r>
        <w:rPr/>
        <w:t>万元，完成了</w:t>
      </w:r>
      <w:r>
        <w:rPr>
          <w:spacing w:val="-60"/>
        </w:rPr>
        <w:t> </w:t>
      </w:r>
      <w:r>
        <w:rPr>
          <w:rFonts w:ascii="Times New Roman" w:hAnsi="Times New Roman" w:cs="Times New Roman" w:eastAsia="Times New Roman" w:hint="default"/>
        </w:rPr>
        <w:t>2017 </w:t>
      </w:r>
      <w:r>
        <w:rPr/>
        <w:t>年度的业绩承诺。</w:t>
      </w:r>
    </w:p>
    <w:p>
      <w:pPr>
        <w:pStyle w:val="BodyText"/>
        <w:spacing w:line="240" w:lineRule="auto" w:before="135"/>
        <w:ind w:left="913" w:right="0"/>
        <w:jc w:val="left"/>
      </w:pPr>
      <w:r>
        <w:rPr/>
        <w:t>根据公司与南京国图孙在宏等股东</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日签署的《股权转让协议</w:t>
      </w:r>
      <w:r>
        <w:rPr>
          <w:spacing w:val="-120"/>
        </w:rPr>
        <w:t>》</w:t>
      </w:r>
      <w:r>
        <w:rPr/>
        <w:t>，转让方承</w:t>
      </w:r>
    </w:p>
    <w:p>
      <w:pPr>
        <w:pStyle w:val="BodyText"/>
        <w:spacing w:line="240" w:lineRule="auto" w:before="135"/>
        <w:ind w:left="433" w:right="0"/>
        <w:jc w:val="left"/>
        <w:rPr>
          <w:rFonts w:ascii="Times New Roman" w:hAnsi="Times New Roman" w:cs="Times New Roman" w:eastAsia="Times New Roman" w:hint="default"/>
        </w:rPr>
      </w:pPr>
      <w:r>
        <w:rPr/>
        <w:t>诺</w:t>
      </w:r>
      <w:r>
        <w:rPr>
          <w:spacing w:val="-120"/>
        </w:rPr>
        <w:t>，</w:t>
      </w:r>
      <w:r>
        <w:rPr/>
        <w:t>南京国图</w:t>
      </w:r>
      <w:r>
        <w:rPr>
          <w:spacing w:val="-8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t>年</w:t>
      </w:r>
      <w:r>
        <w:rPr>
          <w:spacing w:val="-3"/>
        </w:rPr>
        <w:t>实</w:t>
      </w:r>
      <w:r>
        <w:rPr/>
        <w:t>现的扣除非经常性损益和研发资本化费用的税后净利</w:t>
      </w:r>
      <w:r>
        <w:rPr>
          <w:spacing w:val="1"/>
        </w:rPr>
        <w:t>润</w:t>
      </w:r>
      <w:r>
        <w:rPr/>
        <w:t>将不少于</w:t>
      </w:r>
      <w:r>
        <w:rPr>
          <w:spacing w:val="-86"/>
        </w:rPr>
        <w:t> </w:t>
      </w:r>
      <w:r>
        <w:rPr>
          <w:rFonts w:ascii="Times New Roman" w:hAnsi="Times New Roman" w:cs="Times New Roman" w:eastAsia="Times New Roman" w:hint="default"/>
        </w:rPr>
        <w:t>4,420</w:t>
      </w:r>
    </w:p>
    <w:p>
      <w:pPr>
        <w:pStyle w:val="BodyText"/>
        <w:spacing w:line="240" w:lineRule="auto" w:before="135"/>
        <w:ind w:left="433" w:right="396"/>
        <w:jc w:val="left"/>
      </w:pPr>
      <w:r>
        <w:rPr/>
        <w:t>万元。</w:t>
      </w:r>
    </w:p>
    <w:p>
      <w:pPr>
        <w:pStyle w:val="BodyText"/>
        <w:spacing w:line="240" w:lineRule="auto" w:before="154"/>
        <w:ind w:left="913" w:right="0"/>
        <w:jc w:val="left"/>
      </w:pPr>
      <w:r>
        <w:rPr/>
        <w:t>根据中汇会计师事务所（特殊普通合伙）出具的《关于南京国图信息产业有限公司业绩</w:t>
      </w:r>
    </w:p>
    <w:p>
      <w:pPr>
        <w:spacing w:after="0" w:line="240" w:lineRule="auto"/>
        <w:jc w:val="left"/>
        <w:sectPr>
          <w:pgSz w:w="11910" w:h="16840"/>
          <w:pgMar w:header="877" w:footer="980" w:top="1100" w:bottom="1160" w:left="700" w:right="920"/>
        </w:sectPr>
      </w:pPr>
    </w:p>
    <w:p>
      <w:pPr>
        <w:spacing w:line="240" w:lineRule="auto" w:before="7"/>
        <w:rPr>
          <w:rFonts w:ascii="宋体" w:hAnsi="宋体" w:cs="宋体" w:eastAsia="宋体" w:hint="default"/>
          <w:sz w:val="25"/>
          <w:szCs w:val="25"/>
        </w:rPr>
      </w:pPr>
    </w:p>
    <w:p>
      <w:pPr>
        <w:pStyle w:val="BodyText"/>
        <w:spacing w:line="240" w:lineRule="auto" w:before="26"/>
        <w:ind w:right="98"/>
        <w:jc w:val="left"/>
      </w:pPr>
      <w:r>
        <w:rPr/>
        <w:t>承诺完成情况的鉴证报告</w:t>
      </w:r>
      <w:r>
        <w:rPr>
          <w:spacing w:val="-120"/>
        </w:rPr>
        <w:t>》</w:t>
      </w:r>
      <w:r>
        <w:rPr/>
        <w:t>，南京国图</w:t>
      </w:r>
      <w:r>
        <w:rPr>
          <w:spacing w:val="-60"/>
        </w:rPr>
        <w:t> </w:t>
      </w:r>
      <w:r>
        <w:rPr>
          <w:rFonts w:ascii="Times New Roman" w:hAnsi="Times New Roman" w:cs="Times New Roman" w:eastAsia="Times New Roman" w:hint="default"/>
        </w:rPr>
        <w:t>2017 </w:t>
      </w:r>
      <w:r>
        <w:rPr/>
        <w:t>年度实现的扣除非经常性损益和研发资本化费用</w:t>
      </w:r>
    </w:p>
    <w:p>
      <w:pPr>
        <w:pStyle w:val="BodyText"/>
        <w:spacing w:line="240" w:lineRule="auto" w:before="136"/>
        <w:ind w:right="98"/>
        <w:jc w:val="left"/>
      </w:pPr>
      <w:r>
        <w:rPr/>
        <w:t>后归属于母公司的净利润</w:t>
      </w:r>
      <w:r>
        <w:rPr>
          <w:spacing w:val="-60"/>
        </w:rPr>
        <w:t> </w:t>
      </w:r>
      <w:r>
        <w:rPr>
          <w:rFonts w:ascii="Times New Roman" w:hAnsi="Times New Roman" w:cs="Times New Roman" w:eastAsia="Times New Roman" w:hint="default"/>
        </w:rPr>
        <w:t>4,537.35 </w:t>
      </w:r>
      <w:r>
        <w:rPr/>
        <w:t>万元，完成了</w:t>
      </w:r>
      <w:r>
        <w:rPr>
          <w:spacing w:val="-60"/>
        </w:rPr>
        <w:t> </w:t>
      </w:r>
      <w:r>
        <w:rPr>
          <w:rFonts w:ascii="Times New Roman" w:hAnsi="Times New Roman" w:cs="Times New Roman" w:eastAsia="Times New Roman" w:hint="default"/>
        </w:rPr>
        <w:t>2017 </w:t>
      </w:r>
      <w:r>
        <w:rPr/>
        <w:t>年度的业绩承诺。</w:t>
      </w:r>
    </w:p>
    <w:p>
      <w:pPr>
        <w:pStyle w:val="BodyText"/>
        <w:spacing w:line="240" w:lineRule="auto" w:before="135"/>
        <w:ind w:left="633" w:right="98"/>
        <w:jc w:val="left"/>
      </w:pPr>
      <w:r>
        <w:rPr/>
        <w:t>根据公司与北京安图康国红等股东</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20 </w:t>
      </w:r>
      <w:r>
        <w:rPr/>
        <w:t>日签署</w:t>
      </w:r>
      <w:r>
        <w:rPr>
          <w:spacing w:val="-41"/>
        </w:rPr>
        <w:t>的</w:t>
      </w:r>
      <w:r>
        <w:rPr/>
        <w:t>《股权转让协议</w:t>
      </w:r>
      <w:r>
        <w:rPr>
          <w:spacing w:val="-120"/>
        </w:rPr>
        <w:t>》</w:t>
      </w:r>
      <w:r>
        <w:rPr>
          <w:spacing w:val="-41"/>
        </w:rPr>
        <w:t>，</w:t>
      </w:r>
      <w:r>
        <w:rPr/>
        <w:t>转让方承</w:t>
      </w:r>
    </w:p>
    <w:p>
      <w:pPr>
        <w:pStyle w:val="BodyText"/>
        <w:spacing w:line="240" w:lineRule="auto" w:before="135"/>
        <w:ind w:right="98"/>
        <w:jc w:val="left"/>
        <w:rPr>
          <w:rFonts w:ascii="Times New Roman" w:hAnsi="Times New Roman" w:cs="Times New Roman" w:eastAsia="Times New Roman" w:hint="default"/>
        </w:rPr>
      </w:pPr>
      <w:r>
        <w:rPr/>
        <w:t>诺</w:t>
      </w:r>
      <w:r>
        <w:rPr>
          <w:spacing w:val="-120"/>
        </w:rPr>
        <w:t>，</w:t>
      </w:r>
      <w:r>
        <w:rPr/>
        <w:t>北京安图</w:t>
      </w:r>
      <w:r>
        <w:rPr>
          <w:spacing w:val="-8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t>年</w:t>
      </w:r>
      <w:r>
        <w:rPr>
          <w:spacing w:val="-3"/>
        </w:rPr>
        <w:t>实</w:t>
      </w:r>
      <w:r>
        <w:rPr/>
        <w:t>现的扣除非经常性损益和研发资本化费用的税后净利</w:t>
      </w:r>
      <w:r>
        <w:rPr>
          <w:spacing w:val="1"/>
        </w:rPr>
        <w:t>润</w:t>
      </w:r>
      <w:r>
        <w:rPr/>
        <w:t>将不少于</w:t>
      </w:r>
      <w:r>
        <w:rPr>
          <w:spacing w:val="-86"/>
        </w:rPr>
        <w:t> </w:t>
      </w:r>
      <w:r>
        <w:rPr>
          <w:rFonts w:ascii="Times New Roman" w:hAnsi="Times New Roman" w:cs="Times New Roman" w:eastAsia="Times New Roman" w:hint="default"/>
        </w:rPr>
        <w:t>1,250</w:t>
      </w:r>
    </w:p>
    <w:p>
      <w:pPr>
        <w:pStyle w:val="BodyText"/>
        <w:spacing w:line="240" w:lineRule="auto" w:before="135"/>
        <w:ind w:right="98"/>
        <w:jc w:val="left"/>
      </w:pPr>
      <w:r>
        <w:rPr/>
        <w:t>万元。</w:t>
      </w:r>
    </w:p>
    <w:p>
      <w:pPr>
        <w:pStyle w:val="BodyText"/>
        <w:spacing w:line="357" w:lineRule="auto" w:before="154"/>
        <w:ind w:right="253" w:firstLine="480"/>
        <w:jc w:val="left"/>
      </w:pPr>
      <w:r>
        <w:rPr/>
        <w:t>根据中汇会计师事务所（特殊普通合伙）出具的《关于北京世纪安图数码科技发展有限 </w:t>
      </w:r>
      <w:r>
        <w:rPr>
          <w:spacing w:val="-6"/>
        </w:rPr>
        <w:t>责任公司业绩承诺完成情况的鉴证报告》，北京安图</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年度实现的扣除非经常性损益、研</w:t>
      </w:r>
    </w:p>
    <w:p>
      <w:pPr>
        <w:pStyle w:val="BodyText"/>
        <w:spacing w:line="240" w:lineRule="auto" w:before="5"/>
        <w:ind w:right="0"/>
        <w:jc w:val="left"/>
      </w:pPr>
      <w:r>
        <w:rPr/>
        <w:t>发资本化费用以后归属于母公司股东的净利润为</w:t>
      </w:r>
      <w:r>
        <w:rPr>
          <w:spacing w:val="-81"/>
        </w:rPr>
        <w:t> </w:t>
      </w:r>
      <w:r>
        <w:rPr>
          <w:rFonts w:ascii="Times New Roman" w:hAnsi="Times New Roman" w:cs="Times New Roman" w:eastAsia="Times New Roman" w:hint="default"/>
        </w:rPr>
        <w:t>1,269.14</w:t>
      </w:r>
      <w:r>
        <w:rPr>
          <w:rFonts w:ascii="Times New Roman" w:hAnsi="Times New Roman" w:cs="Times New Roman" w:eastAsia="Times New Roman" w:hint="default"/>
          <w:spacing w:val="-22"/>
        </w:rPr>
        <w:t> </w:t>
      </w:r>
      <w:r>
        <w:rPr/>
        <w:t>万元</w:t>
      </w:r>
      <w:r>
        <w:rPr>
          <w:spacing w:val="-120"/>
        </w:rPr>
        <w:t>，</w:t>
      </w:r>
      <w:r>
        <w:rPr/>
        <w:t>完</w:t>
      </w:r>
      <w:r>
        <w:rPr>
          <w:spacing w:val="2"/>
        </w:rPr>
        <w:t>成</w:t>
      </w:r>
      <w:r>
        <w:rPr/>
        <w:t>了</w:t>
      </w:r>
      <w:r>
        <w:rPr>
          <w:spacing w:val="-8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年度的业绩</w:t>
      </w:r>
      <w:r>
        <w:rPr>
          <w:spacing w:val="2"/>
        </w:rPr>
        <w:t>承</w:t>
      </w:r>
      <w:r>
        <w:rPr/>
        <w:t>诺。</w:t>
      </w:r>
    </w:p>
    <w:p>
      <w:pPr>
        <w:pStyle w:val="BodyText"/>
        <w:spacing w:line="240" w:lineRule="auto" w:before="136"/>
        <w:ind w:left="633" w:right="98"/>
        <w:jc w:val="left"/>
      </w:pPr>
      <w:r>
        <w:rPr/>
        <w:t>根据公司与上海数慧元哲起等股东</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17 </w:t>
      </w:r>
      <w:r>
        <w:rPr/>
        <w:t>日签署</w:t>
      </w:r>
      <w:r>
        <w:rPr>
          <w:spacing w:val="-41"/>
        </w:rPr>
        <w:t>的</w:t>
      </w:r>
      <w:r>
        <w:rPr/>
        <w:t>《股权转让协议</w:t>
      </w:r>
      <w:r>
        <w:rPr>
          <w:spacing w:val="-120"/>
        </w:rPr>
        <w:t>》</w:t>
      </w:r>
      <w:r>
        <w:rPr>
          <w:spacing w:val="-41"/>
        </w:rPr>
        <w:t>，</w:t>
      </w:r>
      <w:r>
        <w:rPr/>
        <w:t>转让方承</w:t>
      </w:r>
    </w:p>
    <w:p>
      <w:pPr>
        <w:pStyle w:val="BodyText"/>
        <w:spacing w:line="240" w:lineRule="auto" w:before="135"/>
        <w:ind w:right="98"/>
        <w:jc w:val="left"/>
        <w:rPr>
          <w:rFonts w:ascii="Times New Roman" w:hAnsi="Times New Roman" w:cs="Times New Roman" w:eastAsia="Times New Roman" w:hint="default"/>
        </w:rPr>
      </w:pPr>
      <w:r>
        <w:rPr/>
        <w:t>诺</w:t>
      </w:r>
      <w:r>
        <w:rPr>
          <w:spacing w:val="-120"/>
        </w:rPr>
        <w:t>，</w:t>
      </w:r>
      <w:r>
        <w:rPr/>
        <w:t>上海数慧</w:t>
      </w:r>
      <w:r>
        <w:rPr>
          <w:spacing w:val="-8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t>年</w:t>
      </w:r>
      <w:r>
        <w:rPr>
          <w:spacing w:val="-3"/>
        </w:rPr>
        <w:t>实</w:t>
      </w:r>
      <w:r>
        <w:rPr/>
        <w:t>现的扣除非经常性损益和研发资本化费用的税后净利</w:t>
      </w:r>
      <w:r>
        <w:rPr>
          <w:spacing w:val="1"/>
        </w:rPr>
        <w:t>润</w:t>
      </w:r>
      <w:r>
        <w:rPr/>
        <w:t>将不少于</w:t>
      </w:r>
      <w:r>
        <w:rPr>
          <w:spacing w:val="-86"/>
        </w:rPr>
        <w:t> </w:t>
      </w:r>
      <w:r>
        <w:rPr>
          <w:rFonts w:ascii="Times New Roman" w:hAnsi="Times New Roman" w:cs="Times New Roman" w:eastAsia="Times New Roman" w:hint="default"/>
        </w:rPr>
        <w:t>2,400</w:t>
      </w:r>
    </w:p>
    <w:p>
      <w:pPr>
        <w:pStyle w:val="BodyText"/>
        <w:spacing w:line="240" w:lineRule="auto" w:before="135"/>
        <w:ind w:right="98"/>
        <w:jc w:val="left"/>
      </w:pPr>
      <w:r>
        <w:rPr/>
        <w:t>万元。</w:t>
      </w:r>
    </w:p>
    <w:p>
      <w:pPr>
        <w:pStyle w:val="BodyText"/>
        <w:spacing w:line="357" w:lineRule="auto" w:before="154"/>
        <w:ind w:right="253" w:firstLine="480"/>
        <w:jc w:val="left"/>
      </w:pPr>
      <w:r>
        <w:rPr/>
        <w:t>根据中汇会计师事务所（特殊普通合伙）出具的《关于上海数慧系统技术有限责任公司 </w:t>
      </w:r>
      <w:r>
        <w:rPr>
          <w:spacing w:val="-7"/>
        </w:rPr>
        <w:t>业绩承诺完成情况的鉴证报告》，上海数慧</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年度实现的扣除非经常性损益和研发资本化</w:t>
      </w:r>
    </w:p>
    <w:p>
      <w:pPr>
        <w:spacing w:line="499" w:lineRule="auto" w:before="5"/>
        <w:ind w:left="153" w:right="1337" w:firstLine="0"/>
        <w:jc w:val="left"/>
        <w:rPr>
          <w:rFonts w:ascii="宋体" w:hAnsi="宋体" w:cs="宋体" w:eastAsia="宋体" w:hint="default"/>
          <w:sz w:val="24"/>
          <w:szCs w:val="24"/>
        </w:rPr>
      </w:pPr>
      <w:r>
        <w:rPr>
          <w:rFonts w:ascii="宋体" w:hAnsi="宋体" w:cs="宋体" w:eastAsia="宋体" w:hint="default"/>
          <w:sz w:val="24"/>
          <w:szCs w:val="24"/>
        </w:rPr>
        <w:t>费用后归属于母公司股东的净利润</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2,609.76</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万元，完成了</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2017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年度的业绩承诺。 </w:t>
      </w:r>
      <w:r>
        <w:rPr>
          <w:rFonts w:ascii="宋体" w:hAnsi="宋体" w:cs="宋体" w:eastAsia="宋体" w:hint="default"/>
          <w:b/>
          <w:bCs/>
          <w:sz w:val="24"/>
          <w:szCs w:val="24"/>
        </w:rPr>
        <w:t>三、控股股东及其关联方对上市公司的非经营性占用资金情况</w:t>
      </w:r>
      <w:r>
        <w:rPr>
          <w:rFonts w:ascii="宋体" w:hAnsi="宋体" w:cs="宋体" w:eastAsia="宋体" w:hint="default"/>
          <w:sz w:val="24"/>
          <w:szCs w:val="24"/>
        </w:rPr>
      </w:r>
    </w:p>
    <w:p>
      <w:pPr>
        <w:pStyle w:val="BodyText"/>
        <w:spacing w:line="336" w:lineRule="auto" w:before="118"/>
        <w:ind w:left="633" w:right="1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公司报告期不存在控股股东及其关联方对上市公司的非经营性占用资金。</w:t>
      </w:r>
    </w:p>
    <w:p>
      <w:pPr>
        <w:spacing w:line="240" w:lineRule="auto" w:before="6"/>
        <w:rPr>
          <w:rFonts w:ascii="宋体" w:hAnsi="宋体" w:cs="宋体" w:eastAsia="宋体" w:hint="default"/>
          <w:sz w:val="21"/>
          <w:szCs w:val="21"/>
        </w:rPr>
      </w:pPr>
    </w:p>
    <w:p>
      <w:pPr>
        <w:pStyle w:val="Heading2"/>
        <w:spacing w:line="240" w:lineRule="auto"/>
        <w:ind w:right="98"/>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宋体" w:hAnsi="宋体" w:cs="宋体" w:eastAsia="宋体" w:hint="default"/>
          <w:b/>
          <w:bCs/>
          <w:sz w:val="27"/>
          <w:szCs w:val="27"/>
        </w:rPr>
      </w:pPr>
    </w:p>
    <w:p>
      <w:pPr>
        <w:spacing w:line="499" w:lineRule="auto" w:before="0"/>
        <w:ind w:left="153" w:right="216"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五、董事会、监事会、独立董事（如有）对会计师事务所本报告期</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非标准审计报告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的说明</w:t>
      </w:r>
      <w:r>
        <w:rPr>
          <w:rFonts w:ascii="宋体" w:hAnsi="宋体" w:cs="宋体" w:eastAsia="宋体" w:hint="default"/>
          <w:sz w:val="24"/>
          <w:szCs w:val="24"/>
        </w:rPr>
      </w:r>
    </w:p>
    <w:p>
      <w:pPr>
        <w:spacing w:line="499" w:lineRule="auto" w:before="72"/>
        <w:ind w:left="153" w:right="190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六、董事会关于报告期会计政策、会计估计变更或重大会计差错更正的说明</w:t>
      </w:r>
      <w:r>
        <w:rPr>
          <w:rFonts w:ascii="宋体" w:hAnsi="宋体" w:cs="宋体" w:eastAsia="宋体" w:hint="default"/>
          <w:sz w:val="24"/>
          <w:szCs w:val="24"/>
        </w:rPr>
      </w:r>
    </w:p>
    <w:p>
      <w:pPr>
        <w:pStyle w:val="BodyText"/>
        <w:spacing w:line="240" w:lineRule="auto" w:before="115"/>
        <w:ind w:left="633"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5"/>
        <w:ind w:left="633" w:right="3093"/>
        <w:jc w:val="left"/>
      </w:pPr>
      <w:r>
        <w:rPr>
          <w:rFonts w:ascii="Times New Roman" w:hAnsi="Times New Roman" w:cs="Times New Roman" w:eastAsia="Times New Roman" w:hint="default"/>
        </w:rPr>
        <w:t>1</w:t>
      </w:r>
      <w:r>
        <w:rPr/>
        <w:t>、会计政策变更 </w:t>
      </w:r>
      <w:r>
        <w:rPr>
          <w:rFonts w:ascii="Times New Roman" w:hAnsi="Times New Roman" w:cs="Times New Roman" w:eastAsia="Times New Roman" w:hint="default"/>
        </w:rPr>
        <w:t>(1)</w:t>
      </w:r>
      <w:r>
        <w:rPr/>
        <w:t>因企业会计准则及其他法律法规修订引起的会计政策变更</w:t>
      </w:r>
    </w:p>
    <w:p>
      <w:pPr>
        <w:pStyle w:val="BodyText"/>
        <w:spacing w:line="240" w:lineRule="auto" w:before="26"/>
        <w:ind w:left="633" w:right="98"/>
        <w:jc w:val="left"/>
      </w:pPr>
      <w:r>
        <w:rPr>
          <w:rFonts w:ascii="Times New Roman" w:hAnsi="Times New Roman" w:cs="Times New Roman" w:eastAsia="Times New Roman" w:hint="default"/>
        </w:rPr>
        <w:t>1)</w:t>
      </w:r>
      <w:r>
        <w:rPr/>
        <w:t>执行最新修订的《企业会计准则第</w:t>
      </w:r>
      <w:r>
        <w:rPr>
          <w:spacing w:val="-82"/>
        </w:rPr>
        <w:t> </w:t>
      </w:r>
      <w:r>
        <w:rPr>
          <w:rFonts w:ascii="Times New Roman" w:hAnsi="Times New Roman" w:cs="Times New Roman" w:eastAsia="Times New Roman" w:hint="default"/>
        </w:rPr>
        <w:t>42</w:t>
      </w:r>
      <w:r>
        <w:rPr>
          <w:rFonts w:ascii="Times New Roman" w:hAnsi="Times New Roman" w:cs="Times New Roman" w:eastAsia="Times New Roman" w:hint="default"/>
          <w:spacing w:val="-22"/>
        </w:rPr>
        <w:t> </w:t>
      </w:r>
      <w:r>
        <w:rPr/>
        <w:t>号</w:t>
      </w:r>
      <w:r>
        <w:rPr>
          <w:rFonts w:ascii="Times New Roman" w:hAnsi="Times New Roman" w:cs="Times New Roman" w:eastAsia="Times New Roman" w:hint="default"/>
        </w:rPr>
        <w:t>——</w:t>
      </w:r>
      <w:r>
        <w:rPr/>
        <w:t>持有待售的非流动资产、处置组和终止经</w:t>
      </w:r>
    </w:p>
    <w:p>
      <w:pPr>
        <w:spacing w:after="0" w:line="240" w:lineRule="auto"/>
        <w:jc w:val="left"/>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240" w:lineRule="auto" w:before="26"/>
        <w:ind w:right="0"/>
        <w:jc w:val="both"/>
      </w:pPr>
      <w:r>
        <w:rPr/>
        <w:t>营》</w:t>
      </w:r>
    </w:p>
    <w:p>
      <w:pPr>
        <w:pStyle w:val="BodyText"/>
        <w:spacing w:line="240" w:lineRule="auto" w:before="154"/>
        <w:ind w:left="633" w:right="0"/>
        <w:jc w:val="left"/>
      </w:pPr>
      <w:r>
        <w:rPr/>
        <w:t>财政部于</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日发布了《企业会计准则第</w:t>
      </w:r>
      <w:r>
        <w:rPr>
          <w:spacing w:val="-55"/>
        </w:rPr>
        <w:t> </w:t>
      </w:r>
      <w:r>
        <w:rPr>
          <w:rFonts w:ascii="Times New Roman" w:hAnsi="Times New Roman" w:cs="Times New Roman" w:eastAsia="Times New Roman" w:hint="default"/>
        </w:rPr>
        <w:t>42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持有待售的非流动资产、</w:t>
      </w:r>
    </w:p>
    <w:p>
      <w:pPr>
        <w:pStyle w:val="BodyText"/>
        <w:spacing w:line="338" w:lineRule="auto" w:before="135"/>
        <w:ind w:right="231"/>
        <w:jc w:val="both"/>
      </w:pPr>
      <w:r>
        <w:rPr/>
        <w:t>处置组和终止经营》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[2017]13</w:t>
      </w:r>
      <w:r>
        <w:rPr>
          <w:rFonts w:ascii="Times New Roman" w:hAnsi="Times New Roman" w:cs="Times New Roman" w:eastAsia="Times New Roman" w:hint="default"/>
          <w:spacing w:val="-4"/>
        </w:rPr>
        <w:t> </w:t>
      </w:r>
      <w:r>
        <w:rPr>
          <w:spacing w:val="-9"/>
        </w:rPr>
        <w:t>号</w:t>
      </w:r>
      <w:r>
        <w:rPr>
          <w:rFonts w:ascii="Times New Roman" w:hAnsi="Times New Roman" w:cs="Times New Roman" w:eastAsia="Times New Roman" w:hint="default"/>
          <w:spacing w:val="-9"/>
        </w:rPr>
        <w:t>)</w:t>
      </w:r>
      <w:r>
        <w:rPr>
          <w:spacing w:val="-9"/>
        </w:rPr>
        <w:t>，自</w:t>
      </w:r>
      <w:r>
        <w:rPr>
          <w:spacing w:val="-6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spacing w:val="-3"/>
        </w:rPr>
        <w:t>日起执行，对于执行日存在的持有</w:t>
      </w:r>
      <w:r>
        <w:rPr/>
        <w:t> 待售的非流动资产、处置组和终止经营，要求采用未来适用法处理。</w:t>
      </w:r>
    </w:p>
    <w:p>
      <w:pPr>
        <w:pStyle w:val="BodyText"/>
        <w:spacing w:line="338" w:lineRule="auto"/>
        <w:ind w:right="220" w:firstLine="480"/>
        <w:jc w:val="left"/>
      </w:pPr>
      <w:r>
        <w:rPr/>
        <w:t>本公司采用未来适用法对</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日之后持有待售的非流动资产或处置组进行分 类、计量和列报。</w:t>
      </w:r>
    </w:p>
    <w:p>
      <w:pPr>
        <w:pStyle w:val="BodyText"/>
        <w:spacing w:line="240" w:lineRule="auto"/>
        <w:ind w:left="633" w:right="98"/>
        <w:jc w:val="left"/>
      </w:pPr>
      <w:r>
        <w:rPr>
          <w:rFonts w:ascii="Times New Roman" w:hAnsi="Times New Roman" w:cs="Times New Roman" w:eastAsia="Times New Roman" w:hint="default"/>
        </w:rPr>
        <w:t>2)</w:t>
      </w:r>
      <w:r>
        <w:rPr/>
        <w:t>执行最新修订的《企业会计准则第</w:t>
      </w:r>
      <w:r>
        <w:rPr>
          <w:spacing w:val="-6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政府补助》</w:t>
      </w:r>
    </w:p>
    <w:p>
      <w:pPr>
        <w:pStyle w:val="BodyText"/>
        <w:spacing w:line="343" w:lineRule="auto" w:before="135"/>
        <w:ind w:right="232" w:firstLine="480"/>
        <w:jc w:val="both"/>
      </w:pPr>
      <w:r>
        <w:rPr/>
        <w:t>财政部于</w:t>
      </w:r>
      <w:r>
        <w:rPr>
          <w:spacing w:val="-61"/>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10 </w:t>
      </w:r>
      <w:r>
        <w:rPr>
          <w:spacing w:val="-6"/>
        </w:rPr>
        <w:t>日发布了《关于印发修订</w:t>
      </w:r>
      <w:r>
        <w:rPr>
          <w:rFonts w:ascii="Times New Roman" w:hAnsi="Times New Roman" w:cs="Times New Roman" w:eastAsia="Times New Roman" w:hint="default"/>
          <w:spacing w:val="-6"/>
        </w:rPr>
        <w:t>&lt;</w:t>
      </w:r>
      <w:r>
        <w:rPr>
          <w:spacing w:val="-6"/>
        </w:rPr>
        <w:t>企业会计准则第</w:t>
      </w:r>
      <w:r>
        <w:rPr>
          <w:spacing w:val="-60"/>
        </w:rPr>
        <w:t> </w:t>
      </w:r>
      <w:r>
        <w:rPr>
          <w:rFonts w:ascii="Times New Roman" w:hAnsi="Times New Roman" w:cs="Times New Roman" w:eastAsia="Times New Roman" w:hint="default"/>
        </w:rPr>
        <w:t>16 </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&gt; </w:t>
      </w:r>
      <w:r>
        <w:rPr>
          <w:spacing w:val="-2"/>
        </w:rPr>
        <w:t>的通知》</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[2017]15</w:t>
      </w:r>
      <w:r>
        <w:rPr>
          <w:rFonts w:ascii="Times New Roman" w:hAnsi="Times New Roman" w:cs="Times New Roman" w:eastAsia="Times New Roman" w:hint="default"/>
          <w:spacing w:val="11"/>
        </w:rPr>
        <w:t> </w:t>
      </w:r>
      <w:r>
        <w:rPr>
          <w:spacing w:val="-2"/>
        </w:rPr>
        <w:t>号，以下简称</w:t>
      </w:r>
      <w:r>
        <w:rPr>
          <w:rFonts w:ascii="Times New Roman" w:hAnsi="Times New Roman" w:cs="Times New Roman" w:eastAsia="Times New Roman" w:hint="default"/>
          <w:spacing w:val="-2"/>
        </w:rPr>
        <w:t>“</w:t>
      </w:r>
      <w:r>
        <w:rPr>
          <w:spacing w:val="-2"/>
        </w:rPr>
        <w:t>新政府补助准则</w:t>
      </w:r>
      <w:r>
        <w:rPr>
          <w:rFonts w:ascii="Times New Roman" w:hAnsi="Times New Roman" w:cs="Times New Roman" w:eastAsia="Times New Roman" w:hint="default"/>
          <w:spacing w:val="-2"/>
        </w:rPr>
        <w:t>”)</w:t>
      </w:r>
      <w:r>
        <w:rPr>
          <w:spacing w:val="-2"/>
        </w:rPr>
        <w:t>。根据新政府补助准则要求，与企业</w:t>
      </w:r>
      <w:r>
        <w:rPr>
          <w:spacing w:val="-118"/>
        </w:rPr>
        <w:t> </w:t>
      </w:r>
      <w:r>
        <w:rPr>
          <w:spacing w:val="-118"/>
        </w:rPr>
      </w:r>
      <w:r>
        <w:rPr/>
        <w:t>日常活动相关的政府补助应当按照经济业务实质，计入其他收益或冲减相关的成本费用；与</w:t>
      </w:r>
      <w:r>
        <w:rPr>
          <w:spacing w:val="-91"/>
        </w:rPr>
        <w:t> </w:t>
      </w:r>
      <w:r>
        <w:rPr>
          <w:spacing w:val="-91"/>
        </w:rPr>
      </w:r>
      <w:r>
        <w:rPr/>
        <w:t>企业日常活动无关的政府补助，应当计入营业外收入，企业应当在</w:t>
      </w:r>
      <w:r>
        <w:rPr>
          <w:rFonts w:ascii="Times New Roman" w:hAnsi="Times New Roman" w:cs="Times New Roman" w:eastAsia="Times New Roman" w:hint="default"/>
        </w:rPr>
        <w:t>“</w:t>
      </w:r>
      <w:r>
        <w:rPr/>
        <w:t>利润表</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项目之上单独列报</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项目，反映计入其他收益的政府补助。</w:t>
      </w:r>
    </w:p>
    <w:p>
      <w:pPr>
        <w:pStyle w:val="BodyText"/>
        <w:spacing w:line="240" w:lineRule="auto" w:before="21"/>
        <w:ind w:left="633" w:right="98"/>
        <w:jc w:val="left"/>
      </w:pPr>
      <w:r>
        <w:rPr/>
        <w:t>本公司根据相关规定自</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12 </w:t>
      </w:r>
      <w:r>
        <w:rPr>
          <w:spacing w:val="-7"/>
        </w:rPr>
        <w:t>日起执行新政府补助准则，对</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日存</w:t>
      </w:r>
    </w:p>
    <w:p>
      <w:pPr>
        <w:pStyle w:val="BodyText"/>
        <w:spacing w:line="338" w:lineRule="auto" w:before="135"/>
        <w:ind w:right="226"/>
        <w:jc w:val="both"/>
      </w:pPr>
      <w:r>
        <w:rPr>
          <w:spacing w:val="-3"/>
        </w:rPr>
        <w:t>在的政府补助采用未来适用法处理。由于上述会计政策变更，对本公司</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年度合并财务报 表损益项目的影响为增加</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”25,781,266.85 </w:t>
      </w:r>
      <w:r>
        <w:rPr/>
        <w:t>元，减少</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”25,781,266.85</w:t>
      </w:r>
      <w:r>
        <w:rPr>
          <w:rFonts w:ascii="Times New Roman" w:hAnsi="Times New Roman" w:cs="Times New Roman" w:eastAsia="Times New Roman" w:hint="default"/>
          <w:spacing w:val="36"/>
        </w:rPr>
        <w:t> </w:t>
      </w:r>
      <w:r>
        <w:rPr/>
        <w:t>元；</w:t>
      </w:r>
      <w:r>
        <w:rPr>
          <w:spacing w:val="2"/>
        </w:rPr>
        <w:t> </w:t>
      </w:r>
      <w:r>
        <w:rPr/>
        <w:t>对 </w:t>
      </w:r>
      <w:r>
        <w:rPr>
          <w:rFonts w:ascii="Times New Roman" w:hAnsi="Times New Roman" w:cs="Times New Roman" w:eastAsia="Times New Roman" w:hint="default"/>
        </w:rPr>
        <w:t>2017 </w:t>
      </w:r>
      <w:r>
        <w:rPr/>
        <w:t>年度母公司财务报表损益项目的影响为增加</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”22,366,057.66</w:t>
      </w:r>
      <w:r>
        <w:rPr>
          <w:rFonts w:ascii="Times New Roman" w:hAnsi="Times New Roman" w:cs="Times New Roman" w:eastAsia="Times New Roman" w:hint="default"/>
          <w:spacing w:val="19"/>
        </w:rPr>
        <w:t> </w:t>
      </w:r>
      <w:r>
        <w:rPr/>
        <w:t>元，减少</w:t>
      </w:r>
      <w:r>
        <w:rPr>
          <w:rFonts w:ascii="Times New Roman" w:hAnsi="Times New Roman" w:cs="Times New Roman" w:eastAsia="Times New Roman" w:hint="default"/>
        </w:rPr>
        <w:t>“</w:t>
      </w:r>
      <w:r>
        <w:rPr/>
        <w:t>营业 外收入</w:t>
      </w:r>
      <w:r>
        <w:rPr>
          <w:rFonts w:ascii="Times New Roman" w:hAnsi="Times New Roman" w:cs="Times New Roman" w:eastAsia="Times New Roman" w:hint="default"/>
        </w:rPr>
        <w:t>”22,366,057.66</w:t>
      </w:r>
      <w:r>
        <w:rPr>
          <w:rFonts w:ascii="Times New Roman" w:hAnsi="Times New Roman" w:cs="Times New Roman" w:eastAsia="Times New Roman" w:hint="default"/>
          <w:spacing w:val="-1"/>
        </w:rPr>
        <w:t> </w:t>
      </w:r>
      <w:r>
        <w:rPr/>
        <w:t>元。</w:t>
      </w:r>
    </w:p>
    <w:p>
      <w:pPr>
        <w:pStyle w:val="BodyText"/>
        <w:spacing w:line="240" w:lineRule="auto" w:before="27"/>
        <w:ind w:left="633" w:right="98"/>
        <w:jc w:val="left"/>
      </w:pPr>
      <w:r>
        <w:rPr>
          <w:rFonts w:ascii="Times New Roman" w:hAnsi="Times New Roman" w:cs="Times New Roman" w:eastAsia="Times New Roman" w:hint="default"/>
        </w:rPr>
        <w:t>3)</w:t>
      </w:r>
      <w:r>
        <w:rPr/>
        <w:t>执行《财政部关于修订印发一般企业财务报表格式的通知》</w:t>
      </w:r>
    </w:p>
    <w:p>
      <w:pPr>
        <w:pStyle w:val="BodyText"/>
        <w:spacing w:line="345" w:lineRule="auto" w:before="135"/>
        <w:ind w:right="98" w:firstLine="480"/>
        <w:jc w:val="left"/>
      </w:pPr>
      <w:r>
        <w:rPr/>
        <w:t>财政部于</w:t>
      </w:r>
      <w:r>
        <w:rPr>
          <w:spacing w:val="-7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9"/>
        </w:rPr>
        <w:t> </w:t>
      </w:r>
      <w:r>
        <w:rPr>
          <w:rFonts w:ascii="Times New Roman" w:hAnsi="Times New Roman" w:cs="Times New Roman" w:eastAsia="Times New Roman" w:hint="default"/>
        </w:rPr>
        <w:t>25</w:t>
      </w:r>
      <w:r>
        <w:rPr>
          <w:rFonts w:ascii="Times New Roman" w:hAnsi="Times New Roman" w:cs="Times New Roman" w:eastAsia="Times New Roman" w:hint="default"/>
          <w:spacing w:val="-12"/>
        </w:rPr>
        <w:t> </w:t>
      </w:r>
      <w:r>
        <w:rPr>
          <w:spacing w:val="-5"/>
        </w:rPr>
        <w:t>日发布了《财政部关于修订印发一般企业财务报表格式的通知》</w:t>
      </w:r>
      <w:r>
        <w:rPr/>
        <w:t> </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[2017]30 </w:t>
      </w:r>
      <w:r>
        <w:rPr>
          <w:spacing w:val="-3"/>
        </w:rPr>
        <w:t>号，以下简称</w:t>
      </w:r>
      <w:r>
        <w:rPr>
          <w:rFonts w:ascii="Times New Roman" w:hAnsi="Times New Roman" w:cs="Times New Roman" w:eastAsia="Times New Roman" w:hint="default"/>
          <w:spacing w:val="-3"/>
        </w:rPr>
        <w:t>“</w:t>
      </w:r>
      <w:r>
        <w:rPr>
          <w:spacing w:val="-3"/>
        </w:rPr>
        <w:t>新修订的财务报表格式</w:t>
      </w:r>
      <w:r>
        <w:rPr>
          <w:rFonts w:ascii="Times New Roman" w:hAnsi="Times New Roman" w:cs="Times New Roman" w:eastAsia="Times New Roman" w:hint="default"/>
          <w:spacing w:val="-3"/>
        </w:rPr>
        <w:t>”)</w:t>
      </w:r>
      <w:r>
        <w:rPr>
          <w:spacing w:val="-3"/>
        </w:rPr>
        <w:t>。新修订的财务报表格式除上述提及新</w:t>
      </w:r>
      <w:r>
        <w:rPr>
          <w:spacing w:val="-93"/>
        </w:rPr>
        <w:t> </w:t>
      </w:r>
      <w:r>
        <w:rPr>
          <w:spacing w:val="-93"/>
        </w:rPr>
      </w:r>
      <w:r>
        <w:rPr/>
        <w:t>修订的企业会计准则对报表项目的影响外，在</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之上新增</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项目，反</w:t>
      </w:r>
      <w:r>
        <w:rPr>
          <w:spacing w:val="-42"/>
        </w:rPr>
        <w:t> </w:t>
      </w:r>
      <w:r>
        <w:rPr>
          <w:spacing w:val="2"/>
        </w:rPr>
        <w:t>映企业出售划分为持有待售的非流动资产</w:t>
      </w:r>
      <w:r>
        <w:rPr>
          <w:rFonts w:ascii="Times New Roman" w:hAnsi="Times New Roman" w:cs="Times New Roman" w:eastAsia="Times New Roman" w:hint="default"/>
          <w:spacing w:val="2"/>
        </w:rPr>
        <w:t>(</w:t>
      </w:r>
      <w:r>
        <w:rPr>
          <w:spacing w:val="2"/>
        </w:rPr>
        <w:t>金融工具、长期股权投资和投资性房地产除外</w:t>
      </w:r>
      <w:r>
        <w:rPr>
          <w:rFonts w:ascii="Times New Roman" w:hAnsi="Times New Roman" w:cs="Times New Roman" w:eastAsia="Times New Roman" w:hint="default"/>
          <w:spacing w:val="2"/>
        </w:rPr>
        <w:t>)</w:t>
      </w:r>
      <w:r>
        <w:rPr>
          <w:spacing w:val="2"/>
        </w:rPr>
        <w:t>或</w:t>
      </w:r>
      <w:r>
        <w:rPr>
          <w:spacing w:val="-92"/>
        </w:rPr>
        <w:t> </w:t>
      </w:r>
      <w:r>
        <w:rPr/>
        <w:t>处置组确认的处置利得或损失、以及处置未划为持有待售的固定资产、在建工程、生产性生</w:t>
      </w:r>
      <w:r>
        <w:rPr>
          <w:spacing w:val="-91"/>
        </w:rPr>
        <w:t> </w:t>
      </w:r>
      <w:r>
        <w:rPr>
          <w:spacing w:val="-91"/>
        </w:rPr>
      </w:r>
      <w:r>
        <w:rPr/>
        <w:t>物资产及无形资产而产生的处置利得或损失；债务重组中因处置非流动资产产生的利得或损</w:t>
      </w:r>
      <w:r>
        <w:rPr>
          <w:spacing w:val="-91"/>
        </w:rPr>
        <w:t> </w:t>
      </w:r>
      <w:r>
        <w:rPr>
          <w:spacing w:val="-91"/>
        </w:rPr>
      </w:r>
      <w:r>
        <w:rPr/>
        <w:t>失和非货币性资产交换产生的利得或损失。</w:t>
      </w:r>
    </w:p>
    <w:p>
      <w:pPr>
        <w:pStyle w:val="BodyText"/>
        <w:spacing w:line="338" w:lineRule="auto" w:before="48"/>
        <w:ind w:right="228" w:firstLine="480"/>
        <w:jc w:val="both"/>
      </w:pPr>
      <w:r>
        <w:rPr>
          <w:spacing w:val="-3"/>
        </w:rPr>
        <w:t>本公司按照《企业会计准则第 </w:t>
      </w:r>
      <w:r>
        <w:rPr>
          <w:rFonts w:ascii="Times New Roman" w:hAnsi="Times New Roman" w:cs="Times New Roman" w:eastAsia="Times New Roman" w:hint="default"/>
        </w:rPr>
        <w:t>30</w:t>
      </w:r>
      <w:r>
        <w:rPr>
          <w:rFonts w:ascii="Times New Roman" w:hAnsi="Times New Roman" w:cs="Times New Roman" w:eastAsia="Times New Roman" w:hint="default"/>
          <w:spacing w:val="-30"/>
        </w:rPr>
        <w:t> </w:t>
      </w:r>
      <w:r>
        <w:rPr>
          <w:spacing w:val="-3"/>
        </w:rPr>
        <w:t>号</w:t>
      </w:r>
      <w:r>
        <w:rPr>
          <w:rFonts w:ascii="Times New Roman" w:hAnsi="Times New Roman" w:cs="Times New Roman" w:eastAsia="Times New Roman" w:hint="default"/>
          <w:spacing w:val="-3"/>
        </w:rPr>
        <w:t>——</w:t>
      </w:r>
      <w:r>
        <w:rPr>
          <w:spacing w:val="-3"/>
        </w:rPr>
        <w:t>财务报表列报》等相关规定，对此项会计政策变</w:t>
      </w:r>
      <w:r>
        <w:rPr/>
        <w:t> 更采用追溯调整法，</w:t>
      </w:r>
      <w:r>
        <w:rPr>
          <w:rFonts w:ascii="Times New Roman" w:hAnsi="Times New Roman" w:cs="Times New Roman" w:eastAsia="Times New Roman" w:hint="default"/>
        </w:rPr>
        <w:t>2017/2016 </w:t>
      </w:r>
      <w:r>
        <w:rPr/>
        <w:t>年度比较财务报表已重新表述。对 </w:t>
      </w:r>
      <w:r>
        <w:rPr>
          <w:rFonts w:ascii="Times New Roman" w:hAnsi="Times New Roman" w:cs="Times New Roman" w:eastAsia="Times New Roman" w:hint="default"/>
        </w:rPr>
        <w:t>2016</w:t>
      </w:r>
      <w:r>
        <w:rPr>
          <w:rFonts w:ascii="Times New Roman" w:hAnsi="Times New Roman" w:cs="Times New Roman" w:eastAsia="Times New Roman" w:hint="default"/>
          <w:spacing w:val="-32"/>
        </w:rPr>
        <w:t> </w:t>
      </w:r>
      <w:r>
        <w:rPr/>
        <w:t>年度合并财务报表相 关损益项目的影响为增加</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rFonts w:ascii="Times New Roman" w:hAnsi="Times New Roman" w:cs="Times New Roman" w:eastAsia="Times New Roman" w:hint="default"/>
        </w:rPr>
        <w:t>-235,963.91 </w:t>
      </w:r>
      <w:r>
        <w:rPr/>
        <w:t>元，减少</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 61,217.21</w:t>
      </w:r>
      <w:r>
        <w:rPr>
          <w:rFonts w:ascii="Times New Roman" w:hAnsi="Times New Roman" w:cs="Times New Roman" w:eastAsia="Times New Roman" w:hint="default"/>
          <w:spacing w:val="11"/>
        </w:rPr>
        <w:t> </w:t>
      </w:r>
      <w:r>
        <w:rPr/>
        <w:t>元，</w:t>
      </w:r>
      <w:r>
        <w:rPr>
          <w:spacing w:val="2"/>
        </w:rPr>
        <w:t> </w:t>
      </w:r>
      <w:r>
        <w:rPr>
          <w:spacing w:val="-1"/>
          <w:w w:val="100"/>
        </w:rPr>
        <w:t>减少</w:t>
      </w:r>
      <w:r>
        <w:rPr>
          <w:rFonts w:ascii="Times New Roman" w:hAnsi="Times New Roman" w:cs="Times New Roman" w:eastAsia="Times New Roman" w:hint="default"/>
          <w:spacing w:val="-1"/>
          <w:w w:val="100"/>
        </w:rPr>
        <w:t>“</w:t>
      </w:r>
      <w:r>
        <w:rPr>
          <w:spacing w:val="-1"/>
          <w:w w:val="100"/>
        </w:rPr>
        <w:t>营业外支出</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 </w:t>
      </w:r>
      <w:r>
        <w:rPr>
          <w:rFonts w:ascii="Times New Roman" w:hAnsi="Times New Roman" w:cs="Times New Roman" w:eastAsia="Times New Roman" w:hint="default"/>
        </w:rPr>
        <w:t>297,181.12</w:t>
      </w:r>
      <w:r>
        <w:rPr>
          <w:rFonts w:ascii="Times New Roman" w:hAnsi="Times New Roman" w:cs="Times New Roman" w:eastAsia="Times New Roman" w:hint="default"/>
          <w:spacing w:val="-12"/>
        </w:rPr>
        <w:t> </w:t>
      </w:r>
      <w:r>
        <w:rPr>
          <w:spacing w:val="-40"/>
        </w:rPr>
        <w:t>元；对</w:t>
      </w:r>
      <w:r>
        <w:rPr>
          <w:spacing w:val="-7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w w:val="100"/>
        </w:rPr>
        <w:t>年度母公司财务报表相关损益项目的影响为增加</w:t>
      </w:r>
      <w:r>
        <w:rPr>
          <w:rFonts w:ascii="Times New Roman" w:hAnsi="Times New Roman" w:cs="Times New Roman" w:eastAsia="Times New Roman" w:hint="default"/>
          <w:w w:val="100"/>
        </w:rPr>
        <w:t>“</w:t>
      </w:r>
      <w:r>
        <w:rPr>
          <w:w w:val="100"/>
        </w:rPr>
        <w:t>资</w:t>
      </w:r>
    </w:p>
    <w:p>
      <w:pPr>
        <w:spacing w:after="0" w:line="338" w:lineRule="auto"/>
        <w:jc w:val="both"/>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38" w:lineRule="auto" w:before="26"/>
        <w:ind w:left="633" w:right="3516" w:hanging="480"/>
        <w:jc w:val="left"/>
      </w:pPr>
      <w:r>
        <w:rPr/>
        <w:t>产处置收益</w:t>
      </w:r>
      <w:r>
        <w:rPr>
          <w:rFonts w:ascii="Times New Roman" w:hAnsi="Times New Roman" w:cs="Times New Roman" w:eastAsia="Times New Roman" w:hint="default"/>
        </w:rPr>
        <w:t>”</w:t>
      </w:r>
      <w:r>
        <w:rPr>
          <w:rFonts w:ascii="Times New Roman" w:hAnsi="Times New Roman" w:cs="Times New Roman" w:eastAsia="Times New Roman" w:hint="default"/>
        </w:rPr>
        <w:t>-168,465.80 </w:t>
      </w:r>
      <w:r>
        <w:rPr/>
        <w:t>元，减少</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 168,465.80</w:t>
      </w:r>
      <w:r>
        <w:rPr>
          <w:rFonts w:ascii="Times New Roman" w:hAnsi="Times New Roman" w:cs="Times New Roman" w:eastAsia="Times New Roman" w:hint="default"/>
          <w:spacing w:val="-3"/>
        </w:rPr>
        <w:t> </w:t>
      </w:r>
      <w:r>
        <w:rPr/>
        <w:t>元。 </w:t>
      </w:r>
      <w:r>
        <w:rPr>
          <w:rFonts w:ascii="Times New Roman" w:hAnsi="Times New Roman" w:cs="Times New Roman" w:eastAsia="Times New Roman" w:hint="default"/>
        </w:rPr>
        <w:t>2</w:t>
      </w:r>
      <w:r>
        <w:rPr/>
        <w:t>、会计估计变更或重大会计差错更正说明 本期公司无会计估计变更事项或重大会计差错更正事项。</w:t>
      </w:r>
    </w:p>
    <w:p>
      <w:pPr>
        <w:spacing w:line="240" w:lineRule="auto" w:before="4"/>
        <w:rPr>
          <w:rFonts w:ascii="宋体" w:hAnsi="宋体" w:cs="宋体" w:eastAsia="宋体" w:hint="default"/>
          <w:sz w:val="21"/>
          <w:szCs w:val="21"/>
        </w:rPr>
      </w:pPr>
    </w:p>
    <w:p>
      <w:pPr>
        <w:pStyle w:val="Heading2"/>
        <w:spacing w:line="240" w:lineRule="auto"/>
        <w:ind w:right="493"/>
        <w:jc w:val="left"/>
        <w:rPr>
          <w:b w:val="0"/>
          <w:bCs w:val="0"/>
        </w:rPr>
      </w:pPr>
      <w:r>
        <w:rPr/>
        <w:t>七、与上年度财务报告相比，合并报表范围发生变化的情况说明</w:t>
      </w:r>
      <w:r>
        <w:rPr>
          <w:b w:val="0"/>
          <w:bCs w:val="0"/>
        </w:rPr>
      </w:r>
    </w:p>
    <w:p>
      <w:pPr>
        <w:spacing w:line="240" w:lineRule="auto" w:before="11"/>
        <w:rPr>
          <w:rFonts w:ascii="宋体" w:hAnsi="宋体" w:cs="宋体" w:eastAsia="宋体" w:hint="default"/>
          <w:b/>
          <w:bCs/>
          <w:sz w:val="28"/>
          <w:szCs w:val="28"/>
        </w:rPr>
      </w:pPr>
    </w:p>
    <w:p>
      <w:pPr>
        <w:pStyle w:val="BodyText"/>
        <w:spacing w:line="338" w:lineRule="auto" w:before="0"/>
        <w:ind w:left="633" w:right="4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报告期内，公司新设浙江超图信息技术有限公司、河南超图信息技术有限公司，非同一</w:t>
      </w:r>
    </w:p>
    <w:p>
      <w:pPr>
        <w:spacing w:line="528" w:lineRule="auto" w:before="55"/>
        <w:ind w:left="153" w:right="3613" w:firstLine="0"/>
        <w:jc w:val="left"/>
        <w:rPr>
          <w:rFonts w:ascii="宋体" w:hAnsi="宋体" w:cs="宋体" w:eastAsia="宋体" w:hint="default"/>
          <w:sz w:val="24"/>
          <w:szCs w:val="24"/>
        </w:rPr>
      </w:pPr>
      <w:r>
        <w:rPr>
          <w:rFonts w:ascii="宋体" w:hAnsi="宋体" w:cs="宋体" w:eastAsia="宋体" w:hint="default"/>
          <w:sz w:val="24"/>
          <w:szCs w:val="24"/>
        </w:rPr>
        <w:t>控制下收购上海数慧系统技术有限公司，导致合并范围增加。 </w:t>
      </w:r>
      <w:r>
        <w:rPr>
          <w:rFonts w:ascii="宋体" w:hAnsi="宋体" w:cs="宋体" w:eastAsia="宋体" w:hint="default"/>
          <w:b/>
          <w:bCs/>
          <w:sz w:val="24"/>
          <w:szCs w:val="24"/>
        </w:rPr>
        <w:t>八、聘任、解聘会计师事务所情况</w:t>
      </w:r>
      <w:r>
        <w:rPr>
          <w:rFonts w:ascii="宋体" w:hAnsi="宋体" w:cs="宋体" w:eastAsia="宋体" w:hint="default"/>
          <w:sz w:val="24"/>
          <w:szCs w:val="24"/>
        </w:rPr>
      </w:r>
    </w:p>
    <w:p>
      <w:pPr>
        <w:pStyle w:val="BodyText"/>
        <w:spacing w:line="240" w:lineRule="auto" w:before="86"/>
        <w:ind w:left="633" w:right="3516"/>
        <w:jc w:val="left"/>
      </w:pPr>
      <w:r>
        <w:rPr/>
        <w:t>现聘任的会计师事务所</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5131"/>
        <w:gridCol w:w="4880"/>
      </w:tblGrid>
      <w:tr>
        <w:trPr>
          <w:trHeight w:val="32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hAnsi="宋体" w:cs="宋体" w:eastAsia="宋体" w:hint="default"/>
                <w:sz w:val="21"/>
                <w:szCs w:val="21"/>
              </w:rPr>
              <w:t>中汇会计师事务所（特殊普通合伙）</w:t>
            </w:r>
          </w:p>
        </w:tc>
      </w:tr>
      <w:tr>
        <w:trPr>
          <w:trHeight w:val="323"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36" w:right="0"/>
              <w:jc w:val="left"/>
              <w:rPr>
                <w:rFonts w:ascii="Times New Roman" w:hAnsi="Times New Roman" w:cs="Times New Roman" w:eastAsia="Times New Roman" w:hint="default"/>
                <w:sz w:val="21"/>
                <w:szCs w:val="21"/>
              </w:rPr>
            </w:pPr>
            <w:r>
              <w:rPr>
                <w:rFonts w:ascii="Times New Roman"/>
                <w:sz w:val="21"/>
              </w:rPr>
              <w:t>76.5</w:t>
            </w:r>
          </w:p>
        </w:tc>
      </w:tr>
      <w:tr>
        <w:trPr>
          <w:trHeight w:val="323"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hAnsi="宋体" w:cs="宋体" w:eastAsia="宋体" w:hint="default"/>
                <w:sz w:val="21"/>
                <w:szCs w:val="21"/>
              </w:rPr>
              <w:t>赵亦飞、刘成龙</w:t>
            </w:r>
          </w:p>
        </w:tc>
      </w:tr>
      <w:tr>
        <w:trPr>
          <w:trHeight w:val="32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境内会计师事务所注册会计师审计服务的连续年限</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36" w:right="0"/>
              <w:jc w:val="lef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w w:val="100"/>
                <w:sz w:val="21"/>
                <w:szCs w:val="21"/>
              </w:rPr>
              <w:t>境外</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报</w:t>
            </w:r>
            <w:r>
              <w:rPr>
                <w:rFonts w:ascii="宋体" w:hAnsi="宋体" w:cs="宋体" w:eastAsia="宋体" w:hint="default"/>
                <w:w w:val="100"/>
                <w:sz w:val="21"/>
                <w:szCs w:val="21"/>
              </w:rPr>
              <w:t>酬</w:t>
            </w:r>
            <w:r>
              <w:rPr>
                <w:rFonts w:ascii="宋体" w:hAnsi="宋体" w:cs="宋体" w:eastAsia="宋体" w:hint="default"/>
                <w:spacing w:val="-3"/>
                <w:w w:val="100"/>
                <w:sz w:val="21"/>
                <w:szCs w:val="21"/>
              </w:rPr>
              <w:t>（</w:t>
            </w:r>
            <w:r>
              <w:rPr>
                <w:rFonts w:ascii="宋体" w:hAnsi="宋体" w:cs="宋体" w:eastAsia="宋体" w:hint="default"/>
                <w:w w:val="100"/>
                <w:sz w:val="21"/>
                <w:szCs w:val="21"/>
              </w:rPr>
              <w:t>万元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如</w:t>
            </w:r>
            <w:r>
              <w:rPr>
                <w:rFonts w:ascii="宋体" w:hAnsi="宋体" w:cs="宋体" w:eastAsia="宋体" w:hint="default"/>
                <w:w w:val="100"/>
                <w:sz w:val="21"/>
                <w:szCs w:val="21"/>
              </w:rPr>
              <w:t>有）</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36" w:right="0"/>
              <w:jc w:val="lef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境外会计师事务所审计服务的连续年限（如有）</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74" w:lineRule="exact" w:before="0"/>
        <w:ind w:left="633" w:right="3516"/>
        <w:jc w:val="left"/>
      </w:pPr>
      <w:r>
        <w:rPr/>
        <w:t>是否改聘会计师事务所</w:t>
      </w:r>
    </w:p>
    <w:p>
      <w:pPr>
        <w:pStyle w:val="BodyText"/>
        <w:spacing w:line="338" w:lineRule="auto" w:before="77"/>
        <w:ind w:left="633" w:right="60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是否在审计期间改聘会计师事务所</w:t>
      </w:r>
    </w:p>
    <w:p>
      <w:pPr>
        <w:pStyle w:val="BodyText"/>
        <w:spacing w:line="338" w:lineRule="auto"/>
        <w:ind w:left="633" w:right="57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更换会计师事务所是否履行审批程序</w:t>
      </w:r>
    </w:p>
    <w:p>
      <w:pPr>
        <w:pStyle w:val="BodyText"/>
        <w:spacing w:line="240" w:lineRule="auto"/>
        <w:ind w:left="633" w:right="35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348" w:lineRule="auto" w:before="135"/>
        <w:ind w:right="0" w:firstLine="48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22 </w:t>
      </w:r>
      <w:r>
        <w:rPr/>
        <w:t>日，公司第三届董事会第三十二次会议以及第三届监事会第二十六次会 </w:t>
      </w:r>
      <w:r>
        <w:rPr>
          <w:spacing w:val="-3"/>
        </w:rPr>
        <w:t>议审议通过了《关于改聘会计师事务所的议案》，拟改聘中汇会计师事务所（特殊普通合伙）</w:t>
      </w:r>
      <w:r>
        <w:rPr>
          <w:spacing w:val="-88"/>
        </w:rPr>
        <w:t> </w:t>
      </w:r>
      <w:r>
        <w:rPr>
          <w:spacing w:val="-88"/>
        </w:rPr>
      </w:r>
      <w:r>
        <w:rPr/>
        <w:t>担任公司 </w:t>
      </w:r>
      <w:r>
        <w:rPr>
          <w:rFonts w:ascii="Times New Roman" w:hAnsi="Times New Roman" w:cs="Times New Roman" w:eastAsia="Times New Roman" w:hint="default"/>
        </w:rPr>
        <w:t>2017 </w:t>
      </w:r>
      <w:r>
        <w:rPr>
          <w:rFonts w:ascii="Times New Roman" w:hAnsi="Times New Roman" w:cs="Times New Roman" w:eastAsia="Times New Roman" w:hint="default"/>
          <w:spacing w:val="1"/>
        </w:rPr>
        <w:t> </w:t>
      </w:r>
      <w:r>
        <w:rPr/>
        <w:t>年度审计机构，聘期一年。公司独立董事就该事项发表了同意的意见。</w:t>
      </w:r>
      <w:r>
        <w:rPr>
          <w:rFonts w:ascii="Times New Roman" w:hAnsi="Times New Roman" w:cs="Times New Roman" w:eastAsia="Times New Roman" w:hint="default"/>
        </w:rPr>
        <w:t>2017</w:t>
      </w:r>
    </w:p>
    <w:p>
      <w:pPr>
        <w:pStyle w:val="BodyText"/>
        <w:spacing w:line="348" w:lineRule="auto" w:before="16"/>
        <w:ind w:left="633" w:right="493" w:hanging="480"/>
        <w:jc w:val="left"/>
      </w:pP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日，该议案经公司</w:t>
      </w:r>
      <w:r>
        <w:rPr>
          <w:spacing w:val="-60"/>
        </w:rPr>
        <w:t> </w:t>
      </w:r>
      <w:r>
        <w:rPr>
          <w:rFonts w:ascii="Times New Roman" w:hAnsi="Times New Roman" w:cs="Times New Roman" w:eastAsia="Times New Roman" w:hint="default"/>
        </w:rPr>
        <w:t>2017 </w:t>
      </w:r>
      <w:r>
        <w:rPr/>
        <w:t>年第一次临时股东大会审议通过。 聘任、解聘会计师事务所情况说明 鉴于原年审会计师事务所致同会计师事务所（特殊普通合伙）为我公司提供审计服务已</w:t>
      </w:r>
    </w:p>
    <w:p>
      <w:pPr>
        <w:pStyle w:val="BodyText"/>
        <w:spacing w:line="357" w:lineRule="auto" w:before="46"/>
        <w:ind w:right="493"/>
        <w:jc w:val="left"/>
      </w:pPr>
      <w:r>
        <w:rPr/>
        <w:t>十年，且聘期已满，为了确保审计工作的独立性和客观性，结合公司实际业务需求，公司改 聘中汇会计师事务所（特殊普通合伙）担任公司 </w:t>
      </w:r>
      <w:r>
        <w:rPr>
          <w:rFonts w:ascii="Times New Roman" w:hAnsi="Times New Roman" w:cs="Times New Roman" w:eastAsia="Times New Roman" w:hint="default"/>
        </w:rPr>
        <w:t>2017  </w:t>
      </w:r>
      <w:r>
        <w:rPr/>
        <w:t>年度审计机构，聘期一年。</w:t>
      </w:r>
    </w:p>
    <w:p>
      <w:pPr>
        <w:spacing w:after="0" w:line="357" w:lineRule="auto"/>
        <w:jc w:val="left"/>
        <w:sectPr>
          <w:pgSz w:w="11910" w:h="16840"/>
          <w:pgMar w:header="877" w:footer="980" w:top="1100" w:bottom="1160" w:left="980" w:right="660"/>
        </w:sectPr>
      </w:pPr>
    </w:p>
    <w:p>
      <w:pPr>
        <w:spacing w:line="240" w:lineRule="auto" w:before="7"/>
        <w:rPr>
          <w:rFonts w:ascii="宋体" w:hAnsi="宋体" w:cs="宋体" w:eastAsia="宋体" w:hint="default"/>
          <w:sz w:val="25"/>
          <w:szCs w:val="25"/>
        </w:rPr>
      </w:pPr>
    </w:p>
    <w:p>
      <w:pPr>
        <w:pStyle w:val="BodyText"/>
        <w:spacing w:line="240" w:lineRule="auto" w:before="26"/>
        <w:ind w:left="633" w:right="98"/>
        <w:jc w:val="left"/>
      </w:pPr>
      <w:r>
        <w:rPr/>
        <w:t>聘请内部控制审计会计师事务所、财务顾问或保荐人情况</w:t>
      </w:r>
    </w:p>
    <w:p>
      <w:pPr>
        <w:tabs>
          <w:tab w:pos="1497" w:val="left" w:leader="none"/>
        </w:tabs>
        <w:spacing w:line="499" w:lineRule="auto" w:before="154"/>
        <w:ind w:left="153" w:right="4571" w:firstLine="480"/>
        <w:jc w:val="left"/>
        <w:rPr>
          <w:rFonts w:ascii="宋体" w:hAnsi="宋体" w:cs="宋体" w:eastAsia="宋体" w:hint="default"/>
          <w:sz w:val="24"/>
          <w:szCs w:val="24"/>
        </w:rPr>
      </w:pP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适用</w:t>
        <w:tab/>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九、年度报告披露后面临暂停上市和终止上市情况</w:t>
      </w:r>
      <w:r>
        <w:rPr>
          <w:rFonts w:ascii="宋体" w:hAnsi="宋体" w:cs="宋体" w:eastAsia="宋体" w:hint="default"/>
          <w:sz w:val="24"/>
          <w:szCs w:val="24"/>
        </w:rPr>
      </w:r>
    </w:p>
    <w:p>
      <w:pPr>
        <w:spacing w:line="499" w:lineRule="auto" w:before="118"/>
        <w:ind w:left="153" w:right="7444"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十、破产重整相关事项</w:t>
      </w:r>
      <w:r>
        <w:rPr>
          <w:rFonts w:ascii="宋体" w:hAnsi="宋体" w:cs="宋体" w:eastAsia="宋体" w:hint="default"/>
          <w:sz w:val="24"/>
          <w:szCs w:val="24"/>
        </w:rPr>
      </w:r>
    </w:p>
    <w:p>
      <w:pPr>
        <w:pStyle w:val="BodyText"/>
        <w:spacing w:line="338" w:lineRule="auto" w:before="115"/>
        <w:ind w:left="633" w:right="5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公司报告期未发生破产重整相关事项。</w:t>
      </w:r>
    </w:p>
    <w:p>
      <w:pPr>
        <w:spacing w:line="240" w:lineRule="auto" w:before="4"/>
        <w:rPr>
          <w:rFonts w:ascii="宋体" w:hAnsi="宋体" w:cs="宋体" w:eastAsia="宋体" w:hint="default"/>
          <w:sz w:val="21"/>
          <w:szCs w:val="21"/>
        </w:rPr>
      </w:pPr>
    </w:p>
    <w:p>
      <w:pPr>
        <w:pStyle w:val="Heading2"/>
        <w:spacing w:line="240" w:lineRule="auto"/>
        <w:ind w:right="98"/>
        <w:jc w:val="left"/>
        <w:rPr>
          <w:b w:val="0"/>
          <w:bCs w:val="0"/>
        </w:rPr>
      </w:pPr>
      <w:r>
        <w:rPr/>
        <w:t>十一、重大诉讼、仲裁事项</w:t>
      </w:r>
      <w:r>
        <w:rPr>
          <w:b w:val="0"/>
          <w:bCs w:val="0"/>
        </w:rPr>
      </w:r>
    </w:p>
    <w:p>
      <w:pPr>
        <w:spacing w:line="240" w:lineRule="auto" w:before="11"/>
        <w:rPr>
          <w:rFonts w:ascii="宋体" w:hAnsi="宋体" w:cs="宋体" w:eastAsia="宋体" w:hint="default"/>
          <w:b/>
          <w:bCs/>
          <w:sz w:val="28"/>
          <w:szCs w:val="28"/>
        </w:rPr>
      </w:pPr>
    </w:p>
    <w:p>
      <w:pPr>
        <w:pStyle w:val="BodyText"/>
        <w:spacing w:line="338" w:lineRule="auto" w:before="0"/>
        <w:ind w:left="633" w:right="5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本报告期公司无重大诉讼、仲裁事项。</w:t>
      </w:r>
    </w:p>
    <w:p>
      <w:pPr>
        <w:spacing w:line="240" w:lineRule="auto" w:before="4"/>
        <w:rPr>
          <w:rFonts w:ascii="宋体" w:hAnsi="宋体" w:cs="宋体" w:eastAsia="宋体" w:hint="default"/>
          <w:sz w:val="21"/>
          <w:szCs w:val="21"/>
        </w:rPr>
      </w:pPr>
    </w:p>
    <w:p>
      <w:pPr>
        <w:pStyle w:val="Heading2"/>
        <w:spacing w:line="240" w:lineRule="auto"/>
        <w:ind w:right="98"/>
        <w:jc w:val="left"/>
        <w:rPr>
          <w:b w:val="0"/>
          <w:bCs w:val="0"/>
        </w:rPr>
      </w:pPr>
      <w:r>
        <w:rPr/>
        <w:t>十二、处罚及整改情况</w:t>
      </w:r>
      <w:r>
        <w:rPr>
          <w:b w:val="0"/>
          <w:bCs w:val="0"/>
        </w:rPr>
      </w:r>
    </w:p>
    <w:p>
      <w:pPr>
        <w:spacing w:line="240" w:lineRule="auto" w:before="8"/>
        <w:rPr>
          <w:rFonts w:ascii="宋体" w:hAnsi="宋体" w:cs="宋体" w:eastAsia="宋体" w:hint="default"/>
          <w:b/>
          <w:bCs/>
          <w:sz w:val="28"/>
          <w:szCs w:val="28"/>
        </w:rPr>
      </w:pPr>
    </w:p>
    <w:p>
      <w:pPr>
        <w:pStyle w:val="BodyText"/>
        <w:spacing w:line="338" w:lineRule="auto" w:before="0"/>
        <w:ind w:left="633" w:right="5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公司报告期不存在处罚及整改情况。</w:t>
      </w:r>
    </w:p>
    <w:p>
      <w:pPr>
        <w:spacing w:line="240" w:lineRule="auto" w:before="4"/>
        <w:rPr>
          <w:rFonts w:ascii="宋体" w:hAnsi="宋体" w:cs="宋体" w:eastAsia="宋体" w:hint="default"/>
          <w:sz w:val="21"/>
          <w:szCs w:val="21"/>
        </w:rPr>
      </w:pPr>
    </w:p>
    <w:p>
      <w:pPr>
        <w:pStyle w:val="Heading2"/>
        <w:spacing w:line="240" w:lineRule="auto"/>
        <w:ind w:right="98"/>
        <w:jc w:val="left"/>
        <w:rPr>
          <w:b w:val="0"/>
          <w:bCs w:val="0"/>
        </w:rPr>
      </w:pPr>
      <w:r>
        <w:rPr/>
        <w:t>十三、公司及其控股股东、实际控制人的诚信状况</w:t>
      </w:r>
      <w:r>
        <w:rPr>
          <w:b w:val="0"/>
          <w:bCs w:val="0"/>
        </w:rPr>
      </w:r>
    </w:p>
    <w:p>
      <w:pPr>
        <w:spacing w:line="240" w:lineRule="auto" w:before="11"/>
        <w:rPr>
          <w:rFonts w:ascii="宋体" w:hAnsi="宋体" w:cs="宋体" w:eastAsia="宋体" w:hint="default"/>
          <w:b/>
          <w:bCs/>
          <w:sz w:val="28"/>
          <w:szCs w:val="28"/>
        </w:rPr>
      </w:pPr>
    </w:p>
    <w:p>
      <w:pPr>
        <w:spacing w:line="499" w:lineRule="auto" w:before="0"/>
        <w:ind w:left="153" w:right="214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十四、公司股权激励计划、员工持股计划或其他员工激励措施的实施情况</w:t>
      </w:r>
      <w:r>
        <w:rPr>
          <w:rFonts w:ascii="宋体" w:hAnsi="宋体" w:cs="宋体" w:eastAsia="宋体" w:hint="default"/>
          <w:sz w:val="24"/>
          <w:szCs w:val="24"/>
        </w:rPr>
      </w:r>
    </w:p>
    <w:p>
      <w:pPr>
        <w:pStyle w:val="BodyText"/>
        <w:spacing w:line="348" w:lineRule="auto" w:before="115"/>
        <w:ind w:left="633"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w:t>
      </w:r>
      <w:r>
        <w:rPr>
          <w:spacing w:val="-3"/>
        </w:rPr>
        <w:t>报告期内，公司实施了限制性股票预留部分的第三期解锁以及首次授予第四期解锁事宜。</w:t>
      </w:r>
      <w:r>
        <w:rPr>
          <w:spacing w:val="-84"/>
        </w:rPr>
        <w:t> </w:t>
      </w:r>
      <w:r>
        <w:rPr>
          <w:spacing w:val="-84"/>
        </w:rPr>
      </w:r>
      <w:r>
        <w:rPr/>
        <w:t>有关报告期内开展的公司股权激励计划、员工持股计划相关事宜详见公司披露于巨潮资</w:t>
      </w:r>
    </w:p>
    <w:p>
      <w:pPr>
        <w:pStyle w:val="BodyText"/>
        <w:spacing w:line="240" w:lineRule="auto" w:before="46"/>
        <w:ind w:right="98"/>
        <w:jc w:val="left"/>
      </w:pPr>
      <w:r>
        <w:rPr/>
        <w:t>讯网的相关公告，具体公告有：</w:t>
      </w:r>
    </w:p>
    <w:p>
      <w:pPr>
        <w:spacing w:line="240" w:lineRule="auto" w:before="1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560"/>
        <w:gridCol w:w="2269"/>
        <w:gridCol w:w="1870"/>
      </w:tblGrid>
      <w:tr>
        <w:trPr>
          <w:trHeight w:val="634" w:hRule="exact"/>
        </w:trPr>
        <w:tc>
          <w:tcPr>
            <w:tcW w:w="5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b/>
                <w:bCs/>
                <w:sz w:val="21"/>
                <w:szCs w:val="21"/>
              </w:rPr>
              <w:t>临时公告名称</w:t>
            </w:r>
            <w:r>
              <w:rPr>
                <w:rFonts w:ascii="宋体" w:hAnsi="宋体" w:cs="宋体" w:eastAsia="宋体" w:hint="default"/>
                <w:sz w:val="21"/>
                <w:szCs w:val="21"/>
              </w:rPr>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b/>
                <w:bCs/>
                <w:sz w:val="21"/>
                <w:szCs w:val="21"/>
              </w:rPr>
              <w:t>临时公告披露日期</w:t>
            </w:r>
            <w:r>
              <w:rPr>
                <w:rFonts w:ascii="宋体" w:hAnsi="宋体" w:cs="宋体" w:eastAsia="宋体" w:hint="default"/>
                <w:sz w:val="21"/>
                <w:szCs w:val="21"/>
              </w:rPr>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17" w:right="84" w:hanging="634"/>
              <w:jc w:val="left"/>
              <w:rPr>
                <w:rFonts w:ascii="宋体" w:hAnsi="宋体" w:cs="宋体" w:eastAsia="宋体" w:hint="default"/>
                <w:sz w:val="21"/>
                <w:szCs w:val="21"/>
              </w:rPr>
            </w:pPr>
            <w:r>
              <w:rPr>
                <w:rFonts w:ascii="宋体" w:hAnsi="宋体" w:cs="宋体" w:eastAsia="宋体" w:hint="default"/>
                <w:b/>
                <w:bCs/>
                <w:sz w:val="21"/>
                <w:szCs w:val="21"/>
              </w:rPr>
              <w:t>临时公告披露网站</w:t>
            </w:r>
            <w:r>
              <w:rPr>
                <w:rFonts w:ascii="宋体" w:hAnsi="宋体" w:cs="宋体" w:eastAsia="宋体" w:hint="default"/>
                <w:b/>
                <w:bCs/>
                <w:spacing w:val="-103"/>
                <w:sz w:val="21"/>
                <w:szCs w:val="21"/>
              </w:rPr>
              <w:t> </w:t>
            </w:r>
            <w:r>
              <w:rPr>
                <w:rFonts w:ascii="宋体" w:hAnsi="宋体" w:cs="宋体" w:eastAsia="宋体" w:hint="default"/>
                <w:b/>
                <w:bCs/>
                <w:sz w:val="21"/>
                <w:szCs w:val="21"/>
              </w:rPr>
              <w:t>名称</w:t>
            </w:r>
            <w:r>
              <w:rPr>
                <w:rFonts w:ascii="宋体" w:hAnsi="宋体" w:cs="宋体" w:eastAsia="宋体" w:hint="default"/>
                <w:sz w:val="21"/>
                <w:szCs w:val="21"/>
              </w:rPr>
            </w:r>
          </w:p>
        </w:tc>
      </w:tr>
      <w:tr>
        <w:trPr>
          <w:trHeight w:val="324"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第三届董事会第三十次会议决议公告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第三届监事会第二十四次会议决议公告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60"/>
              <w:jc w:val="left"/>
              <w:rPr>
                <w:rFonts w:ascii="宋体" w:hAnsi="宋体" w:cs="宋体" w:eastAsia="宋体" w:hint="default"/>
                <w:sz w:val="21"/>
                <w:szCs w:val="21"/>
              </w:rPr>
            </w:pPr>
            <w:r>
              <w:rPr>
                <w:rFonts w:ascii="宋体" w:hAnsi="宋体" w:cs="宋体" w:eastAsia="宋体" w:hint="default"/>
                <w:spacing w:val="-2"/>
                <w:sz w:val="21"/>
                <w:szCs w:val="21"/>
              </w:rPr>
              <w:t>关于公司股权激励计划预留部分限制性股票第三个解锁期条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件成就可解锁的公告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pgSz w:w="11910" w:h="16840"/>
          <w:pgMar w:header="877" w:footer="980" w:top="1100" w:bottom="1160" w:left="980" w:right="90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5560"/>
        <w:gridCol w:w="2269"/>
        <w:gridCol w:w="1870"/>
      </w:tblGrid>
      <w:tr>
        <w:trPr>
          <w:trHeight w:val="634"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60"/>
              <w:jc w:val="left"/>
              <w:rPr>
                <w:rFonts w:ascii="宋体" w:hAnsi="宋体" w:cs="宋体" w:eastAsia="宋体" w:hint="default"/>
                <w:sz w:val="21"/>
                <w:szCs w:val="21"/>
              </w:rPr>
            </w:pPr>
            <w:r>
              <w:rPr>
                <w:rFonts w:ascii="宋体" w:hAnsi="宋体" w:cs="宋体" w:eastAsia="宋体" w:hint="default"/>
                <w:spacing w:val="-2"/>
                <w:sz w:val="21"/>
                <w:szCs w:val="21"/>
              </w:rPr>
              <w:t>独立董事关于第三届董事会第三十次会议相关事项的独立意</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60"/>
              <w:jc w:val="left"/>
              <w:rPr>
                <w:rFonts w:ascii="宋体" w:hAnsi="宋体" w:cs="宋体" w:eastAsia="宋体" w:hint="default"/>
                <w:sz w:val="21"/>
                <w:szCs w:val="21"/>
              </w:rPr>
            </w:pPr>
            <w:r>
              <w:rPr>
                <w:rFonts w:ascii="宋体" w:hAnsi="宋体" w:cs="宋体" w:eastAsia="宋体" w:hint="default"/>
                <w:spacing w:val="-2"/>
                <w:sz w:val="21"/>
                <w:szCs w:val="21"/>
              </w:rPr>
              <w:t>北京市天元律师事务所关于公司限制性股票激励计划预留部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分限制性股票之第三个解锁期可解锁事项的法律意见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60"/>
              <w:jc w:val="left"/>
              <w:rPr>
                <w:rFonts w:ascii="宋体" w:hAnsi="宋体" w:cs="宋体" w:eastAsia="宋体" w:hint="default"/>
                <w:sz w:val="21"/>
                <w:szCs w:val="21"/>
              </w:rPr>
            </w:pPr>
            <w:r>
              <w:rPr>
                <w:rFonts w:ascii="宋体" w:hAnsi="宋体" w:cs="宋体" w:eastAsia="宋体" w:hint="default"/>
                <w:spacing w:val="-2"/>
                <w:sz w:val="21"/>
                <w:szCs w:val="21"/>
              </w:rPr>
              <w:t>关于公司股权激励计划预留部分限制性股票第三期解锁股份</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上市流通的提示性公告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第四届董事会第三次会议决议公告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color w:val="333333"/>
                <w:sz w:val="21"/>
                <w:szCs w:val="21"/>
              </w:rPr>
              <w:t>第四届监事会第三次会议</w:t>
            </w:r>
            <w:r>
              <w:rPr>
                <w:rFonts w:ascii="宋体" w:hAnsi="宋体" w:cs="宋体" w:eastAsia="宋体" w:hint="default"/>
                <w:sz w:val="21"/>
                <w:szCs w:val="21"/>
              </w:rPr>
              <w:t>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60"/>
              <w:jc w:val="left"/>
              <w:rPr>
                <w:rFonts w:ascii="宋体" w:hAnsi="宋体" w:cs="宋体" w:eastAsia="宋体" w:hint="default"/>
                <w:sz w:val="21"/>
                <w:szCs w:val="21"/>
              </w:rPr>
            </w:pPr>
            <w:r>
              <w:rPr>
                <w:rFonts w:ascii="宋体" w:hAnsi="宋体" w:cs="宋体" w:eastAsia="宋体" w:hint="default"/>
                <w:spacing w:val="-2"/>
                <w:sz w:val="21"/>
                <w:szCs w:val="21"/>
              </w:rPr>
              <w:t>关于公司股权激励计划首次授予的限制性股票第四个解锁期</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条件成就可解锁的公告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60"/>
              <w:jc w:val="left"/>
              <w:rPr>
                <w:rFonts w:ascii="宋体" w:hAnsi="宋体" w:cs="宋体" w:eastAsia="宋体" w:hint="default"/>
                <w:sz w:val="21"/>
                <w:szCs w:val="21"/>
              </w:rPr>
            </w:pPr>
            <w:r>
              <w:rPr>
                <w:rFonts w:ascii="宋体" w:hAnsi="宋体" w:cs="宋体" w:eastAsia="宋体" w:hint="default"/>
                <w:spacing w:val="-2"/>
                <w:sz w:val="21"/>
                <w:szCs w:val="21"/>
              </w:rPr>
              <w:t>独立董事关于公司股权激励计划首次授予的限制性股票第四</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个解锁期条件成就可解锁的独立意见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58"/>
              <w:jc w:val="left"/>
              <w:rPr>
                <w:rFonts w:ascii="宋体" w:hAnsi="宋体" w:cs="宋体" w:eastAsia="宋体" w:hint="default"/>
                <w:sz w:val="21"/>
                <w:szCs w:val="21"/>
              </w:rPr>
            </w:pPr>
            <w:r>
              <w:rPr>
                <w:rFonts w:ascii="宋体" w:hAnsi="宋体" w:cs="宋体" w:eastAsia="宋体" w:hint="default"/>
                <w:spacing w:val="-2"/>
                <w:sz w:val="21"/>
                <w:szCs w:val="21"/>
              </w:rPr>
              <w:t>北京市天元律师事务所关于公司限制性股票激励计划之第四</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个解锁期可解锁事项及回购注销部分限制性股票的法律意见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60"/>
              <w:jc w:val="left"/>
              <w:rPr>
                <w:rFonts w:ascii="宋体" w:hAnsi="宋体" w:cs="宋体" w:eastAsia="宋体" w:hint="default"/>
                <w:sz w:val="21"/>
                <w:szCs w:val="21"/>
              </w:rPr>
            </w:pPr>
            <w:r>
              <w:rPr>
                <w:rFonts w:ascii="宋体" w:hAnsi="宋体" w:cs="宋体" w:eastAsia="宋体" w:hint="default"/>
                <w:spacing w:val="-2"/>
                <w:sz w:val="21"/>
                <w:szCs w:val="21"/>
              </w:rPr>
              <w:t>关于回购注销部分激励对象已获授但尚未解锁的限制性股票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的公告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6"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60"/>
              <w:jc w:val="left"/>
              <w:rPr>
                <w:rFonts w:ascii="宋体" w:hAnsi="宋体" w:cs="宋体" w:eastAsia="宋体" w:hint="default"/>
                <w:sz w:val="21"/>
                <w:szCs w:val="21"/>
              </w:rPr>
            </w:pPr>
            <w:r>
              <w:rPr>
                <w:rFonts w:ascii="宋体" w:hAnsi="宋体" w:cs="宋体" w:eastAsia="宋体" w:hint="default"/>
                <w:spacing w:val="-2"/>
                <w:sz w:val="21"/>
                <w:szCs w:val="21"/>
              </w:rPr>
              <w:t>关于公司股权激励计划首次授予的限制性股票第四期解锁股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份上市流通的提示性公告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78"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关于回购注销部分限制性股票的减资公告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1"/>
        <w:rPr>
          <w:rFonts w:ascii="宋体" w:hAnsi="宋体" w:cs="宋体" w:eastAsia="宋体" w:hint="default"/>
          <w:sz w:val="18"/>
          <w:szCs w:val="18"/>
        </w:rPr>
      </w:pPr>
    </w:p>
    <w:p>
      <w:pPr>
        <w:pStyle w:val="Heading2"/>
        <w:spacing w:line="240" w:lineRule="auto" w:before="26"/>
        <w:ind w:right="293"/>
        <w:jc w:val="left"/>
        <w:rPr>
          <w:b w:val="0"/>
          <w:bCs w:val="0"/>
        </w:rPr>
      </w:pPr>
      <w:r>
        <w:rPr/>
        <w:t>十五、重大关联交易</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right="29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633" w:right="3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公司报告期未发生与日常经营相关的重大关联交易。</w:t>
      </w:r>
    </w:p>
    <w:p>
      <w:pPr>
        <w:spacing w:line="240" w:lineRule="auto" w:before="2"/>
        <w:rPr>
          <w:rFonts w:ascii="宋体" w:hAnsi="宋体" w:cs="宋体" w:eastAsia="宋体" w:hint="default"/>
          <w:sz w:val="27"/>
          <w:szCs w:val="27"/>
        </w:rPr>
      </w:pPr>
    </w:p>
    <w:p>
      <w:pPr>
        <w:pStyle w:val="Heading2"/>
        <w:spacing w:line="240" w:lineRule="auto"/>
        <w:ind w:right="29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right="29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33"/>
          <w:szCs w:val="33"/>
        </w:rPr>
      </w:pPr>
    </w:p>
    <w:p>
      <w:pPr>
        <w:pStyle w:val="BodyText"/>
        <w:spacing w:line="240" w:lineRule="auto" w:before="0"/>
        <w:ind w:left="633" w:right="2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right="29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633" w:right="52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公司报告期不存在关联债权债务往来。</w:t>
      </w:r>
    </w:p>
    <w:p>
      <w:pPr>
        <w:spacing w:after="0" w:line="338"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Heading2"/>
        <w:spacing w:line="240" w:lineRule="auto" w:before="26"/>
        <w:ind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33"/>
          <w:szCs w:val="33"/>
        </w:rPr>
      </w:pPr>
    </w:p>
    <w:p>
      <w:pPr>
        <w:spacing w:line="513" w:lineRule="auto" w:before="0"/>
        <w:ind w:left="153" w:right="6521"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十六、重大合同及其履行情况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、托管、承包、租赁事项情况</w:t>
      </w:r>
      <w:r>
        <w:rPr>
          <w:rFonts w:ascii="宋体" w:hAnsi="宋体" w:cs="宋体" w:eastAsia="宋体" w:hint="default"/>
          <w:sz w:val="24"/>
          <w:szCs w:val="24"/>
        </w:rPr>
      </w:r>
    </w:p>
    <w:p>
      <w:pPr>
        <w:pStyle w:val="Heading2"/>
        <w:spacing w:line="240" w:lineRule="auto" w:before="132"/>
        <w:ind w:right="0"/>
        <w:jc w:val="both"/>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33"/>
          <w:szCs w:val="33"/>
        </w:rPr>
      </w:pPr>
    </w:p>
    <w:p>
      <w:pPr>
        <w:pStyle w:val="BodyText"/>
        <w:spacing w:line="338" w:lineRule="auto" w:before="0"/>
        <w:ind w:left="633" w:right="6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公司报告期不存在托管情况。</w:t>
      </w:r>
    </w:p>
    <w:p>
      <w:pPr>
        <w:spacing w:line="240" w:lineRule="auto" w:before="2"/>
        <w:rPr>
          <w:rFonts w:ascii="宋体" w:hAnsi="宋体" w:cs="宋体" w:eastAsia="宋体" w:hint="default"/>
          <w:sz w:val="27"/>
          <w:szCs w:val="27"/>
        </w:rPr>
      </w:pPr>
    </w:p>
    <w:p>
      <w:pPr>
        <w:pStyle w:val="Heading2"/>
        <w:spacing w:line="240" w:lineRule="auto"/>
        <w:ind w:right="0"/>
        <w:jc w:val="both"/>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633" w:right="6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公司报告期不存在承包情况。</w:t>
      </w:r>
    </w:p>
    <w:p>
      <w:pPr>
        <w:spacing w:line="240" w:lineRule="auto" w:before="2"/>
        <w:rPr>
          <w:rFonts w:ascii="宋体" w:hAnsi="宋体" w:cs="宋体" w:eastAsia="宋体" w:hint="default"/>
          <w:sz w:val="27"/>
          <w:szCs w:val="27"/>
        </w:rPr>
      </w:pPr>
    </w:p>
    <w:p>
      <w:pPr>
        <w:pStyle w:val="Heading2"/>
        <w:spacing w:line="240" w:lineRule="auto"/>
        <w:ind w:right="0"/>
        <w:jc w:val="both"/>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33"/>
          <w:szCs w:val="33"/>
        </w:rPr>
      </w:pPr>
    </w:p>
    <w:p>
      <w:pPr>
        <w:pStyle w:val="BodyText"/>
        <w:tabs>
          <w:tab w:pos="1605" w:val="left" w:leader="none"/>
        </w:tabs>
        <w:spacing w:line="338" w:lineRule="auto" w:before="0"/>
        <w:ind w:left="633" w:right="191"/>
        <w:jc w:val="left"/>
      </w:pPr>
      <w:r>
        <w:rPr>
          <w:rFonts w:ascii="Times New Roman" w:hAnsi="Times New Roman" w:cs="Times New Roman" w:eastAsia="Times New Roman" w:hint="default"/>
        </w:rPr>
        <w:t>√  </w:t>
      </w:r>
      <w:r>
        <w:rPr/>
        <w:t>适用</w:t>
        <w:tab/>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报告期内，公司将闲置办公用房租赁给第三方，承租方包括：北京合众天恒科技有限公</w:t>
      </w:r>
    </w:p>
    <w:p>
      <w:pPr>
        <w:pStyle w:val="BodyText"/>
        <w:spacing w:line="357" w:lineRule="auto"/>
        <w:ind w:right="189"/>
        <w:jc w:val="both"/>
      </w:pPr>
      <w:r>
        <w:rPr/>
        <w:t>司、北京立思辰新技术有限公司、天津安驾商务咨询服务有限公司北京昌平分公司、北京宏 城鑫泰置业有限公司、乐视云计算有限公司、北京瑞华康源科技有限公司、北京大德医疗科 技有限公司、北京泰和鼎业医学技术有限公司、书易嘉艺术设计（北京）有限公司、易联汇 华（北京）科技有限公司、上海易势商务服务有限公司、北京易联智慧科技有限公司、成都 地图慧科技有限公司、北京每好互联科技有限公司、北京华远众科技有限公司、北京智讯天 成技术有限公司和东方园林环境股份有限公司，共获得房租收入</w:t>
      </w:r>
      <w:r>
        <w:rPr>
          <w:spacing w:val="-59"/>
        </w:rPr>
        <w:t> </w:t>
      </w:r>
      <w:r>
        <w:rPr>
          <w:rFonts w:ascii="Times New Roman" w:hAnsi="Times New Roman" w:cs="Times New Roman" w:eastAsia="Times New Roman" w:hint="default"/>
        </w:rPr>
        <w:t>1820.33 </w:t>
      </w:r>
      <w:r>
        <w:rPr/>
        <w:t>万元。</w:t>
      </w:r>
    </w:p>
    <w:p>
      <w:pPr>
        <w:pStyle w:val="BodyText"/>
        <w:spacing w:line="240" w:lineRule="auto" w:before="5"/>
        <w:ind w:left="633" w:right="293"/>
        <w:jc w:val="left"/>
      </w:pPr>
      <w:r>
        <w:rPr/>
        <w:t>为公司带来的损益达到公司报告期利润总额</w:t>
      </w:r>
      <w:r>
        <w:rPr>
          <w:spacing w:val="-61"/>
        </w:rPr>
        <w:t> </w:t>
      </w:r>
      <w:r>
        <w:rPr>
          <w:rFonts w:ascii="Times New Roman" w:hAnsi="Times New Roman" w:cs="Times New Roman" w:eastAsia="Times New Roman" w:hint="default"/>
        </w:rPr>
        <w:t>10%</w:t>
      </w:r>
      <w:r>
        <w:rPr/>
        <w:t>以上的项目</w:t>
      </w:r>
    </w:p>
    <w:p>
      <w:pPr>
        <w:pStyle w:val="BodyText"/>
        <w:spacing w:line="240" w:lineRule="auto" w:before="135"/>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5"/>
        <w:ind w:left="633" w:right="293"/>
        <w:jc w:val="left"/>
      </w:pPr>
      <w:r>
        <w:rPr/>
        <w:t>公司报告期不存在为公司带来的损益达到公司报告期利润总额</w:t>
      </w:r>
      <w:r>
        <w:rPr>
          <w:spacing w:val="-60"/>
        </w:rPr>
        <w:t> </w:t>
      </w:r>
      <w:r>
        <w:rPr>
          <w:rFonts w:ascii="Times New Roman" w:hAnsi="Times New Roman" w:cs="Times New Roman" w:eastAsia="Times New Roman" w:hint="default"/>
        </w:rPr>
        <w:t>10%</w:t>
      </w:r>
      <w:r>
        <w:rPr/>
        <w:t>以上的租赁项目。</w:t>
      </w:r>
    </w:p>
    <w:p>
      <w:pPr>
        <w:spacing w:after="0" w:line="240"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Heading2"/>
        <w:spacing w:line="240" w:lineRule="auto" w:before="26"/>
        <w:ind w:left="913" w:right="69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1393" w:right="6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公司报告期不存在担保情况。</w:t>
      </w:r>
    </w:p>
    <w:p>
      <w:pPr>
        <w:spacing w:line="240" w:lineRule="auto" w:before="2"/>
        <w:rPr>
          <w:rFonts w:ascii="宋体" w:hAnsi="宋体" w:cs="宋体" w:eastAsia="宋体" w:hint="default"/>
          <w:sz w:val="27"/>
          <w:szCs w:val="27"/>
        </w:rPr>
      </w:pPr>
    </w:p>
    <w:p>
      <w:pPr>
        <w:pStyle w:val="Heading2"/>
        <w:spacing w:line="240" w:lineRule="auto"/>
        <w:ind w:left="913"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left="913" w:right="69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1393" w:right="7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报告期内委托理财概况</w:t>
      </w:r>
    </w:p>
    <w:p>
      <w:pPr>
        <w:spacing w:before="81"/>
        <w:ind w:left="0" w:right="90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1"/>
        <w:rPr>
          <w:rFonts w:ascii="宋体" w:hAnsi="宋体" w:cs="宋体" w:eastAsia="宋体" w:hint="default"/>
          <w:sz w:val="9"/>
          <w:szCs w:val="9"/>
        </w:rPr>
      </w:pPr>
    </w:p>
    <w:tbl>
      <w:tblPr>
        <w:tblW w:w="0" w:type="auto"/>
        <w:jc w:val="left"/>
        <w:tblInd w:w="908" w:type="dxa"/>
        <w:tblLayout w:type="fixed"/>
        <w:tblCellMar>
          <w:top w:w="0" w:type="dxa"/>
          <w:left w:w="0" w:type="dxa"/>
          <w:bottom w:w="0" w:type="dxa"/>
          <w:right w:w="0" w:type="dxa"/>
        </w:tblCellMar>
        <w:tblLook w:val="01E0"/>
      </w:tblPr>
      <w:tblGrid>
        <w:gridCol w:w="1867"/>
        <w:gridCol w:w="1964"/>
        <w:gridCol w:w="1980"/>
        <w:gridCol w:w="1911"/>
        <w:gridCol w:w="1846"/>
      </w:tblGrid>
      <w:tr>
        <w:trPr>
          <w:trHeight w:val="322" w:hRule="exact"/>
        </w:trPr>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具体类型</w:t>
            </w:r>
            <w:r>
              <w:rPr>
                <w:rFonts w:ascii="宋体" w:hAnsi="宋体" w:cs="宋体" w:eastAsia="宋体" w:hint="default"/>
                <w:sz w:val="21"/>
                <w:szCs w:val="21"/>
              </w:rPr>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b/>
                <w:bCs/>
                <w:sz w:val="21"/>
                <w:szCs w:val="21"/>
              </w:rPr>
              <w:t>委托理财的资金来源</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7" w:right="0"/>
              <w:jc w:val="left"/>
              <w:rPr>
                <w:rFonts w:ascii="宋体" w:hAnsi="宋体" w:cs="宋体" w:eastAsia="宋体" w:hint="default"/>
                <w:sz w:val="21"/>
                <w:szCs w:val="21"/>
              </w:rPr>
            </w:pPr>
            <w:r>
              <w:rPr>
                <w:rFonts w:ascii="宋体" w:hAnsi="宋体" w:cs="宋体" w:eastAsia="宋体" w:hint="default"/>
                <w:b/>
                <w:bCs/>
                <w:sz w:val="21"/>
                <w:szCs w:val="21"/>
              </w:rPr>
              <w:t>委托理财发生额</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未到期余额</w:t>
            </w:r>
            <w:r>
              <w:rPr>
                <w:rFonts w:ascii="宋体" w:hAnsi="宋体" w:cs="宋体" w:eastAsia="宋体" w:hint="default"/>
                <w:sz w:val="21"/>
                <w:szCs w:val="21"/>
              </w:rPr>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逾期未收回的金额</w:t>
            </w:r>
            <w:r>
              <w:rPr>
                <w:rFonts w:ascii="宋体" w:hAnsi="宋体" w:cs="宋体" w:eastAsia="宋体" w:hint="default"/>
                <w:sz w:val="21"/>
                <w:szCs w:val="21"/>
              </w:rPr>
            </w:r>
          </w:p>
        </w:tc>
      </w:tr>
      <w:tr>
        <w:trPr>
          <w:trHeight w:val="634"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54" w:right="29" w:hanging="527"/>
              <w:jc w:val="left"/>
              <w:rPr>
                <w:rFonts w:ascii="宋体" w:hAnsi="宋体" w:cs="宋体" w:eastAsia="宋体" w:hint="default"/>
                <w:sz w:val="21"/>
                <w:szCs w:val="21"/>
              </w:rPr>
            </w:pPr>
            <w:r>
              <w:rPr>
                <w:rFonts w:ascii="宋体" w:hAnsi="宋体" w:cs="宋体" w:eastAsia="宋体" w:hint="default"/>
                <w:sz w:val="21"/>
                <w:szCs w:val="21"/>
              </w:rPr>
              <w:t>自有资金和暂时闲置</w:t>
            </w:r>
            <w:r>
              <w:rPr>
                <w:rFonts w:ascii="宋体" w:hAnsi="宋体" w:cs="宋体" w:eastAsia="宋体" w:hint="default"/>
                <w:w w:val="100"/>
                <w:sz w:val="21"/>
                <w:szCs w:val="21"/>
              </w:rPr>
              <w:t> </w:t>
            </w:r>
            <w:r>
              <w:rPr>
                <w:rFonts w:ascii="宋体" w:hAnsi="宋体" w:cs="宋体" w:eastAsia="宋体" w:hint="default"/>
                <w:sz w:val="21"/>
                <w:szCs w:val="21"/>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573" w:right="0"/>
              <w:jc w:val="left"/>
              <w:rPr>
                <w:rFonts w:ascii="Times New Roman" w:hAnsi="Times New Roman" w:cs="Times New Roman" w:eastAsia="Times New Roman" w:hint="default"/>
                <w:sz w:val="22"/>
                <w:szCs w:val="22"/>
              </w:rPr>
            </w:pPr>
            <w:r>
              <w:rPr>
                <w:rFonts w:ascii="Times New Roman"/>
                <w:sz w:val="22"/>
              </w:rPr>
              <w:t>172,100.00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334"/>
              <w:jc w:val="right"/>
              <w:rPr>
                <w:rFonts w:ascii="Times New Roman" w:hAnsi="Times New Roman" w:cs="Times New Roman" w:eastAsia="Times New Roman" w:hint="default"/>
                <w:sz w:val="22"/>
                <w:szCs w:val="22"/>
              </w:rPr>
            </w:pPr>
            <w:r>
              <w:rPr>
                <w:rFonts w:ascii="Times New Roman"/>
                <w:spacing w:val="-1"/>
                <w:sz w:val="22"/>
              </w:rPr>
              <w:t>39,200.00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80"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3"/>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73" w:right="0"/>
              <w:jc w:val="left"/>
              <w:rPr>
                <w:rFonts w:ascii="Times New Roman" w:hAnsi="Times New Roman" w:cs="Times New Roman" w:eastAsia="Times New Roman" w:hint="default"/>
                <w:sz w:val="22"/>
                <w:szCs w:val="22"/>
              </w:rPr>
            </w:pPr>
            <w:r>
              <w:rPr>
                <w:rFonts w:ascii="Times New Roman"/>
                <w:sz w:val="22"/>
              </w:rPr>
              <w:t>172,100.00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34"/>
              <w:jc w:val="right"/>
              <w:rPr>
                <w:rFonts w:ascii="Times New Roman" w:hAnsi="Times New Roman" w:cs="Times New Roman" w:eastAsia="Times New Roman" w:hint="default"/>
                <w:sz w:val="22"/>
                <w:szCs w:val="22"/>
              </w:rPr>
            </w:pPr>
            <w:r>
              <w:rPr>
                <w:rFonts w:ascii="Times New Roman"/>
                <w:spacing w:val="-1"/>
                <w:sz w:val="22"/>
              </w:rPr>
              <w:t>39,200.00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bl>
    <w:p>
      <w:pPr>
        <w:pStyle w:val="BodyText"/>
        <w:spacing w:line="240" w:lineRule="auto" w:before="39"/>
        <w:ind w:left="1393" w:right="0"/>
        <w:jc w:val="left"/>
      </w:pPr>
      <w:r>
        <w:rPr/>
        <w:t>单项金额重大或安全性较低、流动性较差、不保本的高风险委托理财具体情况</w:t>
      </w:r>
    </w:p>
    <w:p>
      <w:pPr>
        <w:spacing w:before="179"/>
        <w:ind w:left="0" w:right="90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1"/>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852"/>
        <w:gridCol w:w="425"/>
        <w:gridCol w:w="850"/>
        <w:gridCol w:w="710"/>
        <w:gridCol w:w="591"/>
        <w:gridCol w:w="991"/>
        <w:gridCol w:w="850"/>
        <w:gridCol w:w="1152"/>
        <w:gridCol w:w="569"/>
        <w:gridCol w:w="709"/>
        <w:gridCol w:w="708"/>
        <w:gridCol w:w="569"/>
        <w:gridCol w:w="425"/>
        <w:gridCol w:w="425"/>
        <w:gridCol w:w="566"/>
        <w:gridCol w:w="425"/>
        <w:gridCol w:w="427"/>
      </w:tblGrid>
      <w:tr>
        <w:trPr>
          <w:trHeight w:val="4379" w:hRule="exact"/>
        </w:trPr>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23" w:right="183"/>
              <w:jc w:val="both"/>
              <w:rPr>
                <w:rFonts w:ascii="宋体" w:hAnsi="宋体" w:cs="宋体" w:eastAsia="宋体" w:hint="default"/>
                <w:sz w:val="21"/>
                <w:szCs w:val="21"/>
              </w:rPr>
            </w:pPr>
            <w:r>
              <w:rPr>
                <w:rFonts w:ascii="宋体" w:hAnsi="宋体" w:cs="宋体" w:eastAsia="宋体" w:hint="default"/>
                <w:b/>
                <w:bCs/>
                <w:sz w:val="21"/>
                <w:szCs w:val="21"/>
              </w:rPr>
              <w:t>受托机</w:t>
            </w:r>
            <w:r>
              <w:rPr>
                <w:rFonts w:ascii="宋体" w:hAnsi="宋体" w:cs="宋体" w:eastAsia="宋体" w:hint="default"/>
                <w:b/>
                <w:bCs/>
                <w:w w:val="100"/>
                <w:sz w:val="21"/>
                <w:szCs w:val="21"/>
              </w:rPr>
              <w:t> </w:t>
            </w:r>
            <w:r>
              <w:rPr>
                <w:rFonts w:ascii="宋体" w:hAnsi="宋体" w:cs="宋体" w:eastAsia="宋体" w:hint="default"/>
                <w:b/>
                <w:bCs/>
                <w:sz w:val="21"/>
                <w:szCs w:val="21"/>
              </w:rPr>
              <w:t>构名称</w:t>
            </w:r>
            <w:r>
              <w:rPr>
                <w:rFonts w:ascii="宋体" w:hAnsi="宋体" w:cs="宋体" w:eastAsia="宋体" w:hint="default"/>
                <w:sz w:val="21"/>
                <w:szCs w:val="21"/>
              </w:rPr>
            </w:r>
          </w:p>
          <w:p>
            <w:pPr>
              <w:pStyle w:val="TableParagraph"/>
              <w:spacing w:line="273" w:lineRule="auto" w:before="7"/>
              <w:ind w:left="23" w:right="183"/>
              <w:jc w:val="both"/>
              <w:rPr>
                <w:rFonts w:ascii="宋体" w:hAnsi="宋体" w:cs="宋体" w:eastAsia="宋体" w:hint="default"/>
                <w:sz w:val="21"/>
                <w:szCs w:val="21"/>
              </w:rPr>
            </w:pPr>
            <w:r>
              <w:rPr>
                <w:rFonts w:ascii="宋体" w:hAnsi="宋体" w:cs="宋体" w:eastAsia="宋体" w:hint="default"/>
                <w:b/>
                <w:bCs/>
                <w:sz w:val="21"/>
                <w:szCs w:val="21"/>
              </w:rPr>
              <w:t>（或受</w:t>
            </w:r>
            <w:r>
              <w:rPr>
                <w:rFonts w:ascii="宋体" w:hAnsi="宋体" w:cs="宋体" w:eastAsia="宋体" w:hint="default"/>
                <w:b/>
                <w:bCs/>
                <w:w w:val="100"/>
                <w:sz w:val="21"/>
                <w:szCs w:val="21"/>
              </w:rPr>
              <w:t> </w:t>
            </w:r>
            <w:r>
              <w:rPr>
                <w:rFonts w:ascii="宋体" w:hAnsi="宋体" w:cs="宋体" w:eastAsia="宋体" w:hint="default"/>
                <w:b/>
                <w:bCs/>
                <w:sz w:val="21"/>
                <w:szCs w:val="21"/>
              </w:rPr>
              <w:t>托人姓</w:t>
            </w:r>
            <w:r>
              <w:rPr>
                <w:rFonts w:ascii="宋体" w:hAnsi="宋体" w:cs="宋体" w:eastAsia="宋体" w:hint="default"/>
                <w:b/>
                <w:bCs/>
                <w:w w:val="100"/>
                <w:sz w:val="21"/>
                <w:szCs w:val="21"/>
              </w:rPr>
              <w:t> </w:t>
            </w:r>
            <w:r>
              <w:rPr>
                <w:rFonts w:ascii="宋体" w:hAnsi="宋体" w:cs="宋体" w:eastAsia="宋体" w:hint="default"/>
                <w:b/>
                <w:bCs/>
                <w:sz w:val="21"/>
                <w:szCs w:val="21"/>
              </w:rPr>
              <w:t>名）</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5" w:right="86" w:hanging="12"/>
              <w:jc w:val="both"/>
              <w:rPr>
                <w:rFonts w:ascii="宋体" w:hAnsi="宋体" w:cs="宋体" w:eastAsia="宋体" w:hint="default"/>
                <w:sz w:val="21"/>
                <w:szCs w:val="21"/>
              </w:rPr>
            </w:pPr>
            <w:r>
              <w:rPr>
                <w:rFonts w:ascii="宋体" w:hAnsi="宋体" w:cs="宋体" w:eastAsia="宋体" w:hint="default"/>
                <w:b/>
                <w:bCs/>
                <w:sz w:val="21"/>
                <w:szCs w:val="21"/>
              </w:rPr>
              <w:t>受</w:t>
            </w:r>
            <w:r>
              <w:rPr>
                <w:rFonts w:ascii="宋体" w:hAnsi="宋体" w:cs="宋体" w:eastAsia="宋体" w:hint="default"/>
                <w:b/>
                <w:bCs/>
                <w:w w:val="100"/>
                <w:sz w:val="21"/>
                <w:szCs w:val="21"/>
              </w:rPr>
              <w:t> </w:t>
            </w:r>
            <w:r>
              <w:rPr>
                <w:rFonts w:ascii="宋体" w:hAnsi="宋体" w:cs="宋体" w:eastAsia="宋体" w:hint="default"/>
                <w:b/>
                <w:bCs/>
                <w:sz w:val="21"/>
                <w:szCs w:val="21"/>
              </w:rPr>
              <w:t>托</w:t>
            </w:r>
            <w:r>
              <w:rPr>
                <w:rFonts w:ascii="宋体" w:hAnsi="宋体" w:cs="宋体" w:eastAsia="宋体" w:hint="default"/>
                <w:b/>
                <w:bCs/>
                <w:w w:val="100"/>
                <w:sz w:val="21"/>
                <w:szCs w:val="21"/>
              </w:rPr>
              <w:t> </w:t>
            </w:r>
            <w:r>
              <w:rPr>
                <w:rFonts w:ascii="宋体" w:hAnsi="宋体" w:cs="宋体" w:eastAsia="宋体" w:hint="default"/>
                <w:b/>
                <w:bCs/>
                <w:sz w:val="21"/>
                <w:szCs w:val="21"/>
              </w:rPr>
              <w:t>机</w:t>
            </w:r>
            <w:r>
              <w:rPr>
                <w:rFonts w:ascii="宋体" w:hAnsi="宋体" w:cs="宋体" w:eastAsia="宋体" w:hint="default"/>
                <w:b/>
                <w:bCs/>
                <w:w w:val="100"/>
                <w:sz w:val="21"/>
                <w:szCs w:val="21"/>
              </w:rPr>
              <w:t> </w:t>
            </w:r>
            <w:r>
              <w:rPr>
                <w:rFonts w:ascii="宋体" w:hAnsi="宋体" w:cs="宋体" w:eastAsia="宋体" w:hint="default"/>
                <w:b/>
                <w:bCs/>
                <w:sz w:val="21"/>
                <w:szCs w:val="21"/>
              </w:rPr>
              <w:t>构</w:t>
            </w:r>
            <w:r>
              <w:rPr>
                <w:rFonts w:ascii="宋体" w:hAnsi="宋体" w:cs="宋体" w:eastAsia="宋体" w:hint="default"/>
                <w:sz w:val="21"/>
                <w:szCs w:val="21"/>
              </w:rPr>
            </w:r>
          </w:p>
          <w:p>
            <w:pPr>
              <w:pStyle w:val="TableParagraph"/>
              <w:spacing w:line="273" w:lineRule="auto" w:before="7"/>
              <w:ind w:left="115" w:right="86"/>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b/>
                <w:bCs/>
                <w:sz w:val="21"/>
                <w:szCs w:val="21"/>
              </w:rPr>
              <w:t>或</w:t>
            </w:r>
            <w:r>
              <w:rPr>
                <w:rFonts w:ascii="宋体" w:hAnsi="宋体" w:cs="宋体" w:eastAsia="宋体" w:hint="default"/>
                <w:b/>
                <w:bCs/>
                <w:w w:val="100"/>
                <w:sz w:val="21"/>
                <w:szCs w:val="21"/>
              </w:rPr>
              <w:t> </w:t>
            </w:r>
            <w:r>
              <w:rPr>
                <w:rFonts w:ascii="宋体" w:hAnsi="宋体" w:cs="宋体" w:eastAsia="宋体" w:hint="default"/>
                <w:b/>
                <w:bCs/>
                <w:sz w:val="21"/>
                <w:szCs w:val="21"/>
              </w:rPr>
              <w:t>受</w:t>
            </w:r>
            <w:r>
              <w:rPr>
                <w:rFonts w:ascii="宋体" w:hAnsi="宋体" w:cs="宋体" w:eastAsia="宋体" w:hint="default"/>
                <w:b/>
                <w:bCs/>
                <w:w w:val="100"/>
                <w:sz w:val="21"/>
                <w:szCs w:val="21"/>
              </w:rPr>
              <w:t> </w:t>
            </w:r>
            <w:r>
              <w:rPr>
                <w:rFonts w:ascii="宋体" w:hAnsi="宋体" w:cs="宋体" w:eastAsia="宋体" w:hint="default"/>
                <w:b/>
                <w:bCs/>
                <w:sz w:val="21"/>
                <w:szCs w:val="21"/>
              </w:rPr>
              <w:t>托</w:t>
            </w:r>
            <w:r>
              <w:rPr>
                <w:rFonts w:ascii="宋体" w:hAnsi="宋体" w:cs="宋体" w:eastAsia="宋体" w:hint="default"/>
                <w:sz w:val="21"/>
                <w:szCs w:val="21"/>
              </w:rPr>
            </w:r>
          </w:p>
          <w:p>
            <w:pPr>
              <w:pStyle w:val="TableParagraph"/>
              <w:spacing w:line="273" w:lineRule="auto" w:before="7"/>
              <w:ind w:left="115" w:right="-39" w:hanging="84"/>
              <w:jc w:val="left"/>
              <w:rPr>
                <w:rFonts w:ascii="宋体" w:hAnsi="宋体" w:cs="宋体" w:eastAsia="宋体" w:hint="default"/>
                <w:sz w:val="21"/>
                <w:szCs w:val="21"/>
              </w:rPr>
            </w:pPr>
            <w:r>
              <w:rPr>
                <w:rFonts w:ascii="宋体" w:hAnsi="宋体" w:cs="宋体" w:eastAsia="宋体" w:hint="default"/>
                <w:b/>
                <w:bCs/>
                <w:sz w:val="21"/>
                <w:szCs w:val="21"/>
              </w:rPr>
              <w:t>人）</w:t>
            </w:r>
            <w:r>
              <w:rPr>
                <w:rFonts w:ascii="宋体" w:hAnsi="宋体" w:cs="宋体" w:eastAsia="宋体" w:hint="default"/>
                <w:b/>
                <w:bCs/>
                <w:w w:val="100"/>
                <w:sz w:val="21"/>
                <w:szCs w:val="21"/>
              </w:rPr>
              <w:t> </w:t>
            </w:r>
            <w:r>
              <w:rPr>
                <w:rFonts w:ascii="宋体" w:hAnsi="宋体" w:cs="宋体" w:eastAsia="宋体" w:hint="default"/>
                <w:b/>
                <w:bCs/>
                <w:sz w:val="21"/>
                <w:szCs w:val="21"/>
              </w:rPr>
              <w:t>类</w:t>
            </w:r>
            <w:r>
              <w:rPr>
                <w:rFonts w:ascii="宋体" w:hAnsi="宋体" w:cs="宋体" w:eastAsia="宋体" w:hint="default"/>
                <w:b/>
                <w:bCs/>
                <w:w w:val="100"/>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3" w:lineRule="auto"/>
              <w:ind w:left="328" w:right="101" w:hanging="226"/>
              <w:jc w:val="left"/>
              <w:rPr>
                <w:rFonts w:ascii="宋体" w:hAnsi="宋体" w:cs="宋体" w:eastAsia="宋体" w:hint="default"/>
                <w:sz w:val="21"/>
                <w:szCs w:val="21"/>
              </w:rPr>
            </w:pPr>
            <w:r>
              <w:rPr>
                <w:rFonts w:ascii="宋体" w:hAnsi="宋体" w:cs="宋体" w:eastAsia="宋体" w:hint="default"/>
                <w:b/>
                <w:bCs/>
                <w:sz w:val="21"/>
                <w:szCs w:val="21"/>
              </w:rPr>
              <w:t>产品类</w:t>
            </w:r>
            <w:r>
              <w:rPr>
                <w:rFonts w:ascii="宋体" w:hAnsi="宋体" w:cs="宋体" w:eastAsia="宋体" w:hint="default"/>
                <w:b/>
                <w:bCs/>
                <w:w w:val="100"/>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5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3" w:lineRule="auto"/>
              <w:ind w:left="93" w:right="63" w:hanging="15"/>
              <w:jc w:val="left"/>
              <w:rPr>
                <w:rFonts w:ascii="宋体" w:hAnsi="宋体" w:cs="宋体" w:eastAsia="宋体" w:hint="default"/>
                <w:sz w:val="21"/>
                <w:szCs w:val="21"/>
              </w:rPr>
            </w:pPr>
            <w:r>
              <w:rPr>
                <w:rFonts w:ascii="宋体" w:hAnsi="宋体" w:cs="宋体" w:eastAsia="宋体" w:hint="default"/>
                <w:b/>
                <w:bCs/>
                <w:sz w:val="21"/>
                <w:szCs w:val="21"/>
              </w:rPr>
              <w:t>资金</w:t>
            </w:r>
            <w:r>
              <w:rPr>
                <w:rFonts w:ascii="宋体" w:hAnsi="宋体" w:cs="宋体" w:eastAsia="宋体" w:hint="default"/>
                <w:b/>
                <w:bCs/>
                <w:w w:val="100"/>
                <w:sz w:val="21"/>
                <w:szCs w:val="21"/>
              </w:rPr>
              <w:t> </w:t>
            </w:r>
            <w:r>
              <w:rPr>
                <w:rFonts w:ascii="宋体" w:hAnsi="宋体" w:cs="宋体" w:eastAsia="宋体" w:hint="default"/>
                <w:b/>
                <w:bCs/>
                <w:sz w:val="21"/>
                <w:szCs w:val="21"/>
              </w:rPr>
              <w:t>来源</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起始日期</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3" w:lineRule="auto"/>
              <w:ind w:left="328" w:right="101" w:hanging="226"/>
              <w:jc w:val="left"/>
              <w:rPr>
                <w:rFonts w:ascii="宋体" w:hAnsi="宋体" w:cs="宋体" w:eastAsia="宋体" w:hint="default"/>
                <w:sz w:val="21"/>
                <w:szCs w:val="21"/>
              </w:rPr>
            </w:pPr>
            <w:r>
              <w:rPr>
                <w:rFonts w:ascii="宋体" w:hAnsi="宋体" w:cs="宋体" w:eastAsia="宋体" w:hint="default"/>
                <w:b/>
                <w:bCs/>
                <w:sz w:val="21"/>
                <w:szCs w:val="21"/>
              </w:rPr>
              <w:t>终止日</w:t>
            </w:r>
            <w:r>
              <w:rPr>
                <w:rFonts w:ascii="宋体" w:hAnsi="宋体" w:cs="宋体" w:eastAsia="宋体" w:hint="default"/>
                <w:b/>
                <w:bCs/>
                <w:w w:val="100"/>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c>
          <w:tcPr>
            <w:tcW w:w="11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3" w:lineRule="auto"/>
              <w:ind w:left="359" w:right="359"/>
              <w:jc w:val="left"/>
              <w:rPr>
                <w:rFonts w:ascii="宋体" w:hAnsi="宋体" w:cs="宋体" w:eastAsia="宋体" w:hint="default"/>
                <w:sz w:val="21"/>
                <w:szCs w:val="21"/>
              </w:rPr>
            </w:pPr>
            <w:r>
              <w:rPr>
                <w:rFonts w:ascii="宋体" w:hAnsi="宋体" w:cs="宋体" w:eastAsia="宋体" w:hint="default"/>
                <w:b/>
                <w:bCs/>
                <w:sz w:val="21"/>
                <w:szCs w:val="21"/>
              </w:rPr>
              <w:t>资金</w:t>
            </w:r>
            <w:r>
              <w:rPr>
                <w:rFonts w:ascii="宋体" w:hAnsi="宋体" w:cs="宋体" w:eastAsia="宋体" w:hint="default"/>
                <w:b/>
                <w:bCs/>
                <w:w w:val="100"/>
                <w:sz w:val="21"/>
                <w:szCs w:val="21"/>
              </w:rPr>
              <w:t> </w:t>
            </w:r>
            <w:r>
              <w:rPr>
                <w:rFonts w:ascii="宋体" w:hAnsi="宋体" w:cs="宋体" w:eastAsia="宋体" w:hint="default"/>
                <w:b/>
                <w:bCs/>
                <w:sz w:val="21"/>
                <w:szCs w:val="21"/>
              </w:rPr>
              <w:t>投向</w:t>
            </w:r>
            <w:r>
              <w:rPr>
                <w:rFonts w:ascii="宋体" w:hAnsi="宋体" w:cs="宋体" w:eastAsia="宋体" w:hint="default"/>
                <w:sz w:val="21"/>
                <w:szCs w:val="21"/>
              </w:rPr>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3"/>
              <w:ind w:left="81" w:right="53" w:hanging="15"/>
              <w:jc w:val="both"/>
              <w:rPr>
                <w:rFonts w:ascii="宋体" w:hAnsi="宋体" w:cs="宋体" w:eastAsia="宋体" w:hint="default"/>
                <w:sz w:val="21"/>
                <w:szCs w:val="21"/>
              </w:rPr>
            </w:pPr>
            <w:r>
              <w:rPr>
                <w:rFonts w:ascii="宋体" w:hAnsi="宋体" w:cs="宋体" w:eastAsia="宋体" w:hint="default"/>
                <w:b/>
                <w:bCs/>
                <w:sz w:val="21"/>
                <w:szCs w:val="21"/>
              </w:rPr>
              <w:t>报酬</w:t>
            </w:r>
            <w:r>
              <w:rPr>
                <w:rFonts w:ascii="宋体" w:hAnsi="宋体" w:cs="宋体" w:eastAsia="宋体" w:hint="default"/>
                <w:b/>
                <w:bCs/>
                <w:w w:val="100"/>
                <w:sz w:val="21"/>
                <w:szCs w:val="21"/>
              </w:rPr>
              <w:t> </w:t>
            </w:r>
            <w:r>
              <w:rPr>
                <w:rFonts w:ascii="宋体" w:hAnsi="宋体" w:cs="宋体" w:eastAsia="宋体" w:hint="default"/>
                <w:b/>
                <w:bCs/>
                <w:sz w:val="21"/>
                <w:szCs w:val="21"/>
              </w:rPr>
              <w:t>确定</w:t>
            </w:r>
            <w:r>
              <w:rPr>
                <w:rFonts w:ascii="宋体" w:hAnsi="宋体" w:cs="宋体" w:eastAsia="宋体" w:hint="default"/>
                <w:b/>
                <w:bCs/>
                <w:w w:val="100"/>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3"/>
              <w:ind w:left="33" w:right="17" w:hanging="12"/>
              <w:jc w:val="center"/>
              <w:rPr>
                <w:rFonts w:ascii="宋体" w:hAnsi="宋体" w:cs="宋体" w:eastAsia="宋体" w:hint="default"/>
                <w:sz w:val="21"/>
                <w:szCs w:val="21"/>
              </w:rPr>
            </w:pPr>
            <w:r>
              <w:rPr>
                <w:rFonts w:ascii="宋体" w:hAnsi="宋体" w:cs="宋体" w:eastAsia="宋体" w:hint="default"/>
                <w:b/>
                <w:bCs/>
                <w:sz w:val="21"/>
                <w:szCs w:val="21"/>
              </w:rPr>
              <w:t>参考年</w:t>
            </w:r>
            <w:r>
              <w:rPr>
                <w:rFonts w:ascii="宋体" w:hAnsi="宋体" w:cs="宋体" w:eastAsia="宋体" w:hint="default"/>
                <w:b/>
                <w:bCs/>
                <w:w w:val="100"/>
                <w:sz w:val="21"/>
                <w:szCs w:val="21"/>
              </w:rPr>
              <w:t> </w:t>
            </w:r>
            <w:r>
              <w:rPr>
                <w:rFonts w:ascii="宋体" w:hAnsi="宋体" w:cs="宋体" w:eastAsia="宋体" w:hint="default"/>
                <w:b/>
                <w:bCs/>
                <w:sz w:val="21"/>
                <w:szCs w:val="21"/>
              </w:rPr>
              <w:t>化收益</w:t>
            </w:r>
            <w:r>
              <w:rPr>
                <w:rFonts w:ascii="宋体" w:hAnsi="宋体" w:cs="宋体" w:eastAsia="宋体" w:hint="default"/>
                <w:b/>
                <w:bCs/>
                <w:w w:val="100"/>
                <w:sz w:val="21"/>
                <w:szCs w:val="21"/>
              </w:rPr>
              <w:t> </w:t>
            </w:r>
            <w:r>
              <w:rPr>
                <w:rFonts w:ascii="宋体" w:hAnsi="宋体" w:cs="宋体" w:eastAsia="宋体" w:hint="default"/>
                <w:b/>
                <w:bCs/>
                <w:sz w:val="21"/>
                <w:szCs w:val="21"/>
              </w:rPr>
              <w:t>率</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3"/>
              <w:ind w:left="33" w:right="17" w:hanging="12"/>
              <w:jc w:val="center"/>
              <w:rPr>
                <w:rFonts w:ascii="宋体" w:hAnsi="宋体" w:cs="宋体" w:eastAsia="宋体" w:hint="default"/>
                <w:sz w:val="21"/>
                <w:szCs w:val="21"/>
              </w:rPr>
            </w:pPr>
            <w:r>
              <w:rPr>
                <w:rFonts w:ascii="宋体" w:hAnsi="宋体" w:cs="宋体" w:eastAsia="宋体" w:hint="default"/>
                <w:b/>
                <w:bCs/>
                <w:sz w:val="21"/>
                <w:szCs w:val="21"/>
              </w:rPr>
              <w:t>预期收</w:t>
            </w:r>
            <w:r>
              <w:rPr>
                <w:rFonts w:ascii="宋体" w:hAnsi="宋体" w:cs="宋体" w:eastAsia="宋体" w:hint="default"/>
                <w:b/>
                <w:bCs/>
                <w:w w:val="100"/>
                <w:sz w:val="21"/>
                <w:szCs w:val="21"/>
              </w:rPr>
              <w:t> </w:t>
            </w:r>
            <w:r>
              <w:rPr>
                <w:rFonts w:ascii="宋体" w:hAnsi="宋体" w:cs="宋体" w:eastAsia="宋体" w:hint="default"/>
                <w:b/>
                <w:bCs/>
                <w:sz w:val="21"/>
                <w:szCs w:val="21"/>
              </w:rPr>
              <w:t>益（如</w:t>
            </w:r>
            <w:r>
              <w:rPr>
                <w:rFonts w:ascii="宋体" w:hAnsi="宋体" w:cs="宋体" w:eastAsia="宋体" w:hint="default"/>
                <w:b/>
                <w:bCs/>
                <w:w w:val="100"/>
                <w:sz w:val="21"/>
                <w:szCs w:val="21"/>
              </w:rPr>
              <w:t> </w:t>
            </w:r>
            <w:r>
              <w:rPr>
                <w:rFonts w:ascii="宋体" w:hAnsi="宋体" w:cs="宋体" w:eastAsia="宋体" w:hint="default"/>
                <w:b/>
                <w:bCs/>
                <w:sz w:val="21"/>
                <w:szCs w:val="21"/>
              </w:rPr>
              <w:t>有</w:t>
            </w:r>
            <w:r>
              <w:rPr>
                <w:rFonts w:ascii="宋体" w:hAnsi="宋体" w:cs="宋体" w:eastAsia="宋体" w:hint="default"/>
                <w:sz w:val="21"/>
                <w:szCs w:val="21"/>
              </w:rPr>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73" w:lineRule="auto"/>
              <w:ind w:left="67" w:right="38"/>
              <w:jc w:val="both"/>
              <w:rPr>
                <w:rFonts w:ascii="宋体" w:hAnsi="宋体" w:cs="宋体" w:eastAsia="宋体" w:hint="default"/>
                <w:sz w:val="18"/>
                <w:szCs w:val="18"/>
              </w:rPr>
            </w:pPr>
            <w:r>
              <w:rPr>
                <w:rFonts w:ascii="宋体" w:hAnsi="宋体" w:cs="宋体" w:eastAsia="宋体" w:hint="default"/>
                <w:b/>
                <w:bCs/>
                <w:sz w:val="21"/>
                <w:szCs w:val="21"/>
              </w:rPr>
              <w:t>报告</w:t>
            </w:r>
            <w:r>
              <w:rPr>
                <w:rFonts w:ascii="宋体" w:hAnsi="宋体" w:cs="宋体" w:eastAsia="宋体" w:hint="default"/>
                <w:b/>
                <w:bCs/>
                <w:w w:val="100"/>
                <w:sz w:val="21"/>
                <w:szCs w:val="21"/>
              </w:rPr>
              <w:t> </w:t>
            </w:r>
            <w:r>
              <w:rPr>
                <w:rFonts w:ascii="宋体" w:hAnsi="宋体" w:cs="宋体" w:eastAsia="宋体" w:hint="default"/>
                <w:b/>
                <w:bCs/>
                <w:sz w:val="21"/>
                <w:szCs w:val="21"/>
              </w:rPr>
              <w:t>期实</w:t>
            </w:r>
            <w:r>
              <w:rPr>
                <w:rFonts w:ascii="宋体" w:hAnsi="宋体" w:cs="宋体" w:eastAsia="宋体" w:hint="default"/>
                <w:b/>
                <w:bCs/>
                <w:w w:val="100"/>
                <w:sz w:val="21"/>
                <w:szCs w:val="21"/>
              </w:rPr>
              <w:t> </w:t>
            </w:r>
            <w:r>
              <w:rPr>
                <w:rFonts w:ascii="宋体" w:hAnsi="宋体" w:cs="宋体" w:eastAsia="宋体" w:hint="default"/>
                <w:b/>
                <w:bCs/>
                <w:sz w:val="21"/>
                <w:szCs w:val="21"/>
              </w:rPr>
              <w:t>际损</w:t>
            </w:r>
            <w:r>
              <w:rPr>
                <w:rFonts w:ascii="宋体" w:hAnsi="宋体" w:cs="宋体" w:eastAsia="宋体" w:hint="default"/>
                <w:b/>
                <w:bCs/>
                <w:w w:val="100"/>
                <w:sz w:val="21"/>
                <w:szCs w:val="21"/>
              </w:rPr>
              <w:t> </w:t>
            </w:r>
            <w:r>
              <w:rPr>
                <w:rFonts w:ascii="宋体" w:hAnsi="宋体" w:cs="宋体" w:eastAsia="宋体" w:hint="default"/>
                <w:b/>
                <w:bCs/>
                <w:sz w:val="21"/>
                <w:szCs w:val="21"/>
              </w:rPr>
              <w:t>益金</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注</w:t>
            </w:r>
            <w:r>
              <w:rPr>
                <w:rFonts w:ascii="宋体" w:hAnsi="宋体" w:cs="宋体" w:eastAsia="宋体" w:hint="default"/>
                <w:sz w:val="18"/>
                <w:szCs w:val="18"/>
              </w:rPr>
            </w:r>
          </w:p>
          <w:p>
            <w:pPr>
              <w:pStyle w:val="TableParagraph"/>
              <w:spacing w:line="240" w:lineRule="auto" w:before="64"/>
              <w:ind w:left="29" w:right="0"/>
              <w:jc w:val="center"/>
              <w:rPr>
                <w:rFonts w:ascii="Times New Roman" w:hAnsi="Times New Roman" w:cs="Times New Roman" w:eastAsia="Times New Roman" w:hint="default"/>
                <w:sz w:val="18"/>
                <w:szCs w:val="18"/>
              </w:rPr>
            </w:pPr>
            <w:r>
              <w:rPr>
                <w:rFonts w:ascii="Times New Roman"/>
                <w:b/>
                <w:sz w:val="18"/>
              </w:rPr>
              <w:t>2]</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4"/>
              <w:ind w:left="100" w:right="72" w:firstLine="2"/>
              <w:jc w:val="both"/>
              <w:rPr>
                <w:rFonts w:ascii="宋体" w:hAnsi="宋体" w:cs="宋体" w:eastAsia="宋体" w:hint="default"/>
                <w:sz w:val="18"/>
                <w:szCs w:val="18"/>
              </w:rPr>
            </w:pPr>
            <w:r>
              <w:rPr>
                <w:rFonts w:ascii="宋体" w:hAnsi="宋体" w:cs="宋体" w:eastAsia="宋体" w:hint="default"/>
                <w:b/>
                <w:bCs/>
                <w:sz w:val="21"/>
                <w:szCs w:val="21"/>
              </w:rPr>
              <w:t>报</w:t>
            </w:r>
            <w:r>
              <w:rPr>
                <w:rFonts w:ascii="宋体" w:hAnsi="宋体" w:cs="宋体" w:eastAsia="宋体" w:hint="default"/>
                <w:b/>
                <w:bCs/>
                <w:w w:val="100"/>
                <w:sz w:val="21"/>
                <w:szCs w:val="21"/>
              </w:rPr>
              <w:t> </w:t>
            </w:r>
            <w:r>
              <w:rPr>
                <w:rFonts w:ascii="宋体" w:hAnsi="宋体" w:cs="宋体" w:eastAsia="宋体" w:hint="default"/>
                <w:b/>
                <w:bCs/>
                <w:sz w:val="21"/>
                <w:szCs w:val="21"/>
              </w:rPr>
              <w:t>告</w:t>
            </w:r>
            <w:r>
              <w:rPr>
                <w:rFonts w:ascii="宋体" w:hAnsi="宋体" w:cs="宋体" w:eastAsia="宋体" w:hint="default"/>
                <w:b/>
                <w:bCs/>
                <w:w w:val="100"/>
                <w:sz w:val="21"/>
                <w:szCs w:val="21"/>
              </w:rPr>
              <w:t> </w:t>
            </w:r>
            <w:r>
              <w:rPr>
                <w:rFonts w:ascii="宋体" w:hAnsi="宋体" w:cs="宋体" w:eastAsia="宋体" w:hint="default"/>
                <w:b/>
                <w:bCs/>
                <w:sz w:val="21"/>
                <w:szCs w:val="21"/>
              </w:rPr>
              <w:t>期</w:t>
            </w:r>
            <w:r>
              <w:rPr>
                <w:rFonts w:ascii="宋体" w:hAnsi="宋体" w:cs="宋体" w:eastAsia="宋体" w:hint="default"/>
                <w:b/>
                <w:bCs/>
                <w:w w:val="100"/>
                <w:sz w:val="21"/>
                <w:szCs w:val="21"/>
              </w:rPr>
              <w:t> </w:t>
            </w:r>
            <w:r>
              <w:rPr>
                <w:rFonts w:ascii="宋体" w:hAnsi="宋体" w:cs="宋体" w:eastAsia="宋体" w:hint="default"/>
                <w:b/>
                <w:bCs/>
                <w:sz w:val="21"/>
                <w:szCs w:val="21"/>
              </w:rPr>
              <w:t>损</w:t>
            </w:r>
            <w:r>
              <w:rPr>
                <w:rFonts w:ascii="宋体" w:hAnsi="宋体" w:cs="宋体" w:eastAsia="宋体" w:hint="default"/>
                <w:b/>
                <w:bCs/>
                <w:w w:val="100"/>
                <w:sz w:val="21"/>
                <w:szCs w:val="21"/>
              </w:rPr>
              <w:t> </w:t>
            </w:r>
            <w:r>
              <w:rPr>
                <w:rFonts w:ascii="宋体" w:hAnsi="宋体" w:cs="宋体" w:eastAsia="宋体" w:hint="default"/>
                <w:b/>
                <w:bCs/>
                <w:sz w:val="21"/>
                <w:szCs w:val="21"/>
              </w:rPr>
              <w:t>益</w:t>
            </w:r>
            <w:r>
              <w:rPr>
                <w:rFonts w:ascii="宋体" w:hAnsi="宋体" w:cs="宋体" w:eastAsia="宋体" w:hint="default"/>
                <w:b/>
                <w:bCs/>
                <w:w w:val="100"/>
                <w:sz w:val="21"/>
                <w:szCs w:val="21"/>
              </w:rPr>
              <w:t> </w:t>
            </w:r>
            <w:r>
              <w:rPr>
                <w:rFonts w:ascii="宋体" w:hAnsi="宋体" w:cs="宋体" w:eastAsia="宋体" w:hint="default"/>
                <w:b/>
                <w:bCs/>
                <w:sz w:val="21"/>
                <w:szCs w:val="21"/>
              </w:rPr>
              <w:t>实</w:t>
            </w:r>
            <w:r>
              <w:rPr>
                <w:rFonts w:ascii="宋体" w:hAnsi="宋体" w:cs="宋体" w:eastAsia="宋体" w:hint="default"/>
                <w:b/>
                <w:bCs/>
                <w:w w:val="100"/>
                <w:sz w:val="21"/>
                <w:szCs w:val="21"/>
              </w:rPr>
              <w:t> </w:t>
            </w:r>
            <w:r>
              <w:rPr>
                <w:rFonts w:ascii="宋体" w:hAnsi="宋体" w:cs="宋体" w:eastAsia="宋体" w:hint="default"/>
                <w:b/>
                <w:bCs/>
                <w:sz w:val="21"/>
                <w:szCs w:val="21"/>
              </w:rPr>
              <w:t>际</w:t>
            </w:r>
            <w:r>
              <w:rPr>
                <w:rFonts w:ascii="宋体" w:hAnsi="宋体" w:cs="宋体" w:eastAsia="宋体" w:hint="default"/>
                <w:b/>
                <w:bCs/>
                <w:w w:val="100"/>
                <w:sz w:val="21"/>
                <w:szCs w:val="21"/>
              </w:rPr>
              <w:t> </w:t>
            </w:r>
            <w:r>
              <w:rPr>
                <w:rFonts w:ascii="宋体" w:hAnsi="宋体" w:cs="宋体" w:eastAsia="宋体" w:hint="default"/>
                <w:b/>
                <w:bCs/>
                <w:sz w:val="21"/>
                <w:szCs w:val="21"/>
              </w:rPr>
              <w:t>收</w:t>
            </w:r>
            <w:r>
              <w:rPr>
                <w:rFonts w:ascii="宋体" w:hAnsi="宋体" w:cs="宋体" w:eastAsia="宋体" w:hint="default"/>
                <w:b/>
                <w:bCs/>
                <w:w w:val="100"/>
                <w:sz w:val="21"/>
                <w:szCs w:val="21"/>
              </w:rPr>
              <w:t> </w:t>
            </w:r>
            <w:r>
              <w:rPr>
                <w:rFonts w:ascii="宋体" w:hAnsi="宋体" w:cs="宋体" w:eastAsia="宋体" w:hint="default"/>
                <w:b/>
                <w:bCs/>
                <w:sz w:val="21"/>
                <w:szCs w:val="21"/>
              </w:rPr>
              <w:t>回</w:t>
            </w:r>
            <w:r>
              <w:rPr>
                <w:rFonts w:ascii="宋体" w:hAnsi="宋体" w:cs="宋体" w:eastAsia="宋体" w:hint="default"/>
                <w:b/>
                <w:bCs/>
                <w:w w:val="100"/>
                <w:sz w:val="21"/>
                <w:szCs w:val="21"/>
              </w:rPr>
              <w:t> </w:t>
            </w:r>
            <w:r>
              <w:rPr>
                <w:rFonts w:ascii="宋体" w:hAnsi="宋体" w:cs="宋体" w:eastAsia="宋体" w:hint="default"/>
                <w:b/>
                <w:bCs/>
                <w:sz w:val="21"/>
                <w:szCs w:val="21"/>
              </w:rPr>
              <w:t>情</w:t>
            </w:r>
            <w:r>
              <w:rPr>
                <w:rFonts w:ascii="宋体" w:hAnsi="宋体" w:cs="宋体" w:eastAsia="宋体" w:hint="default"/>
                <w:b/>
                <w:bCs/>
                <w:w w:val="100"/>
                <w:sz w:val="21"/>
                <w:szCs w:val="21"/>
              </w:rPr>
              <w:t> </w:t>
            </w:r>
            <w:r>
              <w:rPr>
                <w:rFonts w:ascii="宋体" w:hAnsi="宋体" w:cs="宋体" w:eastAsia="宋体" w:hint="default"/>
                <w:b/>
                <w:bCs/>
                <w:sz w:val="21"/>
                <w:szCs w:val="21"/>
              </w:rPr>
              <w:t>况</w:t>
            </w:r>
            <w:r>
              <w:rPr>
                <w:rFonts w:ascii="宋体" w:hAnsi="宋体" w:cs="宋体" w:eastAsia="宋体" w:hint="default"/>
                <w:b/>
                <w:bCs/>
                <w:w w:val="100"/>
                <w:sz w:val="21"/>
                <w:szCs w:val="21"/>
              </w:rPr>
              <w:t> </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注</w:t>
            </w:r>
            <w:r>
              <w:rPr>
                <w:rFonts w:ascii="宋体" w:hAnsi="宋体" w:cs="宋体" w:eastAsia="宋体" w:hint="default"/>
                <w:sz w:val="18"/>
                <w:szCs w:val="18"/>
              </w:rPr>
            </w:r>
          </w:p>
          <w:p>
            <w:pPr>
              <w:pStyle w:val="TableParagraph"/>
              <w:spacing w:line="240" w:lineRule="auto" w:before="82"/>
              <w:ind w:left="146" w:right="0"/>
              <w:jc w:val="both"/>
              <w:rPr>
                <w:rFonts w:ascii="Times New Roman" w:hAnsi="Times New Roman" w:cs="Times New Roman" w:eastAsia="Times New Roman" w:hint="default"/>
                <w:sz w:val="18"/>
                <w:szCs w:val="18"/>
              </w:rPr>
            </w:pPr>
            <w:r>
              <w:rPr>
                <w:rFonts w:ascii="Times New Roman"/>
                <w:b/>
                <w:sz w:val="18"/>
              </w:rPr>
              <w:t>1]</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1" w:right="171" w:hanging="27"/>
              <w:jc w:val="both"/>
              <w:rPr>
                <w:rFonts w:ascii="宋体" w:hAnsi="宋体" w:cs="宋体" w:eastAsia="宋体" w:hint="default"/>
                <w:sz w:val="21"/>
                <w:szCs w:val="21"/>
              </w:rPr>
            </w:pPr>
            <w:r>
              <w:rPr>
                <w:rFonts w:ascii="宋体" w:hAnsi="宋体" w:cs="宋体" w:eastAsia="宋体" w:hint="default"/>
                <w:b/>
                <w:bCs/>
                <w:sz w:val="21"/>
                <w:szCs w:val="21"/>
              </w:rPr>
              <w:t>计</w:t>
            </w:r>
            <w:r>
              <w:rPr>
                <w:rFonts w:ascii="宋体" w:hAnsi="宋体" w:cs="宋体" w:eastAsia="宋体" w:hint="default"/>
                <w:b/>
                <w:bCs/>
                <w:w w:val="100"/>
                <w:sz w:val="21"/>
                <w:szCs w:val="21"/>
              </w:rPr>
              <w:t> </w:t>
            </w:r>
            <w:r>
              <w:rPr>
                <w:rFonts w:ascii="宋体" w:hAnsi="宋体" w:cs="宋体" w:eastAsia="宋体" w:hint="default"/>
                <w:b/>
                <w:bCs/>
                <w:sz w:val="21"/>
                <w:szCs w:val="21"/>
              </w:rPr>
              <w:t>提</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宋体" w:hAnsi="宋体" w:cs="宋体" w:eastAsia="宋体" w:hint="default"/>
                <w:b/>
                <w:bCs/>
                <w:w w:val="100"/>
                <w:sz w:val="21"/>
                <w:szCs w:val="21"/>
              </w:rPr>
              <w:t> </w:t>
            </w:r>
            <w:r>
              <w:rPr>
                <w:rFonts w:ascii="宋体" w:hAnsi="宋体" w:cs="宋体" w:eastAsia="宋体" w:hint="default"/>
                <w:b/>
                <w:bCs/>
                <w:sz w:val="21"/>
                <w:szCs w:val="21"/>
              </w:rPr>
              <w:t>值</w:t>
            </w:r>
            <w:r>
              <w:rPr>
                <w:rFonts w:ascii="宋体" w:hAnsi="宋体" w:cs="宋体" w:eastAsia="宋体" w:hint="default"/>
                <w:b/>
                <w:bCs/>
                <w:w w:val="100"/>
                <w:sz w:val="21"/>
                <w:szCs w:val="21"/>
              </w:rPr>
              <w:t> </w:t>
            </w:r>
            <w:r>
              <w:rPr>
                <w:rFonts w:ascii="宋体" w:hAnsi="宋体" w:cs="宋体" w:eastAsia="宋体" w:hint="default"/>
                <w:b/>
                <w:bCs/>
                <w:sz w:val="21"/>
                <w:szCs w:val="21"/>
              </w:rPr>
              <w:t>准</w:t>
            </w:r>
            <w:r>
              <w:rPr>
                <w:rFonts w:ascii="宋体" w:hAnsi="宋体" w:cs="宋体" w:eastAsia="宋体" w:hint="default"/>
                <w:b/>
                <w:bCs/>
                <w:w w:val="100"/>
                <w:sz w:val="21"/>
                <w:szCs w:val="21"/>
              </w:rPr>
              <w:t> </w:t>
            </w:r>
            <w:r>
              <w:rPr>
                <w:rFonts w:ascii="宋体" w:hAnsi="宋体" w:cs="宋体" w:eastAsia="宋体" w:hint="default"/>
                <w:b/>
                <w:bCs/>
                <w:sz w:val="21"/>
                <w:szCs w:val="21"/>
              </w:rPr>
              <w:t>备</w:t>
            </w:r>
            <w:r>
              <w:rPr>
                <w:rFonts w:ascii="宋体" w:hAnsi="宋体" w:cs="宋体" w:eastAsia="宋体" w:hint="default"/>
                <w:b/>
                <w:bCs/>
                <w:w w:val="100"/>
                <w:sz w:val="21"/>
                <w:szCs w:val="21"/>
              </w:rPr>
              <w:t> </w:t>
            </w:r>
            <w:r>
              <w:rPr>
                <w:rFonts w:ascii="宋体" w:hAnsi="宋体" w:cs="宋体" w:eastAsia="宋体" w:hint="default"/>
                <w:b/>
                <w:bCs/>
                <w:sz w:val="21"/>
                <w:szCs w:val="21"/>
              </w:rPr>
              <w:t>金</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p>
            <w:pPr>
              <w:pStyle w:val="TableParagraph"/>
              <w:spacing w:line="273" w:lineRule="auto" w:before="7"/>
              <w:ind w:left="31" w:right="171"/>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b/>
                <w:bCs/>
                <w:sz w:val="21"/>
                <w:szCs w:val="21"/>
              </w:rPr>
              <w:t>如</w:t>
            </w:r>
            <w:r>
              <w:rPr>
                <w:rFonts w:ascii="宋体" w:hAnsi="宋体" w:cs="宋体" w:eastAsia="宋体" w:hint="default"/>
                <w:sz w:val="21"/>
                <w:szCs w:val="21"/>
              </w:rPr>
            </w:r>
          </w:p>
          <w:p>
            <w:pPr>
              <w:pStyle w:val="TableParagraph"/>
              <w:spacing w:line="240" w:lineRule="auto" w:before="8"/>
              <w:ind w:left="31" w:right="0"/>
              <w:jc w:val="both"/>
              <w:rPr>
                <w:rFonts w:ascii="宋体" w:hAnsi="宋体" w:cs="宋体" w:eastAsia="宋体" w:hint="default"/>
                <w:sz w:val="21"/>
                <w:szCs w:val="21"/>
              </w:rPr>
            </w:pPr>
            <w:r>
              <w:rPr>
                <w:rFonts w:ascii="宋体" w:hAnsi="宋体" w:cs="宋体" w:eastAsia="宋体" w:hint="default"/>
                <w:b/>
                <w:bCs/>
                <w:w w:val="100"/>
                <w:sz w:val="21"/>
                <w:szCs w:val="21"/>
              </w:rPr>
              <w:t>有）</w:t>
            </w:r>
            <w:r>
              <w:rPr>
                <w:rFonts w:ascii="宋体" w:hAnsi="宋体" w:cs="宋体" w:eastAsia="宋体" w:hint="default"/>
                <w:w w:val="100"/>
                <w:sz w:val="21"/>
                <w:szCs w:val="21"/>
              </w:rPr>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31" w:right="101" w:hanging="27"/>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经过</w:t>
            </w:r>
            <w:r>
              <w:rPr>
                <w:rFonts w:ascii="宋体" w:hAnsi="宋体" w:cs="宋体" w:eastAsia="宋体" w:hint="default"/>
                <w:b/>
                <w:bCs/>
                <w:w w:val="100"/>
                <w:sz w:val="21"/>
                <w:szCs w:val="21"/>
              </w:rPr>
              <w:t> </w:t>
            </w:r>
            <w:r>
              <w:rPr>
                <w:rFonts w:ascii="宋体" w:hAnsi="宋体" w:cs="宋体" w:eastAsia="宋体" w:hint="default"/>
                <w:b/>
                <w:bCs/>
                <w:sz w:val="21"/>
                <w:szCs w:val="21"/>
              </w:rPr>
              <w:t>法定</w:t>
            </w:r>
            <w:r>
              <w:rPr>
                <w:rFonts w:ascii="宋体" w:hAnsi="宋体" w:cs="宋体" w:eastAsia="宋体" w:hint="default"/>
                <w:b/>
                <w:bCs/>
                <w:w w:val="100"/>
                <w:sz w:val="21"/>
                <w:szCs w:val="21"/>
              </w:rPr>
              <w:t> </w:t>
            </w:r>
            <w:r>
              <w:rPr>
                <w:rFonts w:ascii="宋体" w:hAnsi="宋体" w:cs="宋体" w:eastAsia="宋体" w:hint="default"/>
                <w:b/>
                <w:bCs/>
                <w:sz w:val="21"/>
                <w:szCs w:val="21"/>
              </w:rPr>
              <w:t>程序</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4"/>
              <w:ind w:left="31" w:right="170" w:hanging="27"/>
              <w:jc w:val="both"/>
              <w:rPr>
                <w:rFonts w:ascii="宋体" w:hAnsi="宋体" w:cs="宋体" w:eastAsia="宋体" w:hint="default"/>
                <w:sz w:val="21"/>
                <w:szCs w:val="21"/>
              </w:rPr>
            </w:pPr>
            <w:r>
              <w:rPr>
                <w:rFonts w:ascii="宋体" w:hAnsi="宋体" w:cs="宋体" w:eastAsia="宋体" w:hint="default"/>
                <w:b/>
                <w:bCs/>
                <w:sz w:val="21"/>
                <w:szCs w:val="21"/>
              </w:rPr>
              <w:t>未</w:t>
            </w:r>
            <w:r>
              <w:rPr>
                <w:rFonts w:ascii="宋体" w:hAnsi="宋体" w:cs="宋体" w:eastAsia="宋体" w:hint="default"/>
                <w:b/>
                <w:bCs/>
                <w:w w:val="100"/>
                <w:sz w:val="21"/>
                <w:szCs w:val="21"/>
              </w:rPr>
              <w:t> </w:t>
            </w:r>
            <w:r>
              <w:rPr>
                <w:rFonts w:ascii="宋体" w:hAnsi="宋体" w:cs="宋体" w:eastAsia="宋体" w:hint="default"/>
                <w:b/>
                <w:bCs/>
                <w:sz w:val="21"/>
                <w:szCs w:val="21"/>
              </w:rPr>
              <w:t>来</w:t>
            </w:r>
            <w:r>
              <w:rPr>
                <w:rFonts w:ascii="宋体" w:hAnsi="宋体" w:cs="宋体" w:eastAsia="宋体" w:hint="default"/>
                <w:b/>
                <w:bCs/>
                <w:w w:val="100"/>
                <w:sz w:val="21"/>
                <w:szCs w:val="21"/>
              </w:rPr>
              <w:t> </w:t>
            </w:r>
            <w:r>
              <w:rPr>
                <w:rFonts w:ascii="宋体" w:hAnsi="宋体" w:cs="宋体" w:eastAsia="宋体" w:hint="default"/>
                <w:b/>
                <w:bCs/>
                <w:sz w:val="21"/>
                <w:szCs w:val="21"/>
              </w:rPr>
              <w:t>是</w:t>
            </w:r>
            <w:r>
              <w:rPr>
                <w:rFonts w:ascii="宋体" w:hAnsi="宋体" w:cs="宋体" w:eastAsia="宋体" w:hint="default"/>
                <w:b/>
                <w:bCs/>
                <w:w w:val="100"/>
                <w:sz w:val="21"/>
                <w:szCs w:val="21"/>
              </w:rPr>
              <w:t> </w:t>
            </w:r>
            <w:r>
              <w:rPr>
                <w:rFonts w:ascii="宋体" w:hAnsi="宋体" w:cs="宋体" w:eastAsia="宋体" w:hint="default"/>
                <w:b/>
                <w:bCs/>
                <w:sz w:val="21"/>
                <w:szCs w:val="21"/>
              </w:rPr>
              <w:t>否</w:t>
            </w:r>
            <w:r>
              <w:rPr>
                <w:rFonts w:ascii="宋体" w:hAnsi="宋体" w:cs="宋体" w:eastAsia="宋体" w:hint="default"/>
                <w:b/>
                <w:bCs/>
                <w:w w:val="100"/>
                <w:sz w:val="21"/>
                <w:szCs w:val="21"/>
              </w:rPr>
              <w:t> </w:t>
            </w:r>
            <w:r>
              <w:rPr>
                <w:rFonts w:ascii="宋体" w:hAnsi="宋体" w:cs="宋体" w:eastAsia="宋体" w:hint="default"/>
                <w:b/>
                <w:bCs/>
                <w:sz w:val="21"/>
                <w:szCs w:val="21"/>
              </w:rPr>
              <w:t>还</w:t>
            </w:r>
            <w:r>
              <w:rPr>
                <w:rFonts w:ascii="宋体" w:hAnsi="宋体" w:cs="宋体" w:eastAsia="宋体" w:hint="default"/>
                <w:b/>
                <w:bCs/>
                <w:w w:val="100"/>
                <w:sz w:val="21"/>
                <w:szCs w:val="21"/>
              </w:rPr>
              <w:t> </w:t>
            </w:r>
            <w:r>
              <w:rPr>
                <w:rFonts w:ascii="宋体" w:hAnsi="宋体" w:cs="宋体" w:eastAsia="宋体" w:hint="default"/>
                <w:b/>
                <w:bCs/>
                <w:sz w:val="21"/>
                <w:szCs w:val="21"/>
              </w:rPr>
              <w:t>有</w:t>
            </w:r>
            <w:r>
              <w:rPr>
                <w:rFonts w:ascii="宋体" w:hAnsi="宋体" w:cs="宋体" w:eastAsia="宋体" w:hint="default"/>
                <w:b/>
                <w:bCs/>
                <w:w w:val="100"/>
                <w:sz w:val="21"/>
                <w:szCs w:val="21"/>
              </w:rPr>
              <w:t> </w:t>
            </w:r>
            <w:r>
              <w:rPr>
                <w:rFonts w:ascii="宋体" w:hAnsi="宋体" w:cs="宋体" w:eastAsia="宋体" w:hint="default"/>
                <w:b/>
                <w:bCs/>
                <w:sz w:val="21"/>
                <w:szCs w:val="21"/>
              </w:rPr>
              <w:t>委</w:t>
            </w:r>
            <w:r>
              <w:rPr>
                <w:rFonts w:ascii="宋体" w:hAnsi="宋体" w:cs="宋体" w:eastAsia="宋体" w:hint="default"/>
                <w:b/>
                <w:bCs/>
                <w:w w:val="100"/>
                <w:sz w:val="21"/>
                <w:szCs w:val="21"/>
              </w:rPr>
              <w:t> </w:t>
            </w:r>
            <w:r>
              <w:rPr>
                <w:rFonts w:ascii="宋体" w:hAnsi="宋体" w:cs="宋体" w:eastAsia="宋体" w:hint="default"/>
                <w:b/>
                <w:bCs/>
                <w:sz w:val="21"/>
                <w:szCs w:val="21"/>
              </w:rPr>
              <w:t>托</w:t>
            </w:r>
            <w:r>
              <w:rPr>
                <w:rFonts w:ascii="宋体" w:hAnsi="宋体" w:cs="宋体" w:eastAsia="宋体" w:hint="default"/>
                <w:b/>
                <w:bCs/>
                <w:w w:val="100"/>
                <w:sz w:val="21"/>
                <w:szCs w:val="21"/>
              </w:rPr>
              <w:t> </w:t>
            </w:r>
            <w:r>
              <w:rPr>
                <w:rFonts w:ascii="宋体" w:hAnsi="宋体" w:cs="宋体" w:eastAsia="宋体" w:hint="default"/>
                <w:b/>
                <w:bCs/>
                <w:sz w:val="21"/>
                <w:szCs w:val="21"/>
              </w:rPr>
              <w:t>理</w:t>
            </w:r>
            <w:r>
              <w:rPr>
                <w:rFonts w:ascii="宋体" w:hAnsi="宋体" w:cs="宋体" w:eastAsia="宋体" w:hint="default"/>
                <w:b/>
                <w:bCs/>
                <w:w w:val="100"/>
                <w:sz w:val="21"/>
                <w:szCs w:val="21"/>
              </w:rPr>
              <w:t> </w:t>
            </w:r>
            <w:r>
              <w:rPr>
                <w:rFonts w:ascii="宋体" w:hAnsi="宋体" w:cs="宋体" w:eastAsia="宋体" w:hint="default"/>
                <w:b/>
                <w:bCs/>
                <w:sz w:val="21"/>
                <w:szCs w:val="21"/>
              </w:rPr>
              <w:t>财</w:t>
            </w:r>
            <w:r>
              <w:rPr>
                <w:rFonts w:ascii="宋体" w:hAnsi="宋体" w:cs="宋体" w:eastAsia="宋体" w:hint="default"/>
                <w:b/>
                <w:bCs/>
                <w:w w:val="100"/>
                <w:sz w:val="21"/>
                <w:szCs w:val="21"/>
              </w:rPr>
              <w:t> </w:t>
            </w:r>
            <w:r>
              <w:rPr>
                <w:rFonts w:ascii="宋体" w:hAnsi="宋体" w:cs="宋体" w:eastAsia="宋体" w:hint="default"/>
                <w:b/>
                <w:bCs/>
                <w:sz w:val="21"/>
                <w:szCs w:val="21"/>
              </w:rPr>
              <w:t>计</w:t>
            </w:r>
            <w:r>
              <w:rPr>
                <w:rFonts w:ascii="宋体" w:hAnsi="宋体" w:cs="宋体" w:eastAsia="宋体" w:hint="default"/>
                <w:b/>
                <w:bCs/>
                <w:w w:val="100"/>
                <w:sz w:val="21"/>
                <w:szCs w:val="21"/>
              </w:rPr>
              <w:t> </w:t>
            </w:r>
            <w:r>
              <w:rPr>
                <w:rFonts w:ascii="宋体" w:hAnsi="宋体" w:cs="宋体" w:eastAsia="宋体" w:hint="default"/>
                <w:b/>
                <w:bCs/>
                <w:sz w:val="21"/>
                <w:szCs w:val="21"/>
              </w:rPr>
              <w:t>划</w:t>
            </w:r>
            <w:r>
              <w:rPr>
                <w:rFonts w:ascii="宋体" w:hAnsi="宋体" w:cs="宋体" w:eastAsia="宋体" w:hint="default"/>
                <w:sz w:val="21"/>
                <w:szCs w:val="21"/>
              </w:rPr>
            </w:r>
          </w:p>
        </w:tc>
        <w:tc>
          <w:tcPr>
            <w:tcW w:w="4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31" w:right="173" w:hanging="27"/>
              <w:jc w:val="both"/>
              <w:rPr>
                <w:rFonts w:ascii="宋体" w:hAnsi="宋体" w:cs="宋体" w:eastAsia="宋体" w:hint="default"/>
                <w:sz w:val="21"/>
                <w:szCs w:val="21"/>
              </w:rPr>
            </w:pPr>
            <w:r>
              <w:rPr>
                <w:rFonts w:ascii="宋体" w:hAnsi="宋体" w:cs="宋体" w:eastAsia="宋体" w:hint="default"/>
                <w:b/>
                <w:bCs/>
                <w:sz w:val="21"/>
                <w:szCs w:val="21"/>
              </w:rPr>
              <w:t>事</w:t>
            </w:r>
            <w:r>
              <w:rPr>
                <w:rFonts w:ascii="宋体" w:hAnsi="宋体" w:cs="宋体" w:eastAsia="宋体" w:hint="default"/>
                <w:b/>
                <w:bCs/>
                <w:w w:val="100"/>
                <w:sz w:val="21"/>
                <w:szCs w:val="21"/>
              </w:rPr>
              <w:t> </w:t>
            </w:r>
            <w:r>
              <w:rPr>
                <w:rFonts w:ascii="宋体" w:hAnsi="宋体" w:cs="宋体" w:eastAsia="宋体" w:hint="default"/>
                <w:b/>
                <w:bCs/>
                <w:sz w:val="21"/>
                <w:szCs w:val="21"/>
              </w:rPr>
              <w:t>项</w:t>
            </w:r>
            <w:r>
              <w:rPr>
                <w:rFonts w:ascii="宋体" w:hAnsi="宋体" w:cs="宋体" w:eastAsia="宋体" w:hint="default"/>
                <w:b/>
                <w:bCs/>
                <w:w w:val="100"/>
                <w:sz w:val="21"/>
                <w:szCs w:val="21"/>
              </w:rPr>
              <w:t> </w:t>
            </w:r>
            <w:r>
              <w:rPr>
                <w:rFonts w:ascii="宋体" w:hAnsi="宋体" w:cs="宋体" w:eastAsia="宋体" w:hint="default"/>
                <w:b/>
                <w:bCs/>
                <w:sz w:val="21"/>
                <w:szCs w:val="21"/>
              </w:rPr>
              <w:t>概</w:t>
            </w:r>
            <w:r>
              <w:rPr>
                <w:rFonts w:ascii="宋体" w:hAnsi="宋体" w:cs="宋体" w:eastAsia="宋体" w:hint="default"/>
                <w:b/>
                <w:bCs/>
                <w:w w:val="100"/>
                <w:sz w:val="21"/>
                <w:szCs w:val="21"/>
              </w:rPr>
              <w:t> </w:t>
            </w:r>
            <w:r>
              <w:rPr>
                <w:rFonts w:ascii="宋体" w:hAnsi="宋体" w:cs="宋体" w:eastAsia="宋体" w:hint="default"/>
                <w:b/>
                <w:bCs/>
                <w:sz w:val="21"/>
                <w:szCs w:val="21"/>
              </w:rPr>
              <w:t>述</w:t>
            </w:r>
            <w:r>
              <w:rPr>
                <w:rFonts w:ascii="宋体" w:hAnsi="宋体" w:cs="宋体" w:eastAsia="宋体" w:hint="default"/>
                <w:b/>
                <w:bCs/>
                <w:w w:val="100"/>
                <w:sz w:val="21"/>
                <w:szCs w:val="21"/>
              </w:rPr>
              <w:t> </w:t>
            </w:r>
            <w:r>
              <w:rPr>
                <w:rFonts w:ascii="宋体" w:hAnsi="宋体" w:cs="宋体" w:eastAsia="宋体" w:hint="default"/>
                <w:b/>
                <w:bCs/>
                <w:sz w:val="21"/>
                <w:szCs w:val="21"/>
              </w:rPr>
              <w:t>及</w:t>
            </w:r>
            <w:r>
              <w:rPr>
                <w:rFonts w:ascii="宋体" w:hAnsi="宋体" w:cs="宋体" w:eastAsia="宋体" w:hint="default"/>
                <w:b/>
                <w:bCs/>
                <w:w w:val="100"/>
                <w:sz w:val="21"/>
                <w:szCs w:val="21"/>
              </w:rPr>
              <w:t> </w:t>
            </w:r>
            <w:r>
              <w:rPr>
                <w:rFonts w:ascii="宋体" w:hAnsi="宋体" w:cs="宋体" w:eastAsia="宋体" w:hint="default"/>
                <w:b/>
                <w:bCs/>
                <w:sz w:val="21"/>
                <w:szCs w:val="21"/>
              </w:rPr>
              <w:t>相</w:t>
            </w:r>
            <w:r>
              <w:rPr>
                <w:rFonts w:ascii="宋体" w:hAnsi="宋体" w:cs="宋体" w:eastAsia="宋体" w:hint="default"/>
                <w:b/>
                <w:bCs/>
                <w:w w:val="100"/>
                <w:sz w:val="21"/>
                <w:szCs w:val="21"/>
              </w:rPr>
              <w:t> </w:t>
            </w:r>
            <w:r>
              <w:rPr>
                <w:rFonts w:ascii="宋体" w:hAnsi="宋体" w:cs="宋体" w:eastAsia="宋体" w:hint="default"/>
                <w:b/>
                <w:bCs/>
                <w:sz w:val="21"/>
                <w:szCs w:val="21"/>
              </w:rPr>
              <w:t>关</w:t>
            </w:r>
            <w:r>
              <w:rPr>
                <w:rFonts w:ascii="宋体" w:hAnsi="宋体" w:cs="宋体" w:eastAsia="宋体" w:hint="default"/>
                <w:b/>
                <w:bCs/>
                <w:w w:val="100"/>
                <w:sz w:val="21"/>
                <w:szCs w:val="21"/>
              </w:rPr>
              <w:t> </w:t>
            </w:r>
            <w:r>
              <w:rPr>
                <w:rFonts w:ascii="宋体" w:hAnsi="宋体" w:cs="宋体" w:eastAsia="宋体" w:hint="default"/>
                <w:b/>
                <w:bCs/>
                <w:sz w:val="21"/>
                <w:szCs w:val="21"/>
              </w:rPr>
              <w:t>查</w:t>
            </w:r>
            <w:r>
              <w:rPr>
                <w:rFonts w:ascii="宋体" w:hAnsi="宋体" w:cs="宋体" w:eastAsia="宋体" w:hint="default"/>
                <w:b/>
                <w:bCs/>
                <w:w w:val="100"/>
                <w:sz w:val="21"/>
                <w:szCs w:val="21"/>
              </w:rPr>
              <w:t> </w:t>
            </w:r>
            <w:r>
              <w:rPr>
                <w:rFonts w:ascii="宋体" w:hAnsi="宋体" w:cs="宋体" w:eastAsia="宋体" w:hint="default"/>
                <w:b/>
                <w:bCs/>
                <w:sz w:val="21"/>
                <w:szCs w:val="21"/>
              </w:rPr>
              <w:t>询</w:t>
            </w:r>
            <w:r>
              <w:rPr>
                <w:rFonts w:ascii="宋体" w:hAnsi="宋体" w:cs="宋体" w:eastAsia="宋体" w:hint="default"/>
                <w:b/>
                <w:bCs/>
                <w:w w:val="100"/>
                <w:sz w:val="21"/>
                <w:szCs w:val="21"/>
              </w:rPr>
              <w:t> </w:t>
            </w:r>
            <w:r>
              <w:rPr>
                <w:rFonts w:ascii="宋体" w:hAnsi="宋体" w:cs="宋体" w:eastAsia="宋体" w:hint="default"/>
                <w:b/>
                <w:bCs/>
                <w:sz w:val="21"/>
                <w:szCs w:val="21"/>
              </w:rPr>
              <w:t>索</w:t>
            </w:r>
            <w:r>
              <w:rPr>
                <w:rFonts w:ascii="宋体" w:hAnsi="宋体" w:cs="宋体" w:eastAsia="宋体" w:hint="default"/>
                <w:b/>
                <w:bCs/>
                <w:w w:val="100"/>
                <w:sz w:val="21"/>
                <w:szCs w:val="21"/>
              </w:rPr>
              <w:t> </w:t>
            </w:r>
            <w:r>
              <w:rPr>
                <w:rFonts w:ascii="宋体" w:hAnsi="宋体" w:cs="宋体" w:eastAsia="宋体" w:hint="default"/>
                <w:b/>
                <w:bCs/>
                <w:sz w:val="21"/>
                <w:szCs w:val="21"/>
              </w:rPr>
              <w:t>引</w:t>
            </w:r>
            <w:r>
              <w:rPr>
                <w:rFonts w:ascii="宋体" w:hAnsi="宋体" w:cs="宋体" w:eastAsia="宋体" w:hint="default"/>
                <w:sz w:val="21"/>
                <w:szCs w:val="21"/>
              </w:rPr>
            </w:r>
          </w:p>
          <w:p>
            <w:pPr>
              <w:pStyle w:val="TableParagraph"/>
              <w:spacing w:line="273" w:lineRule="auto" w:before="7"/>
              <w:ind w:left="31" w:right="173"/>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b/>
                <w:bCs/>
                <w:sz w:val="21"/>
                <w:szCs w:val="21"/>
              </w:rPr>
              <w:t>如</w:t>
            </w:r>
            <w:r>
              <w:rPr>
                <w:rFonts w:ascii="宋体" w:hAnsi="宋体" w:cs="宋体" w:eastAsia="宋体" w:hint="default"/>
                <w:sz w:val="21"/>
                <w:szCs w:val="21"/>
              </w:rPr>
            </w:r>
          </w:p>
          <w:p>
            <w:pPr>
              <w:pStyle w:val="TableParagraph"/>
              <w:spacing w:line="240" w:lineRule="auto" w:before="7"/>
              <w:ind w:left="31" w:right="0"/>
              <w:jc w:val="both"/>
              <w:rPr>
                <w:rFonts w:ascii="宋体" w:hAnsi="宋体" w:cs="宋体" w:eastAsia="宋体" w:hint="default"/>
                <w:sz w:val="21"/>
                <w:szCs w:val="21"/>
              </w:rPr>
            </w:pPr>
            <w:r>
              <w:rPr>
                <w:rFonts w:ascii="宋体" w:hAnsi="宋体" w:cs="宋体" w:eastAsia="宋体" w:hint="default"/>
                <w:b/>
                <w:bCs/>
                <w:w w:val="100"/>
                <w:sz w:val="21"/>
                <w:szCs w:val="21"/>
              </w:rPr>
              <w:t>有）</w:t>
            </w:r>
            <w:r>
              <w:rPr>
                <w:rFonts w:ascii="宋体" w:hAnsi="宋体" w:cs="宋体" w:eastAsia="宋体" w:hint="default"/>
                <w:w w:val="100"/>
                <w:sz w:val="21"/>
                <w:szCs w:val="21"/>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广发银行 北京海淀 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70"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hanging="22"/>
              <w:jc w:val="left"/>
              <w:rPr>
                <w:rFonts w:ascii="宋体" w:hAnsi="宋体" w:cs="宋体" w:eastAsia="宋体" w:hint="default"/>
                <w:sz w:val="18"/>
                <w:szCs w:val="18"/>
              </w:rPr>
            </w:pPr>
            <w:r>
              <w:rPr>
                <w:rFonts w:ascii="宋体" w:hAnsi="宋体" w:cs="宋体" w:eastAsia="宋体" w:hint="default"/>
                <w:sz w:val="18"/>
                <w:szCs w:val="18"/>
              </w:rPr>
              <w:t>货币市场工 具、债券等金 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z w:val="18"/>
              </w:rPr>
              <w:t>3.25%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43.63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41.16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6" w:hanging="22"/>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广发银行 北京海淀 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70"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hanging="22"/>
              <w:jc w:val="left"/>
              <w:rPr>
                <w:rFonts w:ascii="宋体" w:hAnsi="宋体" w:cs="宋体" w:eastAsia="宋体" w:hint="default"/>
                <w:sz w:val="18"/>
                <w:szCs w:val="18"/>
              </w:rPr>
            </w:pPr>
            <w:r>
              <w:rPr>
                <w:rFonts w:ascii="宋体" w:hAnsi="宋体" w:cs="宋体" w:eastAsia="宋体" w:hint="default"/>
                <w:sz w:val="18"/>
                <w:szCs w:val="18"/>
              </w:rPr>
              <w:t>货币市场工 具、债券等金 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z w:val="18"/>
              </w:rPr>
              <w:t>3.25%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43.63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41.16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北京银行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 w:right="0"/>
              <w:jc w:val="left"/>
              <w:rPr>
                <w:rFonts w:ascii="宋体" w:hAnsi="宋体" w:cs="宋体" w:eastAsia="宋体" w:hint="default"/>
                <w:sz w:val="18"/>
                <w:szCs w:val="18"/>
              </w:rPr>
            </w:pPr>
            <w:r>
              <w:rPr>
                <w:rFonts w:ascii="宋体" w:hAnsi="宋体" w:cs="宋体" w:eastAsia="宋体" w:hint="default"/>
                <w:sz w:val="18"/>
                <w:szCs w:val="18"/>
              </w:rPr>
              <w:t>保本保证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0"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固定收益类金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合同约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36.99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34.90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全额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220" w:right="220"/>
        </w:sectPr>
      </w:pPr>
    </w:p>
    <w:p>
      <w:pPr>
        <w:spacing w:line="240" w:lineRule="auto" w:before="11"/>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852"/>
        <w:gridCol w:w="425"/>
        <w:gridCol w:w="850"/>
        <w:gridCol w:w="710"/>
        <w:gridCol w:w="591"/>
        <w:gridCol w:w="991"/>
        <w:gridCol w:w="850"/>
        <w:gridCol w:w="1152"/>
        <w:gridCol w:w="569"/>
        <w:gridCol w:w="709"/>
        <w:gridCol w:w="708"/>
        <w:gridCol w:w="569"/>
        <w:gridCol w:w="425"/>
        <w:gridCol w:w="425"/>
        <w:gridCol w:w="566"/>
        <w:gridCol w:w="425"/>
        <w:gridCol w:w="427"/>
      </w:tblGrid>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中关村科 技园区支 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收益型</w:t>
            </w:r>
          </w:p>
        </w:tc>
        <w:tc>
          <w:tcPr>
            <w:tcW w:w="710"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35"/>
              <w:jc w:val="left"/>
              <w:rPr>
                <w:rFonts w:ascii="宋体" w:hAnsi="宋体" w:cs="宋体" w:eastAsia="宋体" w:hint="default"/>
                <w:sz w:val="18"/>
                <w:szCs w:val="18"/>
              </w:rPr>
            </w:pPr>
            <w:r>
              <w:rPr>
                <w:rFonts w:ascii="宋体" w:hAnsi="宋体" w:cs="宋体" w:eastAsia="宋体" w:hint="default"/>
                <w:sz w:val="18"/>
                <w:szCs w:val="18"/>
              </w:rPr>
              <w:t>融工具、现金 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 w:right="0"/>
              <w:jc w:val="left"/>
              <w:rPr>
                <w:rFonts w:ascii="宋体" w:hAnsi="宋体" w:cs="宋体" w:eastAsia="宋体" w:hint="default"/>
                <w:sz w:val="18"/>
                <w:szCs w:val="18"/>
              </w:rPr>
            </w:pPr>
            <w:r>
              <w:rPr>
                <w:rFonts w:ascii="宋体" w:hAnsi="宋体" w:cs="宋体" w:eastAsia="宋体" w:hint="default"/>
                <w:sz w:val="18"/>
                <w:szCs w:val="18"/>
              </w:rPr>
              <w:t>收回</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北京银行 双秀支行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70" w:right="0"/>
              <w:jc w:val="left"/>
              <w:rPr>
                <w:rFonts w:ascii="Times New Roman" w:hAnsi="Times New Roman" w:cs="Times New Roman" w:eastAsia="Times New Roman" w:hint="default"/>
                <w:sz w:val="18"/>
                <w:szCs w:val="18"/>
              </w:rPr>
            </w:pPr>
            <w:r>
              <w:rPr>
                <w:rFonts w:ascii="Times New Roman"/>
                <w:sz w:val="18"/>
              </w:rPr>
              <w:t>7000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hanging="22"/>
              <w:jc w:val="both"/>
              <w:rPr>
                <w:rFonts w:ascii="宋体" w:hAnsi="宋体" w:cs="宋体" w:eastAsia="宋体" w:hint="default"/>
                <w:sz w:val="18"/>
                <w:szCs w:val="18"/>
              </w:rPr>
            </w:pPr>
            <w:r>
              <w:rPr>
                <w:rFonts w:ascii="宋体" w:hAnsi="宋体" w:cs="宋体" w:eastAsia="宋体" w:hint="default"/>
                <w:sz w:val="18"/>
                <w:szCs w:val="18"/>
              </w:rPr>
              <w:t>固定收益类金 融工具、现金 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54.08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51.02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8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广发银行 北京海淀 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70" w:right="0"/>
              <w:jc w:val="left"/>
              <w:rPr>
                <w:rFonts w:ascii="Times New Roman" w:hAnsi="Times New Roman" w:cs="Times New Roman" w:eastAsia="Times New Roman" w:hint="default"/>
                <w:sz w:val="18"/>
                <w:szCs w:val="18"/>
              </w:rPr>
            </w:pPr>
            <w:r>
              <w:rPr>
                <w:rFonts w:ascii="Times New Roman"/>
                <w:sz w:val="18"/>
              </w:rPr>
              <w:t>4000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hanging="22"/>
              <w:jc w:val="left"/>
              <w:rPr>
                <w:rFonts w:ascii="宋体" w:hAnsi="宋体" w:cs="宋体" w:eastAsia="宋体" w:hint="default"/>
                <w:sz w:val="18"/>
                <w:szCs w:val="18"/>
              </w:rPr>
            </w:pPr>
            <w:r>
              <w:rPr>
                <w:rFonts w:ascii="宋体" w:hAnsi="宋体" w:cs="宋体" w:eastAsia="宋体" w:hint="default"/>
                <w:sz w:val="18"/>
                <w:szCs w:val="18"/>
              </w:rPr>
              <w:t>货币市场工 具、债券等金 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3.40%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35.77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33.75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8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6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96"/>
              <w:jc w:val="left"/>
              <w:rPr>
                <w:rFonts w:ascii="宋体" w:hAnsi="宋体" w:cs="宋体" w:eastAsia="宋体" w:hint="default"/>
                <w:sz w:val="18"/>
                <w:szCs w:val="18"/>
              </w:rPr>
            </w:pPr>
            <w:r>
              <w:rPr>
                <w:rFonts w:ascii="宋体" w:hAnsi="宋体" w:cs="宋体" w:eastAsia="宋体" w:hint="default"/>
                <w:sz w:val="18"/>
                <w:szCs w:val="18"/>
              </w:rPr>
              <w:t>招商银行 望京支行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60" w:right="57" w:hanging="101"/>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70" w:right="0"/>
              <w:jc w:val="left"/>
              <w:rPr>
                <w:rFonts w:ascii="Times New Roman" w:hAnsi="Times New Roman" w:cs="Times New Roman" w:eastAsia="Times New Roman" w:hint="default"/>
                <w:sz w:val="18"/>
                <w:szCs w:val="18"/>
              </w:rPr>
            </w:pPr>
            <w:r>
              <w:rPr>
                <w:rFonts w:ascii="Times New Roman"/>
                <w:sz w:val="18"/>
              </w:rPr>
              <w:t>3000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11" w:right="17" w:hanging="19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10"/>
              <w:ind w:left="26" w:right="-48" w:hanging="22"/>
              <w:jc w:val="left"/>
              <w:rPr>
                <w:rFonts w:ascii="宋体" w:hAnsi="宋体" w:cs="宋体" w:eastAsia="宋体" w:hint="default"/>
                <w:sz w:val="18"/>
                <w:szCs w:val="18"/>
              </w:rPr>
            </w:pPr>
            <w:r>
              <w:rPr>
                <w:rFonts w:ascii="宋体" w:hAnsi="宋体" w:cs="宋体" w:eastAsia="宋体" w:hint="default"/>
                <w:sz w:val="18"/>
                <w:szCs w:val="18"/>
              </w:rPr>
              <w:t>债权资产、资 金拆借及逆回 </w:t>
            </w:r>
            <w:r>
              <w:rPr>
                <w:rFonts w:ascii="宋体" w:hAnsi="宋体" w:cs="宋体" w:eastAsia="宋体" w:hint="default"/>
                <w:spacing w:val="-16"/>
                <w:sz w:val="18"/>
                <w:szCs w:val="18"/>
              </w:rPr>
              <w:t>购、银行存款、</w:t>
            </w:r>
            <w:r>
              <w:rPr>
                <w:rFonts w:ascii="宋体" w:hAnsi="宋体" w:cs="宋体" w:eastAsia="宋体" w:hint="default"/>
                <w:spacing w:val="-51"/>
                <w:sz w:val="18"/>
                <w:szCs w:val="18"/>
              </w:rPr>
              <w:t> </w:t>
            </w:r>
            <w:r>
              <w:rPr>
                <w:rFonts w:ascii="宋体" w:hAnsi="宋体" w:cs="宋体" w:eastAsia="宋体" w:hint="default"/>
                <w:sz w:val="18"/>
                <w:szCs w:val="18"/>
              </w:rPr>
              <w:t>其他资产</w:t>
            </w:r>
          </w:p>
        </w:tc>
        <w:tc>
          <w:tcPr>
            <w:tcW w:w="5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4"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2" w:lineRule="exact"/>
              <w:ind w:left="12"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5.6pt;height:15.6pt;mso-position-horizontal-relative:char;mso-position-vertical-relative:line" coordorigin="0,0" coordsize="512,312">
                  <v:group style="position:absolute;left:0;top:0;width:512;height:312" coordorigin="0,0" coordsize="512,312">
                    <v:shape style="position:absolute;left:0;top:0;width:512;height:312" coordorigin="0,0" coordsize="512,312" path="m0,312l511,312,511,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z w:val="18"/>
              </w:rPr>
              <w:t>2.95%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43.89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41.41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w:t>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广发银行 北京海淀 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70"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hanging="22"/>
              <w:jc w:val="left"/>
              <w:rPr>
                <w:rFonts w:ascii="宋体" w:hAnsi="宋体" w:cs="宋体" w:eastAsia="宋体" w:hint="default"/>
                <w:sz w:val="18"/>
                <w:szCs w:val="18"/>
              </w:rPr>
            </w:pPr>
            <w:r>
              <w:rPr>
                <w:rFonts w:ascii="宋体" w:hAnsi="宋体" w:cs="宋体" w:eastAsia="宋体" w:hint="default"/>
                <w:sz w:val="18"/>
                <w:szCs w:val="18"/>
              </w:rPr>
              <w:t>货币市场工 具、债券等金 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3.85%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47.47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44.78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8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广发银行 北京海淀 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70"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hanging="22"/>
              <w:jc w:val="left"/>
              <w:rPr>
                <w:rFonts w:ascii="宋体" w:hAnsi="宋体" w:cs="宋体" w:eastAsia="宋体" w:hint="default"/>
                <w:sz w:val="18"/>
                <w:szCs w:val="18"/>
              </w:rPr>
            </w:pPr>
            <w:r>
              <w:rPr>
                <w:rFonts w:ascii="宋体" w:hAnsi="宋体" w:cs="宋体" w:eastAsia="宋体" w:hint="default"/>
                <w:sz w:val="18"/>
                <w:szCs w:val="18"/>
              </w:rPr>
              <w:t>货币市场工 具、债券等金 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3.95%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48.70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45.94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8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北京银行 中关村科 技园区支 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60" w:right="57" w:hanging="101"/>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70" w:right="0"/>
              <w:jc w:val="left"/>
              <w:rPr>
                <w:rFonts w:ascii="Times New Roman" w:hAnsi="Times New Roman" w:cs="Times New Roman" w:eastAsia="Times New Roman" w:hint="default"/>
                <w:sz w:val="18"/>
                <w:szCs w:val="18"/>
              </w:rPr>
            </w:pPr>
            <w:r>
              <w:rPr>
                <w:rFonts w:ascii="Times New Roman"/>
                <w:sz w:val="18"/>
              </w:rPr>
              <w:t>2000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11" w:right="17" w:hanging="19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5" w:hanging="22"/>
              <w:jc w:val="both"/>
              <w:rPr>
                <w:rFonts w:ascii="宋体" w:hAnsi="宋体" w:cs="宋体" w:eastAsia="宋体" w:hint="default"/>
                <w:sz w:val="18"/>
                <w:szCs w:val="18"/>
              </w:rPr>
            </w:pPr>
            <w:r>
              <w:rPr>
                <w:rFonts w:ascii="宋体" w:hAnsi="宋体" w:cs="宋体" w:eastAsia="宋体" w:hint="default"/>
                <w:sz w:val="18"/>
                <w:szCs w:val="18"/>
              </w:rPr>
              <w:t>固定收益类金 融工具、现金 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5.75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4"/>
              <w:jc w:val="right"/>
              <w:rPr>
                <w:rFonts w:ascii="Times New Roman" w:hAnsi="Times New Roman" w:cs="Times New Roman" w:eastAsia="Times New Roman" w:hint="default"/>
                <w:sz w:val="18"/>
                <w:szCs w:val="18"/>
              </w:rPr>
            </w:pPr>
            <w:r>
              <w:rPr>
                <w:rFonts w:ascii="Times New Roman"/>
                <w:spacing w:val="-1"/>
                <w:sz w:val="18"/>
              </w:rPr>
              <w:t>5.42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8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北京银行 双秀支行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70"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hanging="22"/>
              <w:jc w:val="both"/>
              <w:rPr>
                <w:rFonts w:ascii="宋体" w:hAnsi="宋体" w:cs="宋体" w:eastAsia="宋体" w:hint="default"/>
                <w:sz w:val="18"/>
                <w:szCs w:val="18"/>
              </w:rPr>
            </w:pPr>
            <w:r>
              <w:rPr>
                <w:rFonts w:ascii="宋体" w:hAnsi="宋体" w:cs="宋体" w:eastAsia="宋体" w:hint="default"/>
                <w:sz w:val="18"/>
                <w:szCs w:val="18"/>
              </w:rPr>
              <w:t>固定收益类金 融工具、现金 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3.10%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35.67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33.65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8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广发银行 北京海淀 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70"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hanging="22"/>
              <w:jc w:val="left"/>
              <w:rPr>
                <w:rFonts w:ascii="宋体" w:hAnsi="宋体" w:cs="宋体" w:eastAsia="宋体" w:hint="default"/>
                <w:sz w:val="18"/>
                <w:szCs w:val="18"/>
              </w:rPr>
            </w:pPr>
            <w:r>
              <w:rPr>
                <w:rFonts w:ascii="宋体" w:hAnsi="宋体" w:cs="宋体" w:eastAsia="宋体" w:hint="default"/>
                <w:sz w:val="18"/>
                <w:szCs w:val="18"/>
              </w:rPr>
              <w:t>货币市场工 具、债券等金 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4.20%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51.78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48.85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8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6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96"/>
              <w:jc w:val="both"/>
              <w:rPr>
                <w:rFonts w:ascii="宋体" w:hAnsi="宋体" w:cs="宋体" w:eastAsia="宋体" w:hint="default"/>
                <w:sz w:val="18"/>
                <w:szCs w:val="18"/>
              </w:rPr>
            </w:pPr>
            <w:r>
              <w:rPr>
                <w:rFonts w:ascii="宋体" w:hAnsi="宋体" w:cs="宋体" w:eastAsia="宋体" w:hint="default"/>
                <w:sz w:val="18"/>
                <w:szCs w:val="18"/>
              </w:rPr>
              <w:t>北京银行 中关村科 技园区支 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60" w:right="57" w:hanging="101"/>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70" w:right="0"/>
              <w:jc w:val="left"/>
              <w:rPr>
                <w:rFonts w:ascii="Times New Roman" w:hAnsi="Times New Roman" w:cs="Times New Roman" w:eastAsia="Times New Roman" w:hint="default"/>
                <w:sz w:val="18"/>
                <w:szCs w:val="18"/>
              </w:rPr>
            </w:pPr>
            <w:r>
              <w:rPr>
                <w:rFonts w:ascii="Times New Roman"/>
                <w:sz w:val="18"/>
              </w:rPr>
              <w:t>1400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11" w:right="17" w:hanging="19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35" w:hanging="22"/>
              <w:jc w:val="both"/>
              <w:rPr>
                <w:rFonts w:ascii="宋体" w:hAnsi="宋体" w:cs="宋体" w:eastAsia="宋体" w:hint="default"/>
                <w:sz w:val="18"/>
                <w:szCs w:val="18"/>
              </w:rPr>
            </w:pPr>
            <w:r>
              <w:rPr>
                <w:rFonts w:ascii="宋体" w:hAnsi="宋体" w:cs="宋体" w:eastAsia="宋体" w:hint="default"/>
                <w:sz w:val="18"/>
                <w:szCs w:val="18"/>
              </w:rPr>
              <w:t>固定收益类金 融工具、现金 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z w:val="18"/>
              </w:rPr>
              <w:t>3.20%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pacing w:val="-1"/>
                <w:sz w:val="18"/>
              </w:rPr>
              <w:t>6.01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4"/>
              <w:jc w:val="right"/>
              <w:rPr>
                <w:rFonts w:ascii="Times New Roman" w:hAnsi="Times New Roman" w:cs="Times New Roman" w:eastAsia="Times New Roman" w:hint="default"/>
                <w:sz w:val="18"/>
                <w:szCs w:val="18"/>
              </w:rPr>
            </w:pPr>
            <w:r>
              <w:rPr>
                <w:rFonts w:ascii="Times New Roman"/>
                <w:spacing w:val="-1"/>
                <w:sz w:val="18"/>
              </w:rPr>
              <w:t>5.67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8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广发银行 北京海淀 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70"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35" w:hanging="22"/>
              <w:jc w:val="left"/>
              <w:rPr>
                <w:rFonts w:ascii="宋体" w:hAnsi="宋体" w:cs="宋体" w:eastAsia="宋体" w:hint="default"/>
                <w:sz w:val="18"/>
                <w:szCs w:val="18"/>
              </w:rPr>
            </w:pPr>
            <w:r>
              <w:rPr>
                <w:rFonts w:ascii="宋体" w:hAnsi="宋体" w:cs="宋体" w:eastAsia="宋体" w:hint="default"/>
                <w:sz w:val="18"/>
                <w:szCs w:val="18"/>
              </w:rPr>
              <w:t>货币市场工 具、债券等金 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33.42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31.53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8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广发银行 北京海淀 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70"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hanging="22"/>
              <w:jc w:val="left"/>
              <w:rPr>
                <w:rFonts w:ascii="宋体" w:hAnsi="宋体" w:cs="宋体" w:eastAsia="宋体" w:hint="default"/>
                <w:sz w:val="18"/>
                <w:szCs w:val="18"/>
              </w:rPr>
            </w:pPr>
            <w:r>
              <w:rPr>
                <w:rFonts w:ascii="宋体" w:hAnsi="宋体" w:cs="宋体" w:eastAsia="宋体" w:hint="default"/>
                <w:sz w:val="18"/>
                <w:szCs w:val="18"/>
              </w:rPr>
              <w:t>货币市场工 具、债券等金 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4.20%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35.10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33.11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8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北京银行 双秀支行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70"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hanging="22"/>
              <w:jc w:val="both"/>
              <w:rPr>
                <w:rFonts w:ascii="宋体" w:hAnsi="宋体" w:cs="宋体" w:eastAsia="宋体" w:hint="default"/>
                <w:sz w:val="18"/>
                <w:szCs w:val="18"/>
              </w:rPr>
            </w:pPr>
            <w:r>
              <w:rPr>
                <w:rFonts w:ascii="宋体" w:hAnsi="宋体" w:cs="宋体" w:eastAsia="宋体" w:hint="default"/>
                <w:sz w:val="18"/>
                <w:szCs w:val="18"/>
              </w:rPr>
              <w:t>固定收益类金 融工具、现金 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3.50%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16.78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15.83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8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left"/>
              <w:rPr>
                <w:rFonts w:ascii="宋体" w:hAnsi="宋体" w:cs="宋体" w:eastAsia="宋体" w:hint="default"/>
                <w:sz w:val="18"/>
                <w:szCs w:val="18"/>
              </w:rPr>
            </w:pPr>
            <w:r>
              <w:rPr>
                <w:rFonts w:ascii="宋体" w:hAnsi="宋体" w:cs="宋体" w:eastAsia="宋体" w:hint="default"/>
                <w:sz w:val="18"/>
                <w:szCs w:val="18"/>
              </w:rPr>
              <w:t>招商银行 望京支行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0" w:right="57" w:hanging="101"/>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2800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1" w:right="17" w:hanging="19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hanging="22"/>
              <w:jc w:val="left"/>
              <w:rPr>
                <w:rFonts w:ascii="宋体" w:hAnsi="宋体" w:cs="宋体" w:eastAsia="宋体" w:hint="default"/>
                <w:sz w:val="18"/>
                <w:szCs w:val="18"/>
              </w:rPr>
            </w:pPr>
            <w:r>
              <w:rPr>
                <w:rFonts w:ascii="宋体" w:hAnsi="宋体" w:cs="宋体" w:eastAsia="宋体" w:hint="default"/>
                <w:sz w:val="18"/>
                <w:szCs w:val="18"/>
              </w:rPr>
              <w:t>债权资产、资 金拆借及逆回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25.83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24.37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220" w:right="220"/>
        </w:sectPr>
      </w:pPr>
    </w:p>
    <w:p>
      <w:pPr>
        <w:spacing w:line="240" w:lineRule="auto" w:before="11"/>
        <w:rPr>
          <w:rFonts w:ascii="Times New Roman" w:hAnsi="Times New Roman" w:cs="Times New Roman" w:eastAsia="Times New Roman" w:hint="default"/>
          <w:sz w:val="27"/>
          <w:szCs w:val="27"/>
        </w:rPr>
      </w:pPr>
      <w:r>
        <w:rPr/>
        <w:pict>
          <v:shape style="position:absolute;margin-left:332.709991pt;margin-top:72.475983pt;width:33.15pt;height:31.25pt;mso-position-horizontal-relative:page;mso-position-vertical-relative:page;z-index:-99839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23.260002pt;margin-top:734.255981pt;width:34.950pt;height:7.8pt;mso-position-horizontal-relative:page;mso-position-vertical-relative:page;z-index:-998368" coordorigin="2465,14685" coordsize="699,156">
            <v:shape style="position:absolute;left:2465;top:14685;width:699;height:156" coordorigin="2465,14685" coordsize="699,156" path="m2465,14841l3164,14841,3164,14685,2465,14685,2465,14841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852"/>
        <w:gridCol w:w="425"/>
        <w:gridCol w:w="850"/>
        <w:gridCol w:w="710"/>
        <w:gridCol w:w="591"/>
        <w:gridCol w:w="991"/>
        <w:gridCol w:w="850"/>
        <w:gridCol w:w="1152"/>
        <w:gridCol w:w="569"/>
        <w:gridCol w:w="709"/>
        <w:gridCol w:w="708"/>
        <w:gridCol w:w="569"/>
        <w:gridCol w:w="425"/>
        <w:gridCol w:w="425"/>
        <w:gridCol w:w="566"/>
        <w:gridCol w:w="425"/>
        <w:gridCol w:w="427"/>
      </w:tblGrid>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91"/>
              <w:jc w:val="left"/>
              <w:rPr>
                <w:rFonts w:ascii="宋体" w:hAnsi="宋体" w:cs="宋体" w:eastAsia="宋体" w:hint="default"/>
                <w:sz w:val="18"/>
                <w:szCs w:val="18"/>
              </w:rPr>
            </w:pPr>
            <w:r>
              <w:rPr>
                <w:rFonts w:ascii="宋体" w:hAnsi="宋体" w:cs="宋体" w:eastAsia="宋体" w:hint="default"/>
                <w:spacing w:val="-10"/>
                <w:sz w:val="18"/>
                <w:szCs w:val="18"/>
              </w:rPr>
              <w:t>购、银行存款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27.85pt;height:31.25pt;mso-position-horizontal-relative:char;mso-position-vertical-relative:line" coordorigin="0,0" coordsize="557,625">
                  <v:group style="position:absolute;left:0;top:0;width:557;height:625" coordorigin="0,0" coordsize="557,625">
                    <v:shape style="position:absolute;left:0;top:0;width:557;height:625" coordorigin="0,0" coordsize="557,625" path="m0,624l557,624,557,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北京银行 中关村科 技园区支 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60" w:right="57" w:hanging="101"/>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67"/>
              <w:jc w:val="right"/>
              <w:rPr>
                <w:rFonts w:ascii="Times New Roman" w:hAnsi="Times New Roman" w:cs="Times New Roman" w:eastAsia="Times New Roman" w:hint="default"/>
                <w:sz w:val="18"/>
                <w:szCs w:val="18"/>
              </w:rPr>
            </w:pPr>
            <w:r>
              <w:rPr>
                <w:rFonts w:ascii="Times New Roman"/>
                <w:sz w:val="18"/>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11" w:right="17" w:hanging="19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5" w:hanging="22"/>
              <w:jc w:val="both"/>
              <w:rPr>
                <w:rFonts w:ascii="宋体" w:hAnsi="宋体" w:cs="宋体" w:eastAsia="宋体" w:hint="default"/>
                <w:sz w:val="18"/>
                <w:szCs w:val="18"/>
              </w:rPr>
            </w:pPr>
            <w:r>
              <w:rPr>
                <w:rFonts w:ascii="宋体" w:hAnsi="宋体" w:cs="宋体" w:eastAsia="宋体" w:hint="default"/>
                <w:sz w:val="18"/>
                <w:szCs w:val="18"/>
              </w:rPr>
              <w:t>固定收益类金 融工具、现金 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7.55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4"/>
              <w:jc w:val="right"/>
              <w:rPr>
                <w:rFonts w:ascii="Times New Roman" w:hAnsi="Times New Roman" w:cs="Times New Roman" w:eastAsia="Times New Roman" w:hint="default"/>
                <w:sz w:val="18"/>
                <w:szCs w:val="18"/>
              </w:rPr>
            </w:pPr>
            <w:r>
              <w:rPr>
                <w:rFonts w:ascii="Times New Roman"/>
                <w:spacing w:val="-1"/>
                <w:sz w:val="18"/>
              </w:rPr>
              <w:t>7.12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北京银行 双秀支行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67"/>
              <w:jc w:val="righ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hanging="22"/>
              <w:jc w:val="both"/>
              <w:rPr>
                <w:rFonts w:ascii="宋体" w:hAnsi="宋体" w:cs="宋体" w:eastAsia="宋体" w:hint="default"/>
                <w:sz w:val="18"/>
                <w:szCs w:val="18"/>
              </w:rPr>
            </w:pPr>
            <w:r>
              <w:rPr>
                <w:rFonts w:ascii="宋体" w:hAnsi="宋体" w:cs="宋体" w:eastAsia="宋体" w:hint="default"/>
                <w:sz w:val="18"/>
                <w:szCs w:val="18"/>
              </w:rPr>
              <w:t>固定收益类金 融工具、现金 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25.15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23.73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96"/>
              <w:jc w:val="both"/>
              <w:rPr>
                <w:rFonts w:ascii="宋体" w:hAnsi="宋体" w:cs="宋体" w:eastAsia="宋体" w:hint="default"/>
                <w:sz w:val="18"/>
                <w:szCs w:val="18"/>
              </w:rPr>
            </w:pPr>
            <w:r>
              <w:rPr>
                <w:rFonts w:ascii="宋体" w:hAnsi="宋体" w:cs="宋体" w:eastAsia="宋体" w:hint="default"/>
                <w:sz w:val="18"/>
                <w:szCs w:val="18"/>
              </w:rPr>
              <w:t>广发银行 北京海淀 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67"/>
              <w:jc w:val="righ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35" w:hanging="22"/>
              <w:jc w:val="left"/>
              <w:rPr>
                <w:rFonts w:ascii="宋体" w:hAnsi="宋体" w:cs="宋体" w:eastAsia="宋体" w:hint="default"/>
                <w:sz w:val="18"/>
                <w:szCs w:val="18"/>
              </w:rPr>
            </w:pPr>
            <w:r>
              <w:rPr>
                <w:rFonts w:ascii="宋体" w:hAnsi="宋体" w:cs="宋体" w:eastAsia="宋体" w:hint="default"/>
                <w:sz w:val="18"/>
                <w:szCs w:val="18"/>
              </w:rPr>
              <w:t>货币市场工 具、债券等金 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right"/>
              <w:rPr>
                <w:rFonts w:ascii="Times New Roman" w:hAnsi="Times New Roman" w:cs="Times New Roman" w:eastAsia="Times New Roman" w:hint="default"/>
                <w:sz w:val="18"/>
                <w:szCs w:val="18"/>
              </w:rPr>
            </w:pPr>
            <w:r>
              <w:rPr>
                <w:rFonts w:ascii="Times New Roman"/>
                <w:sz w:val="18"/>
              </w:rPr>
              <w:t>4.10%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right"/>
              <w:rPr>
                <w:rFonts w:ascii="Times New Roman" w:hAnsi="Times New Roman" w:cs="Times New Roman" w:eastAsia="Times New Roman" w:hint="default"/>
                <w:sz w:val="18"/>
                <w:szCs w:val="18"/>
              </w:rPr>
            </w:pPr>
            <w:r>
              <w:rPr>
                <w:rFonts w:ascii="Times New Roman"/>
                <w:sz w:val="18"/>
              </w:rPr>
              <w:t>34.82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right"/>
              <w:rPr>
                <w:rFonts w:ascii="Times New Roman" w:hAnsi="Times New Roman" w:cs="Times New Roman" w:eastAsia="Times New Roman" w:hint="default"/>
                <w:sz w:val="18"/>
                <w:szCs w:val="18"/>
              </w:rPr>
            </w:pPr>
            <w:r>
              <w:rPr>
                <w:rFonts w:ascii="Times New Roman"/>
                <w:sz w:val="18"/>
              </w:rPr>
              <w:t>32.85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广发银行 北京海淀 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67"/>
              <w:jc w:val="righ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hanging="22"/>
              <w:jc w:val="left"/>
              <w:rPr>
                <w:rFonts w:ascii="宋体" w:hAnsi="宋体" w:cs="宋体" w:eastAsia="宋体" w:hint="default"/>
                <w:sz w:val="18"/>
                <w:szCs w:val="18"/>
              </w:rPr>
            </w:pPr>
            <w:r>
              <w:rPr>
                <w:rFonts w:ascii="宋体" w:hAnsi="宋体" w:cs="宋体" w:eastAsia="宋体" w:hint="default"/>
                <w:sz w:val="18"/>
                <w:szCs w:val="18"/>
              </w:rPr>
              <w:t>货币市场工 具、债券等金 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sz w:val="18"/>
              </w:rPr>
              <w:t>4.15%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34.68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32.72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广发银行 北京海淀 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67"/>
              <w:jc w:val="righ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hanging="22"/>
              <w:jc w:val="left"/>
              <w:rPr>
                <w:rFonts w:ascii="宋体" w:hAnsi="宋体" w:cs="宋体" w:eastAsia="宋体" w:hint="default"/>
                <w:sz w:val="18"/>
                <w:szCs w:val="18"/>
              </w:rPr>
            </w:pPr>
            <w:r>
              <w:rPr>
                <w:rFonts w:ascii="宋体" w:hAnsi="宋体" w:cs="宋体" w:eastAsia="宋体" w:hint="default"/>
                <w:sz w:val="18"/>
                <w:szCs w:val="18"/>
              </w:rPr>
              <w:t>货币市场工 具、债券等金 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4.20%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35.10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33.11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北京银行 中关村科 技园区支 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60" w:right="57" w:hanging="101"/>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67"/>
              <w:jc w:val="right"/>
              <w:rPr>
                <w:rFonts w:ascii="Times New Roman" w:hAnsi="Times New Roman" w:cs="Times New Roman" w:eastAsia="Times New Roman" w:hint="default"/>
                <w:sz w:val="18"/>
                <w:szCs w:val="18"/>
              </w:rPr>
            </w:pPr>
            <w:r>
              <w:rPr>
                <w:rFonts w:ascii="Times New Roman"/>
                <w:sz w:val="18"/>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11" w:right="17" w:hanging="19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5" w:hanging="22"/>
              <w:jc w:val="both"/>
              <w:rPr>
                <w:rFonts w:ascii="宋体" w:hAnsi="宋体" w:cs="宋体" w:eastAsia="宋体" w:hint="default"/>
                <w:sz w:val="18"/>
                <w:szCs w:val="18"/>
              </w:rPr>
            </w:pPr>
            <w:r>
              <w:rPr>
                <w:rFonts w:ascii="宋体" w:hAnsi="宋体" w:cs="宋体" w:eastAsia="宋体" w:hint="default"/>
                <w:sz w:val="18"/>
                <w:szCs w:val="18"/>
              </w:rPr>
              <w:t>固定收益类金 融工具、现金 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5.33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4"/>
              <w:jc w:val="right"/>
              <w:rPr>
                <w:rFonts w:ascii="Times New Roman" w:hAnsi="Times New Roman" w:cs="Times New Roman" w:eastAsia="Times New Roman" w:hint="default"/>
                <w:sz w:val="18"/>
                <w:szCs w:val="18"/>
              </w:rPr>
            </w:pPr>
            <w:r>
              <w:rPr>
                <w:rFonts w:ascii="Times New Roman"/>
                <w:spacing w:val="-1"/>
                <w:sz w:val="18"/>
              </w:rPr>
              <w:t>5.03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96"/>
              <w:jc w:val="left"/>
              <w:rPr>
                <w:rFonts w:ascii="宋体" w:hAnsi="宋体" w:cs="宋体" w:eastAsia="宋体" w:hint="default"/>
                <w:sz w:val="18"/>
                <w:szCs w:val="18"/>
              </w:rPr>
            </w:pPr>
            <w:r>
              <w:rPr>
                <w:rFonts w:ascii="宋体" w:hAnsi="宋体" w:cs="宋体" w:eastAsia="宋体" w:hint="default"/>
                <w:sz w:val="18"/>
                <w:szCs w:val="18"/>
              </w:rPr>
              <w:t>北京银行 双秀支行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67"/>
              <w:jc w:val="righ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35" w:hanging="22"/>
              <w:jc w:val="both"/>
              <w:rPr>
                <w:rFonts w:ascii="宋体" w:hAnsi="宋体" w:cs="宋体" w:eastAsia="宋体" w:hint="default"/>
                <w:sz w:val="18"/>
                <w:szCs w:val="18"/>
              </w:rPr>
            </w:pPr>
            <w:r>
              <w:rPr>
                <w:rFonts w:ascii="宋体" w:hAnsi="宋体" w:cs="宋体" w:eastAsia="宋体" w:hint="default"/>
                <w:sz w:val="18"/>
                <w:szCs w:val="18"/>
              </w:rPr>
              <w:t>固定收益类金 融工具、现金 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17.75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16.75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广发银行 北京海淀 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67"/>
              <w:jc w:val="righ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hanging="22"/>
              <w:jc w:val="left"/>
              <w:rPr>
                <w:rFonts w:ascii="宋体" w:hAnsi="宋体" w:cs="宋体" w:eastAsia="宋体" w:hint="default"/>
                <w:sz w:val="18"/>
                <w:szCs w:val="18"/>
              </w:rPr>
            </w:pPr>
            <w:r>
              <w:rPr>
                <w:rFonts w:ascii="宋体" w:hAnsi="宋体" w:cs="宋体" w:eastAsia="宋体" w:hint="default"/>
                <w:sz w:val="18"/>
                <w:szCs w:val="18"/>
              </w:rPr>
              <w:t>货币市场工 具、债券等金 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4.45%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54.86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51.75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96"/>
              <w:jc w:val="both"/>
              <w:rPr>
                <w:rFonts w:ascii="宋体" w:hAnsi="宋体" w:cs="宋体" w:eastAsia="宋体" w:hint="default"/>
                <w:sz w:val="18"/>
                <w:szCs w:val="18"/>
              </w:rPr>
            </w:pPr>
            <w:r>
              <w:rPr>
                <w:rFonts w:ascii="宋体" w:hAnsi="宋体" w:cs="宋体" w:eastAsia="宋体" w:hint="default"/>
                <w:sz w:val="18"/>
                <w:szCs w:val="18"/>
              </w:rPr>
              <w:t>广发银行 北京海淀 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67"/>
              <w:jc w:val="righ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35" w:hanging="22"/>
              <w:jc w:val="left"/>
              <w:rPr>
                <w:rFonts w:ascii="宋体" w:hAnsi="宋体" w:cs="宋体" w:eastAsia="宋体" w:hint="default"/>
                <w:sz w:val="18"/>
                <w:szCs w:val="18"/>
              </w:rPr>
            </w:pPr>
            <w:r>
              <w:rPr>
                <w:rFonts w:ascii="宋体" w:hAnsi="宋体" w:cs="宋体" w:eastAsia="宋体" w:hint="default"/>
                <w:sz w:val="18"/>
                <w:szCs w:val="18"/>
              </w:rPr>
              <w:t>货币市场工 具、债券等金 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right"/>
              <w:rPr>
                <w:rFonts w:ascii="Times New Roman" w:hAnsi="Times New Roman" w:cs="Times New Roman" w:eastAsia="Times New Roman" w:hint="default"/>
                <w:sz w:val="18"/>
                <w:szCs w:val="18"/>
              </w:rPr>
            </w:pPr>
            <w:r>
              <w:rPr>
                <w:rFonts w:ascii="Times New Roman"/>
                <w:sz w:val="18"/>
              </w:rPr>
              <w:t>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right"/>
              <w:rPr>
                <w:rFonts w:ascii="Times New Roman" w:hAnsi="Times New Roman" w:cs="Times New Roman" w:eastAsia="Times New Roman" w:hint="default"/>
                <w:sz w:val="18"/>
                <w:szCs w:val="18"/>
              </w:rPr>
            </w:pPr>
            <w:r>
              <w:rPr>
                <w:rFonts w:ascii="Times New Roman"/>
                <w:sz w:val="18"/>
              </w:rPr>
              <w:t>16.44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right"/>
              <w:rPr>
                <w:rFonts w:ascii="Times New Roman" w:hAnsi="Times New Roman" w:cs="Times New Roman" w:eastAsia="Times New Roman" w:hint="default"/>
                <w:sz w:val="18"/>
                <w:szCs w:val="18"/>
              </w:rPr>
            </w:pPr>
            <w:r>
              <w:rPr>
                <w:rFonts w:ascii="Times New Roman"/>
                <w:sz w:val="18"/>
              </w:rPr>
              <w:t>15.51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北京银行 中关村科 技园区支 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60" w:right="57" w:hanging="101"/>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67"/>
              <w:jc w:val="right"/>
              <w:rPr>
                <w:rFonts w:ascii="Times New Roman" w:hAnsi="Times New Roman" w:cs="Times New Roman" w:eastAsia="Times New Roman" w:hint="default"/>
                <w:sz w:val="18"/>
                <w:szCs w:val="18"/>
              </w:rPr>
            </w:pPr>
            <w:r>
              <w:rPr>
                <w:rFonts w:ascii="Times New Roman"/>
                <w:sz w:val="18"/>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11" w:right="17" w:hanging="19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5" w:hanging="22"/>
              <w:jc w:val="both"/>
              <w:rPr>
                <w:rFonts w:ascii="宋体" w:hAnsi="宋体" w:cs="宋体" w:eastAsia="宋体" w:hint="default"/>
                <w:sz w:val="18"/>
                <w:szCs w:val="18"/>
              </w:rPr>
            </w:pPr>
            <w:r>
              <w:rPr>
                <w:rFonts w:ascii="宋体" w:hAnsi="宋体" w:cs="宋体" w:eastAsia="宋体" w:hint="default"/>
                <w:sz w:val="18"/>
                <w:szCs w:val="18"/>
              </w:rPr>
              <w:t>固定收益类金 融工具、现金 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5.47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4"/>
              <w:jc w:val="right"/>
              <w:rPr>
                <w:rFonts w:ascii="Times New Roman" w:hAnsi="Times New Roman" w:cs="Times New Roman" w:eastAsia="Times New Roman" w:hint="default"/>
                <w:sz w:val="18"/>
                <w:szCs w:val="18"/>
              </w:rPr>
            </w:pPr>
            <w:r>
              <w:rPr>
                <w:rFonts w:ascii="Times New Roman"/>
                <w:spacing w:val="-1"/>
                <w:sz w:val="18"/>
              </w:rPr>
              <w:t>5.16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北京银行 双秀支行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60" w:right="57" w:hanging="101"/>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67"/>
              <w:jc w:val="righ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11" w:right="17" w:hanging="19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hanging="22"/>
              <w:jc w:val="both"/>
              <w:rPr>
                <w:rFonts w:ascii="宋体" w:hAnsi="宋体" w:cs="宋体" w:eastAsia="宋体" w:hint="default"/>
                <w:sz w:val="18"/>
                <w:szCs w:val="18"/>
              </w:rPr>
            </w:pPr>
            <w:r>
              <w:rPr>
                <w:rFonts w:ascii="宋体" w:hAnsi="宋体" w:cs="宋体" w:eastAsia="宋体" w:hint="default"/>
                <w:sz w:val="18"/>
                <w:szCs w:val="18"/>
              </w:rPr>
              <w:t>固定收益类金 融工具、现金 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18.25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17.22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北京银行 中关村科 技园区支 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60" w:right="57" w:hanging="101"/>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67"/>
              <w:jc w:val="right"/>
              <w:rPr>
                <w:rFonts w:ascii="Times New Roman" w:hAnsi="Times New Roman" w:cs="Times New Roman" w:eastAsia="Times New Roman" w:hint="default"/>
                <w:sz w:val="18"/>
                <w:szCs w:val="18"/>
              </w:rPr>
            </w:pPr>
            <w:r>
              <w:rPr>
                <w:rFonts w:ascii="Times New Roman"/>
                <w:sz w:val="18"/>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11" w:right="17" w:hanging="19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5" w:hanging="22"/>
              <w:jc w:val="both"/>
              <w:rPr>
                <w:rFonts w:ascii="宋体" w:hAnsi="宋体" w:cs="宋体" w:eastAsia="宋体" w:hint="default"/>
                <w:sz w:val="18"/>
                <w:szCs w:val="18"/>
              </w:rPr>
            </w:pPr>
            <w:r>
              <w:rPr>
                <w:rFonts w:ascii="宋体" w:hAnsi="宋体" w:cs="宋体" w:eastAsia="宋体" w:hint="default"/>
                <w:sz w:val="18"/>
                <w:szCs w:val="18"/>
              </w:rPr>
              <w:t>固定收益类金 融工具、现金 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2" w:hanging="22"/>
              <w:jc w:val="left"/>
              <w:rPr>
                <w:rFonts w:ascii="宋体" w:hAnsi="宋体" w:cs="宋体" w:eastAsia="宋体" w:hint="default"/>
                <w:sz w:val="18"/>
                <w:szCs w:val="18"/>
              </w:rPr>
            </w:pPr>
            <w:r>
              <w:rPr>
                <w:rFonts w:ascii="宋体" w:hAnsi="宋体" w:cs="宋体" w:eastAsia="宋体" w:hint="default"/>
                <w:sz w:val="18"/>
                <w:szCs w:val="18"/>
              </w:rPr>
              <w:t>合同约 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5.18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4"/>
              <w:jc w:val="right"/>
              <w:rPr>
                <w:rFonts w:ascii="Times New Roman" w:hAnsi="Times New Roman" w:cs="Times New Roman" w:eastAsia="Times New Roman" w:hint="default"/>
                <w:sz w:val="18"/>
                <w:szCs w:val="18"/>
              </w:rPr>
            </w:pPr>
            <w:r>
              <w:rPr>
                <w:rFonts w:ascii="Times New Roman"/>
                <w:spacing w:val="-1"/>
                <w:sz w:val="18"/>
              </w:rPr>
              <w:t>4.89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14" w:hanging="10"/>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85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8"/>
              <w:ind w:left="23" w:right="-38"/>
              <w:jc w:val="left"/>
              <w:rPr>
                <w:rFonts w:ascii="宋体" w:hAnsi="宋体" w:cs="宋体" w:eastAsia="宋体" w:hint="default"/>
                <w:sz w:val="18"/>
                <w:szCs w:val="18"/>
              </w:rPr>
            </w:pPr>
            <w:r>
              <w:rPr>
                <w:rFonts w:ascii="宋体" w:hAnsi="宋体" w:cs="宋体" w:eastAsia="宋体" w:hint="default"/>
                <w:spacing w:val="23"/>
                <w:sz w:val="18"/>
                <w:szCs w:val="18"/>
              </w:rPr>
              <w:t>北京银行</w:t>
            </w:r>
            <w:r>
              <w:rPr>
                <w:rFonts w:ascii="宋体" w:hAnsi="宋体" w:cs="宋体" w:eastAsia="宋体" w:hint="default"/>
                <w:spacing w:val="-59"/>
                <w:sz w:val="18"/>
                <w:szCs w:val="18"/>
              </w:rPr>
              <w:t> </w:t>
            </w:r>
            <w:r>
              <w:rPr>
                <w:rFonts w:ascii="宋体" w:hAnsi="宋体" w:cs="宋体" w:eastAsia="宋体" w:hint="default"/>
                <w:sz w:val="18"/>
                <w:szCs w:val="18"/>
              </w:rPr>
              <w:t>双秀支行</w:t>
            </w:r>
          </w:p>
        </w:tc>
        <w:tc>
          <w:tcPr>
            <w:tcW w:w="4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8"/>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保本保证</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8"/>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募集资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8"/>
              <w:ind w:left="-3"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 w:hanging="22"/>
              <w:jc w:val="left"/>
              <w:rPr>
                <w:rFonts w:ascii="宋体" w:hAnsi="宋体" w:cs="宋体" w:eastAsia="宋体" w:hint="default"/>
                <w:sz w:val="18"/>
                <w:szCs w:val="18"/>
              </w:rPr>
            </w:pPr>
            <w:r>
              <w:rPr>
                <w:rFonts w:ascii="宋体" w:hAnsi="宋体" w:cs="宋体" w:eastAsia="宋体" w:hint="default"/>
                <w:spacing w:val="8"/>
                <w:sz w:val="18"/>
                <w:szCs w:val="18"/>
              </w:rPr>
              <w:t>固定收益类金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融工具、现金</w:t>
            </w:r>
            <w:r>
              <w:rPr>
                <w:rFonts w:ascii="宋体" w:hAnsi="宋体" w:cs="宋体" w:eastAsia="宋体" w:hint="default"/>
                <w:sz w:val="18"/>
                <w:szCs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17.26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16.28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220" w:right="220"/>
        </w:sectPr>
      </w:pPr>
    </w:p>
    <w:p>
      <w:pPr>
        <w:spacing w:line="240" w:lineRule="auto" w:before="11"/>
        <w:rPr>
          <w:rFonts w:ascii="Times New Roman" w:hAnsi="Times New Roman" w:cs="Times New Roman" w:eastAsia="Times New Roman" w:hint="default"/>
          <w:sz w:val="27"/>
          <w:szCs w:val="27"/>
        </w:rPr>
      </w:pPr>
      <w:r>
        <w:rPr/>
        <w:pict>
          <v:group style="position:absolute;margin-left:123.260002pt;margin-top:88.555984pt;width:34.950pt;height:15.65pt;mso-position-horizontal-relative:page;mso-position-vertical-relative:page;z-index:-998272" coordorigin="2465,1771" coordsize="699,313">
            <v:shape style="position:absolute;left:2465;top:1771;width:699;height:313" coordorigin="2465,1771" coordsize="699,313" path="m2465,2084l3164,2084,3164,1771,2465,1771,2465,2084xe" filled="true" fillcolor="#ffffff" stroked="false">
              <v:path arrowok="t"/>
              <v:fill type="solid"/>
            </v:shape>
            <w10:wrap type="none"/>
          </v:group>
        </w:pict>
      </w:r>
      <w:r>
        <w:rPr/>
        <w:pict>
          <v:group style="position:absolute;margin-left:123.260002pt;margin-top:135.859985pt;width:34.950pt;height:15.6pt;mso-position-horizontal-relative:page;mso-position-vertical-relative:page;z-index:-998248" coordorigin="2465,2717" coordsize="699,312">
            <v:shape style="position:absolute;left:2465;top:2717;width:699;height:312" coordorigin="2465,2717" coordsize="699,312" path="m2465,3029l3164,3029,3164,2717,2465,2717,2465,3029xe" filled="true" fillcolor="#ffffff" stroked="false">
              <v:path arrowok="t"/>
              <v:fill type="solid"/>
            </v:shape>
            <w10:wrap type="none"/>
          </v:group>
        </w:pict>
      </w:r>
      <w:r>
        <w:rPr/>
        <w:pict>
          <v:group style="position:absolute;margin-left:123.260002pt;margin-top:183.259979pt;width:34.950pt;height:15.6pt;mso-position-horizontal-relative:page;mso-position-vertical-relative:page;z-index:-998224" coordorigin="2465,3665" coordsize="699,312">
            <v:shape style="position:absolute;left:2465;top:3665;width:699;height:312" coordorigin="2465,3665" coordsize="699,312" path="m2465,3977l3164,3977,3164,3665,2465,3665,2465,3977xe" filled="true" fillcolor="#ffffff" stroked="false">
              <v:path arrowok="t"/>
              <v:fill type="solid"/>
            </v:shape>
            <w10:wrap type="none"/>
          </v:group>
        </w:pict>
      </w:r>
      <w:r>
        <w:rPr/>
        <w:pict>
          <v:group style="position:absolute;margin-left:123.260002pt;margin-top:230.539978pt;width:34.950pt;height:15.6pt;mso-position-horizontal-relative:page;mso-position-vertical-relative:page;z-index:-998200" coordorigin="2465,4611" coordsize="699,312">
            <v:shape style="position:absolute;left:2465;top:4611;width:699;height:312" coordorigin="2465,4611" coordsize="699,312" path="m2465,4923l3164,4923,3164,4611,2465,4611,2465,4923xe" filled="true" fillcolor="#ffffff" stroked="false">
              <v:path arrowok="t"/>
              <v:fill type="solid"/>
            </v:shape>
            <w10:wrap type="none"/>
          </v:group>
        </w:pict>
      </w:r>
      <w:r>
        <w:rPr/>
        <w:pict>
          <v:group style="position:absolute;margin-left:123.260002pt;margin-top:277.849976pt;width:34.950pt;height:15.6pt;mso-position-horizontal-relative:page;mso-position-vertical-relative:page;z-index:-998176" coordorigin="2465,5557" coordsize="699,312">
            <v:shape style="position:absolute;left:2465;top:5557;width:699;height:312" coordorigin="2465,5557" coordsize="699,312" path="m2465,5869l3164,5869,3164,5557,2465,5557,2465,5869xe" filled="true" fillcolor="#ffffff" stroked="false">
              <v:path arrowok="t"/>
              <v:fill type="solid"/>
            </v:shape>
            <w10:wrap type="none"/>
          </v:group>
        </w:pict>
      </w:r>
      <w:r>
        <w:rPr/>
        <w:pict>
          <v:group style="position:absolute;margin-left:123.260002pt;margin-top:325.129974pt;width:34.950pt;height:15.6pt;mso-position-horizontal-relative:page;mso-position-vertical-relative:page;z-index:-998152" coordorigin="2465,6503" coordsize="699,312">
            <v:shape style="position:absolute;left:2465;top:6503;width:699;height:312" coordorigin="2465,6503" coordsize="699,312" path="m2465,6815l3164,6815,3164,6503,2465,6503,2465,6815xe" filled="true" fillcolor="#ffffff" stroked="false">
              <v:path arrowok="t"/>
              <v:fill type="solid"/>
            </v:shape>
            <w10:wrap type="none"/>
          </v:group>
        </w:pict>
      </w:r>
      <w:r>
        <w:rPr/>
        <w:pict>
          <v:group style="position:absolute;margin-left:123.260002pt;margin-top:435.28598pt;width:34.950pt;height:15.65pt;mso-position-horizontal-relative:page;mso-position-vertical-relative:page;z-index:-998128" coordorigin="2465,8706" coordsize="699,313">
            <v:shape style="position:absolute;left:2465;top:8706;width:699;height:313" coordorigin="2465,8706" coordsize="699,313" path="m2465,9018l3164,9018,3164,8706,2465,8706,2465,9018xe" filled="true" fillcolor="#ffffff" stroked="false">
              <v:path arrowok="t"/>
              <v:fill type="solid"/>
            </v:shape>
            <w10:wrap type="none"/>
          </v:group>
        </w:pict>
      </w:r>
      <w:r>
        <w:rPr/>
        <w:pict>
          <v:group style="position:absolute;margin-left:123.260002pt;margin-top:545.589966pt;width:34.950pt;height:15.6pt;mso-position-horizontal-relative:page;mso-position-vertical-relative:page;z-index:-998104" coordorigin="2465,10912" coordsize="699,312">
            <v:shape style="position:absolute;left:2465;top:10912;width:699;height:312" coordorigin="2465,10912" coordsize="699,312" path="m2465,11224l3164,11224,3164,10912,2465,10912,2465,11224xe" filled="true" fillcolor="#ffffff" stroked="false">
              <v:path arrowok="t"/>
              <v:fill type="solid"/>
            </v:shape>
            <w10:wrap type="none"/>
          </v:group>
        </w:pict>
      </w:r>
      <w:r>
        <w:rPr/>
        <w:pict>
          <v:group style="position:absolute;margin-left:123.260002pt;margin-top:592.869995pt;width:34.950pt;height:15.6pt;mso-position-horizontal-relative:page;mso-position-vertical-relative:page;z-index:-998080" coordorigin="2465,11857" coordsize="699,312">
            <v:shape style="position:absolute;left:2465;top:11857;width:699;height:312" coordorigin="2465,11857" coordsize="699,312" path="m2465,12169l3164,12169,3164,11857,2465,11857,2465,12169xe" filled="true" fillcolor="#ffffff" stroked="false">
              <v:path arrowok="t"/>
              <v:fill type="solid"/>
            </v:shape>
            <w10:wrap type="none"/>
          </v:group>
        </w:pict>
      </w:r>
      <w:r>
        <w:rPr/>
        <w:pict>
          <v:group style="position:absolute;margin-left:123.260002pt;margin-top:640.179993pt;width:34.950pt;height:15.6pt;mso-position-horizontal-relative:page;mso-position-vertical-relative:page;z-index:-998056" coordorigin="2465,12804" coordsize="699,312">
            <v:shape style="position:absolute;left:2465;top:12804;width:699;height:312" coordorigin="2465,12804" coordsize="699,312" path="m2465,13116l3164,13116,3164,12804,2465,12804,2465,13116xe" filled="true" fillcolor="#ffffff" stroked="false">
              <v:path arrowok="t"/>
              <v:fill type="solid"/>
            </v:shape>
            <w10:wrap type="none"/>
          </v:group>
        </w:pict>
      </w:r>
      <w:r>
        <w:rPr/>
        <w:pict>
          <v:group style="position:absolute;margin-left:123.260002pt;margin-top:687.459961pt;width:34.950pt;height:15.6pt;mso-position-horizontal-relative:page;mso-position-vertical-relative:page;z-index:-998032" coordorigin="2465,13749" coordsize="699,312">
            <v:shape style="position:absolute;left:2465;top:13749;width:699;height:312" coordorigin="2465,13749" coordsize="699,312" path="m2465,14061l3164,14061,3164,13749,2465,13749,2465,14061xe" filled="true" fillcolor="#ffffff" stroked="false">
              <v:path arrowok="t"/>
              <v:fill type="solid"/>
            </v:shape>
            <w10:wrap type="none"/>
          </v:group>
        </w:pict>
      </w:r>
      <w:r>
        <w:rPr/>
        <w:pict>
          <v:group style="position:absolute;margin-left:123.260002pt;margin-top:734.735962pt;width:34.950pt;height:7.8pt;mso-position-horizontal-relative:page;mso-position-vertical-relative:page;z-index:-998008" coordorigin="2465,14695" coordsize="699,156">
            <v:shape style="position:absolute;left:2465;top:14695;width:699;height:156" coordorigin="2465,14695" coordsize="699,156" path="m2465,14851l3164,14851,3164,14695,2465,14695,2465,14851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852"/>
        <w:gridCol w:w="425"/>
        <w:gridCol w:w="850"/>
        <w:gridCol w:w="710"/>
        <w:gridCol w:w="591"/>
        <w:gridCol w:w="991"/>
        <w:gridCol w:w="850"/>
        <w:gridCol w:w="1152"/>
        <w:gridCol w:w="569"/>
        <w:gridCol w:w="709"/>
        <w:gridCol w:w="708"/>
        <w:gridCol w:w="569"/>
        <w:gridCol w:w="425"/>
        <w:gridCol w:w="425"/>
        <w:gridCol w:w="566"/>
        <w:gridCol w:w="425"/>
        <w:gridCol w:w="427"/>
      </w:tblGrid>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及存款</w:t>
            </w:r>
          </w:p>
        </w:tc>
        <w:tc>
          <w:tcPr>
            <w:tcW w:w="56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8"/>
              <w:ind w:left="23" w:right="-38"/>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4.45%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45.72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42"/>
                <w:sz w:val="18"/>
                <w:szCs w:val="18"/>
              </w:rPr>
              <w:t> </w:t>
            </w:r>
            <w:r>
              <w:rPr>
                <w:rFonts w:ascii="宋体" w:hAnsi="宋体" w:cs="宋体" w:eastAsia="宋体" w:hint="default"/>
                <w:sz w:val="18"/>
                <w:szCs w:val="18"/>
              </w:rPr>
              <w:t>到</w:t>
            </w:r>
            <w:r>
              <w:rPr>
                <w:rFonts w:ascii="宋体" w:hAnsi="宋体" w:cs="宋体" w:eastAsia="宋体" w:hint="default"/>
                <w:sz w:val="18"/>
                <w:szCs w:val="18"/>
              </w:rPr>
              <w:t>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8"/>
              <w:ind w:left="23" w:right="-38"/>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4.40%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18.08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42"/>
                <w:sz w:val="18"/>
                <w:szCs w:val="18"/>
              </w:rPr>
              <w:t> </w:t>
            </w:r>
            <w:r>
              <w:rPr>
                <w:rFonts w:ascii="宋体" w:hAnsi="宋体" w:cs="宋体" w:eastAsia="宋体" w:hint="default"/>
                <w:sz w:val="18"/>
                <w:szCs w:val="18"/>
              </w:rPr>
              <w:t>到</w:t>
            </w:r>
            <w:r>
              <w:rPr>
                <w:rFonts w:ascii="宋体" w:hAnsi="宋体" w:cs="宋体" w:eastAsia="宋体" w:hint="default"/>
                <w:sz w:val="18"/>
                <w:szCs w:val="18"/>
              </w:rPr>
              <w:t>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8" w:hRule="exact"/>
        </w:trPr>
        <w:tc>
          <w:tcPr>
            <w:tcW w:w="85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10"/>
              <w:ind w:left="23" w:right="-38"/>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8"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8"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right"/>
              <w:rPr>
                <w:rFonts w:ascii="Times New Roman" w:hAnsi="Times New Roman" w:cs="Times New Roman" w:eastAsia="Times New Roman" w:hint="default"/>
                <w:sz w:val="18"/>
                <w:szCs w:val="18"/>
              </w:rPr>
            </w:pPr>
            <w:r>
              <w:rPr>
                <w:rFonts w:ascii="Times New Roman"/>
                <w:sz w:val="18"/>
              </w:rPr>
              <w:t>4.40%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right"/>
              <w:rPr>
                <w:rFonts w:ascii="Times New Roman" w:hAnsi="Times New Roman" w:cs="Times New Roman" w:eastAsia="Times New Roman" w:hint="default"/>
                <w:sz w:val="18"/>
                <w:szCs w:val="18"/>
              </w:rPr>
            </w:pPr>
            <w:r>
              <w:rPr>
                <w:rFonts w:ascii="Times New Roman"/>
                <w:sz w:val="18"/>
              </w:rPr>
              <w:t>18.08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0" w:hanging="22"/>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42"/>
                <w:sz w:val="18"/>
                <w:szCs w:val="18"/>
              </w:rPr>
              <w:t> </w:t>
            </w:r>
            <w:r>
              <w:rPr>
                <w:rFonts w:ascii="宋体" w:hAnsi="宋体" w:cs="宋体" w:eastAsia="宋体" w:hint="default"/>
                <w:sz w:val="18"/>
                <w:szCs w:val="18"/>
              </w:rPr>
              <w:t>到</w:t>
            </w:r>
            <w:r>
              <w:rPr>
                <w:rFonts w:ascii="宋体" w:hAnsi="宋体" w:cs="宋体" w:eastAsia="宋体" w:hint="default"/>
                <w:sz w:val="18"/>
                <w:szCs w:val="18"/>
              </w:rPr>
              <w:t>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8"/>
              <w:ind w:left="23" w:right="-38"/>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8"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4.55%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38.64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42"/>
                <w:sz w:val="18"/>
                <w:szCs w:val="18"/>
              </w:rPr>
              <w:t> </w:t>
            </w:r>
            <w:r>
              <w:rPr>
                <w:rFonts w:ascii="宋体" w:hAnsi="宋体" w:cs="宋体" w:eastAsia="宋体" w:hint="default"/>
                <w:sz w:val="18"/>
                <w:szCs w:val="18"/>
              </w:rPr>
              <w:t>到</w:t>
            </w:r>
            <w:r>
              <w:rPr>
                <w:rFonts w:ascii="宋体" w:hAnsi="宋体" w:cs="宋体" w:eastAsia="宋体" w:hint="default"/>
                <w:sz w:val="18"/>
                <w:szCs w:val="18"/>
              </w:rPr>
              <w:t>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8"/>
              <w:ind w:left="23" w:right="-38"/>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4.70%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57.95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42"/>
                <w:sz w:val="18"/>
                <w:szCs w:val="18"/>
              </w:rPr>
              <w:t> </w:t>
            </w:r>
            <w:r>
              <w:rPr>
                <w:rFonts w:ascii="宋体" w:hAnsi="宋体" w:cs="宋体" w:eastAsia="宋体" w:hint="default"/>
                <w:sz w:val="18"/>
                <w:szCs w:val="18"/>
              </w:rPr>
              <w:t>到</w:t>
            </w:r>
            <w:r>
              <w:rPr>
                <w:rFonts w:ascii="宋体" w:hAnsi="宋体" w:cs="宋体" w:eastAsia="宋体" w:hint="default"/>
                <w:sz w:val="18"/>
                <w:szCs w:val="18"/>
              </w:rPr>
              <w:t>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8"/>
              <w:ind w:left="23" w:right="-38"/>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left"/>
              <w:rPr>
                <w:rFonts w:ascii="Times New Roman" w:hAnsi="Times New Roman" w:cs="Times New Roman" w:eastAsia="Times New Roman" w:hint="default"/>
                <w:sz w:val="18"/>
                <w:szCs w:val="18"/>
              </w:rPr>
            </w:pPr>
            <w:r>
              <w:rPr>
                <w:rFonts w:ascii="Times New Roman"/>
                <w:sz w:val="18"/>
              </w:rPr>
              <w:t>2000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4.25%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7.22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42"/>
                <w:sz w:val="18"/>
                <w:szCs w:val="18"/>
              </w:rPr>
              <w:t> </w:t>
            </w:r>
            <w:r>
              <w:rPr>
                <w:rFonts w:ascii="宋体" w:hAnsi="宋体" w:cs="宋体" w:eastAsia="宋体" w:hint="default"/>
                <w:sz w:val="18"/>
                <w:szCs w:val="18"/>
              </w:rPr>
              <w:t>到</w:t>
            </w:r>
            <w:r>
              <w:rPr>
                <w:rFonts w:ascii="宋体" w:hAnsi="宋体" w:cs="宋体" w:eastAsia="宋体" w:hint="default"/>
                <w:sz w:val="18"/>
                <w:szCs w:val="18"/>
              </w:rPr>
              <w:t>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58" w:hRule="exact"/>
        </w:trPr>
        <w:tc>
          <w:tcPr>
            <w:tcW w:w="852"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8"/>
              <w:ind w:left="23" w:right="-34"/>
              <w:jc w:val="both"/>
              <w:rPr>
                <w:rFonts w:ascii="宋体" w:hAnsi="宋体" w:cs="宋体" w:eastAsia="宋体" w:hint="default"/>
                <w:sz w:val="18"/>
                <w:szCs w:val="18"/>
              </w:rPr>
            </w:pPr>
            <w:r>
              <w:rPr>
                <w:rFonts w:ascii="宋体" w:hAnsi="宋体" w:cs="宋体" w:eastAsia="宋体" w:hint="default"/>
                <w:spacing w:val="23"/>
                <w:sz w:val="18"/>
                <w:szCs w:val="18"/>
              </w:rPr>
              <w:t>北京银行</w:t>
            </w:r>
            <w:r>
              <w:rPr>
                <w:rFonts w:ascii="宋体" w:hAnsi="宋体" w:cs="宋体" w:eastAsia="宋体" w:hint="default"/>
                <w:spacing w:val="-59"/>
                <w:sz w:val="18"/>
                <w:szCs w:val="18"/>
              </w:rPr>
              <w:t> </w:t>
            </w:r>
            <w:r>
              <w:rPr>
                <w:rFonts w:ascii="宋体" w:hAnsi="宋体" w:cs="宋体" w:eastAsia="宋体" w:hint="default"/>
                <w:spacing w:val="23"/>
                <w:sz w:val="18"/>
                <w:szCs w:val="18"/>
              </w:rPr>
              <w:t>中关村科</w:t>
            </w:r>
            <w:r>
              <w:rPr>
                <w:rFonts w:ascii="宋体" w:hAnsi="宋体" w:cs="宋体" w:eastAsia="宋体" w:hint="default"/>
                <w:spacing w:val="-59"/>
                <w:sz w:val="18"/>
                <w:szCs w:val="18"/>
              </w:rPr>
              <w:t> </w:t>
            </w:r>
            <w:r>
              <w:rPr>
                <w:rFonts w:ascii="宋体" w:hAnsi="宋体" w:cs="宋体" w:eastAsia="宋体" w:hint="default"/>
                <w:spacing w:val="23"/>
                <w:sz w:val="18"/>
                <w:szCs w:val="18"/>
              </w:rPr>
              <w:t>技园区支</w:t>
            </w:r>
            <w:r>
              <w:rPr>
                <w:rFonts w:ascii="宋体" w:hAnsi="宋体" w:cs="宋体" w:eastAsia="宋体" w:hint="default"/>
                <w:spacing w:val="-59"/>
                <w:sz w:val="18"/>
                <w:szCs w:val="18"/>
              </w:rPr>
              <w:t> </w:t>
            </w:r>
            <w:r>
              <w:rPr>
                <w:rFonts w:ascii="宋体" w:hAnsi="宋体" w:cs="宋体" w:eastAsia="宋体" w:hint="default"/>
                <w:sz w:val="18"/>
                <w:szCs w:val="18"/>
              </w:rPr>
              <w:t>行</w:t>
            </w:r>
          </w:p>
        </w:tc>
        <w:tc>
          <w:tcPr>
            <w:tcW w:w="4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45" w:hanging="22"/>
              <w:jc w:val="left"/>
              <w:rPr>
                <w:rFonts w:ascii="宋体" w:hAnsi="宋体" w:cs="宋体" w:eastAsia="宋体" w:hint="default"/>
                <w:sz w:val="18"/>
                <w:szCs w:val="18"/>
              </w:rPr>
            </w:pPr>
            <w:r>
              <w:rPr>
                <w:rFonts w:ascii="宋体" w:hAnsi="宋体" w:cs="宋体" w:eastAsia="宋体" w:hint="default"/>
                <w:spacing w:val="28"/>
                <w:sz w:val="18"/>
                <w:szCs w:val="18"/>
              </w:rPr>
              <w:t>保本保证</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34.950pt;height:23.4pt;mso-position-horizontal-relative:char;mso-position-vertical-relative:line" coordorigin="0,0" coordsize="699,468">
                  <v:group style="position:absolute;left:0;top:0;width:699;height:468" coordorigin="0,0" coordsize="699,468">
                    <v:shape style="position:absolute;left:0;top:0;width:699;height:468" coordorigin="0,0" coordsize="699,468" path="m0,468l698,468,698,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1500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募集资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8" w:hanging="22"/>
              <w:jc w:val="both"/>
              <w:rPr>
                <w:rFonts w:ascii="宋体" w:hAnsi="宋体" w:cs="宋体" w:eastAsia="宋体" w:hint="default"/>
                <w:sz w:val="18"/>
                <w:szCs w:val="18"/>
              </w:rPr>
            </w:pPr>
            <w:r>
              <w:rPr>
                <w:rFonts w:ascii="宋体" w:hAnsi="宋体" w:cs="宋体" w:eastAsia="宋体" w:hint="default"/>
                <w:spacing w:val="8"/>
                <w:sz w:val="18"/>
                <w:szCs w:val="18"/>
              </w:rPr>
              <w:t>固定收益类金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融工具、现金</w:t>
            </w:r>
            <w:r>
              <w:rPr>
                <w:rFonts w:ascii="宋体" w:hAnsi="宋体" w:cs="宋体" w:eastAsia="宋体" w:hint="default"/>
                <w:spacing w:val="7"/>
                <w:sz w:val="18"/>
                <w:szCs w:val="18"/>
              </w:rPr>
              <w:t> </w:t>
            </w:r>
            <w:r>
              <w:rPr>
                <w:rFonts w:ascii="宋体" w:hAnsi="宋体" w:cs="宋体" w:eastAsia="宋体" w:hint="default"/>
                <w:sz w:val="18"/>
                <w:szCs w:val="18"/>
              </w:rPr>
              <w:t>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5.47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42"/>
                <w:sz w:val="18"/>
                <w:szCs w:val="18"/>
              </w:rPr>
              <w:t> </w:t>
            </w:r>
            <w:r>
              <w:rPr>
                <w:rFonts w:ascii="宋体" w:hAnsi="宋体" w:cs="宋体" w:eastAsia="宋体" w:hint="default"/>
                <w:sz w:val="18"/>
                <w:szCs w:val="18"/>
              </w:rPr>
              <w:t>到</w:t>
            </w:r>
            <w:r>
              <w:rPr>
                <w:rFonts w:ascii="宋体" w:hAnsi="宋体" w:cs="宋体" w:eastAsia="宋体" w:hint="default"/>
                <w:sz w:val="18"/>
                <w:szCs w:val="18"/>
              </w:rPr>
              <w:t>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pacing w:val="23"/>
                <w:sz w:val="18"/>
                <w:szCs w:val="18"/>
              </w:rPr>
              <w:t>北京银行</w:t>
            </w:r>
            <w:r>
              <w:rPr>
                <w:rFonts w:ascii="宋体" w:hAnsi="宋体" w:cs="宋体" w:eastAsia="宋体" w:hint="default"/>
                <w:spacing w:val="-59"/>
                <w:sz w:val="18"/>
                <w:szCs w:val="18"/>
              </w:rPr>
              <w:t> </w:t>
            </w:r>
            <w:r>
              <w:rPr>
                <w:rFonts w:ascii="宋体" w:hAnsi="宋体" w:cs="宋体" w:eastAsia="宋体" w:hint="default"/>
                <w:sz w:val="18"/>
                <w:szCs w:val="18"/>
              </w:rPr>
              <w:t>双秀支行</w:t>
            </w:r>
          </w:p>
        </w:tc>
        <w:tc>
          <w:tcPr>
            <w:tcW w:w="4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保本保证</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left"/>
              <w:rPr>
                <w:rFonts w:ascii="Times New Roman" w:hAnsi="Times New Roman" w:cs="Times New Roman" w:eastAsia="Times New Roman" w:hint="default"/>
                <w:sz w:val="18"/>
                <w:szCs w:val="18"/>
              </w:rPr>
            </w:pPr>
            <w:r>
              <w:rPr>
                <w:rFonts w:ascii="Times New Roman"/>
                <w:sz w:val="18"/>
              </w:rPr>
              <w:t>5000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募集资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 w:hanging="22"/>
              <w:jc w:val="both"/>
              <w:rPr>
                <w:rFonts w:ascii="宋体" w:hAnsi="宋体" w:cs="宋体" w:eastAsia="宋体" w:hint="default"/>
                <w:sz w:val="18"/>
                <w:szCs w:val="18"/>
              </w:rPr>
            </w:pPr>
            <w:r>
              <w:rPr>
                <w:rFonts w:ascii="宋体" w:hAnsi="宋体" w:cs="宋体" w:eastAsia="宋体" w:hint="default"/>
                <w:spacing w:val="8"/>
                <w:sz w:val="18"/>
                <w:szCs w:val="18"/>
              </w:rPr>
              <w:t>固定收益类金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融工具、现金</w:t>
            </w:r>
            <w:r>
              <w:rPr>
                <w:rFonts w:ascii="宋体" w:hAnsi="宋体" w:cs="宋体" w:eastAsia="宋体" w:hint="default"/>
                <w:spacing w:val="7"/>
                <w:sz w:val="18"/>
                <w:szCs w:val="18"/>
              </w:rPr>
              <w:t> </w:t>
            </w:r>
            <w:r>
              <w:rPr>
                <w:rFonts w:ascii="宋体" w:hAnsi="宋体" w:cs="宋体" w:eastAsia="宋体" w:hint="default"/>
                <w:sz w:val="18"/>
                <w:szCs w:val="18"/>
              </w:rPr>
              <w:t>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right"/>
              <w:rPr>
                <w:rFonts w:ascii="Times New Roman" w:hAnsi="Times New Roman" w:cs="Times New Roman" w:eastAsia="Times New Roman" w:hint="default"/>
                <w:sz w:val="18"/>
                <w:szCs w:val="18"/>
              </w:rPr>
            </w:pPr>
            <w:r>
              <w:rPr>
                <w:rFonts w:ascii="Times New Roman"/>
                <w:sz w:val="18"/>
              </w:rPr>
              <w:t>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18.25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42"/>
                <w:sz w:val="18"/>
                <w:szCs w:val="18"/>
              </w:rPr>
              <w:t> </w:t>
            </w:r>
            <w:r>
              <w:rPr>
                <w:rFonts w:ascii="宋体" w:hAnsi="宋体" w:cs="宋体" w:eastAsia="宋体" w:hint="default"/>
                <w:sz w:val="18"/>
                <w:szCs w:val="18"/>
              </w:rPr>
              <w:t>到</w:t>
            </w:r>
            <w:r>
              <w:rPr>
                <w:rFonts w:ascii="宋体" w:hAnsi="宋体" w:cs="宋体" w:eastAsia="宋体" w:hint="default"/>
                <w:sz w:val="18"/>
                <w:szCs w:val="18"/>
              </w:rPr>
              <w:t>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60" w:hRule="exact"/>
        </w:trPr>
        <w:tc>
          <w:tcPr>
            <w:tcW w:w="85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4"/>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45"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34.950pt;height:23.4pt;mso-position-horizontal-relative:char;mso-position-vertical-relative:line" coordorigin="0,0" coordsize="699,468">
                  <v:group style="position:absolute;left:0;top:0;width:699;height:468" coordorigin="0,0" coordsize="699,468">
                    <v:shape style="position:absolute;left:0;top:0;width:699;height:468" coordorigin="0,0" coordsize="699,468" path="m0,468l698,468,698,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2700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募集资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10"/>
              <w:ind w:left="26" w:right="-48" w:hanging="22"/>
              <w:jc w:val="both"/>
              <w:rPr>
                <w:rFonts w:ascii="宋体" w:hAnsi="宋体" w:cs="宋体" w:eastAsia="宋体" w:hint="default"/>
                <w:sz w:val="18"/>
                <w:szCs w:val="18"/>
              </w:rPr>
            </w:pPr>
            <w:r>
              <w:rPr>
                <w:rFonts w:ascii="宋体" w:hAnsi="宋体" w:cs="宋体" w:eastAsia="宋体" w:hint="default"/>
                <w:spacing w:val="8"/>
                <w:sz w:val="18"/>
                <w:szCs w:val="18"/>
              </w:rPr>
              <w:t>债权资产、资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金拆借及逆回</w:t>
            </w:r>
            <w:r>
              <w:rPr>
                <w:rFonts w:ascii="宋体" w:hAnsi="宋体" w:cs="宋体" w:eastAsia="宋体" w:hint="default"/>
                <w:spacing w:val="7"/>
                <w:sz w:val="18"/>
                <w:szCs w:val="18"/>
              </w:rPr>
              <w:t> </w:t>
            </w:r>
            <w:r>
              <w:rPr>
                <w:rFonts w:ascii="宋体" w:hAnsi="宋体" w:cs="宋体" w:eastAsia="宋体" w:hint="default"/>
                <w:spacing w:val="-16"/>
                <w:sz w:val="18"/>
                <w:szCs w:val="18"/>
              </w:rPr>
              <w:t>购、银行存款、</w:t>
            </w:r>
            <w:r>
              <w:rPr>
                <w:rFonts w:ascii="宋体" w:hAnsi="宋体" w:cs="宋体" w:eastAsia="宋体" w:hint="default"/>
                <w:spacing w:val="-51"/>
                <w:sz w:val="18"/>
                <w:szCs w:val="18"/>
              </w:rPr>
              <w:t> </w:t>
            </w:r>
            <w:r>
              <w:rPr>
                <w:rFonts w:ascii="宋体" w:hAnsi="宋体" w:cs="宋体" w:eastAsia="宋体" w:hint="default"/>
                <w:sz w:val="18"/>
                <w:szCs w:val="18"/>
              </w:rPr>
              <w:t>其他资产</w:t>
            </w:r>
          </w:p>
        </w:tc>
        <w:tc>
          <w:tcPr>
            <w:tcW w:w="5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4"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2" w:lineRule="exact"/>
              <w:ind w:left="12"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5.6pt;height:15.6pt;mso-position-horizontal-relative:char;mso-position-vertical-relative:line" coordorigin="0,0" coordsize="512,312">
                  <v:group style="position:absolute;left:0;top:0;width:512;height:312" coordorigin="0,0" coordsize="512,312">
                    <v:shape style="position:absolute;left:0;top:0;width:512;height:312" coordorigin="0,0" coordsize="512,312" path="m0,312l511,312,511,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z w:val="18"/>
              </w:rPr>
              <w:t>3.80%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pacing w:val="-2"/>
                <w:sz w:val="18"/>
              </w:rPr>
              <w:t>28.11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0" w:hanging="22"/>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42"/>
                <w:sz w:val="18"/>
                <w:szCs w:val="18"/>
              </w:rPr>
              <w:t> </w:t>
            </w:r>
            <w:r>
              <w:rPr>
                <w:rFonts w:ascii="宋体" w:hAnsi="宋体" w:cs="宋体" w:eastAsia="宋体" w:hint="default"/>
                <w:sz w:val="18"/>
                <w:szCs w:val="18"/>
              </w:rPr>
              <w:t>到</w:t>
            </w:r>
            <w:r>
              <w:rPr>
                <w:rFonts w:ascii="宋体" w:hAnsi="宋体" w:cs="宋体" w:eastAsia="宋体" w:hint="default"/>
                <w:sz w:val="18"/>
                <w:szCs w:val="18"/>
              </w:rPr>
              <w:t>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7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left"/>
              <w:rPr>
                <w:rFonts w:ascii="Times New Roman" w:hAnsi="Times New Roman" w:cs="Times New Roman" w:eastAsia="Times New Roman" w:hint="default"/>
                <w:sz w:val="18"/>
                <w:szCs w:val="18"/>
              </w:rPr>
            </w:pPr>
            <w:r>
              <w:rPr>
                <w:rFonts w:ascii="Times New Roman"/>
                <w:sz w:val="18"/>
              </w:rPr>
              <w:t>500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 w:hanging="22"/>
              <w:jc w:val="both"/>
              <w:rPr>
                <w:rFonts w:ascii="宋体" w:hAnsi="宋体" w:cs="宋体" w:eastAsia="宋体" w:hint="default"/>
                <w:sz w:val="18"/>
                <w:szCs w:val="18"/>
              </w:rPr>
            </w:pPr>
            <w:r>
              <w:rPr>
                <w:rFonts w:ascii="宋体" w:hAnsi="宋体" w:cs="宋体" w:eastAsia="宋体" w:hint="default"/>
                <w:spacing w:val="8"/>
                <w:sz w:val="18"/>
                <w:szCs w:val="18"/>
              </w:rPr>
              <w:t>固定收益类金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融工具、现金</w:t>
            </w:r>
            <w:r>
              <w:rPr>
                <w:rFonts w:ascii="宋体" w:hAnsi="宋体" w:cs="宋体" w:eastAsia="宋体" w:hint="default"/>
                <w:spacing w:val="7"/>
                <w:sz w:val="18"/>
                <w:szCs w:val="18"/>
              </w:rPr>
              <w:t> </w:t>
            </w:r>
            <w:r>
              <w:rPr>
                <w:rFonts w:ascii="宋体" w:hAnsi="宋体" w:cs="宋体" w:eastAsia="宋体" w:hint="default"/>
                <w:sz w:val="18"/>
                <w:szCs w:val="18"/>
              </w:rPr>
              <w:t>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1.61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pacing w:val="-1"/>
                <w:sz w:val="18"/>
              </w:rPr>
              <w:t>1.52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7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left"/>
              <w:rPr>
                <w:rFonts w:ascii="Times New Roman" w:hAnsi="Times New Roman" w:cs="Times New Roman" w:eastAsia="Times New Roman" w:hint="default"/>
                <w:sz w:val="18"/>
                <w:szCs w:val="18"/>
              </w:rPr>
            </w:pPr>
            <w:r>
              <w:rPr>
                <w:rFonts w:ascii="Times New Roman"/>
                <w:sz w:val="18"/>
              </w:rPr>
              <w:t>2000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8" w:hanging="22"/>
              <w:jc w:val="both"/>
              <w:rPr>
                <w:rFonts w:ascii="宋体" w:hAnsi="宋体" w:cs="宋体" w:eastAsia="宋体" w:hint="default"/>
                <w:sz w:val="18"/>
                <w:szCs w:val="18"/>
              </w:rPr>
            </w:pPr>
            <w:r>
              <w:rPr>
                <w:rFonts w:ascii="宋体" w:hAnsi="宋体" w:cs="宋体" w:eastAsia="宋体" w:hint="default"/>
                <w:spacing w:val="8"/>
                <w:sz w:val="18"/>
                <w:szCs w:val="18"/>
              </w:rPr>
              <w:t>固定收益类金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融工具、现金</w:t>
            </w:r>
            <w:r>
              <w:rPr>
                <w:rFonts w:ascii="宋体" w:hAnsi="宋体" w:cs="宋体" w:eastAsia="宋体" w:hint="default"/>
                <w:spacing w:val="7"/>
                <w:sz w:val="18"/>
                <w:szCs w:val="18"/>
              </w:rPr>
              <w:t> </w:t>
            </w:r>
            <w:r>
              <w:rPr>
                <w:rFonts w:ascii="宋体" w:hAnsi="宋体" w:cs="宋体" w:eastAsia="宋体" w:hint="default"/>
                <w:sz w:val="18"/>
                <w:szCs w:val="18"/>
              </w:rPr>
              <w:t>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9.21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pacing w:val="-1"/>
                <w:sz w:val="18"/>
              </w:rPr>
              <w:t>8.68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7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left"/>
              <w:rPr>
                <w:rFonts w:ascii="Times New Roman" w:hAnsi="Times New Roman" w:cs="Times New Roman" w:eastAsia="Times New Roman" w:hint="default"/>
                <w:sz w:val="18"/>
                <w:szCs w:val="18"/>
              </w:rPr>
            </w:pPr>
            <w:r>
              <w:rPr>
                <w:rFonts w:ascii="Times New Roman"/>
                <w:sz w:val="18"/>
              </w:rPr>
              <w:t>1000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 w:hanging="22"/>
              <w:jc w:val="both"/>
              <w:rPr>
                <w:rFonts w:ascii="宋体" w:hAnsi="宋体" w:cs="宋体" w:eastAsia="宋体" w:hint="default"/>
                <w:sz w:val="18"/>
                <w:szCs w:val="18"/>
              </w:rPr>
            </w:pPr>
            <w:r>
              <w:rPr>
                <w:rFonts w:ascii="宋体" w:hAnsi="宋体" w:cs="宋体" w:eastAsia="宋体" w:hint="default"/>
                <w:spacing w:val="8"/>
                <w:sz w:val="18"/>
                <w:szCs w:val="18"/>
              </w:rPr>
              <w:t>固定收益类金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融工具、现金</w:t>
            </w:r>
            <w:r>
              <w:rPr>
                <w:rFonts w:ascii="宋体" w:hAnsi="宋体" w:cs="宋体" w:eastAsia="宋体" w:hint="default"/>
                <w:spacing w:val="7"/>
                <w:sz w:val="18"/>
                <w:szCs w:val="18"/>
              </w:rPr>
              <w:t> </w:t>
            </w:r>
            <w:r>
              <w:rPr>
                <w:rFonts w:ascii="宋体" w:hAnsi="宋体" w:cs="宋体" w:eastAsia="宋体" w:hint="default"/>
                <w:sz w:val="18"/>
                <w:szCs w:val="18"/>
              </w:rPr>
              <w:t>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pacing w:val="-1"/>
                <w:sz w:val="18"/>
              </w:rPr>
              <w:t>3.30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7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left"/>
              <w:rPr>
                <w:rFonts w:ascii="Times New Roman" w:hAnsi="Times New Roman" w:cs="Times New Roman" w:eastAsia="Times New Roman" w:hint="default"/>
                <w:sz w:val="18"/>
                <w:szCs w:val="18"/>
              </w:rPr>
            </w:pPr>
            <w:r>
              <w:rPr>
                <w:rFonts w:ascii="Times New Roman"/>
                <w:sz w:val="18"/>
              </w:rPr>
              <w:t>1000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 w:hanging="22"/>
              <w:jc w:val="both"/>
              <w:rPr>
                <w:rFonts w:ascii="宋体" w:hAnsi="宋体" w:cs="宋体" w:eastAsia="宋体" w:hint="default"/>
                <w:sz w:val="18"/>
                <w:szCs w:val="18"/>
              </w:rPr>
            </w:pPr>
            <w:r>
              <w:rPr>
                <w:rFonts w:ascii="宋体" w:hAnsi="宋体" w:cs="宋体" w:eastAsia="宋体" w:hint="default"/>
                <w:spacing w:val="8"/>
                <w:sz w:val="18"/>
                <w:szCs w:val="18"/>
              </w:rPr>
              <w:t>固定收益类金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融工具、现金</w:t>
            </w:r>
            <w:r>
              <w:rPr>
                <w:rFonts w:ascii="宋体" w:hAnsi="宋体" w:cs="宋体" w:eastAsia="宋体" w:hint="default"/>
                <w:spacing w:val="7"/>
                <w:sz w:val="18"/>
                <w:szCs w:val="18"/>
              </w:rPr>
              <w:t> </w:t>
            </w:r>
            <w:r>
              <w:rPr>
                <w:rFonts w:ascii="宋体" w:hAnsi="宋体" w:cs="宋体" w:eastAsia="宋体" w:hint="default"/>
                <w:sz w:val="18"/>
                <w:szCs w:val="18"/>
              </w:rPr>
              <w:t>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3.82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pacing w:val="-1"/>
                <w:sz w:val="18"/>
              </w:rPr>
              <w:t>3.62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8"/>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 w:right="0"/>
              <w:jc w:val="left"/>
              <w:rPr>
                <w:rFonts w:ascii="Times New Roman" w:hAnsi="Times New Roman" w:cs="Times New Roman" w:eastAsia="Times New Roman" w:hint="default"/>
                <w:sz w:val="18"/>
                <w:szCs w:val="18"/>
              </w:rPr>
            </w:pPr>
            <w:r>
              <w:rPr>
                <w:rFonts w:ascii="Times New Roman"/>
                <w:sz w:val="18"/>
              </w:rPr>
              <w:t>1200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8"/>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8"/>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 w:hanging="22"/>
              <w:jc w:val="left"/>
              <w:rPr>
                <w:rFonts w:ascii="宋体" w:hAnsi="宋体" w:cs="宋体" w:eastAsia="宋体" w:hint="default"/>
                <w:sz w:val="18"/>
                <w:szCs w:val="18"/>
              </w:rPr>
            </w:pPr>
            <w:r>
              <w:rPr>
                <w:rFonts w:ascii="宋体" w:hAnsi="宋体" w:cs="宋体" w:eastAsia="宋体" w:hint="default"/>
                <w:spacing w:val="8"/>
                <w:sz w:val="18"/>
                <w:szCs w:val="18"/>
              </w:rPr>
              <w:t>固定收益类金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融工具、现金</w:t>
            </w:r>
            <w:r>
              <w:rPr>
                <w:rFonts w:ascii="宋体" w:hAnsi="宋体" w:cs="宋体" w:eastAsia="宋体" w:hint="default"/>
                <w:sz w:val="18"/>
                <w:szCs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4.58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4.32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220" w:right="220"/>
        </w:sectPr>
      </w:pPr>
    </w:p>
    <w:p>
      <w:pPr>
        <w:spacing w:line="240" w:lineRule="auto" w:before="11"/>
        <w:rPr>
          <w:rFonts w:ascii="Times New Roman" w:hAnsi="Times New Roman" w:cs="Times New Roman" w:eastAsia="Times New Roman" w:hint="default"/>
          <w:sz w:val="27"/>
          <w:szCs w:val="27"/>
        </w:rPr>
      </w:pPr>
      <w:r>
        <w:rPr/>
        <w:pict>
          <v:group style="position:absolute;margin-left:123.260002pt;margin-top:88.555984pt;width:34.950pt;height:15.65pt;mso-position-horizontal-relative:page;mso-position-vertical-relative:page;z-index:-997984" coordorigin="2465,1771" coordsize="699,313">
            <v:shape style="position:absolute;left:2465;top:1771;width:699;height:313" coordorigin="2465,1771" coordsize="699,313" path="m2465,2084l3164,2084,3164,1771,2465,1771,2465,2084xe" filled="true" fillcolor="#ffffff" stroked="false">
              <v:path arrowok="t"/>
              <v:fill type="solid"/>
            </v:shape>
            <w10:wrap type="none"/>
          </v:group>
        </w:pict>
      </w:r>
      <w:r>
        <w:rPr/>
        <w:pict>
          <v:group style="position:absolute;margin-left:123.260002pt;margin-top:135.859985pt;width:34.950pt;height:15.6pt;mso-position-horizontal-relative:page;mso-position-vertical-relative:page;z-index:-997960" coordorigin="2465,2717" coordsize="699,312">
            <v:shape style="position:absolute;left:2465;top:2717;width:699;height:312" coordorigin="2465,2717" coordsize="699,312" path="m2465,3029l3164,3029,3164,2717,2465,2717,2465,3029xe" filled="true" fillcolor="#ffffff" stroked="false">
              <v:path arrowok="t"/>
              <v:fill type="solid"/>
            </v:shape>
            <w10:wrap type="none"/>
          </v:group>
        </w:pict>
      </w:r>
      <w:r>
        <w:rPr/>
        <w:pict>
          <v:group style="position:absolute;margin-left:123.260002pt;margin-top:183.259979pt;width:34.950pt;height:15.6pt;mso-position-horizontal-relative:page;mso-position-vertical-relative:page;z-index:-997936" coordorigin="2465,3665" coordsize="699,312">
            <v:shape style="position:absolute;left:2465;top:3665;width:699;height:312" coordorigin="2465,3665" coordsize="699,312" path="m2465,3977l3164,3977,3164,3665,2465,3665,2465,3977xe" filled="true" fillcolor="#ffffff" stroked="false">
              <v:path arrowok="t"/>
              <v:fill type="solid"/>
            </v:shape>
            <w10:wrap type="none"/>
          </v:group>
        </w:pict>
      </w:r>
      <w:r>
        <w:rPr/>
        <w:pict>
          <v:group style="position:absolute;margin-left:123.260002pt;margin-top:230.539978pt;width:34.950pt;height:15.6pt;mso-position-horizontal-relative:page;mso-position-vertical-relative:page;z-index:-997912" coordorigin="2465,4611" coordsize="699,312">
            <v:shape style="position:absolute;left:2465;top:4611;width:699;height:312" coordorigin="2465,4611" coordsize="699,312" path="m2465,4923l3164,4923,3164,4611,2465,4611,2465,4923xe" filled="true" fillcolor="#ffffff" stroked="false">
              <v:path arrowok="t"/>
              <v:fill type="solid"/>
            </v:shape>
            <w10:wrap type="none"/>
          </v:group>
        </w:pict>
      </w:r>
      <w:r>
        <w:rPr/>
        <w:pict>
          <v:group style="position:absolute;margin-left:123.260002pt;margin-top:277.849976pt;width:34.950pt;height:15.6pt;mso-position-horizontal-relative:page;mso-position-vertical-relative:page;z-index:-997888" coordorigin="2465,5557" coordsize="699,312">
            <v:shape style="position:absolute;left:2465;top:5557;width:699;height:312" coordorigin="2465,5557" coordsize="699,312" path="m2465,5869l3164,5869,3164,5557,2465,5557,2465,5869xe" filled="true" fillcolor="#ffffff" stroked="false">
              <v:path arrowok="t"/>
              <v:fill type="solid"/>
            </v:shape>
            <w10:wrap type="none"/>
          </v:group>
        </w:pict>
      </w:r>
      <w:r>
        <w:rPr/>
        <w:pict>
          <v:group style="position:absolute;margin-left:123.260002pt;margin-top:325.129974pt;width:34.950pt;height:15.6pt;mso-position-horizontal-relative:page;mso-position-vertical-relative:page;z-index:-997864" coordorigin="2465,6503" coordsize="699,312">
            <v:shape style="position:absolute;left:2465;top:6503;width:699;height:312" coordorigin="2465,6503" coordsize="699,312" path="m2465,6815l3164,6815,3164,6503,2465,6503,2465,6815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852"/>
        <w:gridCol w:w="425"/>
        <w:gridCol w:w="850"/>
        <w:gridCol w:w="710"/>
        <w:gridCol w:w="591"/>
        <w:gridCol w:w="991"/>
        <w:gridCol w:w="850"/>
        <w:gridCol w:w="1152"/>
        <w:gridCol w:w="569"/>
        <w:gridCol w:w="709"/>
        <w:gridCol w:w="708"/>
        <w:gridCol w:w="569"/>
        <w:gridCol w:w="425"/>
        <w:gridCol w:w="425"/>
        <w:gridCol w:w="566"/>
        <w:gridCol w:w="425"/>
        <w:gridCol w:w="427"/>
      </w:tblGrid>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及存款</w:t>
            </w:r>
          </w:p>
        </w:tc>
        <w:tc>
          <w:tcPr>
            <w:tcW w:w="56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7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left"/>
              <w:rPr>
                <w:rFonts w:ascii="Times New Roman" w:hAnsi="Times New Roman" w:cs="Times New Roman" w:eastAsia="Times New Roman" w:hint="default"/>
                <w:sz w:val="18"/>
                <w:szCs w:val="18"/>
              </w:rPr>
            </w:pPr>
            <w:r>
              <w:rPr>
                <w:rFonts w:ascii="Times New Roman"/>
                <w:sz w:val="18"/>
              </w:rPr>
              <w:t>1400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 w:hanging="22"/>
              <w:jc w:val="both"/>
              <w:rPr>
                <w:rFonts w:ascii="宋体" w:hAnsi="宋体" w:cs="宋体" w:eastAsia="宋体" w:hint="default"/>
                <w:sz w:val="18"/>
                <w:szCs w:val="18"/>
              </w:rPr>
            </w:pPr>
            <w:r>
              <w:rPr>
                <w:rFonts w:ascii="宋体" w:hAnsi="宋体" w:cs="宋体" w:eastAsia="宋体" w:hint="default"/>
                <w:spacing w:val="8"/>
                <w:sz w:val="18"/>
                <w:szCs w:val="18"/>
              </w:rPr>
              <w:t>固定收益类金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融工具、现金</w:t>
            </w:r>
            <w:r>
              <w:rPr>
                <w:rFonts w:ascii="宋体" w:hAnsi="宋体" w:cs="宋体" w:eastAsia="宋体" w:hint="default"/>
                <w:spacing w:val="7"/>
                <w:sz w:val="18"/>
                <w:szCs w:val="18"/>
              </w:rPr>
              <w:t> </w:t>
            </w:r>
            <w:r>
              <w:rPr>
                <w:rFonts w:ascii="宋体" w:hAnsi="宋体" w:cs="宋体" w:eastAsia="宋体" w:hint="default"/>
                <w:sz w:val="18"/>
                <w:szCs w:val="18"/>
              </w:rPr>
              <w:t>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5.57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pacing w:val="-1"/>
                <w:sz w:val="18"/>
              </w:rPr>
              <w:t>5.26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7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left"/>
              <w:rPr>
                <w:rFonts w:ascii="Times New Roman" w:hAnsi="Times New Roman" w:cs="Times New Roman" w:eastAsia="Times New Roman" w:hint="default"/>
                <w:sz w:val="18"/>
                <w:szCs w:val="18"/>
              </w:rPr>
            </w:pPr>
            <w:r>
              <w:rPr>
                <w:rFonts w:ascii="Times New Roman"/>
                <w:sz w:val="18"/>
              </w:rPr>
              <w:t>1600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 w:hanging="22"/>
              <w:jc w:val="both"/>
              <w:rPr>
                <w:rFonts w:ascii="宋体" w:hAnsi="宋体" w:cs="宋体" w:eastAsia="宋体" w:hint="default"/>
                <w:sz w:val="18"/>
                <w:szCs w:val="18"/>
              </w:rPr>
            </w:pPr>
            <w:r>
              <w:rPr>
                <w:rFonts w:ascii="宋体" w:hAnsi="宋体" w:cs="宋体" w:eastAsia="宋体" w:hint="default"/>
                <w:spacing w:val="8"/>
                <w:sz w:val="18"/>
                <w:szCs w:val="18"/>
              </w:rPr>
              <w:t>固定收益类金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融工具、现金</w:t>
            </w:r>
            <w:r>
              <w:rPr>
                <w:rFonts w:ascii="宋体" w:hAnsi="宋体" w:cs="宋体" w:eastAsia="宋体" w:hint="default"/>
                <w:spacing w:val="7"/>
                <w:sz w:val="18"/>
                <w:szCs w:val="18"/>
              </w:rPr>
              <w:t> </w:t>
            </w:r>
            <w:r>
              <w:rPr>
                <w:rFonts w:ascii="宋体" w:hAnsi="宋体" w:cs="宋体" w:eastAsia="宋体" w:hint="default"/>
                <w:sz w:val="18"/>
                <w:szCs w:val="18"/>
              </w:rPr>
              <w:t>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6.4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pacing w:val="-1"/>
                <w:sz w:val="18"/>
              </w:rPr>
              <w:t>6.05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8" w:right="0"/>
              <w:jc w:val="left"/>
              <w:rPr>
                <w:rFonts w:ascii="Times New Roman" w:hAnsi="Times New Roman" w:cs="Times New Roman" w:eastAsia="Times New Roman" w:hint="default"/>
                <w:sz w:val="18"/>
                <w:szCs w:val="18"/>
              </w:rPr>
            </w:pPr>
            <w:r>
              <w:rPr>
                <w:rFonts w:ascii="Times New Roman"/>
                <w:sz w:val="18"/>
              </w:rPr>
              <w:t>1500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8" w:hanging="22"/>
              <w:jc w:val="both"/>
              <w:rPr>
                <w:rFonts w:ascii="宋体" w:hAnsi="宋体" w:cs="宋体" w:eastAsia="宋体" w:hint="default"/>
                <w:sz w:val="18"/>
                <w:szCs w:val="18"/>
              </w:rPr>
            </w:pPr>
            <w:r>
              <w:rPr>
                <w:rFonts w:ascii="宋体" w:hAnsi="宋体" w:cs="宋体" w:eastAsia="宋体" w:hint="default"/>
                <w:spacing w:val="8"/>
                <w:sz w:val="18"/>
                <w:szCs w:val="18"/>
              </w:rPr>
              <w:t>固定收益类金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融工具、现金</w:t>
            </w:r>
            <w:r>
              <w:rPr>
                <w:rFonts w:ascii="宋体" w:hAnsi="宋体" w:cs="宋体" w:eastAsia="宋体" w:hint="default"/>
                <w:spacing w:val="7"/>
                <w:sz w:val="18"/>
                <w:szCs w:val="18"/>
              </w:rPr>
              <w:t> </w:t>
            </w:r>
            <w:r>
              <w:rPr>
                <w:rFonts w:ascii="宋体" w:hAnsi="宋体" w:cs="宋体" w:eastAsia="宋体" w:hint="default"/>
                <w:sz w:val="18"/>
                <w:szCs w:val="18"/>
              </w:rPr>
              <w:t>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right"/>
              <w:rPr>
                <w:rFonts w:ascii="Times New Roman" w:hAnsi="Times New Roman" w:cs="Times New Roman" w:eastAsia="Times New Roman" w:hint="default"/>
                <w:sz w:val="18"/>
                <w:szCs w:val="18"/>
              </w:rPr>
            </w:pPr>
            <w:r>
              <w:rPr>
                <w:rFonts w:ascii="Times New Roman"/>
                <w:sz w:val="18"/>
              </w:rPr>
              <w:t>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right"/>
              <w:rPr>
                <w:rFonts w:ascii="Times New Roman" w:hAnsi="Times New Roman" w:cs="Times New Roman" w:eastAsia="Times New Roman" w:hint="default"/>
                <w:sz w:val="18"/>
                <w:szCs w:val="18"/>
              </w:rPr>
            </w:pPr>
            <w:r>
              <w:rPr>
                <w:rFonts w:ascii="Times New Roman"/>
                <w:spacing w:val="-2"/>
                <w:w w:val="95"/>
                <w:sz w:val="18"/>
              </w:rPr>
              <w:t>6.11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
              <w:jc w:val="right"/>
              <w:rPr>
                <w:rFonts w:ascii="Times New Roman" w:hAnsi="Times New Roman" w:cs="Times New Roman" w:eastAsia="Times New Roman" w:hint="default"/>
                <w:sz w:val="18"/>
                <w:szCs w:val="18"/>
              </w:rPr>
            </w:pPr>
            <w:r>
              <w:rPr>
                <w:rFonts w:ascii="Times New Roman"/>
                <w:spacing w:val="-1"/>
                <w:sz w:val="18"/>
              </w:rPr>
              <w:t>5.77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7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left"/>
              <w:rPr>
                <w:rFonts w:ascii="Times New Roman" w:hAnsi="Times New Roman" w:cs="Times New Roman" w:eastAsia="Times New Roman" w:hint="default"/>
                <w:sz w:val="18"/>
                <w:szCs w:val="18"/>
              </w:rPr>
            </w:pPr>
            <w:r>
              <w:rPr>
                <w:rFonts w:ascii="Times New Roman"/>
                <w:sz w:val="18"/>
              </w:rPr>
              <w:t>1500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8" w:hanging="22"/>
              <w:jc w:val="both"/>
              <w:rPr>
                <w:rFonts w:ascii="宋体" w:hAnsi="宋体" w:cs="宋体" w:eastAsia="宋体" w:hint="default"/>
                <w:sz w:val="18"/>
                <w:szCs w:val="18"/>
              </w:rPr>
            </w:pPr>
            <w:r>
              <w:rPr>
                <w:rFonts w:ascii="宋体" w:hAnsi="宋体" w:cs="宋体" w:eastAsia="宋体" w:hint="default"/>
                <w:spacing w:val="8"/>
                <w:sz w:val="18"/>
                <w:szCs w:val="18"/>
              </w:rPr>
              <w:t>固定收益类金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融工具、现金</w:t>
            </w:r>
            <w:r>
              <w:rPr>
                <w:rFonts w:ascii="宋体" w:hAnsi="宋体" w:cs="宋体" w:eastAsia="宋体" w:hint="default"/>
                <w:spacing w:val="7"/>
                <w:sz w:val="18"/>
                <w:szCs w:val="18"/>
              </w:rPr>
              <w:t> </w:t>
            </w:r>
            <w:r>
              <w:rPr>
                <w:rFonts w:ascii="宋体" w:hAnsi="宋体" w:cs="宋体" w:eastAsia="宋体" w:hint="default"/>
                <w:sz w:val="18"/>
                <w:szCs w:val="18"/>
              </w:rPr>
              <w:t>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5.75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pacing w:val="-1"/>
                <w:sz w:val="18"/>
              </w:rPr>
              <w:t>5.43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7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left"/>
              <w:rPr>
                <w:rFonts w:ascii="Times New Roman" w:hAnsi="Times New Roman" w:cs="Times New Roman" w:eastAsia="Times New Roman" w:hint="default"/>
                <w:sz w:val="18"/>
                <w:szCs w:val="18"/>
              </w:rPr>
            </w:pPr>
            <w:r>
              <w:rPr>
                <w:rFonts w:ascii="Times New Roman"/>
                <w:sz w:val="18"/>
              </w:rPr>
              <w:t>1500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 w:hanging="22"/>
              <w:jc w:val="both"/>
              <w:rPr>
                <w:rFonts w:ascii="宋体" w:hAnsi="宋体" w:cs="宋体" w:eastAsia="宋体" w:hint="default"/>
                <w:sz w:val="18"/>
                <w:szCs w:val="18"/>
              </w:rPr>
            </w:pPr>
            <w:r>
              <w:rPr>
                <w:rFonts w:ascii="宋体" w:hAnsi="宋体" w:cs="宋体" w:eastAsia="宋体" w:hint="default"/>
                <w:spacing w:val="8"/>
                <w:sz w:val="18"/>
                <w:szCs w:val="18"/>
              </w:rPr>
              <w:t>固定收益类金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融工具、现金</w:t>
            </w:r>
            <w:r>
              <w:rPr>
                <w:rFonts w:ascii="宋体" w:hAnsi="宋体" w:cs="宋体" w:eastAsia="宋体" w:hint="default"/>
                <w:spacing w:val="7"/>
                <w:sz w:val="18"/>
                <w:szCs w:val="18"/>
              </w:rPr>
              <w:t> </w:t>
            </w:r>
            <w:r>
              <w:rPr>
                <w:rFonts w:ascii="宋体" w:hAnsi="宋体" w:cs="宋体" w:eastAsia="宋体" w:hint="default"/>
                <w:sz w:val="18"/>
                <w:szCs w:val="18"/>
              </w:rPr>
              <w:t>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6.47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42"/>
                <w:sz w:val="18"/>
                <w:szCs w:val="18"/>
              </w:rPr>
              <w:t> </w:t>
            </w:r>
            <w:r>
              <w:rPr>
                <w:rFonts w:ascii="宋体" w:hAnsi="宋体" w:cs="宋体" w:eastAsia="宋体" w:hint="default"/>
                <w:sz w:val="18"/>
                <w:szCs w:val="18"/>
              </w:rPr>
              <w:t>到</w:t>
            </w:r>
            <w:r>
              <w:rPr>
                <w:rFonts w:ascii="宋体" w:hAnsi="宋体" w:cs="宋体" w:eastAsia="宋体" w:hint="default"/>
                <w:sz w:val="18"/>
                <w:szCs w:val="18"/>
              </w:rPr>
              <w:t>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7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left"/>
              <w:rPr>
                <w:rFonts w:ascii="Times New Roman" w:hAnsi="Times New Roman" w:cs="Times New Roman" w:eastAsia="Times New Roman" w:hint="default"/>
                <w:sz w:val="18"/>
                <w:szCs w:val="18"/>
              </w:rPr>
            </w:pPr>
            <w:r>
              <w:rPr>
                <w:rFonts w:ascii="Times New Roman"/>
                <w:sz w:val="18"/>
              </w:rPr>
              <w:t>1000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 w:hanging="22"/>
              <w:jc w:val="both"/>
              <w:rPr>
                <w:rFonts w:ascii="宋体" w:hAnsi="宋体" w:cs="宋体" w:eastAsia="宋体" w:hint="default"/>
                <w:sz w:val="18"/>
                <w:szCs w:val="18"/>
              </w:rPr>
            </w:pPr>
            <w:r>
              <w:rPr>
                <w:rFonts w:ascii="宋体" w:hAnsi="宋体" w:cs="宋体" w:eastAsia="宋体" w:hint="default"/>
                <w:spacing w:val="8"/>
                <w:sz w:val="18"/>
                <w:szCs w:val="18"/>
              </w:rPr>
              <w:t>固定收益类金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融工具、现金</w:t>
            </w:r>
            <w:r>
              <w:rPr>
                <w:rFonts w:ascii="宋体" w:hAnsi="宋体" w:cs="宋体" w:eastAsia="宋体" w:hint="default"/>
                <w:spacing w:val="7"/>
                <w:sz w:val="18"/>
                <w:szCs w:val="18"/>
              </w:rPr>
              <w:t> </w:t>
            </w:r>
            <w:r>
              <w:rPr>
                <w:rFonts w:ascii="宋体" w:hAnsi="宋体" w:cs="宋体" w:eastAsia="宋体" w:hint="default"/>
                <w:sz w:val="18"/>
                <w:szCs w:val="18"/>
              </w:rPr>
              <w:t>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4.32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42"/>
                <w:sz w:val="18"/>
                <w:szCs w:val="18"/>
              </w:rPr>
              <w:t> </w:t>
            </w:r>
            <w:r>
              <w:rPr>
                <w:rFonts w:ascii="宋体" w:hAnsi="宋体" w:cs="宋体" w:eastAsia="宋体" w:hint="default"/>
                <w:sz w:val="18"/>
                <w:szCs w:val="18"/>
              </w:rPr>
              <w:t>到</w:t>
            </w:r>
            <w:r>
              <w:rPr>
                <w:rFonts w:ascii="宋体" w:hAnsi="宋体" w:cs="宋体" w:eastAsia="宋体" w:hint="default"/>
                <w:sz w:val="18"/>
                <w:szCs w:val="18"/>
              </w:rPr>
              <w:t>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7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51"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left"/>
              <w:rPr>
                <w:rFonts w:ascii="Times New Roman" w:hAnsi="Times New Roman" w:cs="Times New Roman" w:eastAsia="Times New Roman" w:hint="default"/>
                <w:sz w:val="18"/>
                <w:szCs w:val="18"/>
              </w:rPr>
            </w:pPr>
            <w:r>
              <w:rPr>
                <w:rFonts w:ascii="Times New Roman"/>
                <w:sz w:val="18"/>
              </w:rPr>
              <w:t>500</w:t>
            </w:r>
          </w:p>
        </w:tc>
        <w:tc>
          <w:tcPr>
            <w:tcW w:w="5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1"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 w:hanging="22"/>
              <w:jc w:val="both"/>
              <w:rPr>
                <w:rFonts w:ascii="宋体" w:hAnsi="宋体" w:cs="宋体" w:eastAsia="宋体" w:hint="default"/>
                <w:sz w:val="18"/>
                <w:szCs w:val="18"/>
              </w:rPr>
            </w:pPr>
            <w:r>
              <w:rPr>
                <w:rFonts w:ascii="宋体" w:hAnsi="宋体" w:cs="宋体" w:eastAsia="宋体" w:hint="default"/>
                <w:spacing w:val="8"/>
                <w:sz w:val="18"/>
                <w:szCs w:val="18"/>
              </w:rPr>
              <w:t>固定收益类金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融工具、现金</w:t>
            </w:r>
            <w:r>
              <w:rPr>
                <w:rFonts w:ascii="宋体" w:hAnsi="宋体" w:cs="宋体" w:eastAsia="宋体" w:hint="default"/>
                <w:spacing w:val="7"/>
                <w:sz w:val="18"/>
                <w:szCs w:val="18"/>
              </w:rPr>
              <w:t> </w:t>
            </w:r>
            <w:r>
              <w:rPr>
                <w:rFonts w:ascii="宋体" w:hAnsi="宋体" w:cs="宋体" w:eastAsia="宋体" w:hint="default"/>
                <w:sz w:val="18"/>
                <w:szCs w:val="18"/>
              </w:rPr>
              <w:t>及存款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2.30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0" w:hanging="22"/>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42"/>
                <w:sz w:val="18"/>
                <w:szCs w:val="18"/>
              </w:rPr>
              <w:t> </w:t>
            </w:r>
            <w:r>
              <w:rPr>
                <w:rFonts w:ascii="宋体" w:hAnsi="宋体" w:cs="宋体" w:eastAsia="宋体" w:hint="default"/>
                <w:sz w:val="18"/>
                <w:szCs w:val="18"/>
              </w:rPr>
              <w:t>到</w:t>
            </w:r>
            <w:r>
              <w:rPr>
                <w:rFonts w:ascii="宋体" w:hAnsi="宋体" w:cs="宋体" w:eastAsia="宋体" w:hint="default"/>
                <w:sz w:val="18"/>
                <w:szCs w:val="18"/>
              </w:rPr>
              <w:t>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21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172,100</w:t>
            </w:r>
          </w:p>
        </w:tc>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2"/>
                <w:sz w:val="18"/>
              </w:rPr>
              <w:t>1139.5</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pacing w:val="-1"/>
                <w:sz w:val="18"/>
              </w:rPr>
              <w:t>838.62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Times New Roman" w:hAnsi="Times New Roman" w:cs="Times New Roman" w:eastAsia="Times New Roman" w:hint="default"/>
                <w:sz w:val="21"/>
                <w:szCs w:val="21"/>
              </w:rPr>
            </w:pPr>
            <w:r>
              <w:rPr>
                <w:rFonts w:ascii="Times New Roman"/>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Times New Roman" w:hAnsi="Times New Roman" w:cs="Times New Roman" w:eastAsia="Times New Roman" w:hint="default"/>
                <w:sz w:val="21"/>
                <w:szCs w:val="21"/>
              </w:rPr>
            </w:pPr>
            <w:r>
              <w:rPr>
                <w:rFonts w:ascii="Times New Roman"/>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28"/>
        <w:ind w:left="913" w:right="0" w:firstLine="0"/>
        <w:jc w:val="left"/>
        <w:rPr>
          <w:rFonts w:ascii="宋体" w:hAnsi="宋体" w:cs="宋体" w:eastAsia="宋体" w:hint="default"/>
          <w:sz w:val="21"/>
          <w:szCs w:val="21"/>
        </w:rPr>
      </w:pPr>
      <w:r>
        <w:rPr/>
        <w:pict>
          <v:group style="position:absolute;margin-left:123.260002pt;margin-top:-72.876328pt;width:34.950pt;height:15.6pt;mso-position-horizontal-relative:page;mso-position-vertical-relative:paragraph;z-index:-997840" coordorigin="2465,-1458" coordsize="699,312">
            <v:shape style="position:absolute;left:2465;top:-1458;width:699;height:312" coordorigin="2465,-1458" coordsize="699,312" path="m2465,-1146l3164,-1146,3164,-1458,2465,-1458,2465,-1146xe" filled="true" fillcolor="#ffffff" stroked="false">
              <v:path arrowok="t"/>
              <v:fill type="solid"/>
            </v:shape>
            <w10:wrap type="none"/>
          </v:group>
        </w:pic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：本期实际损益金额为扣除税金后的金额。</w:t>
      </w:r>
    </w:p>
    <w:p>
      <w:pPr>
        <w:spacing w:before="59"/>
        <w:ind w:left="913"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：报告期损益实际收回情况指截至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日回收情况。</w:t>
      </w:r>
    </w:p>
    <w:p>
      <w:pPr>
        <w:pStyle w:val="BodyText"/>
        <w:spacing w:line="240" w:lineRule="auto" w:before="113"/>
        <w:ind w:left="913" w:right="0"/>
        <w:jc w:val="left"/>
      </w:pPr>
      <w:r>
        <w:rPr/>
        <w:t>委托理财出现预期无法收回本金或存在其他可能导致减值的情形</w:t>
      </w:r>
    </w:p>
    <w:p>
      <w:pPr>
        <w:pStyle w:val="BodyText"/>
        <w:spacing w:line="240" w:lineRule="auto" w:before="192"/>
        <w:ind w:left="913" w:right="6933"/>
        <w:jc w:val="left"/>
      </w:pPr>
      <w:r>
        <w:rPr/>
        <w:t>□ 适用 √</w:t>
      </w:r>
      <w:r>
        <w:rPr>
          <w:spacing w:val="-1"/>
        </w:rPr>
        <w:t> </w:t>
      </w:r>
      <w:r>
        <w:rPr/>
        <w:t>不适用</w:t>
      </w:r>
    </w:p>
    <w:p>
      <w:pPr>
        <w:spacing w:line="240" w:lineRule="auto" w:before="11"/>
        <w:rPr>
          <w:rFonts w:ascii="宋体" w:hAnsi="宋体" w:cs="宋体" w:eastAsia="宋体" w:hint="default"/>
          <w:sz w:val="34"/>
          <w:szCs w:val="34"/>
        </w:rPr>
      </w:pPr>
    </w:p>
    <w:p>
      <w:pPr>
        <w:pStyle w:val="Heading2"/>
        <w:spacing w:line="240" w:lineRule="auto"/>
        <w:ind w:left="1333" w:right="69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33"/>
          <w:szCs w:val="33"/>
        </w:rPr>
      </w:pPr>
    </w:p>
    <w:p>
      <w:pPr>
        <w:pStyle w:val="BodyText"/>
        <w:spacing w:line="240" w:lineRule="auto" w:before="0"/>
        <w:ind w:left="1393" w:right="6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33"/>
          <w:szCs w:val="33"/>
        </w:rPr>
      </w:pPr>
    </w:p>
    <w:p>
      <w:pPr>
        <w:pStyle w:val="Heading2"/>
        <w:spacing w:line="240" w:lineRule="auto"/>
        <w:ind w:left="913" w:right="69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1393" w:right="6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公司报告期不存在其他重大合同。</w:t>
      </w:r>
    </w:p>
    <w:p>
      <w:pPr>
        <w:spacing w:after="0" w:line="338" w:lineRule="auto"/>
        <w:jc w:val="left"/>
        <w:sectPr>
          <w:pgSz w:w="11910" w:h="16840"/>
          <w:pgMar w:header="877" w:footer="980" w:top="1100" w:bottom="1160" w:left="220" w:right="220"/>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r>
        <w:rPr/>
        <w:t>十七、社会责任情况</w:t>
      </w:r>
      <w:r>
        <w:rPr>
          <w:b w:val="0"/>
          <w:bCs w:val="0"/>
        </w:rPr>
      </w:r>
    </w:p>
    <w:p>
      <w:pPr>
        <w:spacing w:line="240" w:lineRule="auto" w:before="11"/>
        <w:rPr>
          <w:rFonts w:ascii="宋体" w:hAnsi="宋体" w:cs="宋体" w:eastAsia="宋体" w:hint="default"/>
          <w:b/>
          <w:bCs/>
          <w:sz w:val="28"/>
          <w:szCs w:val="28"/>
        </w:rPr>
      </w:pPr>
    </w:p>
    <w:p>
      <w:pPr>
        <w:pStyle w:val="BodyText"/>
        <w:spacing w:line="338" w:lineRule="auto" w:before="0"/>
        <w:ind w:left="633" w:right="137"/>
        <w:jc w:val="left"/>
      </w:pPr>
      <w:r>
        <w:rPr>
          <w:rFonts w:ascii="Times New Roman" w:hAnsi="Times New Roman" w:cs="Times New Roman" w:eastAsia="Times New Roman" w:hint="default"/>
        </w:rPr>
        <w:t>1</w:t>
      </w:r>
      <w:r>
        <w:rPr/>
        <w:t>、履行社会责任情况 </w:t>
      </w:r>
      <w:r>
        <w:rPr>
          <w:spacing w:val="-7"/>
        </w:rPr>
        <w:t>公司持续秉承</w:t>
      </w:r>
      <w:r>
        <w:rPr>
          <w:rFonts w:ascii="Times New Roman" w:hAnsi="Times New Roman" w:cs="Times New Roman" w:eastAsia="Times New Roman" w:hint="default"/>
          <w:spacing w:val="-7"/>
        </w:rPr>
        <w:t>“</w:t>
      </w:r>
      <w:r>
        <w:rPr>
          <w:spacing w:val="-7"/>
        </w:rPr>
        <w:t>诚信</w:t>
      </w:r>
      <w:r>
        <w:rPr>
          <w:rFonts w:ascii="Times New Roman" w:hAnsi="Times New Roman" w:cs="Times New Roman" w:eastAsia="Times New Roman" w:hint="default"/>
          <w:spacing w:val="-7"/>
        </w:rPr>
        <w:t>”</w:t>
      </w:r>
      <w:r>
        <w:rPr>
          <w:spacing w:val="-7"/>
        </w:rPr>
        <w:t>的经营之道，忠实履行合同，恪守商业信用。</w:t>
      </w:r>
      <w:r>
        <w:rPr>
          <w:rFonts w:ascii="Times New Roman" w:hAnsi="Times New Roman" w:cs="Times New Roman" w:eastAsia="Times New Roman" w:hint="default"/>
          <w:spacing w:val="-7"/>
        </w:rPr>
        <w:t>2017 </w:t>
      </w:r>
      <w:r>
        <w:rPr/>
        <w:t>年公司在</w:t>
      </w:r>
      <w:r>
        <w:rPr>
          <w:rFonts w:ascii="Times New Roman" w:hAnsi="Times New Roman" w:cs="Times New Roman" w:eastAsia="Times New Roman" w:hint="default"/>
        </w:rPr>
        <w:t>“2017 </w:t>
      </w:r>
      <w:r>
        <w:rPr>
          <w:rFonts w:ascii="Times New Roman" w:hAnsi="Times New Roman" w:cs="Times New Roman" w:eastAsia="Times New Roman" w:hint="default"/>
          <w:spacing w:val="21"/>
        </w:rPr>
        <w:t> </w:t>
      </w:r>
      <w:r>
        <w:rPr/>
        <w:t>年</w:t>
      </w:r>
    </w:p>
    <w:p>
      <w:pPr>
        <w:pStyle w:val="BodyText"/>
        <w:spacing w:line="345" w:lineRule="auto" w:before="27"/>
        <w:ind w:right="151"/>
        <w:jc w:val="both"/>
      </w:pPr>
      <w:r>
        <w:rPr>
          <w:rFonts w:ascii="Times New Roman" w:hAnsi="Times New Roman" w:cs="Times New Roman" w:eastAsia="Times New Roman" w:hint="default"/>
        </w:rPr>
        <w:t>(</w:t>
      </w:r>
      <w:r>
        <w:rPr/>
        <w:t>第十一批</w:t>
      </w:r>
      <w:r>
        <w:rPr>
          <w:rFonts w:ascii="Times New Roman" w:hAnsi="Times New Roman" w:cs="Times New Roman" w:eastAsia="Times New Roman" w:hint="default"/>
        </w:rPr>
        <w:t>)</w:t>
      </w:r>
      <w:r>
        <w:rPr/>
        <w:t>中国软件和信息服务业企业信用等级评价</w:t>
      </w:r>
      <w:r>
        <w:rPr>
          <w:rFonts w:ascii="Times New Roman" w:hAnsi="Times New Roman" w:cs="Times New Roman" w:eastAsia="Times New Roman" w:hint="default"/>
        </w:rPr>
        <w:t>”</w:t>
      </w:r>
      <w:r>
        <w:rPr/>
        <w:t>被评为软件企业信用评价等级最高级别 </w:t>
      </w:r>
      <w:r>
        <w:rPr>
          <w:rFonts w:ascii="Times New Roman" w:hAnsi="Times New Roman" w:cs="Times New Roman" w:eastAsia="Times New Roman" w:hint="default"/>
        </w:rPr>
        <w:t>AAA</w:t>
      </w:r>
      <w:r>
        <w:rPr>
          <w:rFonts w:ascii="Times New Roman" w:hAnsi="Times New Roman" w:cs="Times New Roman" w:eastAsia="Times New Roman" w:hint="default"/>
          <w:spacing w:val="-33"/>
        </w:rPr>
        <w:t> </w:t>
      </w:r>
      <w:r>
        <w:rPr/>
        <w:t>级。报告期内，公司正式加入阳光诚信联盟，联盟以</w:t>
      </w:r>
      <w:r>
        <w:rPr>
          <w:rFonts w:ascii="Times New Roman" w:hAnsi="Times New Roman" w:cs="Times New Roman" w:eastAsia="Times New Roman" w:hint="default"/>
        </w:rPr>
        <w:t>“</w:t>
      </w:r>
      <w:r>
        <w:rPr/>
        <w:t>诚信经营</w:t>
      </w:r>
      <w:r>
        <w:rPr>
          <w:rFonts w:ascii="Times New Roman" w:hAnsi="Times New Roman" w:cs="Times New Roman" w:eastAsia="Times New Roman" w:hint="default"/>
        </w:rPr>
        <w:t>”</w:t>
      </w:r>
      <w:r>
        <w:rPr/>
        <w:t>为使命，致力于共同打 造诚信阳光的商业和社会环境，引领中国商业文明的发展。联盟成员包括京东、百度在内的 近百家企业，涵盖互联网、</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t>等各个行业。</w:t>
      </w:r>
    </w:p>
    <w:p>
      <w:pPr>
        <w:pStyle w:val="BodyText"/>
        <w:spacing w:line="338" w:lineRule="auto" w:before="19"/>
        <w:ind w:right="173" w:firstLine="480"/>
        <w:jc w:val="left"/>
      </w:pPr>
      <w:r>
        <w:rPr/>
        <w:t>报告期内，公司实行持续、稳定的利润分配政策，重视对投资者的合理投资回报。</w:t>
      </w:r>
      <w:r>
        <w:rPr>
          <w:rFonts w:ascii="Times New Roman" w:hAnsi="Times New Roman" w:cs="Times New Roman" w:eastAsia="Times New Roman" w:hint="default"/>
        </w:rPr>
        <w:t>2017 </w:t>
      </w:r>
      <w:r>
        <w:rPr/>
        <w:t>年公司实施了</w:t>
      </w:r>
      <w:r>
        <w:rPr>
          <w:spacing w:val="-61"/>
        </w:rPr>
        <w:t> </w:t>
      </w:r>
      <w:r>
        <w:rPr>
          <w:rFonts w:ascii="Times New Roman" w:hAnsi="Times New Roman" w:cs="Times New Roman" w:eastAsia="Times New Roman" w:hint="default"/>
        </w:rPr>
        <w:t>2016 </w:t>
      </w:r>
      <w:r>
        <w:rPr/>
        <w:t>年度利润分配，以截至</w:t>
      </w:r>
      <w:r>
        <w:rPr>
          <w:spacing w:val="-59"/>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日公司总股本为基数，以未分配</w:t>
      </w:r>
    </w:p>
    <w:p>
      <w:pPr>
        <w:pStyle w:val="BodyText"/>
        <w:spacing w:line="338" w:lineRule="auto" w:before="27"/>
        <w:ind w:left="633" w:right="142" w:hanging="480"/>
        <w:jc w:val="left"/>
      </w:pPr>
      <w:r>
        <w:rPr/>
        <w:t>利润向全体股东每</w:t>
      </w:r>
      <w:r>
        <w:rPr>
          <w:spacing w:val="-61"/>
        </w:rPr>
        <w:t> </w:t>
      </w:r>
      <w:r>
        <w:rPr>
          <w:rFonts w:ascii="Times New Roman" w:hAnsi="Times New Roman" w:cs="Times New Roman" w:eastAsia="Times New Roman" w:hint="default"/>
        </w:rPr>
        <w:t>10 </w:t>
      </w:r>
      <w:r>
        <w:rPr/>
        <w:t>股派发现金股利人民币</w:t>
      </w:r>
      <w:r>
        <w:rPr>
          <w:spacing w:val="-60"/>
        </w:rPr>
        <w:t> </w:t>
      </w:r>
      <w:r>
        <w:rPr>
          <w:rFonts w:ascii="Times New Roman" w:hAnsi="Times New Roman" w:cs="Times New Roman" w:eastAsia="Times New Roman" w:hint="default"/>
        </w:rPr>
        <w:t>0.60 </w:t>
      </w:r>
      <w:r>
        <w:rPr>
          <w:spacing w:val="-20"/>
        </w:rPr>
        <w:t>元（含税）。</w:t>
      </w:r>
      <w:r>
        <w:rPr/>
        <w:t> 公司高度重视地理信息科普教育，积极推进</w:t>
      </w:r>
      <w:r>
        <w:rPr>
          <w:spacing w:val="-66"/>
        </w:rPr>
        <w:t> </w:t>
      </w:r>
      <w:r>
        <w:rPr>
          <w:rFonts w:ascii="Times New Roman" w:hAnsi="Times New Roman" w:cs="Times New Roman" w:eastAsia="Times New Roman" w:hint="default"/>
        </w:rPr>
        <w:t>GIS</w:t>
      </w:r>
      <w:r>
        <w:rPr>
          <w:rFonts w:ascii="Times New Roman" w:hAnsi="Times New Roman" w:cs="Times New Roman" w:eastAsia="Times New Roman" w:hint="default"/>
          <w:spacing w:val="-6"/>
        </w:rPr>
        <w:t> </w:t>
      </w:r>
      <w:r>
        <w:rPr/>
        <w:t>教育公益事业，长期举办</w:t>
      </w:r>
      <w:r>
        <w:rPr>
          <w:spacing w:val="-6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开发大赛</w:t>
      </w:r>
    </w:p>
    <w:p>
      <w:pPr>
        <w:pStyle w:val="BodyText"/>
        <w:spacing w:line="343" w:lineRule="auto" w:before="27"/>
        <w:ind w:right="153"/>
        <w:jc w:val="both"/>
      </w:pPr>
      <w:r>
        <w:rPr/>
        <w:t>并吸引</w:t>
      </w:r>
      <w:r>
        <w:rPr>
          <w:spacing w:val="-67"/>
        </w:rPr>
        <w:t> </w:t>
      </w:r>
      <w:r>
        <w:rPr>
          <w:rFonts w:ascii="Times New Roman" w:hAnsi="Times New Roman" w:cs="Times New Roman" w:eastAsia="Times New Roman" w:hint="default"/>
        </w:rPr>
        <w:t>200</w:t>
      </w:r>
      <w:r>
        <w:rPr>
          <w:rFonts w:ascii="Times New Roman" w:hAnsi="Times New Roman" w:cs="Times New Roman" w:eastAsia="Times New Roman" w:hint="default"/>
          <w:spacing w:val="-8"/>
        </w:rPr>
        <w:t> </w:t>
      </w:r>
      <w:r>
        <w:rPr/>
        <w:t>余所高校、</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万余师生参与，首创</w:t>
      </w:r>
      <w:r>
        <w:rPr>
          <w:rFonts w:ascii="Times New Roman" w:hAnsi="Times New Roman" w:cs="Times New Roman" w:eastAsia="Times New Roman" w:hint="default"/>
        </w:rPr>
        <w:t>“9•15”GIS</w:t>
      </w:r>
      <w:r>
        <w:rPr>
          <w:rFonts w:ascii="Times New Roman" w:hAnsi="Times New Roman" w:cs="Times New Roman" w:eastAsia="Times New Roman" w:hint="default"/>
          <w:spacing w:val="-6"/>
        </w:rPr>
        <w:t> </w:t>
      </w:r>
      <w:r>
        <w:rPr/>
        <w:t>节，开展了</w:t>
      </w:r>
      <w:r>
        <w:rPr>
          <w:spacing w:val="-67"/>
        </w:rPr>
        <w:t> </w:t>
      </w:r>
      <w:r>
        <w:rPr>
          <w:rFonts w:ascii="Times New Roman" w:hAnsi="Times New Roman" w:cs="Times New Roman" w:eastAsia="Times New Roman" w:hint="default"/>
        </w:rPr>
        <w:t>GIS</w:t>
      </w:r>
      <w:r>
        <w:rPr>
          <w:rFonts w:ascii="Times New Roman" w:hAnsi="Times New Roman" w:cs="Times New Roman" w:eastAsia="Times New Roman" w:hint="default"/>
          <w:spacing w:val="-6"/>
        </w:rPr>
        <w:t> </w:t>
      </w:r>
      <w:r>
        <w:rPr/>
        <w:t>共建实验室、</w:t>
      </w:r>
      <w:r>
        <w:rPr>
          <w:rFonts w:ascii="Times New Roman" w:hAnsi="Times New Roman" w:cs="Times New Roman" w:eastAsia="Times New Roman" w:hint="default"/>
        </w:rPr>
        <w:t>GIS</w:t>
      </w:r>
      <w:r>
        <w:rPr>
          <w:rFonts w:ascii="Times New Roman" w:hAnsi="Times New Roman" w:cs="Times New Roman" w:eastAsia="Times New Roman" w:hint="default"/>
          <w:spacing w:val="-6"/>
        </w:rPr>
        <w:t> </w:t>
      </w:r>
      <w:r>
        <w:rPr/>
        <w:t>人 才培养基地、</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人才库、走进高校活动以及青年教师培训计划等工作，致力于</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人才培 养与产业促进工作，积极推动</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在高校中的普及和应用。在国际交流合作中，公司向由中 国科学院国际合作局主办的发展中国家科学大数据共享与出版国际培训班赠送</w:t>
      </w:r>
      <w:r>
        <w:rPr>
          <w:spacing w:val="-90"/>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4"/>
        </w:rPr>
        <w:t> </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t>软件，该培训班成员主要是来自印度、南非、肯尼亚、坦桑尼亚、乌兹别克斯坦、缅甸、蒙 </w:t>
      </w:r>
      <w:r>
        <w:rPr>
          <w:spacing w:val="-5"/>
        </w:rPr>
        <w:t>古、尼泊尔、吉尔吉斯斯坦、尼日利亚、巴基斯坦、乌克兰等国家的地理信息领域政府官员、</w:t>
      </w:r>
      <w:r>
        <w:rPr/>
        <w:t> 高校教师。</w:t>
      </w:r>
    </w:p>
    <w:p>
      <w:pPr>
        <w:pStyle w:val="BodyText"/>
        <w:spacing w:line="240" w:lineRule="auto" w:before="50"/>
        <w:ind w:left="633" w:right="293"/>
        <w:jc w:val="left"/>
      </w:pPr>
      <w:r>
        <w:rPr>
          <w:rFonts w:ascii="Times New Roman" w:hAnsi="Times New Roman" w:cs="Times New Roman" w:eastAsia="Times New Roman" w:hint="default"/>
        </w:rPr>
        <w:t>2</w:t>
      </w:r>
      <w:r>
        <w:rPr/>
        <w:t>、履行精准扶贫社会责任情况</w:t>
      </w:r>
    </w:p>
    <w:p>
      <w:pPr>
        <w:pStyle w:val="BodyText"/>
        <w:spacing w:line="240" w:lineRule="auto" w:before="135"/>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48" w:lineRule="auto" w:before="135"/>
        <w:ind w:left="633" w:right="2573"/>
        <w:jc w:val="left"/>
      </w:pPr>
      <w:r>
        <w:rPr>
          <w:rFonts w:ascii="Times New Roman" w:hAnsi="Times New Roman" w:cs="Times New Roman" w:eastAsia="Times New Roman" w:hint="default"/>
        </w:rPr>
        <w:t>3</w:t>
      </w:r>
      <w:r>
        <w:rPr/>
        <w:t>、环境保护相关情况 上市公司及其子公司是否属于国家环境保护部门的重点排污企业 否</w:t>
      </w:r>
    </w:p>
    <w:p>
      <w:pPr>
        <w:spacing w:line="528" w:lineRule="auto" w:before="46"/>
        <w:ind w:left="153" w:right="2813" w:firstLine="480"/>
        <w:jc w:val="left"/>
        <w:rPr>
          <w:rFonts w:ascii="宋体" w:hAnsi="宋体" w:cs="宋体" w:eastAsia="宋体" w:hint="default"/>
          <w:sz w:val="24"/>
          <w:szCs w:val="24"/>
        </w:rPr>
      </w:pPr>
      <w:r>
        <w:rPr>
          <w:rFonts w:ascii="宋体" w:hAnsi="宋体" w:cs="宋体" w:eastAsia="宋体" w:hint="default"/>
          <w:sz w:val="24"/>
          <w:szCs w:val="24"/>
        </w:rPr>
        <w:t>上市公司及其子公司不属于国家环境保护部门的重点排污企业 </w:t>
      </w:r>
      <w:r>
        <w:rPr>
          <w:rFonts w:ascii="宋体" w:hAnsi="宋体" w:cs="宋体" w:eastAsia="宋体" w:hint="default"/>
          <w:b/>
          <w:bCs/>
          <w:sz w:val="24"/>
          <w:szCs w:val="24"/>
        </w:rPr>
        <w:t>十八、其他重大事项的说明</w:t>
      </w:r>
      <w:r>
        <w:rPr>
          <w:rFonts w:ascii="宋体" w:hAnsi="宋体" w:cs="宋体" w:eastAsia="宋体" w:hint="default"/>
          <w:sz w:val="24"/>
          <w:szCs w:val="24"/>
        </w:rPr>
      </w:r>
    </w:p>
    <w:p>
      <w:pPr>
        <w:pStyle w:val="BodyText"/>
        <w:spacing w:line="240" w:lineRule="auto" w:before="89"/>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5"/>
        <w:ind w:left="633" w:right="138"/>
        <w:jc w:val="left"/>
      </w:pPr>
      <w:r>
        <w:rPr/>
        <w:t>公司于</w:t>
      </w:r>
      <w:r>
        <w:rPr>
          <w:spacing w:val="-61"/>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9 </w:t>
      </w:r>
      <w:r>
        <w:rPr/>
        <w:t>日参与成立了宁波超图道乐股权投资合伙企业（有限合伙）以及</w:t>
      </w:r>
    </w:p>
    <w:p>
      <w:pPr>
        <w:pStyle w:val="BodyText"/>
        <w:spacing w:line="240" w:lineRule="auto" w:before="135"/>
        <w:ind w:right="0"/>
        <w:jc w:val="both"/>
      </w:pPr>
      <w:r>
        <w:rPr/>
        <w:t>于</w:t>
      </w:r>
      <w:r>
        <w:rPr>
          <w:spacing w:val="-60"/>
        </w:rPr>
        <w:t> </w:t>
      </w:r>
      <w:r>
        <w:rPr>
          <w:rFonts w:ascii="Times New Roman" w:hAnsi="Times New Roman" w:cs="Times New Roman" w:eastAsia="Times New Roman" w:hint="default"/>
        </w:rPr>
        <w:t>2016 </w:t>
      </w:r>
      <w:r>
        <w:rPr/>
        <w:t>年</w:t>
      </w:r>
      <w:r>
        <w:rPr>
          <w:spacing w:val="-61"/>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日参与成立了宁波卓超股权投资合伙企业（有限合伙</w:t>
      </w:r>
      <w:r>
        <w:rPr>
          <w:spacing w:val="-120"/>
        </w:rPr>
        <w:t>）</w:t>
      </w:r>
      <w:r>
        <w:rPr/>
        <w:t>。</w:t>
      </w:r>
    </w:p>
    <w:p>
      <w:pPr>
        <w:spacing w:after="0" w:line="240" w:lineRule="auto"/>
        <w:jc w:val="both"/>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0" w:lineRule="auto" w:before="26"/>
        <w:ind w:right="150" w:firstLine="480"/>
        <w:jc w:val="both"/>
      </w:pPr>
      <w:r>
        <w:rPr/>
        <w:t>由于设立后宏观形势与融资环境发生较大变化，截至目前，两个并购基金未持有其他公 </w:t>
      </w:r>
      <w:r>
        <w:rPr>
          <w:spacing w:val="-5"/>
        </w:rPr>
        <w:t>司股权，也没有其他形式的对外投资。根据其合伙协议的约定：“有限合伙的经营期限为自本</w:t>
      </w:r>
      <w:r>
        <w:rPr>
          <w:spacing w:val="-116"/>
        </w:rPr>
        <w:t> </w:t>
      </w:r>
      <w:r>
        <w:rPr>
          <w:spacing w:val="-116"/>
        </w:rPr>
      </w:r>
      <w:r>
        <w:rPr>
          <w:spacing w:val="-5"/>
        </w:rPr>
        <w:t>有限合伙成立日起五（</w:t>
      </w:r>
      <w:r>
        <w:rPr>
          <w:rFonts w:ascii="Times New Roman" w:hAnsi="Times New Roman" w:cs="Times New Roman" w:eastAsia="Times New Roman" w:hint="default"/>
          <w:spacing w:val="-5"/>
        </w:rPr>
        <w:t>5</w:t>
      </w:r>
      <w:r>
        <w:rPr>
          <w:spacing w:val="-5"/>
        </w:rPr>
        <w:t>）年。其中有限合伙的投资期限为自本有限合伙成立日起二（</w:t>
      </w:r>
      <w:r>
        <w:rPr>
          <w:rFonts w:ascii="Times New Roman" w:hAnsi="Times New Roman" w:cs="Times New Roman" w:eastAsia="Times New Roman" w:hint="default"/>
          <w:spacing w:val="-5"/>
        </w:rPr>
        <w:t>2</w:t>
      </w:r>
      <w:r>
        <w:rPr>
          <w:spacing w:val="-5"/>
        </w:rPr>
        <w:t>）年，</w:t>
      </w:r>
      <w:r>
        <w:rPr>
          <w:spacing w:val="-114"/>
        </w:rPr>
        <w:t> </w:t>
      </w:r>
      <w:r>
        <w:rPr>
          <w:spacing w:val="-114"/>
        </w:rPr>
      </w:r>
      <w:r>
        <w:rPr>
          <w:spacing w:val="-3"/>
        </w:rPr>
        <w:t>退出期限为二（</w:t>
      </w:r>
      <w:r>
        <w:rPr>
          <w:rFonts w:ascii="Times New Roman" w:hAnsi="Times New Roman" w:cs="Times New Roman" w:eastAsia="Times New Roman" w:hint="default"/>
          <w:spacing w:val="-3"/>
        </w:rPr>
        <w:t>2</w:t>
      </w:r>
      <w:r>
        <w:rPr>
          <w:spacing w:val="-3"/>
        </w:rPr>
        <w:t>）年。根据有限合伙的经营需要，报投资决策委员会表决同意，普通合伙人</w:t>
      </w:r>
      <w:r>
        <w:rPr>
          <w:spacing w:val="-83"/>
        </w:rPr>
        <w:t> </w:t>
      </w:r>
      <w:r>
        <w:rPr>
          <w:spacing w:val="-83"/>
        </w:rPr>
      </w:r>
      <w:r>
        <w:rPr>
          <w:spacing w:val="-5"/>
        </w:rPr>
        <w:t>有权将存续期延期一年。”截至本报告披露日，两个并购基金的投资期限均已届满，均进入了</w:t>
      </w:r>
      <w:r>
        <w:rPr>
          <w:spacing w:val="-116"/>
        </w:rPr>
        <w:t> </w:t>
      </w:r>
      <w:r>
        <w:rPr>
          <w:spacing w:val="-116"/>
        </w:rPr>
      </w:r>
      <w:r>
        <w:rPr/>
        <w:t>退出期限。两个并购基金拟于</w:t>
      </w:r>
      <w:r>
        <w:rPr>
          <w:spacing w:val="-60"/>
        </w:rPr>
        <w:t> </w:t>
      </w:r>
      <w:r>
        <w:rPr>
          <w:rFonts w:ascii="Times New Roman" w:hAnsi="Times New Roman" w:cs="Times New Roman" w:eastAsia="Times New Roman" w:hint="default"/>
        </w:rPr>
        <w:t>2018 </w:t>
      </w:r>
      <w:r>
        <w:rPr/>
        <w:t>年启动退出程序。</w:t>
      </w:r>
    </w:p>
    <w:p>
      <w:pPr>
        <w:spacing w:line="240" w:lineRule="auto" w:before="1"/>
        <w:rPr>
          <w:rFonts w:ascii="宋体" w:hAnsi="宋体" w:cs="宋体" w:eastAsia="宋体" w:hint="default"/>
          <w:sz w:val="18"/>
          <w:szCs w:val="18"/>
        </w:rPr>
      </w:pPr>
    </w:p>
    <w:p>
      <w:pPr>
        <w:pStyle w:val="Heading2"/>
        <w:spacing w:line="240" w:lineRule="auto"/>
        <w:ind w:left="134" w:right="6880"/>
        <w:jc w:val="center"/>
        <w:rPr>
          <w:b w:val="0"/>
          <w:bCs w:val="0"/>
        </w:rPr>
      </w:pPr>
      <w:r>
        <w:rPr/>
        <w:t>十九、公司子公司重大事项</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before="0"/>
        <w:ind w:left="39" w:right="6880"/>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center"/>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pStyle w:val="Heading1"/>
        <w:spacing w:line="240" w:lineRule="auto" w:before="173"/>
        <w:ind w:left="3557" w:right="293"/>
        <w:jc w:val="left"/>
        <w:rPr>
          <w:b w:val="0"/>
          <w:bCs w:val="0"/>
        </w:rPr>
      </w:pPr>
      <w:bookmarkStart w:name="_bookmark5" w:id="6"/>
      <w:bookmarkEnd w:id="6"/>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293"/>
        <w:jc w:val="left"/>
        <w:rPr>
          <w:b w:val="0"/>
          <w:bCs w:val="0"/>
        </w:rPr>
      </w:pPr>
      <w:r>
        <w:rPr/>
        <w:t>一、股份变动情况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29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9"/>
        <w:rPr>
          <w:rFonts w:ascii="宋体" w:hAnsi="宋体" w:cs="宋体" w:eastAsia="宋体" w:hint="default"/>
          <w:b/>
          <w:bCs/>
          <w:sz w:val="21"/>
          <w:szCs w:val="21"/>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73" w:type="dxa"/>
        <w:tblLayout w:type="fixed"/>
        <w:tblCellMar>
          <w:top w:w="0" w:type="dxa"/>
          <w:left w:w="0" w:type="dxa"/>
          <w:bottom w:w="0" w:type="dxa"/>
          <w:right w:w="0" w:type="dxa"/>
        </w:tblCellMar>
        <w:tblLook w:val="01E0"/>
      </w:tblPr>
      <w:tblGrid>
        <w:gridCol w:w="2134"/>
        <w:gridCol w:w="967"/>
        <w:gridCol w:w="701"/>
        <w:gridCol w:w="682"/>
        <w:gridCol w:w="480"/>
        <w:gridCol w:w="1114"/>
        <w:gridCol w:w="934"/>
        <w:gridCol w:w="934"/>
        <w:gridCol w:w="956"/>
        <w:gridCol w:w="701"/>
      </w:tblGrid>
      <w:tr>
        <w:trPr>
          <w:trHeight w:val="403" w:hRule="exact"/>
        </w:trPr>
        <w:tc>
          <w:tcPr>
            <w:tcW w:w="2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8"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14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09"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6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2134" w:type="dxa"/>
            <w:vMerge w:val="restart"/>
            <w:tcBorders>
              <w:top w:val="nil" w:sz="6" w:space="0" w:color="auto"/>
              <w:left w:val="single" w:sz="4" w:space="0" w:color="000000"/>
              <w:right w:val="single" w:sz="4" w:space="0" w:color="000000"/>
            </w:tcBorders>
            <w:shd w:val="clear" w:color="auto" w:fill="D2D2D2"/>
          </w:tcPr>
          <w:p>
            <w:pPr/>
          </w:p>
        </w:tc>
        <w:tc>
          <w:tcPr>
            <w:tcW w:w="9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27" w:right="12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4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134" w:type="dxa"/>
            <w:vMerge/>
            <w:tcBorders>
              <w:left w:val="single" w:sz="4" w:space="0" w:color="000000"/>
              <w:bottom w:val="nil" w:sz="6" w:space="0" w:color="auto"/>
              <w:right w:val="single" w:sz="4" w:space="0" w:color="000000"/>
            </w:tcBorders>
            <w:shd w:val="clear" w:color="auto" w:fill="D2D2D2"/>
          </w:tcPr>
          <w:p>
            <w:pPr/>
          </w:p>
        </w:tc>
        <w:tc>
          <w:tcPr>
            <w:tcW w:w="9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7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3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682" w:type="dxa"/>
            <w:vMerge/>
            <w:tcBorders>
              <w:left w:val="single" w:sz="4" w:space="0" w:color="000000"/>
              <w:right w:val="single" w:sz="4" w:space="0" w:color="000000"/>
            </w:tcBorders>
            <w:shd w:val="clear" w:color="auto" w:fill="D2D2D2"/>
          </w:tcPr>
          <w:p>
            <w:pPr/>
          </w:p>
        </w:tc>
        <w:tc>
          <w:tcPr>
            <w:tcW w:w="480" w:type="dxa"/>
            <w:vMerge w:val="restart"/>
            <w:tcBorders>
              <w:top w:val="nil" w:sz="6" w:space="0" w:color="auto"/>
              <w:left w:val="single" w:sz="22" w:space="0" w:color="D2D2D2"/>
              <w:right w:val="single" w:sz="9" w:space="0" w:color="D2D2D2"/>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送股</w:t>
            </w:r>
            <w:r>
              <w:rPr>
                <w:rFonts w:ascii="宋体" w:hAnsi="宋体" w:cs="宋体" w:eastAsia="宋体" w:hint="default"/>
                <w:sz w:val="21"/>
                <w:szCs w:val="21"/>
              </w:rPr>
            </w:r>
          </w:p>
        </w:tc>
        <w:tc>
          <w:tcPr>
            <w:tcW w:w="11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5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5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6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3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99" w:hRule="exact"/>
        </w:trPr>
        <w:tc>
          <w:tcPr>
            <w:tcW w:w="2134" w:type="dxa"/>
            <w:vMerge w:val="restart"/>
            <w:tcBorders>
              <w:top w:val="nil" w:sz="6" w:space="0" w:color="auto"/>
              <w:left w:val="single" w:sz="4" w:space="0" w:color="000000"/>
              <w:right w:val="single" w:sz="4" w:space="0" w:color="000000"/>
            </w:tcBorders>
            <w:shd w:val="clear" w:color="auto" w:fill="D2D2D2"/>
          </w:tcPr>
          <w:p>
            <w:pPr/>
          </w:p>
        </w:tc>
        <w:tc>
          <w:tcPr>
            <w:tcW w:w="967"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480" w:type="dxa"/>
            <w:vMerge/>
            <w:tcBorders>
              <w:left w:val="single" w:sz="22" w:space="0" w:color="D2D2D2"/>
              <w:bottom w:val="nil" w:sz="6" w:space="0" w:color="auto"/>
              <w:right w:val="single" w:sz="9" w:space="0" w:color="D2D2D2"/>
            </w:tcBorders>
          </w:tcPr>
          <w:p>
            <w:pPr/>
          </w:p>
        </w:tc>
        <w:tc>
          <w:tcPr>
            <w:tcW w:w="11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134" w:type="dxa"/>
            <w:vMerge/>
            <w:tcBorders>
              <w:left w:val="single" w:sz="4" w:space="0" w:color="000000"/>
              <w:bottom w:val="single" w:sz="4" w:space="0" w:color="000000"/>
              <w:right w:val="single" w:sz="4" w:space="0" w:color="000000"/>
            </w:tcBorders>
            <w:shd w:val="clear" w:color="auto" w:fill="D2D2D2"/>
          </w:tcPr>
          <w:p>
            <w:pPr/>
          </w:p>
        </w:tc>
        <w:tc>
          <w:tcPr>
            <w:tcW w:w="9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4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144,495,669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32.14%</w:t>
            </w:r>
          </w:p>
        </w:tc>
        <w:tc>
          <w:tcPr>
            <w:tcW w:w="68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-25,022,788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-25,022,788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119,472,881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26.57%</w:t>
            </w: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967" w:type="dxa"/>
            <w:tcBorders>
              <w:top w:val="single" w:sz="4" w:space="0" w:color="000000"/>
              <w:left w:val="single" w:sz="9"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967" w:type="dxa"/>
            <w:tcBorders>
              <w:top w:val="single" w:sz="4" w:space="0" w:color="000000"/>
              <w:left w:val="single" w:sz="9"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144,495,669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32.14%</w:t>
            </w:r>
          </w:p>
        </w:tc>
        <w:tc>
          <w:tcPr>
            <w:tcW w:w="68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-25,022,788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-25,022,788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119,472,881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26.57%</w:t>
            </w: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33,935,130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7.55%</w:t>
            </w:r>
          </w:p>
        </w:tc>
        <w:tc>
          <w:tcPr>
            <w:tcW w:w="68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-3,188,010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-3,188,010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30,747,120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6.84%</w:t>
            </w: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110,560,539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24.59%</w:t>
            </w:r>
          </w:p>
        </w:tc>
        <w:tc>
          <w:tcPr>
            <w:tcW w:w="68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-21,834,778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-21,834,778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88,725,761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19.73%</w:t>
            </w: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967" w:type="dxa"/>
            <w:tcBorders>
              <w:top w:val="single" w:sz="4" w:space="0" w:color="000000"/>
              <w:left w:val="single" w:sz="9"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967" w:type="dxa"/>
            <w:tcBorders>
              <w:top w:val="single" w:sz="4" w:space="0" w:color="000000"/>
              <w:left w:val="single" w:sz="9"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
              <w:jc w:val="right"/>
              <w:rPr>
                <w:rFonts w:ascii="宋体" w:hAnsi="宋体" w:cs="宋体" w:eastAsia="宋体" w:hint="default"/>
                <w:sz w:val="21"/>
                <w:szCs w:val="21"/>
              </w:rPr>
            </w:pPr>
            <w:r>
              <w:rPr>
                <w:rFonts w:ascii="宋体" w:hAnsi="宋体" w:cs="宋体" w:eastAsia="宋体" w:hint="default"/>
                <w:spacing w:val="-2"/>
                <w:sz w:val="21"/>
                <w:szCs w:val="21"/>
              </w:rPr>
              <w:t>境外自然人持股</w:t>
            </w:r>
          </w:p>
        </w:tc>
        <w:tc>
          <w:tcPr>
            <w:tcW w:w="967" w:type="dxa"/>
            <w:tcBorders>
              <w:top w:val="single" w:sz="4" w:space="0" w:color="000000"/>
              <w:left w:val="single" w:sz="9"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305,083,298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67.86%</w:t>
            </w:r>
          </w:p>
        </w:tc>
        <w:tc>
          <w:tcPr>
            <w:tcW w:w="68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25,022,788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25,022,788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330,106,086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73.43%</w:t>
            </w: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305,083,298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67.86%</w:t>
            </w:r>
          </w:p>
        </w:tc>
        <w:tc>
          <w:tcPr>
            <w:tcW w:w="68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25,022,788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25,022,788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330,106,086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73.43%</w:t>
            </w: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967" w:type="dxa"/>
            <w:tcBorders>
              <w:top w:val="single" w:sz="4" w:space="0" w:color="000000"/>
              <w:left w:val="single" w:sz="9"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967" w:type="dxa"/>
            <w:tcBorders>
              <w:top w:val="single" w:sz="4" w:space="0" w:color="000000"/>
              <w:left w:val="single" w:sz="9"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67" w:type="dxa"/>
            <w:tcBorders>
              <w:top w:val="single" w:sz="4" w:space="0" w:color="000000"/>
              <w:left w:val="single" w:sz="9"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449,578,967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449,578,967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39"/>
        <w:ind w:left="573" w:right="293"/>
        <w:jc w:val="left"/>
      </w:pPr>
      <w:r>
        <w:rPr/>
        <w:t>股份变动的原因</w:t>
      </w:r>
    </w:p>
    <w:p>
      <w:pPr>
        <w:pStyle w:val="BodyText"/>
        <w:spacing w:line="240" w:lineRule="auto" w:before="154"/>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6"/>
        <w:ind w:right="152" w:firstLine="480"/>
        <w:jc w:val="both"/>
      </w:pPr>
      <w:r>
        <w:rPr>
          <w:rFonts w:ascii="Times New Roman" w:hAnsi="Times New Roman" w:cs="Times New Roman" w:eastAsia="Times New Roman" w:hint="default"/>
          <w:spacing w:val="-3"/>
        </w:rPr>
        <w:t>1</w:t>
      </w:r>
      <w:r>
        <w:rPr>
          <w:spacing w:val="-3"/>
        </w:rPr>
        <w:t>、报告期内，公司股权激励计划首次授予限制性股票第四期上市流通，实际上市流通数</w:t>
      </w:r>
      <w:r>
        <w:rPr/>
        <w:t> 量分别为</w:t>
      </w:r>
      <w:r>
        <w:rPr>
          <w:spacing w:val="-61"/>
        </w:rPr>
        <w:t> </w:t>
      </w:r>
      <w:r>
        <w:rPr>
          <w:rFonts w:ascii="Times New Roman" w:hAnsi="Times New Roman" w:cs="Times New Roman" w:eastAsia="Times New Roman" w:hint="default"/>
        </w:rPr>
        <w:t>1,306,884 </w:t>
      </w:r>
      <w:r>
        <w:rPr/>
        <w:t>股，无限售股份数量相应增加。</w:t>
      </w:r>
    </w:p>
    <w:p>
      <w:pPr>
        <w:pStyle w:val="BodyText"/>
        <w:spacing w:line="338" w:lineRule="auto" w:before="27"/>
        <w:ind w:right="152" w:firstLine="480"/>
        <w:jc w:val="both"/>
      </w:pPr>
      <w:r>
        <w:rPr>
          <w:rFonts w:ascii="Times New Roman" w:hAnsi="Times New Roman" w:cs="Times New Roman" w:eastAsia="Times New Roman" w:hint="default"/>
          <w:spacing w:val="-3"/>
        </w:rPr>
        <w:t>2</w:t>
      </w:r>
      <w:r>
        <w:rPr>
          <w:spacing w:val="-3"/>
        </w:rPr>
        <w:t>、报告期内，公司股权激励计划预留部分限制性股票第三期上市流通，实际上市流通数</w:t>
      </w:r>
      <w:r>
        <w:rPr/>
        <w:t> 量分别为</w:t>
      </w:r>
      <w:r>
        <w:rPr>
          <w:spacing w:val="-61"/>
        </w:rPr>
        <w:t> </w:t>
      </w:r>
      <w:r>
        <w:rPr>
          <w:rFonts w:ascii="Times New Roman" w:hAnsi="Times New Roman" w:cs="Times New Roman" w:eastAsia="Times New Roman" w:hint="default"/>
        </w:rPr>
        <w:t>259,200 </w:t>
      </w:r>
      <w:r>
        <w:rPr/>
        <w:t>股，无限售股份数量相应增加。</w:t>
      </w:r>
    </w:p>
    <w:p>
      <w:pPr>
        <w:pStyle w:val="BodyText"/>
        <w:spacing w:line="348" w:lineRule="auto" w:before="27"/>
        <w:ind w:right="152" w:firstLine="480"/>
        <w:jc w:val="both"/>
      </w:pPr>
      <w:r>
        <w:rPr>
          <w:rFonts w:ascii="Times New Roman" w:hAnsi="Times New Roman" w:cs="Times New Roman" w:eastAsia="Times New Roman" w:hint="default"/>
          <w:spacing w:val="-3"/>
        </w:rPr>
        <w:t>3</w:t>
      </w:r>
      <w:r>
        <w:rPr>
          <w:spacing w:val="-3"/>
        </w:rPr>
        <w:t>、报告期内，公司发行股份及支付现金购买资产并募集配套资金暨关联交易之部分限售</w:t>
      </w:r>
      <w:r>
        <w:rPr/>
        <w:t> 股份锁定期已届满，申请解除股份限售股东严格遵守了承诺，满足解锁条件。本次解除限售 股份数量为</w:t>
      </w:r>
      <w:r>
        <w:rPr>
          <w:spacing w:val="-61"/>
        </w:rPr>
        <w:t> </w:t>
      </w:r>
      <w:r>
        <w:rPr>
          <w:rFonts w:ascii="Times New Roman" w:hAnsi="Times New Roman" w:cs="Times New Roman" w:eastAsia="Times New Roman" w:hint="default"/>
        </w:rPr>
        <w:t>9,526,089 </w:t>
      </w:r>
      <w:r>
        <w:rPr/>
        <w:t>股，实际可上市流通的股份数量为</w:t>
      </w:r>
      <w:r>
        <w:rPr>
          <w:spacing w:val="-60"/>
        </w:rPr>
        <w:t> </w:t>
      </w:r>
      <w:r>
        <w:rPr>
          <w:rFonts w:ascii="Times New Roman" w:hAnsi="Times New Roman" w:cs="Times New Roman" w:eastAsia="Times New Roman" w:hint="default"/>
        </w:rPr>
        <w:t>9,065,819 </w:t>
      </w:r>
      <w:r>
        <w:rPr/>
        <w:t>股，无限售股份数量相应</w:t>
      </w:r>
    </w:p>
    <w:p>
      <w:pPr>
        <w:spacing w:after="0" w:line="348" w:lineRule="auto"/>
        <w:jc w:val="both"/>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before="26"/>
        <w:ind w:left="693" w:right="697"/>
        <w:jc w:val="left"/>
      </w:pPr>
      <w:r>
        <w:rPr/>
        <w:t>增加</w:t>
      </w:r>
      <w:r>
        <w:rPr>
          <w:spacing w:val="-147"/>
        </w:rPr>
        <w:t>。</w:t>
      </w:r>
      <w:r>
        <w:rPr/>
        <w:t>（注</w:t>
      </w:r>
      <w:r>
        <w:rPr>
          <w:spacing w:val="-27"/>
        </w:rPr>
        <w:t>：</w:t>
      </w:r>
      <w:r>
        <w:rPr/>
        <w:t>孙在宏</w:t>
      </w:r>
      <w:r>
        <w:rPr>
          <w:spacing w:val="-3"/>
        </w:rPr>
        <w:t>先</w:t>
      </w:r>
      <w:r>
        <w:rPr/>
        <w:t>生为我公司现任董事</w:t>
      </w:r>
      <w:r>
        <w:rPr>
          <w:spacing w:val="-27"/>
        </w:rPr>
        <w:t>，</w:t>
      </w:r>
      <w:r>
        <w:rPr/>
        <w:t>根据相关法律法规规定锁定其所持公司股份总数</w:t>
      </w:r>
      <w:r>
        <w:rPr/>
        <w:t> 的</w:t>
      </w:r>
      <w:r>
        <w:rPr>
          <w:spacing w:val="-60"/>
        </w:rPr>
        <w:t> </w:t>
      </w:r>
      <w:r>
        <w:rPr>
          <w:rFonts w:ascii="Times New Roman" w:hAnsi="Times New Roman" w:cs="Times New Roman" w:eastAsia="Times New Roman" w:hint="default"/>
        </w:rPr>
        <w:t>75</w:t>
      </w:r>
      <w:r>
        <w:rPr>
          <w:rFonts w:ascii="Times New Roman" w:hAnsi="Times New Roman" w:cs="Times New Roman" w:eastAsia="Times New Roman" w:hint="default"/>
          <w:spacing w:val="-1"/>
        </w:rPr>
        <w:t>%</w:t>
      </w:r>
      <w:r>
        <w:rPr/>
        <w:t>，即其可转让股份数为其所持公司股份总数的</w:t>
      </w:r>
      <w:r>
        <w:rPr>
          <w:spacing w:val="-60"/>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w:t>
      </w:r>
      <w:r>
        <w:rPr>
          <w:spacing w:val="-120"/>
        </w:rPr>
        <w:t>。）</w:t>
      </w:r>
      <w:r>
        <w:rPr/>
      </w:r>
    </w:p>
    <w:p>
      <w:pPr>
        <w:pStyle w:val="BodyText"/>
        <w:spacing w:line="338" w:lineRule="auto" w:before="5"/>
        <w:ind w:left="693" w:right="697" w:firstLine="480"/>
        <w:jc w:val="left"/>
      </w:pPr>
      <w:r>
        <w:rPr>
          <w:rFonts w:ascii="Times New Roman" w:hAnsi="Times New Roman" w:cs="Times New Roman" w:eastAsia="Times New Roman" w:hint="default"/>
          <w:spacing w:val="-3"/>
        </w:rPr>
        <w:t>4</w:t>
      </w:r>
      <w:r>
        <w:rPr>
          <w:spacing w:val="-3"/>
        </w:rPr>
        <w:t>、报告期内，公司原董事王尔琪、原高管王继晖因离任锁定的股份锁定期满，由限售条</w:t>
      </w:r>
      <w:r>
        <w:rPr/>
        <w:t> 件股份转为无限售条件股份，涉及数量为</w:t>
      </w:r>
      <w:r>
        <w:rPr>
          <w:spacing w:val="-65"/>
        </w:rPr>
        <w:t> </w:t>
      </w:r>
      <w:r>
        <w:rPr>
          <w:rFonts w:ascii="Times New Roman" w:hAnsi="Times New Roman" w:cs="Times New Roman" w:eastAsia="Times New Roman" w:hint="default"/>
        </w:rPr>
        <w:t>11,590,240</w:t>
      </w:r>
      <w:r>
        <w:rPr>
          <w:rFonts w:ascii="Times New Roman" w:hAnsi="Times New Roman" w:cs="Times New Roman" w:eastAsia="Times New Roman" w:hint="default"/>
          <w:spacing w:val="-5"/>
        </w:rPr>
        <w:t> </w:t>
      </w:r>
      <w:r>
        <w:rPr/>
        <w:t>股。</w:t>
      </w:r>
    </w:p>
    <w:p>
      <w:pPr>
        <w:pStyle w:val="BodyText"/>
        <w:spacing w:line="338" w:lineRule="auto" w:before="27"/>
        <w:ind w:left="693" w:right="697" w:firstLine="480"/>
        <w:jc w:val="left"/>
      </w:pPr>
      <w:r>
        <w:rPr>
          <w:rFonts w:ascii="Times New Roman" w:hAnsi="Times New Roman" w:cs="Times New Roman" w:eastAsia="Times New Roman" w:hint="default"/>
          <w:spacing w:val="-3"/>
        </w:rPr>
        <w:t>5</w:t>
      </w:r>
      <w:r>
        <w:rPr>
          <w:spacing w:val="-3"/>
        </w:rPr>
        <w:t>、报告期内，公司聘任李绍俊、徐旭、白杨建为公司高管，其所持有的部分无限售流通</w:t>
      </w:r>
      <w:r>
        <w:rPr/>
        <w:t> 股份锁定，进入限售条件股份，涉及数量分别为</w:t>
      </w:r>
      <w:r>
        <w:rPr>
          <w:spacing w:val="-60"/>
        </w:rPr>
        <w:t> </w:t>
      </w:r>
      <w:r>
        <w:rPr>
          <w:rFonts w:ascii="Times New Roman" w:hAnsi="Times New Roman" w:cs="Times New Roman" w:eastAsia="Times New Roman" w:hint="default"/>
        </w:rPr>
        <w:t>23,850 </w:t>
      </w:r>
      <w:r>
        <w:rPr/>
        <w:t>股、</w:t>
      </w:r>
      <w:r>
        <w:rPr>
          <w:rFonts w:ascii="Times New Roman" w:hAnsi="Times New Roman" w:cs="Times New Roman" w:eastAsia="Times New Roman" w:hint="default"/>
        </w:rPr>
        <w:t>39,675 </w:t>
      </w:r>
      <w:r>
        <w:rPr/>
        <w:t>股和</w:t>
      </w:r>
      <w:r>
        <w:rPr>
          <w:spacing w:val="-60"/>
        </w:rPr>
        <w:t> </w:t>
      </w:r>
      <w:r>
        <w:rPr>
          <w:rFonts w:ascii="Times New Roman" w:hAnsi="Times New Roman" w:cs="Times New Roman" w:eastAsia="Times New Roman" w:hint="default"/>
        </w:rPr>
        <w:t>12,000 </w:t>
      </w:r>
      <w:r>
        <w:rPr/>
        <w:t>股。</w:t>
      </w:r>
    </w:p>
    <w:p>
      <w:pPr>
        <w:pStyle w:val="BodyText"/>
        <w:spacing w:line="240" w:lineRule="auto" w:before="27"/>
        <w:ind w:left="1173" w:right="697"/>
        <w:jc w:val="left"/>
      </w:pPr>
      <w:r>
        <w:rPr/>
        <w:t>股份变动的批准情况</w:t>
      </w:r>
    </w:p>
    <w:p>
      <w:pPr>
        <w:pStyle w:val="BodyText"/>
        <w:spacing w:line="348" w:lineRule="auto" w:before="154"/>
        <w:ind w:left="1173" w:right="5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相关股份变动已经由股东大会及董事会批准。 股份变动的过户情况</w:t>
      </w:r>
    </w:p>
    <w:p>
      <w:pPr>
        <w:pStyle w:val="BodyText"/>
        <w:spacing w:line="338" w:lineRule="auto" w:before="46"/>
        <w:ind w:left="1173" w:right="6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以上股份变动均已办理登记。</w:t>
      </w:r>
    </w:p>
    <w:p>
      <w:pPr>
        <w:pStyle w:val="BodyText"/>
        <w:spacing w:line="357" w:lineRule="auto"/>
        <w:ind w:left="693" w:right="733" w:firstLine="480"/>
        <w:jc w:val="left"/>
      </w:pPr>
      <w:r>
        <w:rPr/>
        <w:t>股份变动对最近一年和最近一期基本每股收益和稀释每股收益、归属于公司普通股股东 的每股净资产等财务指标的影响</w:t>
      </w:r>
    </w:p>
    <w:p>
      <w:pPr>
        <w:pStyle w:val="BodyText"/>
        <w:spacing w:line="338" w:lineRule="auto" w:before="36"/>
        <w:ind w:left="1173" w:right="4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公司认为必要或证券监管机构要求披露的其他内容</w:t>
      </w:r>
    </w:p>
    <w:p>
      <w:pPr>
        <w:pStyle w:val="BodyText"/>
        <w:spacing w:line="240" w:lineRule="auto" w:before="56"/>
        <w:ind w:left="1173" w:right="6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27"/>
          <w:szCs w:val="27"/>
        </w:rPr>
      </w:pPr>
    </w:p>
    <w:p>
      <w:pPr>
        <w:pStyle w:val="Heading2"/>
        <w:spacing w:line="240" w:lineRule="auto"/>
        <w:ind w:left="693" w:right="697"/>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77" w:footer="980" w:top="1100" w:bottom="1160" w:left="440" w:right="420"/>
        </w:sectPr>
      </w:pPr>
    </w:p>
    <w:p>
      <w:pPr>
        <w:pStyle w:val="BodyText"/>
        <w:spacing w:line="240" w:lineRule="auto" w:before="26"/>
        <w:ind w:left="69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69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100" w:bottom="1160" w:left="440" w:right="420"/>
          <w:cols w:num="2" w:equalWidth="0">
            <w:col w:w="2530" w:space="6299"/>
            <w:col w:w="2221"/>
          </w:cols>
        </w:sectPr>
      </w:pPr>
    </w:p>
    <w:p>
      <w:pPr>
        <w:spacing w:line="240" w:lineRule="auto" w:before="4"/>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808"/>
        <w:gridCol w:w="1277"/>
        <w:gridCol w:w="1133"/>
        <w:gridCol w:w="1277"/>
        <w:gridCol w:w="1135"/>
        <w:gridCol w:w="1417"/>
        <w:gridCol w:w="2765"/>
      </w:tblGrid>
      <w:tr>
        <w:trPr>
          <w:trHeight w:val="713" w:hRule="exact"/>
        </w:trPr>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27" w:right="104" w:hanging="420"/>
              <w:jc w:val="left"/>
              <w:rPr>
                <w:rFonts w:ascii="宋体" w:hAnsi="宋体" w:cs="宋体" w:eastAsia="宋体" w:hint="default"/>
                <w:sz w:val="21"/>
                <w:szCs w:val="21"/>
              </w:rPr>
            </w:pPr>
            <w:r>
              <w:rPr>
                <w:rFonts w:ascii="宋体" w:hAnsi="宋体" w:cs="宋体" w:eastAsia="宋体" w:hint="default"/>
                <w:sz w:val="21"/>
                <w:szCs w:val="21"/>
              </w:rPr>
              <w:t>期初限售股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7" w:right="31" w:hanging="212"/>
              <w:jc w:val="left"/>
              <w:rPr>
                <w:rFonts w:ascii="宋体" w:hAnsi="宋体" w:cs="宋体" w:eastAsia="宋体" w:hint="default"/>
                <w:sz w:val="21"/>
                <w:szCs w:val="21"/>
              </w:rPr>
            </w:pPr>
            <w:r>
              <w:rPr>
                <w:rFonts w:ascii="宋体" w:hAnsi="宋体" w:cs="宋体" w:eastAsia="宋体" w:hint="default"/>
                <w:sz w:val="21"/>
                <w:szCs w:val="21"/>
              </w:rPr>
              <w:t>本期解除限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16" w:right="103" w:hanging="209"/>
              <w:jc w:val="left"/>
              <w:rPr>
                <w:rFonts w:ascii="宋体" w:hAnsi="宋体" w:cs="宋体" w:eastAsia="宋体" w:hint="default"/>
                <w:sz w:val="21"/>
                <w:szCs w:val="21"/>
              </w:rPr>
            </w:pPr>
            <w:r>
              <w:rPr>
                <w:rFonts w:ascii="宋体" w:hAnsi="宋体" w:cs="宋体" w:eastAsia="宋体" w:hint="default"/>
                <w:sz w:val="21"/>
                <w:szCs w:val="21"/>
              </w:rPr>
              <w:t>本期增加限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56" w:right="33" w:hanging="420"/>
              <w:jc w:val="left"/>
              <w:rPr>
                <w:rFonts w:ascii="宋体" w:hAnsi="宋体" w:cs="宋体" w:eastAsia="宋体" w:hint="default"/>
                <w:sz w:val="21"/>
                <w:szCs w:val="21"/>
              </w:rPr>
            </w:pPr>
            <w:r>
              <w:rPr>
                <w:rFonts w:ascii="宋体" w:hAnsi="宋体" w:cs="宋体" w:eastAsia="宋体" w:hint="default"/>
                <w:sz w:val="21"/>
                <w:szCs w:val="21"/>
              </w:rPr>
              <w:t>期末限售股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76"/>
              <w:jc w:val="right"/>
              <w:rPr>
                <w:rFonts w:ascii="宋体" w:hAnsi="宋体" w:cs="宋体" w:eastAsia="宋体" w:hint="default"/>
                <w:sz w:val="21"/>
                <w:szCs w:val="21"/>
              </w:rPr>
            </w:pPr>
            <w:r>
              <w:rPr>
                <w:rFonts w:ascii="宋体" w:hAnsi="宋体" w:cs="宋体" w:eastAsia="宋体" w:hint="default"/>
                <w:spacing w:val="-1"/>
                <w:sz w:val="21"/>
                <w:szCs w:val="21"/>
              </w:rPr>
              <w:t>限售原因</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40" w:right="0"/>
              <w:jc w:val="left"/>
              <w:rPr>
                <w:rFonts w:ascii="宋体" w:hAnsi="宋体" w:cs="宋体" w:eastAsia="宋体" w:hint="default"/>
                <w:sz w:val="21"/>
                <w:szCs w:val="21"/>
              </w:rPr>
            </w:pPr>
            <w:r>
              <w:rPr>
                <w:rFonts w:ascii="宋体" w:hAnsi="宋体" w:cs="宋体" w:eastAsia="宋体" w:hint="default"/>
                <w:sz w:val="21"/>
                <w:szCs w:val="21"/>
              </w:rPr>
              <w:t>拟解除限售日期</w:t>
            </w:r>
          </w:p>
        </w:tc>
      </w:tr>
      <w:tr>
        <w:trPr>
          <w:trHeight w:val="71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钟耳顺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43,906,560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3,750,000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40,156,560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27"/>
              <w:jc w:val="right"/>
              <w:rPr>
                <w:rFonts w:ascii="宋体" w:hAnsi="宋体" w:cs="宋体" w:eastAsia="宋体" w:hint="default"/>
                <w:sz w:val="21"/>
                <w:szCs w:val="21"/>
              </w:rPr>
            </w:pPr>
            <w:r>
              <w:rPr>
                <w:rFonts w:ascii="宋体" w:hAnsi="宋体" w:cs="宋体" w:eastAsia="宋体" w:hint="default"/>
                <w:spacing w:val="-1"/>
                <w:sz w:val="21"/>
                <w:szCs w:val="21"/>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1"/>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每年第一个交易日解锁持股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总数的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p>
        </w:tc>
      </w:tr>
      <w:tr>
        <w:trPr>
          <w:trHeight w:val="71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宋关福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17,185,080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17,185,080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27"/>
              <w:jc w:val="right"/>
              <w:rPr>
                <w:rFonts w:ascii="宋体" w:hAnsi="宋体" w:cs="宋体" w:eastAsia="宋体" w:hint="default"/>
                <w:sz w:val="21"/>
                <w:szCs w:val="21"/>
              </w:rPr>
            </w:pPr>
            <w:r>
              <w:rPr>
                <w:rFonts w:ascii="宋体" w:hAnsi="宋体" w:cs="宋体" w:eastAsia="宋体" w:hint="default"/>
                <w:spacing w:val="-1"/>
                <w:sz w:val="21"/>
                <w:szCs w:val="21"/>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3" w:right="21"/>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每年第一个交易日解锁持股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总数的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p>
        </w:tc>
      </w:tr>
      <w:tr>
        <w:trPr>
          <w:trHeight w:val="71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王康弘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6,862,198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6,862,198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27"/>
              <w:jc w:val="right"/>
              <w:rPr>
                <w:rFonts w:ascii="宋体" w:hAnsi="宋体" w:cs="宋体" w:eastAsia="宋体" w:hint="default"/>
                <w:sz w:val="21"/>
                <w:szCs w:val="21"/>
              </w:rPr>
            </w:pPr>
            <w:r>
              <w:rPr>
                <w:rFonts w:ascii="宋体" w:hAnsi="宋体" w:cs="宋体" w:eastAsia="宋体" w:hint="default"/>
                <w:spacing w:val="-1"/>
                <w:sz w:val="21"/>
                <w:szCs w:val="21"/>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1"/>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每年第一个交易日解锁持股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总数的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p>
        </w:tc>
      </w:tr>
      <w:tr>
        <w:trPr>
          <w:trHeight w:val="71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杜庆娥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4,671,000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4,671,000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27"/>
              <w:jc w:val="right"/>
              <w:rPr>
                <w:rFonts w:ascii="宋体" w:hAnsi="宋体" w:cs="宋体" w:eastAsia="宋体" w:hint="default"/>
                <w:sz w:val="21"/>
                <w:szCs w:val="21"/>
              </w:rPr>
            </w:pPr>
            <w:r>
              <w:rPr>
                <w:rFonts w:ascii="宋体" w:hAnsi="宋体" w:cs="宋体" w:eastAsia="宋体" w:hint="default"/>
                <w:spacing w:val="-1"/>
                <w:sz w:val="21"/>
                <w:szCs w:val="21"/>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1"/>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每年第一个交易日解锁持股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总数的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p>
        </w:tc>
      </w:tr>
      <w:tr>
        <w:trPr>
          <w:trHeight w:val="71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徐旭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33,600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64" w:right="0"/>
              <w:jc w:val="left"/>
              <w:rPr>
                <w:rFonts w:ascii="Times New Roman" w:hAnsi="Times New Roman" w:cs="Times New Roman" w:eastAsia="Times New Roman" w:hint="default"/>
                <w:sz w:val="21"/>
                <w:szCs w:val="21"/>
              </w:rPr>
            </w:pPr>
            <w:r>
              <w:rPr>
                <w:rFonts w:ascii="Times New Roman"/>
                <w:sz w:val="21"/>
              </w:rPr>
              <w:t>73,275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95,675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7"/>
              <w:jc w:val="left"/>
              <w:rPr>
                <w:rFonts w:ascii="宋体" w:hAnsi="宋体" w:cs="宋体" w:eastAsia="宋体" w:hint="default"/>
                <w:sz w:val="21"/>
                <w:szCs w:val="21"/>
              </w:rPr>
            </w:pPr>
            <w:r>
              <w:rPr>
                <w:rFonts w:ascii="宋体" w:hAnsi="宋体" w:cs="宋体" w:eastAsia="宋体" w:hint="default"/>
                <w:spacing w:val="5"/>
                <w:sz w:val="21"/>
                <w:szCs w:val="21"/>
              </w:rPr>
              <w:t>高管锁定</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限制</w:t>
            </w:r>
            <w:r>
              <w:rPr>
                <w:rFonts w:ascii="宋体" w:hAnsi="宋体" w:cs="宋体" w:eastAsia="宋体" w:hint="default"/>
                <w:spacing w:val="-89"/>
                <w:sz w:val="21"/>
                <w:szCs w:val="21"/>
              </w:rPr>
              <w:t> </w:t>
            </w:r>
            <w:r>
              <w:rPr>
                <w:rFonts w:ascii="宋体" w:hAnsi="宋体" w:cs="宋体" w:eastAsia="宋体" w:hint="default"/>
                <w:sz w:val="21"/>
                <w:szCs w:val="21"/>
              </w:rPr>
              <w:t>性股票</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1"/>
              <w:jc w:val="left"/>
              <w:rPr>
                <w:rFonts w:ascii="宋体" w:hAnsi="宋体" w:cs="宋体" w:eastAsia="宋体" w:hint="default"/>
                <w:sz w:val="21"/>
                <w:szCs w:val="21"/>
              </w:rPr>
            </w:pPr>
            <w:r>
              <w:rPr>
                <w:rFonts w:ascii="宋体" w:hAnsi="宋体" w:cs="宋体" w:eastAsia="宋体" w:hint="default"/>
                <w:spacing w:val="13"/>
                <w:sz w:val="21"/>
                <w:szCs w:val="21"/>
              </w:rPr>
              <w:t>每年第一个交易日解锁持股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总数的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、分期解除限售</w:t>
            </w:r>
          </w:p>
        </w:tc>
      </w:tr>
    </w:tbl>
    <w:p>
      <w:pPr>
        <w:spacing w:after="0" w:line="273" w:lineRule="auto"/>
        <w:jc w:val="left"/>
        <w:rPr>
          <w:rFonts w:ascii="宋体" w:hAnsi="宋体" w:cs="宋体" w:eastAsia="宋体" w:hint="default"/>
          <w:sz w:val="21"/>
          <w:szCs w:val="21"/>
        </w:rPr>
        <w:sectPr>
          <w:type w:val="continuous"/>
          <w:pgSz w:w="11910" w:h="16840"/>
          <w:pgMar w:top="1100" w:bottom="1160" w:left="440" w:right="420"/>
        </w:sectPr>
      </w:pPr>
    </w:p>
    <w:p>
      <w:pPr>
        <w:spacing w:line="240" w:lineRule="auto" w:before="11"/>
        <w:rPr>
          <w:rFonts w:ascii="Times New Roman" w:hAnsi="Times New Roman" w:cs="Times New Roman" w:eastAsia="Times New Roman"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1808"/>
        <w:gridCol w:w="1277"/>
        <w:gridCol w:w="1133"/>
        <w:gridCol w:w="1277"/>
        <w:gridCol w:w="1135"/>
        <w:gridCol w:w="1417"/>
        <w:gridCol w:w="2765"/>
      </w:tblGrid>
      <w:tr>
        <w:trPr>
          <w:trHeight w:val="71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李绍俊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47,850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63,850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7"/>
              <w:jc w:val="left"/>
              <w:rPr>
                <w:rFonts w:ascii="宋体" w:hAnsi="宋体" w:cs="宋体" w:eastAsia="宋体" w:hint="default"/>
                <w:sz w:val="21"/>
                <w:szCs w:val="21"/>
              </w:rPr>
            </w:pPr>
            <w:r>
              <w:rPr>
                <w:rFonts w:ascii="宋体" w:hAnsi="宋体" w:cs="宋体" w:eastAsia="宋体" w:hint="default"/>
                <w:spacing w:val="5"/>
                <w:sz w:val="21"/>
                <w:szCs w:val="21"/>
              </w:rPr>
              <w:t>高管锁定</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限制</w:t>
            </w:r>
            <w:r>
              <w:rPr>
                <w:rFonts w:ascii="宋体" w:hAnsi="宋体" w:cs="宋体" w:eastAsia="宋体" w:hint="default"/>
                <w:spacing w:val="-89"/>
                <w:sz w:val="21"/>
                <w:szCs w:val="21"/>
              </w:rPr>
              <w:t> </w:t>
            </w:r>
            <w:r>
              <w:rPr>
                <w:rFonts w:ascii="宋体" w:hAnsi="宋体" w:cs="宋体" w:eastAsia="宋体" w:hint="default"/>
                <w:sz w:val="21"/>
                <w:szCs w:val="21"/>
              </w:rPr>
              <w:t>性股票</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1"/>
              <w:jc w:val="left"/>
              <w:rPr>
                <w:rFonts w:ascii="宋体" w:hAnsi="宋体" w:cs="宋体" w:eastAsia="宋体" w:hint="default"/>
                <w:sz w:val="21"/>
                <w:szCs w:val="21"/>
              </w:rPr>
            </w:pPr>
            <w:r>
              <w:rPr>
                <w:rFonts w:ascii="宋体" w:hAnsi="宋体" w:cs="宋体" w:eastAsia="宋体" w:hint="default"/>
                <w:spacing w:val="13"/>
                <w:sz w:val="21"/>
                <w:szCs w:val="21"/>
              </w:rPr>
              <w:t>每年第一个交易日解锁持股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总数的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、分期解除限售</w:t>
            </w:r>
          </w:p>
        </w:tc>
      </w:tr>
      <w:tr>
        <w:trPr>
          <w:trHeight w:val="71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白杨建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26,000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42,000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7"/>
              <w:jc w:val="left"/>
              <w:rPr>
                <w:rFonts w:ascii="宋体" w:hAnsi="宋体" w:cs="宋体" w:eastAsia="宋体" w:hint="default"/>
                <w:sz w:val="21"/>
                <w:szCs w:val="21"/>
              </w:rPr>
            </w:pPr>
            <w:r>
              <w:rPr>
                <w:rFonts w:ascii="宋体" w:hAnsi="宋体" w:cs="宋体" w:eastAsia="宋体" w:hint="default"/>
                <w:spacing w:val="5"/>
                <w:sz w:val="21"/>
                <w:szCs w:val="21"/>
              </w:rPr>
              <w:t>高管锁定</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限制</w:t>
            </w:r>
            <w:r>
              <w:rPr>
                <w:rFonts w:ascii="宋体" w:hAnsi="宋体" w:cs="宋体" w:eastAsia="宋体" w:hint="default"/>
                <w:spacing w:val="-89"/>
                <w:sz w:val="21"/>
                <w:szCs w:val="21"/>
              </w:rPr>
              <w:t> </w:t>
            </w:r>
            <w:r>
              <w:rPr>
                <w:rFonts w:ascii="宋体" w:hAnsi="宋体" w:cs="宋体" w:eastAsia="宋体" w:hint="default"/>
                <w:sz w:val="21"/>
                <w:szCs w:val="21"/>
              </w:rPr>
              <w:t>性股票</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21"/>
              <w:jc w:val="left"/>
              <w:rPr>
                <w:rFonts w:ascii="宋体" w:hAnsi="宋体" w:cs="宋体" w:eastAsia="宋体" w:hint="default"/>
                <w:sz w:val="21"/>
                <w:szCs w:val="21"/>
              </w:rPr>
            </w:pPr>
            <w:r>
              <w:rPr>
                <w:rFonts w:ascii="宋体" w:hAnsi="宋体" w:cs="宋体" w:eastAsia="宋体" w:hint="default"/>
                <w:spacing w:val="13"/>
                <w:sz w:val="21"/>
                <w:szCs w:val="21"/>
              </w:rPr>
              <w:t>每年第一个交易日解锁持股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总数的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、分期解除限售</w:t>
            </w:r>
          </w:p>
        </w:tc>
      </w:tr>
      <w:tr>
        <w:trPr>
          <w:trHeight w:val="401"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王尔琪</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11,071,840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11,071,840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高管离任锁定</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月解除限售</w:t>
            </w:r>
          </w:p>
        </w:tc>
      </w:tr>
      <w:tr>
        <w:trPr>
          <w:trHeight w:val="40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王继晖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518,400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518,400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高管离任锁定</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月解除限售</w:t>
            </w:r>
          </w:p>
        </w:tc>
      </w:tr>
      <w:tr>
        <w:trPr>
          <w:trHeight w:val="71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曾志明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564,480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37,500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526,980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1"/>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每年第一个交易日解锁持股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总数的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p>
        </w:tc>
      </w:tr>
      <w:tr>
        <w:trPr>
          <w:trHeight w:val="71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689" w:right="19" w:hanging="666"/>
              <w:jc w:val="left"/>
              <w:rPr>
                <w:rFonts w:ascii="宋体" w:hAnsi="宋体" w:cs="宋体" w:eastAsia="宋体" w:hint="default"/>
                <w:sz w:val="21"/>
                <w:szCs w:val="21"/>
              </w:rPr>
            </w:pPr>
            <w:r>
              <w:rPr>
                <w:rFonts w:ascii="宋体" w:hAnsi="宋体" w:cs="宋体" w:eastAsia="宋体" w:hint="default"/>
                <w:sz w:val="21"/>
                <w:szCs w:val="21"/>
              </w:rPr>
              <w:t>限制性股票</w:t>
            </w:r>
            <w:r>
              <w:rPr>
                <w:rFonts w:ascii="Times New Roman" w:hAnsi="Times New Roman" w:cs="Times New Roman" w:eastAsia="Times New Roman" w:hint="default"/>
                <w:sz w:val="21"/>
                <w:szCs w:val="21"/>
              </w:rPr>
              <w:t>(</w:t>
            </w:r>
            <w:r>
              <w:rPr>
                <w:rFonts w:ascii="宋体" w:hAnsi="宋体" w:cs="宋体" w:eastAsia="宋体" w:hint="default"/>
                <w:sz w:val="21"/>
                <w:szCs w:val="21"/>
              </w:rPr>
              <w:t>其他人</w:t>
            </w:r>
            <w:r>
              <w:rPr>
                <w:rFonts w:ascii="宋体" w:hAnsi="宋体" w:cs="宋体" w:eastAsia="宋体" w:hint="default"/>
                <w:w w:val="100"/>
                <w:sz w:val="21"/>
                <w:szCs w:val="21"/>
              </w:rPr>
              <w:t> </w:t>
            </w:r>
            <w:r>
              <w:rPr>
                <w:rFonts w:ascii="宋体" w:hAnsi="宋体" w:cs="宋体" w:eastAsia="宋体" w:hint="default"/>
                <w:sz w:val="21"/>
                <w:szCs w:val="21"/>
              </w:rPr>
              <w:t>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1,644,484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1,484,484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6"/>
              <w:jc w:val="left"/>
              <w:rPr>
                <w:rFonts w:ascii="宋体" w:hAnsi="宋体" w:cs="宋体" w:eastAsia="宋体" w:hint="default"/>
                <w:sz w:val="21"/>
                <w:szCs w:val="21"/>
              </w:rPr>
            </w:pPr>
            <w:r>
              <w:rPr>
                <w:rFonts w:ascii="宋体" w:hAnsi="宋体" w:cs="宋体" w:eastAsia="宋体" w:hint="default"/>
                <w:spacing w:val="15"/>
                <w:sz w:val="21"/>
                <w:szCs w:val="21"/>
              </w:rPr>
              <w:t>股权激励限售</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分期解除限售</w:t>
            </w:r>
          </w:p>
        </w:tc>
      </w:tr>
      <w:tr>
        <w:trPr>
          <w:trHeight w:val="71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孙在宏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9,205,379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2,761,614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7,743,765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9"/>
              <w:ind w:left="23" w:right="14"/>
              <w:jc w:val="left"/>
              <w:rPr>
                <w:rFonts w:ascii="宋体" w:hAnsi="宋体" w:cs="宋体" w:eastAsia="宋体" w:hint="default"/>
                <w:sz w:val="21"/>
                <w:szCs w:val="21"/>
              </w:rPr>
            </w:pPr>
            <w:r>
              <w:rPr>
                <w:rFonts w:ascii="宋体" w:hAnsi="宋体" w:cs="宋体" w:eastAsia="宋体" w:hint="default"/>
                <w:spacing w:val="4"/>
                <w:sz w:val="21"/>
                <w:szCs w:val="21"/>
              </w:rPr>
              <w:t>首发后限售</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高</w:t>
            </w:r>
            <w:r>
              <w:rPr>
                <w:rFonts w:ascii="宋体" w:hAnsi="宋体" w:cs="宋体" w:eastAsia="宋体" w:hint="default"/>
                <w:spacing w:val="-90"/>
                <w:sz w:val="21"/>
                <w:szCs w:val="21"/>
              </w:rPr>
              <w:t> </w:t>
            </w:r>
            <w:r>
              <w:rPr>
                <w:rFonts w:ascii="宋体" w:hAnsi="宋体" w:cs="宋体" w:eastAsia="宋体" w:hint="default"/>
                <w:sz w:val="21"/>
                <w:szCs w:val="21"/>
              </w:rPr>
              <w:t>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3" w:right="21"/>
              <w:jc w:val="left"/>
              <w:rPr>
                <w:rFonts w:ascii="宋体" w:hAnsi="宋体" w:cs="宋体" w:eastAsia="宋体" w:hint="default"/>
                <w:sz w:val="21"/>
                <w:szCs w:val="21"/>
              </w:rPr>
            </w:pPr>
            <w:r>
              <w:rPr>
                <w:rFonts w:ascii="宋体" w:hAnsi="宋体" w:cs="宋体" w:eastAsia="宋体" w:hint="default"/>
                <w:spacing w:val="13"/>
                <w:sz w:val="21"/>
                <w:szCs w:val="21"/>
              </w:rPr>
              <w:t>根据非公开发行时承诺分期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解除限售</w:t>
            </w:r>
          </w:p>
        </w:tc>
      </w:tr>
      <w:tr>
        <w:trPr>
          <w:trHeight w:val="71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吴长彬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3,227,860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968,358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2,259,502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21"/>
              <w:jc w:val="left"/>
              <w:rPr>
                <w:rFonts w:ascii="宋体" w:hAnsi="宋体" w:cs="宋体" w:eastAsia="宋体" w:hint="default"/>
                <w:sz w:val="21"/>
                <w:szCs w:val="21"/>
              </w:rPr>
            </w:pPr>
            <w:r>
              <w:rPr>
                <w:rFonts w:ascii="宋体" w:hAnsi="宋体" w:cs="宋体" w:eastAsia="宋体" w:hint="default"/>
                <w:spacing w:val="13"/>
                <w:sz w:val="21"/>
                <w:szCs w:val="21"/>
              </w:rPr>
              <w:t>根据非公开发行时承诺分期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解除限售</w:t>
            </w:r>
          </w:p>
        </w:tc>
      </w:tr>
      <w:tr>
        <w:trPr>
          <w:trHeight w:val="71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蒋斌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1,807,602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542,281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1,265,321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1"/>
              <w:jc w:val="left"/>
              <w:rPr>
                <w:rFonts w:ascii="宋体" w:hAnsi="宋体" w:cs="宋体" w:eastAsia="宋体" w:hint="default"/>
                <w:sz w:val="21"/>
                <w:szCs w:val="21"/>
              </w:rPr>
            </w:pPr>
            <w:r>
              <w:rPr>
                <w:rFonts w:ascii="宋体" w:hAnsi="宋体" w:cs="宋体" w:eastAsia="宋体" w:hint="default"/>
                <w:spacing w:val="13"/>
                <w:sz w:val="21"/>
                <w:szCs w:val="21"/>
              </w:rPr>
              <w:t>根据非公开发行时承诺分期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解除限售</w:t>
            </w:r>
          </w:p>
        </w:tc>
      </w:tr>
      <w:tr>
        <w:trPr>
          <w:trHeight w:val="71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张伟良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1,673,704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3"/>
                <w:sz w:val="21"/>
              </w:rPr>
              <w:t>502,111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1,171,593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21"/>
              <w:jc w:val="left"/>
              <w:rPr>
                <w:rFonts w:ascii="宋体" w:hAnsi="宋体" w:cs="宋体" w:eastAsia="宋体" w:hint="default"/>
                <w:sz w:val="21"/>
                <w:szCs w:val="21"/>
              </w:rPr>
            </w:pPr>
            <w:r>
              <w:rPr>
                <w:rFonts w:ascii="宋体" w:hAnsi="宋体" w:cs="宋体" w:eastAsia="宋体" w:hint="default"/>
                <w:spacing w:val="13"/>
                <w:sz w:val="21"/>
                <w:szCs w:val="21"/>
              </w:rPr>
              <w:t>根据非公开发行时承诺分期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解除限售</w:t>
            </w:r>
          </w:p>
        </w:tc>
      </w:tr>
      <w:tr>
        <w:trPr>
          <w:trHeight w:val="71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刘新平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1,291,143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387,343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903,800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1"/>
              <w:jc w:val="left"/>
              <w:rPr>
                <w:rFonts w:ascii="宋体" w:hAnsi="宋体" w:cs="宋体" w:eastAsia="宋体" w:hint="default"/>
                <w:sz w:val="21"/>
                <w:szCs w:val="21"/>
              </w:rPr>
            </w:pPr>
            <w:r>
              <w:rPr>
                <w:rFonts w:ascii="宋体" w:hAnsi="宋体" w:cs="宋体" w:eastAsia="宋体" w:hint="default"/>
                <w:spacing w:val="13"/>
                <w:sz w:val="21"/>
                <w:szCs w:val="21"/>
              </w:rPr>
              <w:t>根据非公开发行时承诺分期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解除限售</w:t>
            </w:r>
          </w:p>
        </w:tc>
      </w:tr>
      <w:tr>
        <w:trPr>
          <w:trHeight w:val="71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王亚华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1,004,222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301,266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702,956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1"/>
              <w:ind w:left="23" w:right="21"/>
              <w:jc w:val="left"/>
              <w:rPr>
                <w:rFonts w:ascii="宋体" w:hAnsi="宋体" w:cs="宋体" w:eastAsia="宋体" w:hint="default"/>
                <w:sz w:val="21"/>
                <w:szCs w:val="21"/>
              </w:rPr>
            </w:pPr>
            <w:r>
              <w:rPr>
                <w:rFonts w:ascii="宋体" w:hAnsi="宋体" w:cs="宋体" w:eastAsia="宋体" w:hint="default"/>
                <w:spacing w:val="13"/>
                <w:sz w:val="21"/>
                <w:szCs w:val="21"/>
              </w:rPr>
              <w:t>根据非公开发行时承诺分期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解除限售</w:t>
            </w:r>
          </w:p>
        </w:tc>
      </w:tr>
      <w:tr>
        <w:trPr>
          <w:trHeight w:val="71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王履华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1,004,222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301,266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702,956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1"/>
              <w:jc w:val="left"/>
              <w:rPr>
                <w:rFonts w:ascii="宋体" w:hAnsi="宋体" w:cs="宋体" w:eastAsia="宋体" w:hint="default"/>
                <w:sz w:val="21"/>
                <w:szCs w:val="21"/>
              </w:rPr>
            </w:pPr>
            <w:r>
              <w:rPr>
                <w:rFonts w:ascii="宋体" w:hAnsi="宋体" w:cs="宋体" w:eastAsia="宋体" w:hint="default"/>
                <w:spacing w:val="13"/>
                <w:sz w:val="21"/>
                <w:szCs w:val="21"/>
              </w:rPr>
              <w:t>根据非公开发行时承诺分期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解除限售</w:t>
            </w:r>
          </w:p>
        </w:tc>
      </w:tr>
      <w:tr>
        <w:trPr>
          <w:trHeight w:val="71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吉波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956,402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286,920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669,482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21"/>
              <w:jc w:val="left"/>
              <w:rPr>
                <w:rFonts w:ascii="宋体" w:hAnsi="宋体" w:cs="宋体" w:eastAsia="宋体" w:hint="default"/>
                <w:sz w:val="21"/>
                <w:szCs w:val="21"/>
              </w:rPr>
            </w:pPr>
            <w:r>
              <w:rPr>
                <w:rFonts w:ascii="宋体" w:hAnsi="宋体" w:cs="宋体" w:eastAsia="宋体" w:hint="default"/>
                <w:spacing w:val="13"/>
                <w:sz w:val="21"/>
                <w:szCs w:val="21"/>
              </w:rPr>
              <w:t>根据非公开发行时承诺分期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解除限售</w:t>
            </w:r>
          </w:p>
        </w:tc>
      </w:tr>
      <w:tr>
        <w:trPr>
          <w:trHeight w:val="71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胡永珍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956,402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286,920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669,482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1"/>
              <w:jc w:val="left"/>
              <w:rPr>
                <w:rFonts w:ascii="宋体" w:hAnsi="宋体" w:cs="宋体" w:eastAsia="宋体" w:hint="default"/>
                <w:sz w:val="21"/>
                <w:szCs w:val="21"/>
              </w:rPr>
            </w:pPr>
            <w:r>
              <w:rPr>
                <w:rFonts w:ascii="宋体" w:hAnsi="宋体" w:cs="宋体" w:eastAsia="宋体" w:hint="default"/>
                <w:spacing w:val="13"/>
                <w:sz w:val="21"/>
                <w:szCs w:val="21"/>
              </w:rPr>
              <w:t>根据非公开发行时承诺分期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解除限售</w:t>
            </w:r>
          </w:p>
        </w:tc>
      </w:tr>
      <w:tr>
        <w:trPr>
          <w:trHeight w:val="102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60" w:right="53"/>
              <w:jc w:val="center"/>
              <w:rPr>
                <w:rFonts w:ascii="宋体" w:hAnsi="宋体" w:cs="宋体" w:eastAsia="宋体" w:hint="default"/>
                <w:sz w:val="21"/>
                <w:szCs w:val="21"/>
              </w:rPr>
            </w:pPr>
            <w:r>
              <w:rPr>
                <w:rFonts w:ascii="宋体" w:hAnsi="宋体" w:cs="宋体" w:eastAsia="宋体" w:hint="default"/>
                <w:spacing w:val="-2"/>
                <w:sz w:val="21"/>
                <w:szCs w:val="21"/>
              </w:rPr>
              <w:t>江苏人才创新创业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投资合伙企业（有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限合伙）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20"/>
              <w:jc w:val="right"/>
              <w:rPr>
                <w:rFonts w:ascii="Times New Roman" w:hAnsi="Times New Roman" w:cs="Times New Roman" w:eastAsia="Times New Roman" w:hint="default"/>
                <w:sz w:val="21"/>
                <w:szCs w:val="21"/>
              </w:rPr>
            </w:pPr>
            <w:r>
              <w:rPr>
                <w:rFonts w:ascii="Times New Roman"/>
                <w:spacing w:val="-1"/>
                <w:sz w:val="21"/>
              </w:rPr>
              <w:t>1,594,005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spacing w:val="-1"/>
                <w:sz w:val="21"/>
              </w:rPr>
              <w:t>1,594,005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根据非公开发行时承诺于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个月解锁</w:t>
            </w:r>
          </w:p>
        </w:tc>
      </w:tr>
      <w:tr>
        <w:trPr>
          <w:trHeight w:val="102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60" w:right="53"/>
              <w:jc w:val="center"/>
              <w:rPr>
                <w:rFonts w:ascii="宋体" w:hAnsi="宋体" w:cs="宋体" w:eastAsia="宋体" w:hint="default"/>
                <w:sz w:val="21"/>
                <w:szCs w:val="21"/>
              </w:rPr>
            </w:pPr>
            <w:r>
              <w:rPr>
                <w:rFonts w:ascii="宋体" w:hAnsi="宋体" w:cs="宋体" w:eastAsia="宋体" w:hint="default"/>
                <w:spacing w:val="-2"/>
                <w:sz w:val="21"/>
                <w:szCs w:val="21"/>
              </w:rPr>
              <w:t>江苏高投科贷创业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投资企业（有限合</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20"/>
              <w:jc w:val="right"/>
              <w:rPr>
                <w:rFonts w:ascii="Times New Roman" w:hAnsi="Times New Roman" w:cs="Times New Roman" w:eastAsia="Times New Roman" w:hint="default"/>
                <w:sz w:val="21"/>
                <w:szCs w:val="21"/>
              </w:rPr>
            </w:pPr>
            <w:r>
              <w:rPr>
                <w:rFonts w:ascii="Times New Roman"/>
                <w:spacing w:val="-1"/>
                <w:sz w:val="21"/>
              </w:rPr>
              <w:t>1,594,005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pacing w:val="-1"/>
                <w:sz w:val="21"/>
              </w:rPr>
              <w:t>1,594,005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根据非公开发行时承诺于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个月解锁</w:t>
            </w:r>
          </w:p>
        </w:tc>
      </w:tr>
      <w:tr>
        <w:trPr>
          <w:trHeight w:val="71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中地信基金投资</w:t>
            </w:r>
          </w:p>
          <w:p>
            <w:pPr>
              <w:pStyle w:val="TableParagraph"/>
              <w:spacing w:line="240" w:lineRule="auto" w:before="34"/>
              <w:ind w:left="4" w:right="0"/>
              <w:jc w:val="center"/>
              <w:rPr>
                <w:rFonts w:ascii="宋体" w:hAnsi="宋体" w:cs="宋体" w:eastAsia="宋体" w:hint="default"/>
                <w:sz w:val="21"/>
                <w:szCs w:val="21"/>
              </w:rPr>
            </w:pPr>
            <w:r>
              <w:rPr>
                <w:rFonts w:ascii="宋体" w:hAnsi="宋体" w:cs="宋体" w:eastAsia="宋体" w:hint="default"/>
                <w:sz w:val="21"/>
                <w:szCs w:val="21"/>
              </w:rPr>
              <w:t>（三明）有限公司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718,388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718,388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根据非公开发行时承诺于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36</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个月解锁</w:t>
            </w:r>
          </w:p>
        </w:tc>
      </w:tr>
      <w:tr>
        <w:trPr>
          <w:trHeight w:val="1027"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60" w:right="53"/>
              <w:jc w:val="center"/>
              <w:rPr>
                <w:rFonts w:ascii="宋体" w:hAnsi="宋体" w:cs="宋体" w:eastAsia="宋体" w:hint="default"/>
                <w:sz w:val="21"/>
                <w:szCs w:val="21"/>
              </w:rPr>
            </w:pPr>
            <w:r>
              <w:rPr>
                <w:rFonts w:ascii="宋体" w:hAnsi="宋体" w:cs="宋体" w:eastAsia="宋体" w:hint="default"/>
                <w:spacing w:val="-2"/>
                <w:sz w:val="21"/>
                <w:szCs w:val="21"/>
              </w:rPr>
              <w:t>南京毅达汇聚股权</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投资企业（有限合</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20"/>
              <w:jc w:val="right"/>
              <w:rPr>
                <w:rFonts w:ascii="Times New Roman" w:hAnsi="Times New Roman" w:cs="Times New Roman" w:eastAsia="Times New Roman" w:hint="default"/>
                <w:sz w:val="21"/>
                <w:szCs w:val="21"/>
              </w:rPr>
            </w:pPr>
            <w:r>
              <w:rPr>
                <w:rFonts w:ascii="Times New Roman"/>
                <w:spacing w:val="-1"/>
                <w:sz w:val="21"/>
              </w:rPr>
              <w:t>14,367,816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9"/>
              <w:jc w:val="right"/>
              <w:rPr>
                <w:rFonts w:ascii="Times New Roman" w:hAnsi="Times New Roman" w:cs="Times New Roman" w:eastAsia="Times New Roman" w:hint="default"/>
                <w:sz w:val="21"/>
                <w:szCs w:val="21"/>
              </w:rPr>
            </w:pPr>
            <w:r>
              <w:rPr>
                <w:rFonts w:ascii="Times New Roman"/>
                <w:spacing w:val="-1"/>
                <w:sz w:val="21"/>
              </w:rPr>
              <w:t>14,367,816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根据非公开发行时承诺于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个月解锁</w:t>
            </w:r>
          </w:p>
        </w:tc>
      </w:tr>
    </w:tbl>
    <w:p>
      <w:pPr>
        <w:spacing w:after="0" w:line="240" w:lineRule="auto"/>
        <w:jc w:val="left"/>
        <w:rPr>
          <w:rFonts w:ascii="宋体" w:hAnsi="宋体" w:cs="宋体" w:eastAsia="宋体" w:hint="default"/>
          <w:sz w:val="21"/>
          <w:szCs w:val="21"/>
        </w:rPr>
        <w:sectPr>
          <w:pgSz w:w="11910" w:h="16840"/>
          <w:pgMar w:header="877" w:footer="980" w:top="1100" w:bottom="1160" w:left="440" w:right="420"/>
        </w:sectPr>
      </w:pPr>
    </w:p>
    <w:p>
      <w:pPr>
        <w:spacing w:line="240" w:lineRule="auto" w:before="11"/>
        <w:rPr>
          <w:rFonts w:ascii="Times New Roman" w:hAnsi="Times New Roman" w:cs="Times New Roman" w:eastAsia="Times New Roman"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1808"/>
        <w:gridCol w:w="1277"/>
        <w:gridCol w:w="1133"/>
        <w:gridCol w:w="1277"/>
        <w:gridCol w:w="1135"/>
        <w:gridCol w:w="1417"/>
        <w:gridCol w:w="2765"/>
      </w:tblGrid>
      <w:tr>
        <w:trPr>
          <w:trHeight w:val="102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60" w:right="53"/>
              <w:jc w:val="center"/>
              <w:rPr>
                <w:rFonts w:ascii="宋体" w:hAnsi="宋体" w:cs="宋体" w:eastAsia="宋体" w:hint="default"/>
                <w:sz w:val="21"/>
                <w:szCs w:val="21"/>
              </w:rPr>
            </w:pPr>
            <w:r>
              <w:rPr>
                <w:rFonts w:ascii="宋体" w:hAnsi="宋体" w:cs="宋体" w:eastAsia="宋体" w:hint="default"/>
                <w:spacing w:val="-2"/>
                <w:sz w:val="21"/>
                <w:szCs w:val="21"/>
              </w:rPr>
              <w:t>北京超图软件股份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有限公司－第一期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员工持股计划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20"/>
              <w:jc w:val="right"/>
              <w:rPr>
                <w:rFonts w:ascii="Times New Roman" w:hAnsi="Times New Roman" w:cs="Times New Roman" w:eastAsia="Times New Roman" w:hint="default"/>
                <w:sz w:val="21"/>
                <w:szCs w:val="21"/>
              </w:rPr>
            </w:pPr>
            <w:r>
              <w:rPr>
                <w:rFonts w:ascii="Times New Roman"/>
                <w:spacing w:val="-1"/>
                <w:sz w:val="21"/>
              </w:rPr>
              <w:t>13,505,746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9"/>
              <w:jc w:val="right"/>
              <w:rPr>
                <w:rFonts w:ascii="Times New Roman" w:hAnsi="Times New Roman" w:cs="Times New Roman" w:eastAsia="Times New Roman" w:hint="default"/>
                <w:sz w:val="21"/>
                <w:szCs w:val="21"/>
              </w:rPr>
            </w:pPr>
            <w:r>
              <w:rPr>
                <w:rFonts w:ascii="Times New Roman"/>
                <w:spacing w:val="-1"/>
                <w:sz w:val="21"/>
              </w:rPr>
              <w:t>13,505,746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根据非公开发行时承诺于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个月解锁</w:t>
            </w:r>
          </w:p>
        </w:tc>
      </w:tr>
      <w:tr>
        <w:trPr>
          <w:trHeight w:val="1339"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0"/>
              <w:ind w:left="24" w:right="16" w:hanging="1"/>
              <w:jc w:val="center"/>
              <w:rPr>
                <w:rFonts w:ascii="宋体" w:hAnsi="宋体" w:cs="宋体" w:eastAsia="宋体" w:hint="default"/>
                <w:sz w:val="21"/>
                <w:szCs w:val="21"/>
              </w:rPr>
            </w:pPr>
            <w:r>
              <w:rPr>
                <w:rFonts w:ascii="宋体" w:hAnsi="宋体" w:cs="宋体" w:eastAsia="宋体" w:hint="default"/>
                <w:sz w:val="21"/>
                <w:szCs w:val="21"/>
              </w:rPr>
              <w:t>兴证证券资管－招</w:t>
            </w:r>
            <w:r>
              <w:rPr>
                <w:rFonts w:ascii="宋体" w:hAnsi="宋体" w:cs="宋体" w:eastAsia="宋体" w:hint="default"/>
                <w:w w:val="100"/>
                <w:sz w:val="21"/>
                <w:szCs w:val="21"/>
              </w:rPr>
              <w:t> </w:t>
            </w:r>
            <w:r>
              <w:rPr>
                <w:rFonts w:ascii="宋体" w:hAnsi="宋体" w:cs="宋体" w:eastAsia="宋体" w:hint="default"/>
                <w:sz w:val="21"/>
                <w:szCs w:val="21"/>
              </w:rPr>
              <w:t>商银行－兴证资管</w:t>
            </w:r>
            <w:r>
              <w:rPr>
                <w:rFonts w:ascii="宋体" w:hAnsi="宋体" w:cs="宋体" w:eastAsia="宋体" w:hint="default"/>
                <w:w w:val="100"/>
                <w:sz w:val="21"/>
                <w:szCs w:val="21"/>
              </w:rPr>
              <w:t> </w:t>
            </w:r>
            <w:r>
              <w:rPr>
                <w:rFonts w:ascii="宋体" w:hAnsi="宋体" w:cs="宋体" w:eastAsia="宋体" w:hint="default"/>
                <w:sz w:val="21"/>
                <w:szCs w:val="21"/>
              </w:rPr>
              <w:t>鑫众</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58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号集合资产</w:t>
            </w:r>
            <w:r>
              <w:rPr>
                <w:rFonts w:ascii="宋体" w:hAnsi="宋体" w:cs="宋体" w:eastAsia="宋体" w:hint="default"/>
                <w:w w:val="100"/>
                <w:sz w:val="21"/>
                <w:szCs w:val="21"/>
              </w:rPr>
              <w:t> </w:t>
            </w:r>
            <w:r>
              <w:rPr>
                <w:rFonts w:ascii="宋体" w:hAnsi="宋体" w:cs="宋体" w:eastAsia="宋体" w:hint="default"/>
                <w:sz w:val="21"/>
                <w:szCs w:val="21"/>
              </w:rPr>
              <w:t>管理计划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2,155,170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2,155,170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根据非公开发行时承诺于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36</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个月解锁</w:t>
            </w:r>
          </w:p>
        </w:tc>
      </w:tr>
      <w:tr>
        <w:trPr>
          <w:trHeight w:val="71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王继青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2,873,561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2,873,561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根据非公开发行时承诺于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个月解锁</w:t>
            </w:r>
          </w:p>
        </w:tc>
      </w:tr>
      <w:tr>
        <w:trPr>
          <w:trHeight w:val="403" w:hRule="exact"/>
        </w:trPr>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144,495,669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5" w:right="0"/>
              <w:jc w:val="left"/>
              <w:rPr>
                <w:rFonts w:ascii="Times New Roman" w:hAnsi="Times New Roman" w:cs="Times New Roman" w:eastAsia="Times New Roman" w:hint="default"/>
                <w:sz w:val="21"/>
                <w:szCs w:val="21"/>
              </w:rPr>
            </w:pPr>
            <w:r>
              <w:rPr>
                <w:rFonts w:ascii="Times New Roman"/>
                <w:sz w:val="21"/>
              </w:rPr>
              <w:t>26,469,913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3" w:right="0"/>
              <w:jc w:val="left"/>
              <w:rPr>
                <w:rFonts w:ascii="Times New Roman" w:hAnsi="Times New Roman" w:cs="Times New Roman" w:eastAsia="Times New Roman" w:hint="default"/>
                <w:sz w:val="21"/>
                <w:szCs w:val="21"/>
              </w:rPr>
            </w:pPr>
            <w:r>
              <w:rPr>
                <w:rFonts w:ascii="Times New Roman"/>
                <w:sz w:val="21"/>
              </w:rPr>
              <w:t>1,447,125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119,472,881</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5" w:right="0"/>
              <w:jc w:val="center"/>
              <w:rPr>
                <w:rFonts w:ascii="Times New Roman" w:hAnsi="Times New Roman" w:cs="Times New Roman" w:eastAsia="Times New Roman" w:hint="default"/>
                <w:sz w:val="21"/>
                <w:szCs w:val="21"/>
              </w:rPr>
            </w:pPr>
            <w:r>
              <w:rPr>
                <w:rFonts w:ascii="Times New Roman"/>
                <w:sz w:val="21"/>
              </w:rPr>
              <w:t>--</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693" w:right="697"/>
        <w:jc w:val="left"/>
        <w:rPr>
          <w:b w:val="0"/>
          <w:bCs w:val="0"/>
        </w:rPr>
      </w:pPr>
      <w:r>
        <w:rPr/>
        <w:t>二、证券发行与上市情况</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693" w:right="697"/>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宋体" w:hAnsi="宋体" w:cs="宋体" w:eastAsia="宋体" w:hint="default"/>
          <w:b/>
          <w:bCs/>
          <w:sz w:val="21"/>
          <w:szCs w:val="21"/>
        </w:rPr>
      </w:pPr>
    </w:p>
    <w:p>
      <w:pPr>
        <w:pStyle w:val="BodyText"/>
        <w:spacing w:line="240" w:lineRule="auto" w:before="0"/>
        <w:ind w:left="693" w:right="6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7"/>
        <w:rPr>
          <w:rFonts w:ascii="宋体" w:hAnsi="宋体" w:cs="宋体" w:eastAsia="宋体" w:hint="default"/>
          <w:sz w:val="21"/>
          <w:szCs w:val="21"/>
        </w:rPr>
      </w:pPr>
    </w:p>
    <w:p>
      <w:pPr>
        <w:pStyle w:val="Heading2"/>
        <w:spacing w:line="240" w:lineRule="auto"/>
        <w:ind w:left="693" w:right="697"/>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0"/>
        <w:ind w:left="693" w:right="6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5"/>
        <w:rPr>
          <w:rFonts w:ascii="宋体" w:hAnsi="宋体" w:cs="宋体" w:eastAsia="宋体" w:hint="default"/>
          <w:sz w:val="21"/>
          <w:szCs w:val="21"/>
        </w:rPr>
      </w:pPr>
    </w:p>
    <w:p>
      <w:pPr>
        <w:pStyle w:val="Heading2"/>
        <w:spacing w:line="240" w:lineRule="auto"/>
        <w:ind w:left="693" w:right="697"/>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1"/>
          <w:szCs w:val="21"/>
        </w:rPr>
      </w:pPr>
    </w:p>
    <w:p>
      <w:pPr>
        <w:spacing w:line="456" w:lineRule="auto" w:before="0"/>
        <w:ind w:left="693" w:right="732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、公司股东数量及持股情况</w:t>
      </w:r>
      <w:r>
        <w:rPr>
          <w:rFonts w:ascii="宋体" w:hAnsi="宋体" w:cs="宋体" w:eastAsia="宋体" w:hint="default"/>
          <w:sz w:val="24"/>
          <w:szCs w:val="24"/>
        </w:rPr>
      </w:r>
    </w:p>
    <w:p>
      <w:pPr>
        <w:spacing w:before="86"/>
        <w:ind w:left="0" w:right="802" w:firstLine="0"/>
        <w:jc w:val="right"/>
        <w:rPr>
          <w:rFonts w:ascii="宋体" w:hAnsi="宋体" w:cs="宋体" w:eastAsia="宋体" w:hint="default"/>
          <w:sz w:val="18"/>
          <w:szCs w:val="18"/>
        </w:rPr>
      </w:pPr>
      <w:r>
        <w:rPr/>
        <w:pict>
          <v:shape style="position:absolute;margin-left:510.34671pt;margin-top:72.897720pt;width:50.45pt;height:31.25pt;mso-position-horizontal-relative:page;mso-position-vertical-relative:paragraph;z-index:-997816" type="#_x0000_t202" filled="false" stroked="false">
            <v:textbox inset="0,0,0,0">
              <w:txbxContent>
                <w:p>
                  <w:pPr>
                    <w:spacing w:line="22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517.200012pt;margin-top:72.897720pt;width:43.6pt;height:31.25pt;mso-position-horizontal-relative:page;mso-position-vertical-relative:paragraph;z-index:-997792" coordorigin="10344,1458" coordsize="872,625">
            <v:shape style="position:absolute;left:10344;top:1458;width:872;height:625" coordorigin="10344,1458" coordsize="872,625" path="m10344,2082l11215,2082,11215,1458,10344,1458,10344,2082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253" w:type="dxa"/>
        <w:tblLayout w:type="fixed"/>
        <w:tblCellMar>
          <w:top w:w="0" w:type="dxa"/>
          <w:left w:w="0" w:type="dxa"/>
          <w:bottom w:w="0" w:type="dxa"/>
          <w:right w:w="0" w:type="dxa"/>
        </w:tblCellMar>
        <w:tblLook w:val="01E0"/>
      </w:tblPr>
      <w:tblGrid>
        <w:gridCol w:w="1320"/>
        <w:gridCol w:w="444"/>
        <w:gridCol w:w="362"/>
        <w:gridCol w:w="1054"/>
        <w:gridCol w:w="385"/>
        <w:gridCol w:w="325"/>
        <w:gridCol w:w="1211"/>
        <w:gridCol w:w="985"/>
        <w:gridCol w:w="736"/>
        <w:gridCol w:w="400"/>
        <w:gridCol w:w="840"/>
        <w:gridCol w:w="271"/>
        <w:gridCol w:w="1285"/>
        <w:gridCol w:w="435"/>
        <w:gridCol w:w="467"/>
      </w:tblGrid>
      <w:tr>
        <w:trPr>
          <w:trHeight w:val="161" w:hRule="exact"/>
        </w:trPr>
        <w:tc>
          <w:tcPr>
            <w:tcW w:w="1320" w:type="dxa"/>
            <w:vMerge w:val="restart"/>
            <w:tcBorders>
              <w:top w:val="single" w:sz="4" w:space="0" w:color="000000"/>
              <w:left w:val="single" w:sz="4" w:space="0" w:color="000000"/>
              <w:right w:val="single" w:sz="4" w:space="0" w:color="000000"/>
            </w:tcBorders>
            <w:shd w:val="clear" w:color="auto" w:fill="D2D2D2"/>
          </w:tcPr>
          <w:p>
            <w:pPr/>
          </w:p>
        </w:tc>
        <w:tc>
          <w:tcPr>
            <w:tcW w:w="806"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178" w:right="0"/>
              <w:jc w:val="left"/>
              <w:rPr>
                <w:rFonts w:ascii="Times New Roman" w:hAnsi="Times New Roman" w:cs="Times New Roman" w:eastAsia="Times New Roman" w:hint="default"/>
                <w:sz w:val="21"/>
                <w:szCs w:val="21"/>
              </w:rPr>
            </w:pPr>
            <w:r>
              <w:rPr>
                <w:rFonts w:ascii="Times New Roman"/>
                <w:sz w:val="21"/>
              </w:rPr>
              <w:t>39,445</w:t>
            </w:r>
          </w:p>
        </w:tc>
        <w:tc>
          <w:tcPr>
            <w:tcW w:w="14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536"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910" w:right="0"/>
              <w:jc w:val="left"/>
              <w:rPr>
                <w:rFonts w:ascii="Times New Roman" w:hAnsi="Times New Roman" w:cs="Times New Roman" w:eastAsia="Times New Roman" w:hint="default"/>
                <w:sz w:val="21"/>
                <w:szCs w:val="21"/>
              </w:rPr>
            </w:pPr>
            <w:r>
              <w:rPr>
                <w:rFonts w:ascii="Times New Roman"/>
                <w:sz w:val="21"/>
              </w:rPr>
              <w:t>37,949</w:t>
            </w:r>
          </w:p>
        </w:tc>
        <w:tc>
          <w:tcPr>
            <w:tcW w:w="172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40"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23"/>
              <w:jc w:val="right"/>
              <w:rPr>
                <w:rFonts w:ascii="Times New Roman" w:hAnsi="Times New Roman" w:cs="Times New Roman" w:eastAsia="Times New Roman" w:hint="default"/>
                <w:sz w:val="21"/>
                <w:szCs w:val="21"/>
              </w:rPr>
            </w:pPr>
            <w:r>
              <w:rPr>
                <w:rFonts w:ascii="Times New Roman"/>
                <w:w w:val="100"/>
                <w:sz w:val="21"/>
              </w:rPr>
              <w:t>0</w:t>
            </w:r>
          </w:p>
        </w:tc>
        <w:tc>
          <w:tcPr>
            <w:tcW w:w="15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2" w:right="58"/>
              <w:jc w:val="both"/>
              <w:rPr>
                <w:rFonts w:ascii="宋体" w:hAnsi="宋体" w:cs="宋体" w:eastAsia="宋体" w:hint="default"/>
                <w:sz w:val="21"/>
                <w:szCs w:val="21"/>
              </w:rPr>
            </w:pPr>
            <w:r>
              <w:rPr>
                <w:rFonts w:ascii="宋体" w:hAnsi="宋体" w:cs="宋体" w:eastAsia="宋体" w:hint="default"/>
                <w:sz w:val="21"/>
                <w:szCs w:val="21"/>
              </w:rPr>
              <w:t>年度报告披露日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前上一月末表决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权恢复的优先股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股东总数（如有</w:t>
            </w:r>
          </w:p>
          <w:p>
            <w:pPr>
              <w:pStyle w:val="TableParagraph"/>
              <w:spacing w:line="240" w:lineRule="auto" w:before="8"/>
              <w:ind w:left="12" w:right="0"/>
              <w:jc w:val="both"/>
              <w:rPr>
                <w:rFonts w:ascii="宋体" w:hAnsi="宋体" w:cs="宋体" w:eastAsia="宋体" w:hint="default"/>
                <w:sz w:val="21"/>
                <w:szCs w:val="21"/>
              </w:rPr>
            </w:pPr>
            <w:r>
              <w:rPr>
                <w:rFonts w:ascii="宋体" w:hAnsi="宋体" w:cs="宋体" w:eastAsia="宋体" w:hint="default"/>
                <w:sz w:val="21"/>
                <w:szCs w:val="21"/>
              </w:rPr>
              <w:t>（参见注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p>
        </w:tc>
        <w:tc>
          <w:tcPr>
            <w:tcW w:w="435" w:type="dxa"/>
            <w:vMerge w:val="restart"/>
            <w:tcBorders>
              <w:top w:val="single" w:sz="4" w:space="0" w:color="000000"/>
              <w:left w:val="single" w:sz="10" w:space="0" w:color="D2D2D2"/>
              <w:right w:val="nil" w:sz="6" w:space="0" w:color="auto"/>
            </w:tcBorders>
          </w:tcPr>
          <w:p>
            <w:pPr/>
          </w:p>
        </w:tc>
        <w:tc>
          <w:tcPr>
            <w:tcW w:w="467" w:type="dxa"/>
            <w:tcBorders>
              <w:top w:val="single" w:sz="4" w:space="0" w:color="000000"/>
              <w:left w:val="nil" w:sz="6" w:space="0" w:color="auto"/>
              <w:bottom w:val="nil" w:sz="6" w:space="0" w:color="auto"/>
              <w:right w:val="single" w:sz="4" w:space="0" w:color="000000"/>
            </w:tcBorders>
          </w:tcPr>
          <w:p>
            <w:pPr/>
          </w:p>
        </w:tc>
      </w:tr>
      <w:tr>
        <w:trPr>
          <w:trHeight w:val="312" w:hRule="exact"/>
        </w:trPr>
        <w:tc>
          <w:tcPr>
            <w:tcW w:w="1320" w:type="dxa"/>
            <w:vMerge/>
            <w:tcBorders>
              <w:left w:val="single" w:sz="4" w:space="0" w:color="000000"/>
              <w:bottom w:val="nil" w:sz="6" w:space="0" w:color="auto"/>
              <w:right w:val="single" w:sz="4" w:space="0" w:color="000000"/>
            </w:tcBorders>
            <w:shd w:val="clear" w:color="auto" w:fill="D2D2D2"/>
          </w:tcPr>
          <w:p>
            <w:pPr/>
          </w:p>
        </w:tc>
        <w:tc>
          <w:tcPr>
            <w:tcW w:w="806" w:type="dxa"/>
            <w:gridSpan w:val="2"/>
            <w:vMerge/>
            <w:tcBorders>
              <w:left w:val="single" w:sz="9" w:space="0" w:color="D2D2D2"/>
              <w:right w:val="single" w:sz="9" w:space="0" w:color="D2D2D2"/>
            </w:tcBorders>
          </w:tcPr>
          <w:p>
            <w:pPr/>
          </w:p>
        </w:tc>
        <w:tc>
          <w:tcPr>
            <w:tcW w:w="143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 w:right="153"/>
              <w:jc w:val="both"/>
              <w:rPr>
                <w:rFonts w:ascii="宋体" w:hAnsi="宋体" w:cs="宋体" w:eastAsia="宋体" w:hint="default"/>
                <w:sz w:val="21"/>
                <w:szCs w:val="21"/>
              </w:rPr>
            </w:pPr>
            <w:r>
              <w:rPr>
                <w:rFonts w:ascii="宋体" w:hAnsi="宋体" w:cs="宋体" w:eastAsia="宋体" w:hint="default"/>
                <w:sz w:val="21"/>
                <w:szCs w:val="21"/>
              </w:rPr>
              <w:t>年度报告披露</w:t>
            </w:r>
            <w:r>
              <w:rPr>
                <w:rFonts w:ascii="宋体" w:hAnsi="宋体" w:cs="宋体" w:eastAsia="宋体" w:hint="default"/>
                <w:w w:val="100"/>
                <w:sz w:val="21"/>
                <w:szCs w:val="21"/>
              </w:rPr>
              <w:t> </w:t>
            </w:r>
            <w:r>
              <w:rPr>
                <w:rFonts w:ascii="宋体" w:hAnsi="宋体" w:cs="宋体" w:eastAsia="宋体" w:hint="default"/>
                <w:sz w:val="21"/>
                <w:szCs w:val="21"/>
              </w:rPr>
              <w:t>日前上一月末</w:t>
            </w:r>
            <w:r>
              <w:rPr>
                <w:rFonts w:ascii="宋体" w:hAnsi="宋体" w:cs="宋体" w:eastAsia="宋体" w:hint="default"/>
                <w:w w:val="100"/>
                <w:sz w:val="21"/>
                <w:szCs w:val="21"/>
              </w:rPr>
              <w:t> </w:t>
            </w:r>
            <w:r>
              <w:rPr>
                <w:rFonts w:ascii="宋体" w:hAnsi="宋体" w:cs="宋体" w:eastAsia="宋体" w:hint="default"/>
                <w:sz w:val="21"/>
                <w:szCs w:val="21"/>
              </w:rPr>
              <w:t>普通股股东总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536" w:type="dxa"/>
            <w:gridSpan w:val="2"/>
            <w:vMerge/>
            <w:tcBorders>
              <w:left w:val="single" w:sz="10" w:space="0" w:color="D2D2D2"/>
              <w:right w:val="single" w:sz="10" w:space="0" w:color="D2D2D2"/>
            </w:tcBorders>
          </w:tcPr>
          <w:p>
            <w:pPr/>
          </w:p>
        </w:tc>
        <w:tc>
          <w:tcPr>
            <w:tcW w:w="172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7" w:right="6"/>
              <w:jc w:val="both"/>
              <w:rPr>
                <w:rFonts w:ascii="宋体" w:hAnsi="宋体" w:cs="宋体" w:eastAsia="宋体" w:hint="default"/>
                <w:sz w:val="21"/>
                <w:szCs w:val="21"/>
              </w:rPr>
            </w:pPr>
            <w:r>
              <w:rPr>
                <w:rFonts w:ascii="宋体" w:hAnsi="宋体" w:cs="宋体" w:eastAsia="宋体" w:hint="default"/>
                <w:sz w:val="21"/>
                <w:szCs w:val="21"/>
              </w:rPr>
              <w:t>报告期末表决权恢</w:t>
            </w:r>
            <w:r>
              <w:rPr>
                <w:rFonts w:ascii="宋体" w:hAnsi="宋体" w:cs="宋体" w:eastAsia="宋体" w:hint="default"/>
                <w:w w:val="100"/>
                <w:sz w:val="21"/>
                <w:szCs w:val="21"/>
              </w:rPr>
              <w:t> </w:t>
            </w:r>
            <w:r>
              <w:rPr>
                <w:rFonts w:ascii="宋体" w:hAnsi="宋体" w:cs="宋体" w:eastAsia="宋体" w:hint="default"/>
                <w:sz w:val="21"/>
                <w:szCs w:val="21"/>
              </w:rPr>
              <w:t>复的优先股股东总</w:t>
            </w:r>
            <w:r>
              <w:rPr>
                <w:rFonts w:ascii="宋体" w:hAnsi="宋体" w:cs="宋体" w:eastAsia="宋体" w:hint="default"/>
                <w:w w:val="100"/>
                <w:sz w:val="21"/>
                <w:szCs w:val="21"/>
              </w:rPr>
              <w:t> </w:t>
            </w:r>
            <w:r>
              <w:rPr>
                <w:rFonts w:ascii="宋体" w:hAnsi="宋体" w:cs="宋体" w:eastAsia="宋体" w:hint="default"/>
                <w:spacing w:val="-25"/>
                <w:w w:val="100"/>
                <w:sz w:val="21"/>
                <w:szCs w:val="21"/>
              </w:rPr>
              <w:t>数（如有）（参见注</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Times New Roman" w:hAnsi="Times New Roman" w:cs="Times New Roman" w:eastAsia="Times New Roman" w:hint="default"/>
                <w:sz w:val="21"/>
                <w:szCs w:val="21"/>
              </w:rPr>
              <w:t>9</w:t>
            </w:r>
            <w:r>
              <w:rPr>
                <w:rFonts w:ascii="宋体" w:hAnsi="宋体" w:cs="宋体" w:eastAsia="宋体" w:hint="default"/>
                <w:sz w:val="21"/>
                <w:szCs w:val="21"/>
              </w:rPr>
              <w:t>）</w:t>
            </w:r>
          </w:p>
        </w:tc>
        <w:tc>
          <w:tcPr>
            <w:tcW w:w="1240" w:type="dxa"/>
            <w:gridSpan w:val="2"/>
            <w:vMerge/>
            <w:tcBorders>
              <w:left w:val="single" w:sz="10" w:space="0" w:color="D2D2D2"/>
              <w:right w:val="single" w:sz="13" w:space="0" w:color="D2D2D2"/>
            </w:tcBorders>
          </w:tcPr>
          <w:p>
            <w:pPr/>
          </w:p>
        </w:tc>
        <w:tc>
          <w:tcPr>
            <w:tcW w:w="1556" w:type="dxa"/>
            <w:gridSpan w:val="2"/>
            <w:vMerge/>
            <w:tcBorders>
              <w:left w:val="single" w:sz="4" w:space="0" w:color="000000"/>
              <w:right w:val="single" w:sz="4" w:space="0" w:color="000000"/>
            </w:tcBorders>
            <w:shd w:val="clear" w:color="auto" w:fill="D2D2D2"/>
          </w:tcPr>
          <w:p>
            <w:pPr/>
          </w:p>
        </w:tc>
        <w:tc>
          <w:tcPr>
            <w:tcW w:w="435" w:type="dxa"/>
            <w:vMerge/>
            <w:tcBorders>
              <w:left w:val="single" w:sz="10" w:space="0" w:color="D2D2D2"/>
              <w:right w:val="nil" w:sz="6" w:space="0" w:color="auto"/>
            </w:tcBorders>
          </w:tcPr>
          <w:p>
            <w:pPr/>
          </w:p>
        </w:tc>
        <w:tc>
          <w:tcPr>
            <w:tcW w:w="467" w:type="dxa"/>
            <w:tcBorders>
              <w:top w:val="nil" w:sz="6" w:space="0" w:color="auto"/>
              <w:left w:val="nil" w:sz="6" w:space="0" w:color="auto"/>
              <w:bottom w:val="nil" w:sz="6" w:space="0" w:color="auto"/>
              <w:right w:val="single" w:sz="4" w:space="0" w:color="000000"/>
            </w:tcBorders>
          </w:tcPr>
          <w:p>
            <w:pPr/>
          </w:p>
        </w:tc>
      </w:tr>
      <w:tr>
        <w:trPr>
          <w:trHeight w:val="706" w:hRule="exact"/>
        </w:trPr>
        <w:tc>
          <w:tcPr>
            <w:tcW w:w="13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34"/>
              <w:jc w:val="left"/>
              <w:rPr>
                <w:rFonts w:ascii="宋体" w:hAnsi="宋体" w:cs="宋体" w:eastAsia="宋体" w:hint="default"/>
                <w:sz w:val="21"/>
                <w:szCs w:val="21"/>
              </w:rPr>
            </w:pPr>
            <w:r>
              <w:rPr>
                <w:rFonts w:ascii="宋体" w:hAnsi="宋体" w:cs="宋体" w:eastAsia="宋体" w:hint="default"/>
                <w:sz w:val="21"/>
                <w:szCs w:val="21"/>
              </w:rPr>
              <w:t>报告期末普通</w:t>
            </w:r>
            <w:r>
              <w:rPr>
                <w:rFonts w:ascii="宋体" w:hAnsi="宋体" w:cs="宋体" w:eastAsia="宋体" w:hint="default"/>
                <w:w w:val="100"/>
                <w:sz w:val="21"/>
                <w:szCs w:val="21"/>
              </w:rPr>
              <w:t> </w:t>
            </w:r>
            <w:r>
              <w:rPr>
                <w:rFonts w:ascii="宋体" w:hAnsi="宋体" w:cs="宋体" w:eastAsia="宋体" w:hint="default"/>
                <w:sz w:val="21"/>
                <w:szCs w:val="21"/>
              </w:rPr>
              <w:t>股股东总数</w:t>
            </w:r>
          </w:p>
        </w:tc>
        <w:tc>
          <w:tcPr>
            <w:tcW w:w="806" w:type="dxa"/>
            <w:gridSpan w:val="2"/>
            <w:vMerge/>
            <w:tcBorders>
              <w:left w:val="single" w:sz="9" w:space="0" w:color="D2D2D2"/>
              <w:right w:val="single" w:sz="9" w:space="0" w:color="D2D2D2"/>
            </w:tcBorders>
          </w:tcPr>
          <w:p>
            <w:pPr/>
          </w:p>
        </w:tc>
        <w:tc>
          <w:tcPr>
            <w:tcW w:w="1439" w:type="dxa"/>
            <w:gridSpan w:val="2"/>
            <w:vMerge/>
            <w:tcBorders>
              <w:left w:val="single" w:sz="4" w:space="0" w:color="000000"/>
              <w:right w:val="single" w:sz="4" w:space="0" w:color="000000"/>
            </w:tcBorders>
            <w:shd w:val="clear" w:color="auto" w:fill="D2D2D2"/>
          </w:tcPr>
          <w:p>
            <w:pPr/>
          </w:p>
        </w:tc>
        <w:tc>
          <w:tcPr>
            <w:tcW w:w="1536" w:type="dxa"/>
            <w:gridSpan w:val="2"/>
            <w:vMerge/>
            <w:tcBorders>
              <w:left w:val="single" w:sz="10" w:space="0" w:color="D2D2D2"/>
              <w:right w:val="single" w:sz="10" w:space="0" w:color="D2D2D2"/>
            </w:tcBorders>
          </w:tcPr>
          <w:p>
            <w:pPr/>
          </w:p>
        </w:tc>
        <w:tc>
          <w:tcPr>
            <w:tcW w:w="1721" w:type="dxa"/>
            <w:gridSpan w:val="2"/>
            <w:vMerge/>
            <w:tcBorders>
              <w:left w:val="single" w:sz="4" w:space="0" w:color="000000"/>
              <w:right w:val="single" w:sz="4" w:space="0" w:color="000000"/>
            </w:tcBorders>
            <w:shd w:val="clear" w:color="auto" w:fill="D2D2D2"/>
          </w:tcPr>
          <w:p>
            <w:pPr/>
          </w:p>
        </w:tc>
        <w:tc>
          <w:tcPr>
            <w:tcW w:w="1240" w:type="dxa"/>
            <w:gridSpan w:val="2"/>
            <w:vMerge/>
            <w:tcBorders>
              <w:left w:val="single" w:sz="10" w:space="0" w:color="D2D2D2"/>
              <w:right w:val="single" w:sz="13" w:space="0" w:color="D2D2D2"/>
            </w:tcBorders>
          </w:tcPr>
          <w:p>
            <w:pPr/>
          </w:p>
        </w:tc>
        <w:tc>
          <w:tcPr>
            <w:tcW w:w="1556" w:type="dxa"/>
            <w:gridSpan w:val="2"/>
            <w:vMerge/>
            <w:tcBorders>
              <w:left w:val="single" w:sz="4" w:space="0" w:color="000000"/>
              <w:right w:val="single" w:sz="4" w:space="0" w:color="000000"/>
            </w:tcBorders>
            <w:shd w:val="clear" w:color="auto" w:fill="D2D2D2"/>
          </w:tcPr>
          <w:p>
            <w:pPr/>
          </w:p>
        </w:tc>
        <w:tc>
          <w:tcPr>
            <w:tcW w:w="435" w:type="dxa"/>
            <w:vMerge/>
            <w:tcBorders>
              <w:left w:val="single" w:sz="10" w:space="0" w:color="D2D2D2"/>
              <w:right w:val="nil" w:sz="6" w:space="0" w:color="auto"/>
            </w:tcBorders>
          </w:tcPr>
          <w:p>
            <w:pPr/>
          </w:p>
        </w:tc>
        <w:tc>
          <w:tcPr>
            <w:tcW w:w="467"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313" w:hRule="exact"/>
        </w:trPr>
        <w:tc>
          <w:tcPr>
            <w:tcW w:w="1320" w:type="dxa"/>
            <w:vMerge w:val="restart"/>
            <w:tcBorders>
              <w:top w:val="nil" w:sz="6" w:space="0" w:color="auto"/>
              <w:left w:val="single" w:sz="4" w:space="0" w:color="000000"/>
              <w:right w:val="single" w:sz="4" w:space="0" w:color="000000"/>
            </w:tcBorders>
            <w:shd w:val="clear" w:color="auto" w:fill="D2D2D2"/>
          </w:tcPr>
          <w:p>
            <w:pPr/>
          </w:p>
        </w:tc>
        <w:tc>
          <w:tcPr>
            <w:tcW w:w="806" w:type="dxa"/>
            <w:gridSpan w:val="2"/>
            <w:vMerge/>
            <w:tcBorders>
              <w:left w:val="single" w:sz="9" w:space="0" w:color="D2D2D2"/>
              <w:right w:val="single" w:sz="9" w:space="0" w:color="D2D2D2"/>
            </w:tcBorders>
          </w:tcPr>
          <w:p>
            <w:pPr/>
          </w:p>
        </w:tc>
        <w:tc>
          <w:tcPr>
            <w:tcW w:w="1439" w:type="dxa"/>
            <w:gridSpan w:val="2"/>
            <w:vMerge/>
            <w:tcBorders>
              <w:left w:val="single" w:sz="4" w:space="0" w:color="000000"/>
              <w:bottom w:val="nil" w:sz="6" w:space="0" w:color="auto"/>
              <w:right w:val="single" w:sz="4" w:space="0" w:color="000000"/>
            </w:tcBorders>
            <w:shd w:val="clear" w:color="auto" w:fill="D2D2D2"/>
          </w:tcPr>
          <w:p>
            <w:pPr/>
          </w:p>
        </w:tc>
        <w:tc>
          <w:tcPr>
            <w:tcW w:w="1536" w:type="dxa"/>
            <w:gridSpan w:val="2"/>
            <w:vMerge/>
            <w:tcBorders>
              <w:left w:val="single" w:sz="10" w:space="0" w:color="D2D2D2"/>
              <w:right w:val="single" w:sz="10" w:space="0" w:color="D2D2D2"/>
            </w:tcBorders>
          </w:tcPr>
          <w:p>
            <w:pPr/>
          </w:p>
        </w:tc>
        <w:tc>
          <w:tcPr>
            <w:tcW w:w="1721" w:type="dxa"/>
            <w:gridSpan w:val="2"/>
            <w:vMerge/>
            <w:tcBorders>
              <w:left w:val="single" w:sz="4" w:space="0" w:color="000000"/>
              <w:bottom w:val="nil" w:sz="6" w:space="0" w:color="auto"/>
              <w:right w:val="single" w:sz="4" w:space="0" w:color="000000"/>
            </w:tcBorders>
            <w:shd w:val="clear" w:color="auto" w:fill="D2D2D2"/>
          </w:tcPr>
          <w:p>
            <w:pPr/>
          </w:p>
        </w:tc>
        <w:tc>
          <w:tcPr>
            <w:tcW w:w="1240" w:type="dxa"/>
            <w:gridSpan w:val="2"/>
            <w:vMerge/>
            <w:tcBorders>
              <w:left w:val="single" w:sz="10" w:space="0" w:color="D2D2D2"/>
              <w:right w:val="single" w:sz="13" w:space="0" w:color="D2D2D2"/>
            </w:tcBorders>
          </w:tcPr>
          <w:p>
            <w:pPr/>
          </w:p>
        </w:tc>
        <w:tc>
          <w:tcPr>
            <w:tcW w:w="1556" w:type="dxa"/>
            <w:gridSpan w:val="2"/>
            <w:vMerge/>
            <w:tcBorders>
              <w:left w:val="single" w:sz="4" w:space="0" w:color="000000"/>
              <w:right w:val="single" w:sz="4" w:space="0" w:color="000000"/>
            </w:tcBorders>
            <w:shd w:val="clear" w:color="auto" w:fill="D2D2D2"/>
          </w:tcPr>
          <w:p>
            <w:pPr/>
          </w:p>
        </w:tc>
        <w:tc>
          <w:tcPr>
            <w:tcW w:w="435" w:type="dxa"/>
            <w:vMerge/>
            <w:tcBorders>
              <w:left w:val="single" w:sz="10" w:space="0" w:color="D2D2D2"/>
              <w:right w:val="nil" w:sz="6" w:space="0" w:color="auto"/>
            </w:tcBorders>
          </w:tcPr>
          <w:p>
            <w:pPr/>
          </w:p>
        </w:tc>
        <w:tc>
          <w:tcPr>
            <w:tcW w:w="46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20" w:type="dxa"/>
            <w:vMerge/>
            <w:tcBorders>
              <w:left w:val="single" w:sz="4" w:space="0" w:color="000000"/>
              <w:bottom w:val="single" w:sz="4" w:space="0" w:color="000000"/>
              <w:right w:val="single" w:sz="4" w:space="0" w:color="000000"/>
            </w:tcBorders>
            <w:shd w:val="clear" w:color="auto" w:fill="D2D2D2"/>
          </w:tcPr>
          <w:p>
            <w:pPr/>
          </w:p>
        </w:tc>
        <w:tc>
          <w:tcPr>
            <w:tcW w:w="806" w:type="dxa"/>
            <w:gridSpan w:val="2"/>
            <w:vMerge/>
            <w:tcBorders>
              <w:left w:val="single" w:sz="9" w:space="0" w:color="D2D2D2"/>
              <w:bottom w:val="single" w:sz="4" w:space="0" w:color="000000"/>
              <w:right w:val="single" w:sz="9" w:space="0" w:color="D2D2D2"/>
            </w:tcBorders>
          </w:tcPr>
          <w:p>
            <w:pPr/>
          </w:p>
        </w:tc>
        <w:tc>
          <w:tcPr>
            <w:tcW w:w="14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536" w:type="dxa"/>
            <w:gridSpan w:val="2"/>
            <w:vMerge/>
            <w:tcBorders>
              <w:left w:val="single" w:sz="10" w:space="0" w:color="D2D2D2"/>
              <w:bottom w:val="single" w:sz="4" w:space="0" w:color="000000"/>
              <w:right w:val="single" w:sz="10" w:space="0" w:color="D2D2D2"/>
            </w:tcBorders>
          </w:tcPr>
          <w:p>
            <w:pPr/>
          </w:p>
        </w:tc>
        <w:tc>
          <w:tcPr>
            <w:tcW w:w="172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40" w:type="dxa"/>
            <w:gridSpan w:val="2"/>
            <w:vMerge/>
            <w:tcBorders>
              <w:left w:val="single" w:sz="10" w:space="0" w:color="D2D2D2"/>
              <w:bottom w:val="single" w:sz="4" w:space="0" w:color="000000"/>
              <w:right w:val="single" w:sz="13" w:space="0" w:color="D2D2D2"/>
            </w:tcBorders>
          </w:tcPr>
          <w:p>
            <w:pPr/>
          </w:p>
        </w:tc>
        <w:tc>
          <w:tcPr>
            <w:tcW w:w="1556" w:type="dxa"/>
            <w:gridSpan w:val="2"/>
            <w:vMerge/>
            <w:tcBorders>
              <w:left w:val="single" w:sz="4" w:space="0" w:color="000000"/>
              <w:bottom w:val="single" w:sz="4" w:space="0" w:color="000000"/>
              <w:right w:val="single" w:sz="4" w:space="0" w:color="000000"/>
            </w:tcBorders>
            <w:shd w:val="clear" w:color="auto" w:fill="D2D2D2"/>
          </w:tcPr>
          <w:p>
            <w:pPr/>
          </w:p>
        </w:tc>
        <w:tc>
          <w:tcPr>
            <w:tcW w:w="435" w:type="dxa"/>
            <w:vMerge/>
            <w:tcBorders>
              <w:left w:val="single" w:sz="10" w:space="0" w:color="D2D2D2"/>
              <w:bottom w:val="single" w:sz="4" w:space="0" w:color="000000"/>
              <w:right w:val="nil" w:sz="6" w:space="0" w:color="auto"/>
            </w:tcBorders>
          </w:tcPr>
          <w:p>
            <w:pPr/>
          </w:p>
        </w:tc>
        <w:tc>
          <w:tcPr>
            <w:tcW w:w="467"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1052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3245"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166" w:hRule="exact"/>
        </w:trPr>
        <w:tc>
          <w:tcPr>
            <w:tcW w:w="1764" w:type="dxa"/>
            <w:gridSpan w:val="2"/>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
        </w:tc>
        <w:tc>
          <w:tcPr>
            <w:tcW w:w="71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11" w:type="dxa"/>
            <w:tcBorders>
              <w:top w:val="single" w:sz="4" w:space="0" w:color="000000"/>
              <w:left w:val="single" w:sz="4" w:space="0" w:color="000000"/>
              <w:bottom w:val="nil" w:sz="6" w:space="0" w:color="auto"/>
              <w:right w:val="single" w:sz="4" w:space="0" w:color="000000"/>
            </w:tcBorders>
            <w:shd w:val="clear" w:color="auto" w:fill="D2D2D2"/>
          </w:tcPr>
          <w:p>
            <w:pPr/>
          </w:p>
        </w:tc>
        <w:tc>
          <w:tcPr>
            <w:tcW w:w="98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65" w:right="65"/>
              <w:jc w:val="center"/>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11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38" w:right="32"/>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条件的股份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1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26" w:right="19"/>
              <w:jc w:val="center"/>
              <w:rPr>
                <w:rFonts w:ascii="宋体" w:hAnsi="宋体" w:cs="宋体" w:eastAsia="宋体" w:hint="default"/>
                <w:sz w:val="21"/>
                <w:szCs w:val="21"/>
              </w:rPr>
            </w:pPr>
            <w:r>
              <w:rPr>
                <w:rFonts w:ascii="宋体" w:hAnsi="宋体" w:cs="宋体" w:eastAsia="宋体" w:hint="default"/>
                <w:sz w:val="21"/>
                <w:szCs w:val="21"/>
              </w:rPr>
              <w:t>持有无限售</w:t>
            </w:r>
            <w:r>
              <w:rPr>
                <w:rFonts w:ascii="宋体" w:hAnsi="宋体" w:cs="宋体" w:eastAsia="宋体" w:hint="default"/>
                <w:w w:val="100"/>
                <w:sz w:val="21"/>
                <w:szCs w:val="21"/>
              </w:rPr>
              <w:t> </w:t>
            </w:r>
            <w:r>
              <w:rPr>
                <w:rFonts w:ascii="宋体" w:hAnsi="宋体" w:cs="宋体" w:eastAsia="宋体" w:hint="default"/>
                <w:sz w:val="21"/>
                <w:szCs w:val="21"/>
              </w:rPr>
              <w:t>条件的股份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21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52"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56" w:hRule="exact"/>
        </w:trPr>
        <w:tc>
          <w:tcPr>
            <w:tcW w:w="1764" w:type="dxa"/>
            <w:gridSpan w:val="2"/>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nil" w:sz="6" w:space="0" w:color="auto"/>
              <w:right w:val="single" w:sz="4" w:space="0" w:color="000000"/>
            </w:tcBorders>
            <w:shd w:val="clear" w:color="auto" w:fill="D2D2D2"/>
          </w:tcPr>
          <w:p>
            <w:pPr/>
          </w:p>
        </w:tc>
        <w:tc>
          <w:tcPr>
            <w:tcW w:w="71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44" w:right="31" w:hanging="212"/>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121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83" w:right="73" w:hanging="212"/>
              <w:jc w:val="left"/>
              <w:rPr>
                <w:rFonts w:ascii="宋体" w:hAnsi="宋体" w:cs="宋体" w:eastAsia="宋体" w:hint="default"/>
                <w:sz w:val="21"/>
                <w:szCs w:val="21"/>
              </w:rPr>
            </w:pPr>
            <w:r>
              <w:rPr>
                <w:rFonts w:ascii="宋体" w:hAnsi="宋体" w:cs="宋体" w:eastAsia="宋体" w:hint="default"/>
                <w:sz w:val="21"/>
                <w:szCs w:val="21"/>
              </w:rPr>
              <w:t>报告期末持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股数量</w:t>
            </w:r>
          </w:p>
        </w:tc>
        <w:tc>
          <w:tcPr>
            <w:tcW w:w="985" w:type="dxa"/>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1111" w:type="dxa"/>
            <w:gridSpan w:val="2"/>
            <w:vMerge/>
            <w:tcBorders>
              <w:left w:val="single" w:sz="4" w:space="0" w:color="000000"/>
              <w:right w:val="single" w:sz="4" w:space="0" w:color="000000"/>
            </w:tcBorders>
            <w:shd w:val="clear" w:color="auto" w:fill="D2D2D2"/>
          </w:tcPr>
          <w:p>
            <w:pPr/>
          </w:p>
        </w:tc>
        <w:tc>
          <w:tcPr>
            <w:tcW w:w="2187" w:type="dxa"/>
            <w:gridSpan w:val="3"/>
            <w:vMerge/>
            <w:tcBorders>
              <w:left w:val="single" w:sz="4" w:space="0" w:color="000000"/>
              <w:right w:val="single" w:sz="4" w:space="0" w:color="000000"/>
            </w:tcBorders>
            <w:shd w:val="clear" w:color="auto" w:fill="D2D2D2"/>
          </w:tcPr>
          <w:p>
            <w:pPr/>
          </w:p>
        </w:tc>
      </w:tr>
      <w:tr>
        <w:trPr>
          <w:trHeight w:val="142" w:hRule="exact"/>
        </w:trPr>
        <w:tc>
          <w:tcPr>
            <w:tcW w:w="176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5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1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83"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10" w:type="dxa"/>
            <w:gridSpan w:val="2"/>
            <w:vMerge/>
            <w:tcBorders>
              <w:left w:val="single" w:sz="4" w:space="0" w:color="000000"/>
              <w:right w:val="single" w:sz="4" w:space="0" w:color="000000"/>
            </w:tcBorders>
            <w:shd w:val="clear" w:color="auto" w:fill="D2D2D2"/>
          </w:tcPr>
          <w:p>
            <w:pPr/>
          </w:p>
        </w:tc>
        <w:tc>
          <w:tcPr>
            <w:tcW w:w="1211" w:type="dxa"/>
            <w:vMerge/>
            <w:tcBorders>
              <w:left w:val="single" w:sz="4" w:space="0" w:color="000000"/>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1111" w:type="dxa"/>
            <w:gridSpan w:val="2"/>
            <w:vMerge/>
            <w:tcBorders>
              <w:left w:val="single" w:sz="4" w:space="0" w:color="000000"/>
              <w:right w:val="single" w:sz="4" w:space="0" w:color="000000"/>
            </w:tcBorders>
            <w:shd w:val="clear" w:color="auto" w:fill="D2D2D2"/>
          </w:tcPr>
          <w:p>
            <w:pPr/>
          </w:p>
        </w:tc>
        <w:tc>
          <w:tcPr>
            <w:tcW w:w="2187"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764" w:type="dxa"/>
            <w:gridSpan w:val="2"/>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nil" w:sz="6" w:space="0" w:color="auto"/>
              <w:right w:val="single" w:sz="4" w:space="0" w:color="000000"/>
            </w:tcBorders>
            <w:shd w:val="clear" w:color="auto" w:fill="D2D2D2"/>
          </w:tcPr>
          <w:p>
            <w:pPr/>
          </w:p>
        </w:tc>
        <w:tc>
          <w:tcPr>
            <w:tcW w:w="710" w:type="dxa"/>
            <w:gridSpan w:val="2"/>
            <w:vMerge/>
            <w:tcBorders>
              <w:left w:val="single" w:sz="4" w:space="0" w:color="000000"/>
              <w:right w:val="single" w:sz="4" w:space="0" w:color="000000"/>
            </w:tcBorders>
            <w:shd w:val="clear" w:color="auto" w:fill="D2D2D2"/>
          </w:tcPr>
          <w:p>
            <w:pPr/>
          </w:p>
        </w:tc>
        <w:tc>
          <w:tcPr>
            <w:tcW w:w="1211" w:type="dxa"/>
            <w:vMerge/>
            <w:tcBorders>
              <w:left w:val="single" w:sz="4" w:space="0" w:color="000000"/>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1111" w:type="dxa"/>
            <w:gridSpan w:val="2"/>
            <w:vMerge/>
            <w:tcBorders>
              <w:left w:val="single" w:sz="4" w:space="0" w:color="000000"/>
              <w:right w:val="single" w:sz="4" w:space="0" w:color="000000"/>
            </w:tcBorders>
            <w:shd w:val="clear" w:color="auto" w:fill="D2D2D2"/>
          </w:tcPr>
          <w:p>
            <w:pPr/>
          </w:p>
        </w:tc>
        <w:tc>
          <w:tcPr>
            <w:tcW w:w="12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3"/>
              <w:ind w:left="213"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9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3"/>
              <w:ind w:left="232"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56" w:hRule="exact"/>
        </w:trPr>
        <w:tc>
          <w:tcPr>
            <w:tcW w:w="1764" w:type="dxa"/>
            <w:gridSpan w:val="2"/>
            <w:vMerge w:val="restart"/>
            <w:tcBorders>
              <w:top w:val="nil" w:sz="6" w:space="0" w:color="auto"/>
              <w:left w:val="single" w:sz="4" w:space="0" w:color="000000"/>
              <w:right w:val="single" w:sz="4" w:space="0" w:color="000000"/>
            </w:tcBorders>
            <w:shd w:val="clear" w:color="auto" w:fill="D2D2D2"/>
          </w:tcPr>
          <w:p>
            <w:pPr/>
          </w:p>
        </w:tc>
        <w:tc>
          <w:tcPr>
            <w:tcW w:w="1417" w:type="dxa"/>
            <w:gridSpan w:val="2"/>
            <w:vMerge w:val="restart"/>
            <w:tcBorders>
              <w:top w:val="nil" w:sz="6" w:space="0" w:color="auto"/>
              <w:left w:val="single" w:sz="4" w:space="0" w:color="000000"/>
              <w:right w:val="single" w:sz="4" w:space="0" w:color="000000"/>
            </w:tcBorders>
            <w:shd w:val="clear" w:color="auto" w:fill="D2D2D2"/>
          </w:tcPr>
          <w:p>
            <w:pPr/>
          </w:p>
        </w:tc>
        <w:tc>
          <w:tcPr>
            <w:tcW w:w="710" w:type="dxa"/>
            <w:gridSpan w:val="2"/>
            <w:vMerge/>
            <w:tcBorders>
              <w:left w:val="single" w:sz="4" w:space="0" w:color="000000"/>
              <w:bottom w:val="nil" w:sz="6" w:space="0" w:color="auto"/>
              <w:right w:val="single" w:sz="4" w:space="0" w:color="000000"/>
            </w:tcBorders>
            <w:shd w:val="clear" w:color="auto" w:fill="D2D2D2"/>
          </w:tcPr>
          <w:p>
            <w:pPr/>
          </w:p>
        </w:tc>
        <w:tc>
          <w:tcPr>
            <w:tcW w:w="1211" w:type="dxa"/>
            <w:vMerge/>
            <w:tcBorders>
              <w:left w:val="single" w:sz="4" w:space="0" w:color="000000"/>
              <w:bottom w:val="nil" w:sz="6" w:space="0" w:color="auto"/>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1111" w:type="dxa"/>
            <w:gridSpan w:val="2"/>
            <w:vMerge/>
            <w:tcBorders>
              <w:left w:val="single" w:sz="4" w:space="0" w:color="000000"/>
              <w:right w:val="single" w:sz="4" w:space="0" w:color="000000"/>
            </w:tcBorders>
            <w:shd w:val="clear" w:color="auto" w:fill="D2D2D2"/>
          </w:tcPr>
          <w:p>
            <w:pPr/>
          </w:p>
        </w:tc>
        <w:tc>
          <w:tcPr>
            <w:tcW w:w="1285" w:type="dxa"/>
            <w:vMerge/>
            <w:tcBorders>
              <w:left w:val="single" w:sz="4" w:space="0" w:color="000000"/>
              <w:right w:val="single" w:sz="4" w:space="0" w:color="000000"/>
            </w:tcBorders>
            <w:shd w:val="clear" w:color="auto" w:fill="D2D2D2"/>
          </w:tcPr>
          <w:p>
            <w:pPr/>
          </w:p>
        </w:tc>
        <w:tc>
          <w:tcPr>
            <w:tcW w:w="902" w:type="dxa"/>
            <w:gridSpan w:val="2"/>
            <w:vMerge/>
            <w:tcBorders>
              <w:left w:val="single" w:sz="4" w:space="0" w:color="000000"/>
              <w:right w:val="single" w:sz="4" w:space="0" w:color="000000"/>
            </w:tcBorders>
            <w:shd w:val="clear" w:color="auto" w:fill="D2D2D2"/>
          </w:tcPr>
          <w:p>
            <w:pPr/>
          </w:p>
        </w:tc>
      </w:tr>
      <w:tr>
        <w:trPr>
          <w:trHeight w:val="161" w:hRule="exact"/>
        </w:trPr>
        <w:tc>
          <w:tcPr>
            <w:tcW w:w="1764" w:type="dxa"/>
            <w:gridSpan w:val="2"/>
            <w:vMerge/>
            <w:tcBorders>
              <w:left w:val="single" w:sz="4" w:space="0" w:color="000000"/>
              <w:bottom w:val="single" w:sz="4" w:space="0" w:color="000000"/>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71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11" w:type="dxa"/>
            <w:tcBorders>
              <w:top w:val="nil" w:sz="6" w:space="0" w:color="auto"/>
              <w:left w:val="single" w:sz="4" w:space="0" w:color="000000"/>
              <w:bottom w:val="single" w:sz="4" w:space="0" w:color="000000"/>
              <w:right w:val="single" w:sz="4" w:space="0" w:color="000000"/>
            </w:tcBorders>
            <w:shd w:val="clear" w:color="auto" w:fill="D2D2D2"/>
          </w:tcPr>
          <w:p>
            <w:pPr/>
          </w:p>
        </w:tc>
        <w:tc>
          <w:tcPr>
            <w:tcW w:w="985" w:type="dxa"/>
            <w:vMerge/>
            <w:tcBorders>
              <w:left w:val="single" w:sz="4" w:space="0" w:color="000000"/>
              <w:bottom w:val="single" w:sz="4" w:space="0" w:color="000000"/>
              <w:right w:val="single" w:sz="4" w:space="0" w:color="000000"/>
            </w:tcBorders>
            <w:shd w:val="clear" w:color="auto" w:fill="D2D2D2"/>
          </w:tcPr>
          <w:p>
            <w:pPr/>
          </w:p>
        </w:tc>
        <w:tc>
          <w:tcPr>
            <w:tcW w:w="1136" w:type="dxa"/>
            <w:gridSpan w:val="2"/>
            <w:vMerge/>
            <w:tcBorders>
              <w:left w:val="single" w:sz="4" w:space="0" w:color="000000"/>
              <w:bottom w:val="single" w:sz="4" w:space="0" w:color="000000"/>
              <w:right w:val="single" w:sz="4" w:space="0" w:color="000000"/>
            </w:tcBorders>
            <w:shd w:val="clear" w:color="auto" w:fill="D2D2D2"/>
          </w:tcPr>
          <w:p>
            <w:pPr/>
          </w:p>
        </w:tc>
        <w:tc>
          <w:tcPr>
            <w:tcW w:w="1111" w:type="dxa"/>
            <w:gridSpan w:val="2"/>
            <w:vMerge/>
            <w:tcBorders>
              <w:left w:val="single" w:sz="4" w:space="0" w:color="000000"/>
              <w:bottom w:val="single" w:sz="4" w:space="0" w:color="000000"/>
              <w:right w:val="single" w:sz="4" w:space="0" w:color="000000"/>
            </w:tcBorders>
            <w:shd w:val="clear" w:color="auto" w:fill="D2D2D2"/>
          </w:tcPr>
          <w:p>
            <w:pPr/>
          </w:p>
        </w:tc>
        <w:tc>
          <w:tcPr>
            <w:tcW w:w="1285" w:type="dxa"/>
            <w:vMerge/>
            <w:tcBorders>
              <w:left w:val="single" w:sz="4" w:space="0" w:color="000000"/>
              <w:bottom w:val="single" w:sz="4" w:space="0" w:color="000000"/>
              <w:right w:val="single" w:sz="4" w:space="0" w:color="000000"/>
            </w:tcBorders>
            <w:shd w:val="clear" w:color="auto" w:fill="D2D2D2"/>
          </w:tcPr>
          <w:p>
            <w:pPr/>
          </w:p>
        </w:tc>
        <w:tc>
          <w:tcPr>
            <w:tcW w:w="902"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1" w:right="0"/>
              <w:jc w:val="left"/>
              <w:rPr>
                <w:rFonts w:ascii="Times New Roman" w:hAnsi="Times New Roman" w:cs="Times New Roman" w:eastAsia="Times New Roman" w:hint="default"/>
                <w:sz w:val="21"/>
                <w:szCs w:val="21"/>
              </w:rPr>
            </w:pPr>
            <w:r>
              <w:rPr>
                <w:rFonts w:ascii="Times New Roman"/>
                <w:sz w:val="21"/>
              </w:rPr>
              <w:t>11.91</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53,542,080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8" w:right="0"/>
              <w:jc w:val="left"/>
              <w:rPr>
                <w:rFonts w:ascii="Times New Roman" w:hAnsi="Times New Roman" w:cs="Times New Roman" w:eastAsia="Times New Roman" w:hint="default"/>
                <w:sz w:val="21"/>
                <w:szCs w:val="21"/>
              </w:rPr>
            </w:pPr>
            <w:r>
              <w:rPr>
                <w:rFonts w:ascii="Times New Roman"/>
                <w:sz w:val="21"/>
              </w:rPr>
              <w:t>40,156,560</w:t>
            </w:r>
          </w:p>
        </w:tc>
        <w:tc>
          <w:tcPr>
            <w:tcW w:w="1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4" w:right="0"/>
              <w:jc w:val="left"/>
              <w:rPr>
                <w:rFonts w:ascii="Times New Roman" w:hAnsi="Times New Roman" w:cs="Times New Roman" w:eastAsia="Times New Roman" w:hint="default"/>
                <w:sz w:val="21"/>
                <w:szCs w:val="21"/>
              </w:rPr>
            </w:pPr>
            <w:r>
              <w:rPr>
                <w:rFonts w:ascii="Times New Roman"/>
                <w:sz w:val="21"/>
              </w:rPr>
              <w:t>13,385,520</w:t>
            </w:r>
          </w:p>
        </w:tc>
        <w:tc>
          <w:tcPr>
            <w:tcW w:w="1285" w:type="dxa"/>
            <w:tcBorders>
              <w:top w:val="single" w:sz="49" w:space="0" w:color="D2D2D2"/>
              <w:left w:val="single" w:sz="4" w:space="0" w:color="000000"/>
              <w:bottom w:val="single" w:sz="4" w:space="0" w:color="000000"/>
              <w:right w:val="single" w:sz="4" w:space="0" w:color="000000"/>
            </w:tcBorders>
          </w:tcPr>
          <w:p>
            <w:pPr/>
          </w:p>
        </w:tc>
        <w:tc>
          <w:tcPr>
            <w:tcW w:w="902" w:type="dxa"/>
            <w:gridSpan w:val="2"/>
            <w:tcBorders>
              <w:top w:val="single" w:sz="49" w:space="0" w:color="D2D2D2"/>
              <w:left w:val="single" w:sz="4" w:space="0" w:color="000000"/>
              <w:bottom w:val="single" w:sz="4" w:space="0" w:color="000000"/>
              <w:right w:val="single" w:sz="4" w:space="0" w:color="000000"/>
            </w:tcBorders>
          </w:tcPr>
          <w:p>
            <w:pPr>
              <w:pStyle w:val="TableParagraph"/>
              <w:spacing w:line="240" w:lineRule="auto" w:before="18"/>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403" w:hRule="exact"/>
        </w:trPr>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9" w:right="0"/>
              <w:jc w:val="left"/>
              <w:rPr>
                <w:rFonts w:ascii="Times New Roman" w:hAnsi="Times New Roman" w:cs="Times New Roman" w:eastAsia="Times New Roman" w:hint="default"/>
                <w:sz w:val="21"/>
                <w:szCs w:val="21"/>
              </w:rPr>
            </w:pPr>
            <w:r>
              <w:rPr>
                <w:rFonts w:ascii="Times New Roman"/>
                <w:sz w:val="21"/>
              </w:rPr>
              <w:t>5.10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22,913,440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8" w:right="0"/>
              <w:jc w:val="left"/>
              <w:rPr>
                <w:rFonts w:ascii="Times New Roman" w:hAnsi="Times New Roman" w:cs="Times New Roman" w:eastAsia="Times New Roman" w:hint="default"/>
                <w:sz w:val="21"/>
                <w:szCs w:val="21"/>
              </w:rPr>
            </w:pPr>
            <w:r>
              <w:rPr>
                <w:rFonts w:ascii="Times New Roman"/>
                <w:sz w:val="21"/>
              </w:rPr>
              <w:t>17,185,080</w:t>
            </w:r>
          </w:p>
        </w:tc>
        <w:tc>
          <w:tcPr>
            <w:tcW w:w="1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0" w:right="0"/>
              <w:jc w:val="left"/>
              <w:rPr>
                <w:rFonts w:ascii="Times New Roman" w:hAnsi="Times New Roman" w:cs="Times New Roman" w:eastAsia="Times New Roman" w:hint="default"/>
                <w:sz w:val="21"/>
                <w:szCs w:val="21"/>
              </w:rPr>
            </w:pPr>
            <w:r>
              <w:rPr>
                <w:rFonts w:ascii="Times New Roman"/>
                <w:sz w:val="21"/>
              </w:rPr>
              <w:t>5,728,360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2"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 w:right="0"/>
              <w:jc w:val="left"/>
              <w:rPr>
                <w:rFonts w:ascii="Times New Roman" w:hAnsi="Times New Roman" w:cs="Times New Roman" w:eastAsia="Times New Roman" w:hint="default"/>
                <w:sz w:val="21"/>
                <w:szCs w:val="21"/>
              </w:rPr>
            </w:pPr>
            <w:r>
              <w:rPr>
                <w:rFonts w:ascii="Times New Roman"/>
                <w:sz w:val="21"/>
              </w:rPr>
              <w:t>8,640,000</w:t>
            </w:r>
          </w:p>
        </w:tc>
      </w:tr>
      <w:tr>
        <w:trPr>
          <w:trHeight w:val="401" w:hRule="exact"/>
        </w:trPr>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 w:right="0"/>
              <w:jc w:val="left"/>
              <w:rPr>
                <w:rFonts w:ascii="宋体" w:hAnsi="宋体" w:cs="宋体" w:eastAsia="宋体" w:hint="default"/>
                <w:sz w:val="21"/>
                <w:szCs w:val="21"/>
              </w:rPr>
            </w:pPr>
            <w:r>
              <w:rPr>
                <w:rFonts w:ascii="宋体" w:hAnsi="宋体" w:cs="宋体" w:eastAsia="宋体" w:hint="default"/>
                <w:sz w:val="21"/>
                <w:szCs w:val="21"/>
              </w:rPr>
              <w:t>中国科学院地理科</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9" w:right="0"/>
              <w:jc w:val="left"/>
              <w:rPr>
                <w:rFonts w:ascii="Times New Roman" w:hAnsi="Times New Roman" w:cs="Times New Roman" w:eastAsia="Times New Roman" w:hint="default"/>
                <w:sz w:val="21"/>
                <w:szCs w:val="21"/>
              </w:rPr>
            </w:pPr>
            <w:r>
              <w:rPr>
                <w:rFonts w:ascii="Times New Roman"/>
                <w:sz w:val="21"/>
              </w:rPr>
              <w:t>4.61</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20,740,700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4" w:right="0"/>
              <w:jc w:val="left"/>
              <w:rPr>
                <w:rFonts w:ascii="Times New Roman" w:hAnsi="Times New Roman" w:cs="Times New Roman" w:eastAsia="Times New Roman" w:hint="default"/>
                <w:sz w:val="21"/>
                <w:szCs w:val="21"/>
              </w:rPr>
            </w:pPr>
            <w:r>
              <w:rPr>
                <w:rFonts w:ascii="Times New Roman"/>
                <w:sz w:val="21"/>
              </w:rPr>
              <w:t>20,740,700</w:t>
            </w:r>
          </w:p>
        </w:tc>
        <w:tc>
          <w:tcPr>
            <w:tcW w:w="1285" w:type="dxa"/>
            <w:tcBorders>
              <w:top w:val="single" w:sz="4" w:space="0" w:color="000000"/>
              <w:left w:val="single" w:sz="4" w:space="0" w:color="000000"/>
              <w:bottom w:val="single" w:sz="4" w:space="0" w:color="000000"/>
              <w:right w:val="single" w:sz="4" w:space="0" w:color="000000"/>
            </w:tcBorders>
          </w:tcPr>
          <w:p>
            <w:pPr/>
          </w:p>
        </w:tc>
        <w:tc>
          <w:tcPr>
            <w:tcW w:w="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440" w:right="420"/>
        </w:sectPr>
      </w:pPr>
    </w:p>
    <w:p>
      <w:pPr>
        <w:spacing w:line="240" w:lineRule="auto" w:before="11"/>
        <w:rPr>
          <w:rFonts w:ascii="Times New Roman" w:hAnsi="Times New Roman" w:cs="Times New Roman" w:eastAsia="Times New Roman" w:hint="default"/>
          <w:sz w:val="27"/>
          <w:szCs w:val="27"/>
        </w:rPr>
      </w:pPr>
      <w:r>
        <w:rPr/>
        <w:pict>
          <v:group style="position:absolute;margin-left:195.410004pt;margin-top:373.72998pt;width:369.55pt;height:15.6pt;mso-position-horizontal-relative:page;mso-position-vertical-relative:page;z-index:-997744" coordorigin="3908,7475" coordsize="7391,312">
            <v:group style="position:absolute;left:3908;top:7475;width:7286;height:312" coordorigin="3908,7475" coordsize="7286,312">
              <v:shape style="position:absolute;left:3908;top:7475;width:7286;height:312" coordorigin="3908,7475" coordsize="7286,312" path="m3908,7787l11194,7787,11194,7475,3908,7475,3908,7787xe" filled="true" fillcolor="#ffffff" stroked="false">
                <v:path arrowok="t"/>
                <v:fill type="solid"/>
              </v:shape>
              <v:shape style="position:absolute;left:11088;top:7526;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v:group>
            <w10:wrap type="none"/>
          </v:group>
        </w:pict>
      </w:r>
    </w:p>
    <w:tbl>
      <w:tblPr>
        <w:tblW w:w="0" w:type="auto"/>
        <w:jc w:val="left"/>
        <w:tblInd w:w="101" w:type="dxa"/>
        <w:tblLayout w:type="fixed"/>
        <w:tblCellMar>
          <w:top w:w="0" w:type="dxa"/>
          <w:left w:w="0" w:type="dxa"/>
          <w:bottom w:w="0" w:type="dxa"/>
          <w:right w:w="0" w:type="dxa"/>
        </w:tblCellMar>
        <w:tblLook w:val="01E0"/>
      </w:tblPr>
      <w:tblGrid>
        <w:gridCol w:w="1776"/>
        <w:gridCol w:w="1417"/>
        <w:gridCol w:w="710"/>
        <w:gridCol w:w="1205"/>
        <w:gridCol w:w="991"/>
        <w:gridCol w:w="1136"/>
        <w:gridCol w:w="1111"/>
        <w:gridCol w:w="1277"/>
        <w:gridCol w:w="910"/>
      </w:tblGrid>
      <w:tr>
        <w:trPr>
          <w:trHeight w:val="363" w:hRule="exact"/>
        </w:trPr>
        <w:tc>
          <w:tcPr>
            <w:tcW w:w="1776" w:type="dxa"/>
            <w:tcBorders>
              <w:top w:val="nil" w:sz="6" w:space="0" w:color="auto"/>
              <w:left w:val="nil" w:sz="6" w:space="0" w:color="auto"/>
              <w:bottom w:val="nil" w:sz="6" w:space="0" w:color="auto"/>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学与资源研究所</w:t>
            </w:r>
          </w:p>
        </w:tc>
        <w:tc>
          <w:tcPr>
            <w:tcW w:w="14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8"/>
              <w:jc w:val="both"/>
              <w:rPr>
                <w:rFonts w:ascii="宋体" w:hAnsi="宋体" w:cs="宋体" w:eastAsia="宋体" w:hint="default"/>
                <w:sz w:val="21"/>
                <w:szCs w:val="21"/>
              </w:rPr>
            </w:pPr>
            <w:r>
              <w:rPr>
                <w:rFonts w:ascii="宋体" w:hAnsi="宋体" w:cs="宋体" w:eastAsia="宋体" w:hint="default"/>
                <w:sz w:val="21"/>
                <w:szCs w:val="21"/>
              </w:rPr>
              <w:t>南京毅达汇聚股权</w:t>
            </w:r>
            <w:r>
              <w:rPr>
                <w:rFonts w:ascii="宋体" w:hAnsi="宋体" w:cs="宋体" w:eastAsia="宋体" w:hint="default"/>
                <w:w w:val="100"/>
                <w:sz w:val="21"/>
                <w:szCs w:val="21"/>
              </w:rPr>
              <w:t> </w:t>
            </w:r>
            <w:r>
              <w:rPr>
                <w:rFonts w:ascii="宋体" w:hAnsi="宋体" w:cs="宋体" w:eastAsia="宋体" w:hint="default"/>
                <w:sz w:val="21"/>
                <w:szCs w:val="21"/>
              </w:rPr>
              <w:t>投资企业（有限合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3" w:right="118"/>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287" w:right="0"/>
              <w:jc w:val="center"/>
              <w:rPr>
                <w:rFonts w:ascii="Times New Roman" w:hAnsi="Times New Roman" w:cs="Times New Roman" w:eastAsia="Times New Roman" w:hint="default"/>
                <w:sz w:val="21"/>
                <w:szCs w:val="21"/>
              </w:rPr>
            </w:pPr>
            <w:r>
              <w:rPr>
                <w:rFonts w:ascii="Times New Roman"/>
                <w:sz w:val="21"/>
              </w:rPr>
              <w:t>3.20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pacing w:val="-1"/>
                <w:sz w:val="21"/>
              </w:rPr>
              <w:t>14,367,816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8"/>
              <w:jc w:val="right"/>
              <w:rPr>
                <w:rFonts w:ascii="Times New Roman" w:hAnsi="Times New Roman" w:cs="Times New Roman" w:eastAsia="Times New Roman" w:hint="default"/>
                <w:sz w:val="21"/>
                <w:szCs w:val="21"/>
              </w:rPr>
            </w:pPr>
            <w:r>
              <w:rPr>
                <w:rFonts w:ascii="Times New Roman"/>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pacing w:val="-1"/>
                <w:sz w:val="21"/>
              </w:rPr>
              <w:t>14,367,816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8"/>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102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8"/>
              <w:jc w:val="both"/>
              <w:rPr>
                <w:rFonts w:ascii="宋体" w:hAnsi="宋体" w:cs="宋体" w:eastAsia="宋体" w:hint="default"/>
                <w:sz w:val="21"/>
                <w:szCs w:val="21"/>
              </w:rPr>
            </w:pPr>
            <w:r>
              <w:rPr>
                <w:rFonts w:ascii="宋体" w:hAnsi="宋体" w:cs="宋体" w:eastAsia="宋体" w:hint="default"/>
                <w:sz w:val="21"/>
                <w:szCs w:val="21"/>
              </w:rPr>
              <w:t>北京超图软件股份</w:t>
            </w:r>
            <w:r>
              <w:rPr>
                <w:rFonts w:ascii="宋体" w:hAnsi="宋体" w:cs="宋体" w:eastAsia="宋体" w:hint="default"/>
                <w:w w:val="100"/>
                <w:sz w:val="21"/>
                <w:szCs w:val="21"/>
              </w:rPr>
              <w:t> </w:t>
            </w:r>
            <w:r>
              <w:rPr>
                <w:rFonts w:ascii="宋体" w:hAnsi="宋体" w:cs="宋体" w:eastAsia="宋体" w:hint="default"/>
                <w:sz w:val="21"/>
                <w:szCs w:val="21"/>
              </w:rPr>
              <w:t>有限公司－第一期</w:t>
            </w:r>
            <w:r>
              <w:rPr>
                <w:rFonts w:ascii="宋体" w:hAnsi="宋体" w:cs="宋体" w:eastAsia="宋体" w:hint="default"/>
                <w:w w:val="100"/>
                <w:sz w:val="21"/>
                <w:szCs w:val="21"/>
              </w:rPr>
              <w:t> </w:t>
            </w:r>
            <w:r>
              <w:rPr>
                <w:rFonts w:ascii="宋体" w:hAnsi="宋体" w:cs="宋体" w:eastAsia="宋体" w:hint="default"/>
                <w:sz w:val="21"/>
                <w:szCs w:val="21"/>
              </w:rPr>
              <w:t>员工持股计划</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287" w:right="0"/>
              <w:jc w:val="center"/>
              <w:rPr>
                <w:rFonts w:ascii="Times New Roman" w:hAnsi="Times New Roman" w:cs="Times New Roman" w:eastAsia="Times New Roman" w:hint="default"/>
                <w:sz w:val="21"/>
                <w:szCs w:val="21"/>
              </w:rPr>
            </w:pPr>
            <w:r>
              <w:rPr>
                <w:rFonts w:ascii="Times New Roman"/>
                <w:sz w:val="21"/>
              </w:rPr>
              <w:t>3.00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pacing w:val="-1"/>
                <w:sz w:val="21"/>
              </w:rPr>
              <w:t>13,505,746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8"/>
              <w:jc w:val="right"/>
              <w:rPr>
                <w:rFonts w:ascii="Times New Roman" w:hAnsi="Times New Roman" w:cs="Times New Roman" w:eastAsia="Times New Roman" w:hint="default"/>
                <w:sz w:val="21"/>
                <w:szCs w:val="21"/>
              </w:rPr>
            </w:pPr>
            <w:r>
              <w:rPr>
                <w:rFonts w:ascii="Times New Roman"/>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pacing w:val="-1"/>
                <w:sz w:val="21"/>
              </w:rPr>
              <w:t>13,505,746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8"/>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孙在宏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7" w:right="0"/>
              <w:jc w:val="center"/>
              <w:rPr>
                <w:rFonts w:ascii="Times New Roman" w:hAnsi="Times New Roman" w:cs="Times New Roman" w:eastAsia="Times New Roman" w:hint="default"/>
                <w:sz w:val="21"/>
                <w:szCs w:val="21"/>
              </w:rPr>
            </w:pPr>
            <w:r>
              <w:rPr>
                <w:rFonts w:ascii="Times New Roman"/>
                <w:sz w:val="21"/>
              </w:rPr>
              <w:t>2.05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9,205,379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7,743,765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1,461,614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2,735,000</w:t>
            </w:r>
          </w:p>
        </w:tc>
      </w:tr>
      <w:tr>
        <w:trPr>
          <w:trHeight w:val="40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王康弘</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7" w:right="0"/>
              <w:jc w:val="center"/>
              <w:rPr>
                <w:rFonts w:ascii="Times New Roman" w:hAnsi="Times New Roman" w:cs="Times New Roman" w:eastAsia="Times New Roman" w:hint="default"/>
                <w:sz w:val="21"/>
                <w:szCs w:val="21"/>
              </w:rPr>
            </w:pPr>
            <w:r>
              <w:rPr>
                <w:rFonts w:ascii="Times New Roman"/>
                <w:sz w:val="21"/>
              </w:rPr>
              <w:t>2.04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9,149,600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6,862,198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2,287,402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1,920,000</w:t>
            </w:r>
          </w:p>
        </w:tc>
      </w:tr>
      <w:tr>
        <w:trPr>
          <w:trHeight w:val="40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梁军</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7" w:right="0"/>
              <w:jc w:val="center"/>
              <w:rPr>
                <w:rFonts w:ascii="Times New Roman" w:hAnsi="Times New Roman" w:cs="Times New Roman" w:eastAsia="Times New Roman" w:hint="default"/>
                <w:sz w:val="21"/>
                <w:szCs w:val="21"/>
              </w:rPr>
            </w:pPr>
            <w:r>
              <w:rPr>
                <w:rFonts w:ascii="Times New Roman"/>
                <w:sz w:val="21"/>
              </w:rPr>
              <w:t>2.00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8,979,500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8,979,500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40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杜庆娥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7" w:right="0"/>
              <w:jc w:val="center"/>
              <w:rPr>
                <w:rFonts w:ascii="Times New Roman" w:hAnsi="Times New Roman" w:cs="Times New Roman" w:eastAsia="Times New Roman" w:hint="default"/>
                <w:sz w:val="21"/>
                <w:szCs w:val="21"/>
              </w:rPr>
            </w:pPr>
            <w:r>
              <w:rPr>
                <w:rFonts w:ascii="Times New Roman"/>
                <w:sz w:val="21"/>
              </w:rPr>
              <w:t>1.39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6,228,000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4,671,000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1,557,000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1,600,000</w:t>
            </w:r>
          </w:p>
        </w:tc>
      </w:tr>
      <w:tr>
        <w:trPr>
          <w:trHeight w:val="102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8"/>
              <w:jc w:val="both"/>
              <w:rPr>
                <w:rFonts w:ascii="宋体" w:hAnsi="宋体" w:cs="宋体" w:eastAsia="宋体" w:hint="default"/>
                <w:sz w:val="21"/>
                <w:szCs w:val="21"/>
              </w:rPr>
            </w:pPr>
            <w:r>
              <w:rPr>
                <w:rFonts w:ascii="宋体" w:hAnsi="宋体" w:cs="宋体" w:eastAsia="宋体" w:hint="default"/>
                <w:sz w:val="21"/>
                <w:szCs w:val="21"/>
              </w:rPr>
              <w:t>华夏银行股份有限</w:t>
            </w:r>
            <w:r>
              <w:rPr>
                <w:rFonts w:ascii="宋体" w:hAnsi="宋体" w:cs="宋体" w:eastAsia="宋体" w:hint="default"/>
                <w:w w:val="100"/>
                <w:sz w:val="21"/>
                <w:szCs w:val="21"/>
              </w:rPr>
              <w:t> </w:t>
            </w:r>
            <w:r>
              <w:rPr>
                <w:rFonts w:ascii="宋体" w:hAnsi="宋体" w:cs="宋体" w:eastAsia="宋体" w:hint="default"/>
                <w:sz w:val="21"/>
                <w:szCs w:val="21"/>
              </w:rPr>
              <w:t>公司－德盛精选股</w:t>
            </w:r>
            <w:r>
              <w:rPr>
                <w:rFonts w:ascii="宋体" w:hAnsi="宋体" w:cs="宋体" w:eastAsia="宋体" w:hint="default"/>
                <w:w w:val="100"/>
                <w:sz w:val="21"/>
                <w:szCs w:val="21"/>
              </w:rPr>
              <w:t> </w:t>
            </w:r>
            <w:r>
              <w:rPr>
                <w:rFonts w:ascii="宋体" w:hAnsi="宋体" w:cs="宋体" w:eastAsia="宋体" w:hint="default"/>
                <w:sz w:val="21"/>
                <w:szCs w:val="21"/>
              </w:rPr>
              <w:t>票证券投资基金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287" w:right="0"/>
              <w:jc w:val="center"/>
              <w:rPr>
                <w:rFonts w:ascii="Times New Roman" w:hAnsi="Times New Roman" w:cs="Times New Roman" w:eastAsia="Times New Roman" w:hint="default"/>
                <w:sz w:val="21"/>
                <w:szCs w:val="21"/>
              </w:rPr>
            </w:pPr>
            <w:r>
              <w:rPr>
                <w:rFonts w:ascii="Times New Roman"/>
                <w:sz w:val="21"/>
              </w:rPr>
              <w:t>0.82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pacing w:val="-1"/>
                <w:sz w:val="21"/>
              </w:rPr>
              <w:t>3,700,000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pacing w:val="-1"/>
                <w:sz w:val="21"/>
              </w:rPr>
              <w:t>3,700,000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8"/>
              <w:jc w:val="right"/>
              <w:rPr>
                <w:rFonts w:ascii="Times New Roman" w:hAnsi="Times New Roman" w:cs="Times New Roman" w:eastAsia="Times New Roman" w:hint="default"/>
                <w:sz w:val="21"/>
                <w:szCs w:val="21"/>
              </w:rPr>
            </w:pPr>
            <w:r>
              <w:rPr>
                <w:rFonts w:ascii="Times New Roman"/>
                <w:w w:val="100"/>
                <w:sz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pacing w:val="-1"/>
                <w:sz w:val="21"/>
              </w:rPr>
              <w:t>3,700,000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629" w:hRule="exact"/>
        </w:trPr>
        <w:tc>
          <w:tcPr>
            <w:tcW w:w="3193" w:type="dxa"/>
            <w:gridSpan w:val="2"/>
            <w:tcBorders>
              <w:top w:val="single" w:sz="4" w:space="0" w:color="000000"/>
              <w:left w:val="single" w:sz="4" w:space="0" w:color="000000"/>
              <w:bottom w:val="nil" w:sz="6" w:space="0" w:color="auto"/>
              <w:right w:val="single" w:sz="13" w:space="0" w:color="FFFFFF"/>
            </w:tcBorders>
            <w:shd w:val="clear" w:color="auto" w:fill="D2D2D2"/>
          </w:tcPr>
          <w:p>
            <w:pPr/>
          </w:p>
        </w:tc>
        <w:tc>
          <w:tcPr>
            <w:tcW w:w="7341" w:type="dxa"/>
            <w:gridSpan w:val="7"/>
            <w:vMerge w:val="restart"/>
            <w:tcBorders>
              <w:top w:val="single" w:sz="4" w:space="0" w:color="000000"/>
              <w:left w:val="single" w:sz="22" w:space="0" w:color="D2D2D2"/>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日，公司收到中国证监会</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证监许可</w:t>
            </w:r>
            <w:r>
              <w:rPr>
                <w:rFonts w:ascii="Times New Roman" w:hAnsi="Times New Roman" w:cs="Times New Roman" w:eastAsia="Times New Roman" w:hint="default"/>
                <w:spacing w:val="-3"/>
                <w:sz w:val="21"/>
                <w:szCs w:val="21"/>
              </w:rPr>
              <w:t>[2016]824</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号</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批文，批准公司</w:t>
            </w:r>
          </w:p>
          <w:p>
            <w:pPr>
              <w:pStyle w:val="TableParagraph"/>
              <w:spacing w:line="261" w:lineRule="auto" w:before="21"/>
              <w:ind w:left="1" w:right="15"/>
              <w:jc w:val="left"/>
              <w:rPr>
                <w:rFonts w:ascii="宋体" w:hAnsi="宋体" w:cs="宋体" w:eastAsia="宋体" w:hint="default"/>
                <w:sz w:val="21"/>
                <w:szCs w:val="21"/>
              </w:rPr>
            </w:pPr>
            <w:r>
              <w:rPr>
                <w:rFonts w:ascii="宋体" w:hAnsi="宋体" w:cs="宋体" w:eastAsia="宋体" w:hint="default"/>
                <w:sz w:val="21"/>
                <w:szCs w:val="21"/>
              </w:rPr>
              <w:t>本次发行股份及支付现金购买资产并募集配套资金。</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pacing w:val="-4"/>
                <w:sz w:val="21"/>
                <w:szCs w:val="21"/>
              </w:rPr>
              <w:t>日，本次非</w:t>
            </w:r>
            <w:r>
              <w:rPr>
                <w:rFonts w:ascii="宋体" w:hAnsi="宋体" w:cs="宋体" w:eastAsia="宋体" w:hint="default"/>
                <w:w w:val="100"/>
                <w:sz w:val="21"/>
                <w:szCs w:val="21"/>
              </w:rPr>
              <w:t> </w:t>
            </w:r>
            <w:r>
              <w:rPr>
                <w:rFonts w:ascii="宋体" w:hAnsi="宋体" w:cs="宋体" w:eastAsia="宋体" w:hint="default"/>
                <w:spacing w:val="-4"/>
                <w:sz w:val="21"/>
                <w:szCs w:val="21"/>
              </w:rPr>
              <w:t>公开发行新增股份上市；其中，公司向配套资金认购方南京毅达汇聚股权投资企</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6"/>
                <w:sz w:val="21"/>
                <w:szCs w:val="21"/>
              </w:rPr>
              <w:t>业（有限合伙）发行</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14,367,816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r>
              <w:rPr>
                <w:rFonts w:ascii="宋体" w:hAnsi="宋体" w:cs="宋体" w:eastAsia="宋体" w:hint="default"/>
                <w:sz w:val="21"/>
                <w:szCs w:val="21"/>
              </w:rPr>
              <w:t>占公司发行后总股本的</w:t>
            </w:r>
            <w:r>
              <w:rPr>
                <w:rFonts w:ascii="宋体" w:hAnsi="宋体" w:cs="宋体" w:eastAsia="宋体" w:hint="default"/>
                <w:spacing w:val="-47"/>
                <w:sz w:val="21"/>
                <w:szCs w:val="21"/>
              </w:rPr>
              <w:t> </w:t>
            </w:r>
            <w:r>
              <w:rPr>
                <w:rFonts w:ascii="Times New Roman" w:hAnsi="Times New Roman" w:cs="Times New Roman" w:eastAsia="Times New Roman" w:hint="default"/>
                <w:spacing w:val="-7"/>
                <w:sz w:val="21"/>
                <w:szCs w:val="21"/>
              </w:rPr>
              <w:t>3.20%</w:t>
            </w:r>
            <w:r>
              <w:rPr>
                <w:rFonts w:ascii="宋体" w:hAnsi="宋体" w:cs="宋体" w:eastAsia="宋体" w:hint="default"/>
                <w:spacing w:val="-7"/>
                <w:sz w:val="21"/>
                <w:szCs w:val="21"/>
              </w:rPr>
              <w:t>。根据相关协议</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南京毅达所持公司股票自发行结束并完成股份登记之日起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个月内不得进行转</w:t>
            </w:r>
            <w:r>
              <w:rPr>
                <w:rFonts w:ascii="宋体" w:hAnsi="宋体" w:cs="宋体" w:eastAsia="宋体" w:hint="default"/>
                <w:w w:val="100"/>
                <w:sz w:val="21"/>
                <w:szCs w:val="21"/>
              </w:rPr>
              <w:t> </w:t>
            </w:r>
            <w:r>
              <w:rPr>
                <w:rFonts w:ascii="宋体" w:hAnsi="宋体" w:cs="宋体" w:eastAsia="宋体" w:hint="default"/>
                <w:sz w:val="21"/>
                <w:szCs w:val="21"/>
              </w:rPr>
              <w:t>让。</w:t>
            </w:r>
          </w:p>
        </w:tc>
      </w:tr>
      <w:tr>
        <w:trPr>
          <w:trHeight w:val="706" w:hRule="exact"/>
        </w:trPr>
        <w:tc>
          <w:tcPr>
            <w:tcW w:w="3193" w:type="dxa"/>
            <w:gridSpan w:val="2"/>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73" w:lineRule="auto" w:before="28"/>
              <w:ind w:left="24" w:right="-46"/>
              <w:jc w:val="left"/>
              <w:rPr>
                <w:rFonts w:ascii="宋体" w:hAnsi="宋体" w:cs="宋体" w:eastAsia="宋体" w:hint="default"/>
                <w:sz w:val="21"/>
                <w:szCs w:val="21"/>
              </w:rPr>
            </w:pPr>
            <w:r>
              <w:rPr>
                <w:rFonts w:ascii="宋体" w:hAnsi="宋体" w:cs="宋体" w:eastAsia="宋体" w:hint="default"/>
                <w:sz w:val="21"/>
                <w:szCs w:val="21"/>
              </w:rPr>
              <w:t>战略投资者或一般法人因配售新</w:t>
            </w:r>
            <w:r>
              <w:rPr>
                <w:rFonts w:ascii="宋体" w:hAnsi="宋体" w:cs="宋体" w:eastAsia="宋体" w:hint="default"/>
                <w:w w:val="100"/>
                <w:sz w:val="21"/>
                <w:szCs w:val="21"/>
              </w:rPr>
              <w:t> </w:t>
            </w:r>
            <w:r>
              <w:rPr>
                <w:rFonts w:ascii="宋体" w:hAnsi="宋体" w:cs="宋体" w:eastAsia="宋体" w:hint="default"/>
                <w:sz w:val="21"/>
                <w:szCs w:val="21"/>
              </w:rPr>
              <w:t>股成为前</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pacing w:val="-8"/>
                <w:sz w:val="21"/>
                <w:szCs w:val="21"/>
              </w:rPr>
              <w:t>名股东的情况（如有）</w:t>
            </w:r>
            <w:r>
              <w:rPr>
                <w:rFonts w:ascii="宋体" w:hAnsi="宋体" w:cs="宋体" w:eastAsia="宋体" w:hint="default"/>
                <w:sz w:val="21"/>
                <w:szCs w:val="21"/>
              </w:rPr>
            </w:r>
          </w:p>
        </w:tc>
        <w:tc>
          <w:tcPr>
            <w:tcW w:w="7341" w:type="dxa"/>
            <w:gridSpan w:val="7"/>
            <w:vMerge/>
            <w:tcBorders>
              <w:left w:val="single" w:sz="22" w:space="0" w:color="D2D2D2"/>
              <w:right w:val="single" w:sz="4" w:space="0" w:color="000000"/>
            </w:tcBorders>
          </w:tcPr>
          <w:p>
            <w:pPr/>
          </w:p>
        </w:tc>
      </w:tr>
      <w:tr>
        <w:trPr>
          <w:trHeight w:val="629" w:hRule="exact"/>
        </w:trPr>
        <w:tc>
          <w:tcPr>
            <w:tcW w:w="3193" w:type="dxa"/>
            <w:gridSpan w:val="2"/>
            <w:tcBorders>
              <w:top w:val="nil" w:sz="6" w:space="0" w:color="auto"/>
              <w:left w:val="single" w:sz="4" w:space="0" w:color="000000"/>
              <w:bottom w:val="single" w:sz="4" w:space="0" w:color="000000"/>
              <w:right w:val="single" w:sz="13" w:space="0" w:color="FFFFFF"/>
            </w:tcBorders>
            <w:shd w:val="clear" w:color="auto" w:fill="D2D2D2"/>
          </w:tcPr>
          <w:p>
            <w:pPr/>
          </w:p>
        </w:tc>
        <w:tc>
          <w:tcPr>
            <w:tcW w:w="7341" w:type="dxa"/>
            <w:gridSpan w:val="7"/>
            <w:vMerge/>
            <w:tcBorders>
              <w:left w:val="single" w:sz="22" w:space="0" w:color="D2D2D2"/>
              <w:bottom w:val="nil" w:sz="6" w:space="0" w:color="auto"/>
              <w:right w:val="single" w:sz="4" w:space="0" w:color="000000"/>
            </w:tcBorders>
          </w:tcPr>
          <w:p>
            <w:pPr/>
          </w:p>
        </w:tc>
      </w:tr>
      <w:tr>
        <w:trPr>
          <w:trHeight w:val="713" w:hRule="exact"/>
        </w:trPr>
        <w:tc>
          <w:tcPr>
            <w:tcW w:w="31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12"/>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上述股东关联关系或一致行动的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说明</w:t>
            </w:r>
          </w:p>
        </w:tc>
        <w:tc>
          <w:tcPr>
            <w:tcW w:w="7341"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6" w:right="-161"/>
              <w:jc w:val="center"/>
              <w:rPr>
                <w:rFonts w:ascii="宋体" w:hAnsi="宋体" w:cs="宋体" w:eastAsia="宋体" w:hint="default"/>
                <w:sz w:val="21"/>
                <w:szCs w:val="21"/>
              </w:rPr>
            </w:pPr>
            <w:r>
              <w:rPr>
                <w:rFonts w:ascii="宋体" w:hAnsi="宋体" w:cs="宋体" w:eastAsia="宋体" w:hint="default"/>
                <w:sz w:val="21"/>
                <w:szCs w:val="21"/>
              </w:rPr>
              <w:t>上述股东</w:t>
            </w: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859" w:right="0"/>
              <w:jc w:val="left"/>
              <w:rPr>
                <w:rFonts w:ascii="宋体" w:hAnsi="宋体" w:cs="宋体" w:eastAsia="宋体" w:hint="default"/>
                <w:sz w:val="21"/>
                <w:szCs w:val="21"/>
              </w:rPr>
            </w:pPr>
            <w:r>
              <w:rPr>
                <w:rFonts w:ascii="宋体" w:hAnsi="宋体" w:cs="宋体" w:eastAsia="宋体" w:hint="default"/>
                <w:sz w:val="21"/>
                <w:szCs w:val="21"/>
              </w:rPr>
              <w:t>不存在关联关系也不是一致行动人</w:t>
            </w:r>
          </w:p>
        </w:tc>
      </w:tr>
      <w:tr>
        <w:trPr>
          <w:trHeight w:val="403" w:hRule="exact"/>
        </w:trPr>
        <w:tc>
          <w:tcPr>
            <w:tcW w:w="1053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06" w:hRule="exact"/>
        </w:trPr>
        <w:tc>
          <w:tcPr>
            <w:tcW w:w="31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15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669"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0" w:hRule="exact"/>
        </w:trPr>
        <w:tc>
          <w:tcPr>
            <w:tcW w:w="31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515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95"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218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193" w:type="dxa"/>
            <w:gridSpan w:val="2"/>
            <w:vMerge/>
            <w:tcBorders>
              <w:left w:val="single" w:sz="4" w:space="0" w:color="000000"/>
              <w:bottom w:val="nil" w:sz="6" w:space="0" w:color="auto"/>
              <w:right w:val="single" w:sz="4" w:space="0" w:color="000000"/>
            </w:tcBorders>
            <w:shd w:val="clear" w:color="auto" w:fill="D2D2D2"/>
          </w:tcPr>
          <w:p>
            <w:pPr/>
          </w:p>
        </w:tc>
        <w:tc>
          <w:tcPr>
            <w:tcW w:w="5154" w:type="dxa"/>
            <w:gridSpan w:val="5"/>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3"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40"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206" w:hRule="exact"/>
        </w:trPr>
        <w:tc>
          <w:tcPr>
            <w:tcW w:w="31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15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486" w:right="116" w:hanging="1366"/>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中国科学院地理科学与资源研究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所</w:t>
            </w:r>
          </w:p>
        </w:tc>
        <w:tc>
          <w:tcPr>
            <w:tcW w:w="51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36" w:right="0"/>
              <w:jc w:val="center"/>
              <w:rPr>
                <w:rFonts w:ascii="Times New Roman" w:hAnsi="Times New Roman" w:cs="Times New Roman" w:eastAsia="Times New Roman" w:hint="default"/>
                <w:sz w:val="21"/>
                <w:szCs w:val="21"/>
              </w:rPr>
            </w:pPr>
            <w:r>
              <w:rPr>
                <w:rFonts w:ascii="Times New Roman"/>
                <w:sz w:val="21"/>
              </w:rPr>
              <w:t>20,740,700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28" w:right="103"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20,740,70</w:t>
            </w:r>
          </w:p>
          <w:p>
            <w:pPr>
              <w:pStyle w:val="TableParagraph"/>
              <w:spacing w:line="240" w:lineRule="auto" w:before="70"/>
              <w:ind w:left="2"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715" w:hRule="exact"/>
        </w:trPr>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钟耳顺</w:t>
            </w:r>
          </w:p>
        </w:tc>
        <w:tc>
          <w:tcPr>
            <w:tcW w:w="51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36" w:right="0"/>
              <w:jc w:val="center"/>
              <w:rPr>
                <w:rFonts w:ascii="Times New Roman" w:hAnsi="Times New Roman" w:cs="Times New Roman" w:eastAsia="Times New Roman" w:hint="default"/>
                <w:sz w:val="21"/>
                <w:szCs w:val="21"/>
              </w:rPr>
            </w:pPr>
            <w:r>
              <w:rPr>
                <w:rFonts w:ascii="Times New Roman"/>
                <w:sz w:val="21"/>
              </w:rPr>
              <w:t>13,385,520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28" w:right="103"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13,385,52</w:t>
            </w:r>
          </w:p>
          <w:p>
            <w:pPr>
              <w:pStyle w:val="TableParagraph"/>
              <w:spacing w:line="240" w:lineRule="auto" w:before="70"/>
              <w:ind w:left="2"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713" w:hRule="exact"/>
        </w:trPr>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梁军</w:t>
            </w:r>
          </w:p>
        </w:tc>
        <w:tc>
          <w:tcPr>
            <w:tcW w:w="51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42" w:right="0"/>
              <w:jc w:val="center"/>
              <w:rPr>
                <w:rFonts w:ascii="Times New Roman" w:hAnsi="Times New Roman" w:cs="Times New Roman" w:eastAsia="Times New Roman" w:hint="default"/>
                <w:sz w:val="21"/>
                <w:szCs w:val="21"/>
              </w:rPr>
            </w:pPr>
            <w:r>
              <w:rPr>
                <w:rFonts w:ascii="Times New Roman"/>
                <w:sz w:val="21"/>
              </w:rPr>
              <w:t>8,979,500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28" w:right="103"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8,979,500</w:t>
            </w:r>
          </w:p>
        </w:tc>
      </w:tr>
      <w:tr>
        <w:trPr>
          <w:trHeight w:val="715" w:hRule="exact"/>
        </w:trPr>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宋关福</w:t>
            </w:r>
          </w:p>
        </w:tc>
        <w:tc>
          <w:tcPr>
            <w:tcW w:w="51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42" w:right="0"/>
              <w:jc w:val="center"/>
              <w:rPr>
                <w:rFonts w:ascii="Times New Roman" w:hAnsi="Times New Roman" w:cs="Times New Roman" w:eastAsia="Times New Roman" w:hint="default"/>
                <w:sz w:val="21"/>
                <w:szCs w:val="21"/>
              </w:rPr>
            </w:pPr>
            <w:r>
              <w:rPr>
                <w:rFonts w:ascii="Times New Roman"/>
                <w:sz w:val="21"/>
              </w:rPr>
              <w:t>5,728,360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28" w:right="103"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5,728,360</w:t>
            </w:r>
          </w:p>
        </w:tc>
      </w:tr>
      <w:tr>
        <w:trPr>
          <w:trHeight w:val="713" w:hRule="exact"/>
        </w:trPr>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646" w:right="116" w:hanging="527"/>
              <w:jc w:val="left"/>
              <w:rPr>
                <w:rFonts w:ascii="宋体" w:hAnsi="宋体" w:cs="宋体" w:eastAsia="宋体" w:hint="default"/>
                <w:sz w:val="21"/>
                <w:szCs w:val="21"/>
              </w:rPr>
            </w:pPr>
            <w:r>
              <w:rPr>
                <w:rFonts w:ascii="宋体" w:hAnsi="宋体" w:cs="宋体" w:eastAsia="宋体" w:hint="default"/>
                <w:spacing w:val="-2"/>
                <w:sz w:val="21"/>
                <w:szCs w:val="21"/>
              </w:rPr>
              <w:t>华夏银行股份有限公司－德盛精</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选股票证券投资基金</w:t>
            </w:r>
          </w:p>
        </w:tc>
        <w:tc>
          <w:tcPr>
            <w:tcW w:w="51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42" w:right="0"/>
              <w:jc w:val="center"/>
              <w:rPr>
                <w:rFonts w:ascii="Times New Roman" w:hAnsi="Times New Roman" w:cs="Times New Roman" w:eastAsia="Times New Roman" w:hint="default"/>
                <w:sz w:val="21"/>
                <w:szCs w:val="21"/>
              </w:rPr>
            </w:pPr>
            <w:r>
              <w:rPr>
                <w:rFonts w:ascii="Times New Roman"/>
                <w:sz w:val="21"/>
              </w:rPr>
              <w:t>3,700,000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28" w:right="103"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3,700,000</w:t>
            </w:r>
          </w:p>
        </w:tc>
      </w:tr>
      <w:tr>
        <w:trPr>
          <w:trHeight w:val="1027" w:hRule="exact"/>
        </w:trPr>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20" w:right="116"/>
              <w:jc w:val="center"/>
              <w:rPr>
                <w:rFonts w:ascii="宋体" w:hAnsi="宋体" w:cs="宋体" w:eastAsia="宋体" w:hint="default"/>
                <w:sz w:val="21"/>
                <w:szCs w:val="21"/>
              </w:rPr>
            </w:pPr>
            <w:r>
              <w:rPr>
                <w:rFonts w:ascii="宋体" w:hAnsi="宋体" w:cs="宋体" w:eastAsia="宋体" w:hint="default"/>
                <w:spacing w:val="-2"/>
                <w:sz w:val="21"/>
                <w:szCs w:val="21"/>
              </w:rPr>
              <w:t>中国建设银行股份有限公司－民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生加银景气行业混合型证券投资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基金</w:t>
            </w:r>
          </w:p>
        </w:tc>
        <w:tc>
          <w:tcPr>
            <w:tcW w:w="51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842" w:right="0"/>
              <w:jc w:val="center"/>
              <w:rPr>
                <w:rFonts w:ascii="Times New Roman" w:hAnsi="Times New Roman" w:cs="Times New Roman" w:eastAsia="Times New Roman" w:hint="default"/>
                <w:sz w:val="21"/>
                <w:szCs w:val="21"/>
              </w:rPr>
            </w:pPr>
            <w:r>
              <w:rPr>
                <w:rFonts w:ascii="Times New Roman"/>
                <w:sz w:val="21"/>
              </w:rPr>
              <w:t>3,618,470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528" w:right="103"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3,618,470</w:t>
            </w:r>
          </w:p>
        </w:tc>
      </w:tr>
      <w:tr>
        <w:trPr>
          <w:trHeight w:val="401" w:hRule="exact"/>
        </w:trPr>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王尔琪</w:t>
            </w:r>
          </w:p>
        </w:tc>
        <w:tc>
          <w:tcPr>
            <w:tcW w:w="51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42" w:right="0"/>
              <w:jc w:val="center"/>
              <w:rPr>
                <w:rFonts w:ascii="Times New Roman" w:hAnsi="Times New Roman" w:cs="Times New Roman" w:eastAsia="Times New Roman" w:hint="default"/>
                <w:sz w:val="21"/>
                <w:szCs w:val="21"/>
              </w:rPr>
            </w:pPr>
            <w:r>
              <w:rPr>
                <w:rFonts w:ascii="Times New Roman"/>
                <w:sz w:val="21"/>
              </w:rPr>
              <w:t>3,413,405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人民币普通</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3,413,405</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580" w:right="500"/>
        </w:sectPr>
      </w:pPr>
    </w:p>
    <w:p>
      <w:pPr>
        <w:spacing w:line="240" w:lineRule="auto" w:before="11"/>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193"/>
        <w:gridCol w:w="5154"/>
        <w:gridCol w:w="1277"/>
        <w:gridCol w:w="910"/>
      </w:tblGrid>
      <w:tr>
        <w:trPr>
          <w:trHeight w:val="363" w:hRule="exact"/>
        </w:trPr>
        <w:tc>
          <w:tcPr>
            <w:tcW w:w="3193" w:type="dxa"/>
            <w:tcBorders>
              <w:top w:val="single" w:sz="4" w:space="0" w:color="000000"/>
              <w:left w:val="single" w:sz="4" w:space="0" w:color="000000"/>
              <w:bottom w:val="single" w:sz="4" w:space="0" w:color="000000"/>
              <w:right w:val="single" w:sz="4" w:space="0" w:color="000000"/>
            </w:tcBorders>
          </w:tcPr>
          <w:p>
            <w:pPr/>
          </w:p>
        </w:tc>
        <w:tc>
          <w:tcPr>
            <w:tcW w:w="515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270"/>
              <w:jc w:val="right"/>
              <w:rPr>
                <w:rFonts w:ascii="宋体" w:hAnsi="宋体" w:cs="宋体" w:eastAsia="宋体" w:hint="default"/>
                <w:sz w:val="21"/>
                <w:szCs w:val="21"/>
              </w:rPr>
            </w:pPr>
            <w:r>
              <w:rPr>
                <w:rFonts w:ascii="宋体" w:hAnsi="宋体" w:cs="宋体" w:eastAsia="宋体" w:hint="default"/>
                <w:sz w:val="21"/>
                <w:szCs w:val="21"/>
              </w:rPr>
              <w:t>王康弘</w:t>
            </w:r>
          </w:p>
        </w:tc>
        <w:tc>
          <w:tcPr>
            <w:tcW w:w="5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28"/>
              <w:jc w:val="right"/>
              <w:rPr>
                <w:rFonts w:ascii="Times New Roman" w:hAnsi="Times New Roman" w:cs="Times New Roman" w:eastAsia="Times New Roman" w:hint="default"/>
                <w:sz w:val="21"/>
                <w:szCs w:val="21"/>
              </w:rPr>
            </w:pPr>
            <w:r>
              <w:rPr>
                <w:rFonts w:ascii="Times New Roman"/>
                <w:spacing w:val="-1"/>
                <w:sz w:val="21"/>
              </w:rPr>
              <w:t>2,287,402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28" w:right="103"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2,287,402</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270"/>
              <w:jc w:val="right"/>
              <w:rPr>
                <w:rFonts w:ascii="宋体" w:hAnsi="宋体" w:cs="宋体" w:eastAsia="宋体" w:hint="default"/>
                <w:sz w:val="21"/>
                <w:szCs w:val="21"/>
              </w:rPr>
            </w:pPr>
            <w:r>
              <w:rPr>
                <w:rFonts w:ascii="宋体" w:hAnsi="宋体" w:cs="宋体" w:eastAsia="宋体" w:hint="default"/>
                <w:sz w:val="21"/>
                <w:szCs w:val="21"/>
              </w:rPr>
              <w:t>吴秋华</w:t>
            </w:r>
          </w:p>
        </w:tc>
        <w:tc>
          <w:tcPr>
            <w:tcW w:w="5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28"/>
              <w:jc w:val="right"/>
              <w:rPr>
                <w:rFonts w:ascii="Times New Roman" w:hAnsi="Times New Roman" w:cs="Times New Roman" w:eastAsia="Times New Roman" w:hint="default"/>
                <w:sz w:val="21"/>
                <w:szCs w:val="21"/>
              </w:rPr>
            </w:pPr>
            <w:r>
              <w:rPr>
                <w:rFonts w:ascii="Times New Roman"/>
                <w:spacing w:val="-1"/>
                <w:sz w:val="21"/>
              </w:rPr>
              <w:t>2,143,000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28" w:right="103"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2,143,000</w:t>
            </w:r>
          </w:p>
        </w:tc>
      </w:tr>
      <w:tr>
        <w:trPr>
          <w:trHeight w:val="71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270"/>
              <w:jc w:val="right"/>
              <w:rPr>
                <w:rFonts w:ascii="宋体" w:hAnsi="宋体" w:cs="宋体" w:eastAsia="宋体" w:hint="default"/>
                <w:sz w:val="21"/>
                <w:szCs w:val="21"/>
              </w:rPr>
            </w:pPr>
            <w:r>
              <w:rPr>
                <w:rFonts w:ascii="宋体" w:hAnsi="宋体" w:cs="宋体" w:eastAsia="宋体" w:hint="default"/>
                <w:sz w:val="21"/>
                <w:szCs w:val="21"/>
              </w:rPr>
              <w:t>常鑫民</w:t>
            </w:r>
          </w:p>
        </w:tc>
        <w:tc>
          <w:tcPr>
            <w:tcW w:w="5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28"/>
              <w:jc w:val="right"/>
              <w:rPr>
                <w:rFonts w:ascii="Times New Roman" w:hAnsi="Times New Roman" w:cs="Times New Roman" w:eastAsia="Times New Roman" w:hint="default"/>
                <w:sz w:val="21"/>
                <w:szCs w:val="21"/>
              </w:rPr>
            </w:pPr>
            <w:r>
              <w:rPr>
                <w:rFonts w:ascii="Times New Roman"/>
                <w:spacing w:val="-1"/>
                <w:sz w:val="21"/>
              </w:rPr>
              <w:t>2,024,800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28" w:right="103"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2,024,800</w:t>
            </w:r>
          </w:p>
        </w:tc>
      </w:tr>
      <w:tr>
        <w:trPr>
          <w:trHeight w:val="1339"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名无限售流通股股东之间，</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以及前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名无限售流通股股东和</w:t>
            </w:r>
          </w:p>
          <w:p>
            <w:pPr>
              <w:pStyle w:val="TableParagraph"/>
              <w:spacing w:line="256" w:lineRule="auto" w:before="21"/>
              <w:ind w:left="24" w:right="108"/>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名股东之间关联关系或一致</w:t>
            </w:r>
            <w:r>
              <w:rPr>
                <w:rFonts w:ascii="宋体" w:hAnsi="宋体" w:cs="宋体" w:eastAsia="宋体" w:hint="default"/>
                <w:w w:val="100"/>
                <w:sz w:val="21"/>
                <w:szCs w:val="21"/>
              </w:rPr>
              <w:t> </w:t>
            </w:r>
            <w:r>
              <w:rPr>
                <w:rFonts w:ascii="宋体" w:hAnsi="宋体" w:cs="宋体" w:eastAsia="宋体" w:hint="default"/>
                <w:sz w:val="21"/>
                <w:szCs w:val="21"/>
              </w:rPr>
              <w:t>行动的说明</w:t>
            </w:r>
          </w:p>
        </w:tc>
        <w:tc>
          <w:tcPr>
            <w:tcW w:w="734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上述股东不存在关联关系也不是一致行动人</w:t>
            </w:r>
          </w:p>
        </w:tc>
      </w:tr>
      <w:tr>
        <w:trPr>
          <w:trHeight w:val="71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参与融资融券业务股东情况说明</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（如有）</w:t>
            </w:r>
          </w:p>
        </w:tc>
        <w:tc>
          <w:tcPr>
            <w:tcW w:w="734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79"/>
        <w:ind w:left="553" w:right="0"/>
        <w:jc w:val="left"/>
      </w:pPr>
      <w:r>
        <w:rPr/>
        <w:t>公司前</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60"/>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76"/>
        <w:ind w:left="5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pStyle w:val="BodyText"/>
        <w:spacing w:line="240" w:lineRule="auto" w:before="174"/>
        <w:ind w:left="553" w:right="0"/>
        <w:jc w:val="left"/>
      </w:pPr>
      <w:r>
        <w:rPr/>
        <w:t>公司前</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60"/>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6"/>
        <w:rPr>
          <w:rFonts w:ascii="宋体" w:hAnsi="宋体" w:cs="宋体" w:eastAsia="宋体" w:hint="default"/>
          <w:sz w:val="27"/>
          <w:szCs w:val="27"/>
        </w:rPr>
      </w:pPr>
    </w:p>
    <w:p>
      <w:pPr>
        <w:pStyle w:val="Heading2"/>
        <w:spacing w:line="240" w:lineRule="auto"/>
        <w:ind w:left="752"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27"/>
          <w:szCs w:val="27"/>
        </w:rPr>
      </w:pPr>
    </w:p>
    <w:p>
      <w:pPr>
        <w:pStyle w:val="BodyText"/>
        <w:spacing w:line="388" w:lineRule="auto" w:before="0"/>
        <w:ind w:left="553" w:right="7313"/>
        <w:jc w:val="left"/>
      </w:pPr>
      <w:r>
        <w:rPr/>
        <w:t>控股股东性质：自然人控股 控股股东类型：自然人</w:t>
      </w:r>
    </w:p>
    <w:tbl>
      <w:tblPr>
        <w:tblW w:w="0" w:type="auto"/>
        <w:jc w:val="left"/>
        <w:tblInd w:w="549" w:type="dxa"/>
        <w:tblLayout w:type="fixed"/>
        <w:tblCellMar>
          <w:top w:w="0" w:type="dxa"/>
          <w:left w:w="0" w:type="dxa"/>
          <w:bottom w:w="0" w:type="dxa"/>
          <w:right w:w="0" w:type="dxa"/>
        </w:tblCellMar>
        <w:tblLook w:val="01E0"/>
      </w:tblPr>
      <w:tblGrid>
        <w:gridCol w:w="3417"/>
        <w:gridCol w:w="2031"/>
        <w:gridCol w:w="4119"/>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71" w:right="0"/>
              <w:jc w:val="left"/>
              <w:rPr>
                <w:rFonts w:ascii="宋体" w:hAnsi="宋体" w:cs="宋体" w:eastAsia="宋体" w:hint="default"/>
                <w:sz w:val="21"/>
                <w:szCs w:val="21"/>
              </w:rPr>
            </w:pPr>
            <w:r>
              <w:rPr>
                <w:rFonts w:ascii="宋体" w:hAnsi="宋体" w:cs="宋体" w:eastAsia="宋体" w:hint="default"/>
                <w:sz w:val="21"/>
                <w:szCs w:val="21"/>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8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1"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pacing w:val="-2"/>
                <w:sz w:val="21"/>
                <w:szCs w:val="21"/>
              </w:rPr>
              <w:t>自公司成立以来一直就职于北京超图软件股份有限公司，现任董事</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长职务</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报告期内控股和参股的其他境内外上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市公司的股权情况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85"/>
        <w:ind w:left="553" w:right="0"/>
        <w:jc w:val="left"/>
      </w:pPr>
      <w:r>
        <w:rPr/>
        <w:t>控股股东报告期内变更</w:t>
      </w:r>
    </w:p>
    <w:p>
      <w:pPr>
        <w:pStyle w:val="BodyText"/>
        <w:spacing w:line="364" w:lineRule="auto" w:before="193"/>
        <w:ind w:left="553" w:right="6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公司报告期控股股东未发生变更。</w:t>
      </w:r>
    </w:p>
    <w:p>
      <w:pPr>
        <w:spacing w:line="240" w:lineRule="auto" w:before="4"/>
        <w:rPr>
          <w:rFonts w:ascii="宋体" w:hAnsi="宋体" w:cs="宋体" w:eastAsia="宋体" w:hint="default"/>
          <w:sz w:val="25"/>
          <w:szCs w:val="25"/>
        </w:rPr>
      </w:pPr>
    </w:p>
    <w:p>
      <w:pPr>
        <w:pStyle w:val="Heading2"/>
        <w:spacing w:line="240" w:lineRule="auto"/>
        <w:ind w:left="553"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2"/>
        <w:rPr>
          <w:rFonts w:ascii="宋体" w:hAnsi="宋体" w:cs="宋体" w:eastAsia="宋体" w:hint="default"/>
          <w:b/>
          <w:bCs/>
          <w:sz w:val="33"/>
          <w:szCs w:val="33"/>
        </w:rPr>
      </w:pPr>
    </w:p>
    <w:p>
      <w:pPr>
        <w:pStyle w:val="BodyText"/>
        <w:spacing w:line="388" w:lineRule="auto" w:before="0"/>
        <w:ind w:left="553" w:right="7073"/>
        <w:jc w:val="left"/>
      </w:pPr>
      <w:r>
        <w:rPr/>
        <w:t>实际控制人性质：境内自然人 实际控制人类型：自然人</w:t>
      </w:r>
    </w:p>
    <w:p>
      <w:pPr>
        <w:spacing w:after="0" w:line="388" w:lineRule="auto"/>
        <w:jc w:val="left"/>
        <w:sectPr>
          <w:pgSz w:w="11910" w:h="16840"/>
          <w:pgMar w:header="877" w:footer="980" w:top="1100" w:bottom="1160" w:left="580" w:right="56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324"/>
        <w:gridCol w:w="2069"/>
        <w:gridCol w:w="4177"/>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26"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11"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6"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6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36" w:right="101"/>
              <w:jc w:val="left"/>
              <w:rPr>
                <w:rFonts w:ascii="宋体" w:hAnsi="宋体" w:cs="宋体" w:eastAsia="宋体" w:hint="default"/>
                <w:sz w:val="21"/>
                <w:szCs w:val="21"/>
              </w:rPr>
            </w:pPr>
            <w:r>
              <w:rPr>
                <w:rFonts w:ascii="宋体" w:hAnsi="宋体" w:cs="宋体" w:eastAsia="宋体" w:hint="default"/>
                <w:spacing w:val="-2"/>
                <w:sz w:val="21"/>
                <w:szCs w:val="21"/>
              </w:rPr>
              <w:t>自公司成立以来一直就职于北京超图软件股份有限公司，现任董事</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长职务</w:t>
            </w: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auto" w:before="30"/>
              <w:ind w:left="24" w:right="31"/>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6246"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79"/>
        <w:ind w:right="293"/>
        <w:jc w:val="left"/>
      </w:pPr>
      <w:r>
        <w:rPr/>
        <w:t>实际控制人报告期内变更</w:t>
      </w:r>
    </w:p>
    <w:p>
      <w:pPr>
        <w:pStyle w:val="BodyText"/>
        <w:spacing w:line="348" w:lineRule="auto" w:before="192"/>
        <w:ind w:right="44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公司报告期实际控制人未发生变更。 公司与实际控制人之间的产权及控制关系的方框图</w:t>
      </w:r>
    </w:p>
    <w:p>
      <w:pPr>
        <w:spacing w:line="240" w:lineRule="auto" w:before="10"/>
        <w:rPr>
          <w:rFonts w:ascii="宋体" w:hAnsi="宋体" w:cs="宋体" w:eastAsia="宋体" w:hint="default"/>
          <w:sz w:val="14"/>
          <w:szCs w:val="14"/>
        </w:rPr>
      </w:pPr>
    </w:p>
    <w:p>
      <w:pPr>
        <w:spacing w:line="2693" w:lineRule="exact"/>
        <w:ind w:left="2658"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3078428" cy="171030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3078428" cy="1710308"/>
                    </a:xfrm>
                    <a:prstGeom prst="rect">
                      <a:avLst/>
                    </a:prstGeom>
                  </pic:spPr>
                </pic:pic>
              </a:graphicData>
            </a:graphic>
          </wp:inline>
        </w:drawing>
      </w:r>
      <w:r>
        <w:rPr>
          <w:rFonts w:ascii="宋体" w:hAnsi="宋体" w:cs="宋体" w:eastAsia="宋体" w:hint="default"/>
          <w:position w:val="-53"/>
          <w:sz w:val="20"/>
          <w:szCs w:val="20"/>
        </w:rPr>
      </w:r>
    </w:p>
    <w:p>
      <w:pPr>
        <w:spacing w:line="240" w:lineRule="auto" w:before="2"/>
        <w:rPr>
          <w:rFonts w:ascii="宋体" w:hAnsi="宋体" w:cs="宋体" w:eastAsia="宋体" w:hint="default"/>
          <w:sz w:val="22"/>
          <w:szCs w:val="22"/>
        </w:rPr>
      </w:pPr>
    </w:p>
    <w:p>
      <w:pPr>
        <w:pStyle w:val="BodyText"/>
        <w:spacing w:line="240" w:lineRule="auto" w:before="0"/>
        <w:ind w:right="293"/>
        <w:jc w:val="left"/>
      </w:pPr>
      <w:r>
        <w:rPr/>
        <w:t>实际控制人通过信托或其他资产管理方式控制公司</w:t>
      </w:r>
    </w:p>
    <w:p>
      <w:pPr>
        <w:pStyle w:val="BodyText"/>
        <w:spacing w:line="240" w:lineRule="auto" w:before="194"/>
        <w:ind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6"/>
        <w:rPr>
          <w:rFonts w:ascii="宋体" w:hAnsi="宋体" w:cs="宋体" w:eastAsia="宋体" w:hint="default"/>
          <w:sz w:val="27"/>
          <w:szCs w:val="27"/>
        </w:rPr>
      </w:pPr>
    </w:p>
    <w:p>
      <w:pPr>
        <w:pStyle w:val="Heading2"/>
        <w:spacing w:line="240" w:lineRule="auto"/>
        <w:ind w:left="352" w:right="293"/>
        <w:jc w:val="left"/>
        <w:rPr>
          <w:b w:val="0"/>
          <w:bCs w:val="0"/>
        </w:rPr>
      </w:pPr>
      <w:r>
        <w:rPr>
          <w:rFonts w:ascii="Times New Roman" w:hAnsi="Times New Roman" w:cs="Times New Roman" w:eastAsia="Times New Roman" w:hint="default"/>
        </w:rPr>
        <w:t>4</w:t>
      </w:r>
      <w:r>
        <w:rPr/>
        <w:t>、其他持股在</w:t>
      </w:r>
      <w:r>
        <w:rPr>
          <w:spacing w:val="-64"/>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0"/>
        <w:ind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5"/>
        <w:rPr>
          <w:rFonts w:ascii="宋体" w:hAnsi="宋体" w:cs="宋体" w:eastAsia="宋体" w:hint="default"/>
          <w:sz w:val="21"/>
          <w:szCs w:val="21"/>
        </w:rPr>
      </w:pPr>
    </w:p>
    <w:p>
      <w:pPr>
        <w:pStyle w:val="Heading2"/>
        <w:spacing w:line="240" w:lineRule="auto"/>
        <w:ind w:left="352" w:right="29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0"/>
        <w:ind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after="0" w:line="240" w:lineRule="auto"/>
        <w:jc w:val="left"/>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pStyle w:val="Heading1"/>
        <w:spacing w:line="240" w:lineRule="auto" w:before="173"/>
        <w:ind w:left="3557" w:right="293"/>
        <w:jc w:val="left"/>
        <w:rPr>
          <w:b w:val="0"/>
          <w:bCs w:val="0"/>
        </w:rPr>
      </w:pPr>
      <w:bookmarkStart w:name="_bookmark6" w:id="7"/>
      <w:bookmarkEnd w:id="7"/>
      <w:r>
        <w:rPr>
          <w:b w:val="0"/>
          <w:bCs w:val="0"/>
        </w:rPr>
      </w:r>
      <w:r>
        <w:rPr/>
        <w:t>第七节</w:t>
      </w:r>
      <w:r>
        <w:rPr>
          <w:spacing w:val="-5"/>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BodyText"/>
        <w:spacing w:line="338" w:lineRule="auto" w:before="26"/>
        <w:ind w:left="633" w:right="6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报告期公司不存在优先股。</w:t>
      </w:r>
    </w:p>
    <w:p>
      <w:pPr>
        <w:spacing w:after="0" w:line="338" w:lineRule="auto"/>
        <w:jc w:val="left"/>
        <w:sectPr>
          <w:pgSz w:w="11910" w:h="16840"/>
          <w:pgMar w:header="877" w:footer="980" w:top="1100" w:bottom="1160" w:left="980" w:right="980"/>
        </w:sectPr>
      </w:pPr>
    </w:p>
    <w:p>
      <w:pPr>
        <w:spacing w:line="240" w:lineRule="auto" w:before="6"/>
        <w:rPr>
          <w:rFonts w:ascii="宋体" w:hAnsi="宋体" w:cs="宋体" w:eastAsia="宋体" w:hint="default"/>
          <w:sz w:val="28"/>
          <w:szCs w:val="28"/>
        </w:rPr>
      </w:pPr>
    </w:p>
    <w:p>
      <w:pPr>
        <w:pStyle w:val="Heading1"/>
        <w:spacing w:line="240" w:lineRule="auto"/>
        <w:ind w:left="2273" w:right="993"/>
        <w:jc w:val="left"/>
        <w:rPr>
          <w:b w:val="0"/>
          <w:bCs w:val="0"/>
        </w:rPr>
      </w:pPr>
      <w:bookmarkStart w:name="_bookmark7" w:id="8"/>
      <w:bookmarkEnd w:id="8"/>
      <w:r>
        <w:rPr>
          <w:b w:val="0"/>
          <w:bCs w:val="0"/>
        </w:rPr>
      </w:r>
      <w:r>
        <w:rPr>
          <w:spacing w:val="4"/>
        </w:rPr>
        <w:t>第八节</w:t>
      </w:r>
      <w:r>
        <w:rPr>
          <w:spacing w:val="-28"/>
        </w:rPr>
        <w:t> </w:t>
      </w:r>
      <w:r>
        <w:rPr>
          <w:spacing w:val="5"/>
        </w:rPr>
        <w:t>董事、监事和高级管理人员和员工情况</w:t>
      </w:r>
      <w:r>
        <w:rPr>
          <w:b w:val="0"/>
          <w:bCs w:val="0"/>
          <w:spacing w:val="5"/>
        </w:rPr>
      </w:r>
    </w:p>
    <w:p>
      <w:pPr>
        <w:spacing w:line="240" w:lineRule="auto" w:before="11"/>
        <w:rPr>
          <w:rFonts w:ascii="宋体" w:hAnsi="宋体" w:cs="宋体" w:eastAsia="宋体" w:hint="default"/>
          <w:b/>
          <w:bCs/>
          <w:sz w:val="31"/>
          <w:szCs w:val="31"/>
        </w:rPr>
      </w:pPr>
    </w:p>
    <w:p>
      <w:pPr>
        <w:pStyle w:val="Heading2"/>
        <w:spacing w:line="240" w:lineRule="auto"/>
        <w:ind w:left="1013" w:right="993"/>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850"/>
        <w:gridCol w:w="1299"/>
        <w:gridCol w:w="708"/>
        <w:gridCol w:w="500"/>
        <w:gridCol w:w="499"/>
        <w:gridCol w:w="1270"/>
        <w:gridCol w:w="1260"/>
        <w:gridCol w:w="1160"/>
        <w:gridCol w:w="934"/>
        <w:gridCol w:w="859"/>
        <w:gridCol w:w="848"/>
        <w:gridCol w:w="1241"/>
      </w:tblGrid>
      <w:tr>
        <w:trPr>
          <w:trHeight w:val="1258" w:hRule="exact"/>
        </w:trPr>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2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136" w:right="137" w:hanging="10"/>
              <w:jc w:val="left"/>
              <w:rPr>
                <w:rFonts w:ascii="宋体" w:hAnsi="宋体" w:cs="宋体" w:eastAsia="宋体" w:hint="default"/>
                <w:sz w:val="21"/>
                <w:szCs w:val="21"/>
              </w:rPr>
            </w:pPr>
            <w:r>
              <w:rPr>
                <w:rFonts w:ascii="宋体" w:hAnsi="宋体" w:cs="宋体" w:eastAsia="宋体" w:hint="default"/>
                <w:b/>
                <w:bCs/>
                <w:sz w:val="21"/>
                <w:szCs w:val="21"/>
              </w:rPr>
              <w:t>任期</w:t>
            </w:r>
            <w:r>
              <w:rPr>
                <w:rFonts w:ascii="宋体" w:hAnsi="宋体" w:cs="宋体" w:eastAsia="宋体" w:hint="default"/>
                <w:b/>
                <w:bCs/>
                <w:w w:val="100"/>
                <w:sz w:val="21"/>
                <w:szCs w:val="21"/>
              </w:rPr>
              <w:t> </w:t>
            </w:r>
            <w:r>
              <w:rPr>
                <w:rFonts w:ascii="宋体" w:hAnsi="宋体" w:cs="宋体" w:eastAsia="宋体" w:hint="default"/>
                <w:b/>
                <w:bCs/>
                <w:sz w:val="21"/>
                <w:szCs w:val="21"/>
              </w:rPr>
              <w:t>状态</w:t>
            </w:r>
            <w:r>
              <w:rPr>
                <w:rFonts w:ascii="宋体" w:hAnsi="宋体" w:cs="宋体" w:eastAsia="宋体" w:hint="default"/>
                <w:sz w:val="21"/>
                <w:szCs w:val="21"/>
              </w:rPr>
            </w:r>
          </w:p>
        </w:tc>
        <w:tc>
          <w:tcPr>
            <w:tcW w:w="5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139" w:right="137" w:hanging="12"/>
              <w:jc w:val="left"/>
              <w:rPr>
                <w:rFonts w:ascii="宋体" w:hAnsi="宋体" w:cs="宋体" w:eastAsia="宋体" w:hint="default"/>
                <w:sz w:val="21"/>
                <w:szCs w:val="21"/>
              </w:rPr>
            </w:pPr>
            <w:r>
              <w:rPr>
                <w:rFonts w:ascii="宋体" w:hAnsi="宋体" w:cs="宋体" w:eastAsia="宋体" w:hint="default"/>
                <w:b/>
                <w:bCs/>
                <w:sz w:val="21"/>
                <w:szCs w:val="21"/>
              </w:rPr>
              <w:t>性</w:t>
            </w:r>
            <w:r>
              <w:rPr>
                <w:rFonts w:ascii="宋体" w:hAnsi="宋体" w:cs="宋体" w:eastAsia="宋体" w:hint="default"/>
                <w:b/>
                <w:bCs/>
                <w:w w:val="100"/>
                <w:sz w:val="21"/>
                <w:szCs w:val="21"/>
              </w:rPr>
              <w:t> </w:t>
            </w:r>
            <w:r>
              <w:rPr>
                <w:rFonts w:ascii="宋体" w:hAnsi="宋体" w:cs="宋体" w:eastAsia="宋体" w:hint="default"/>
                <w:b/>
                <w:bCs/>
                <w:sz w:val="21"/>
                <w:szCs w:val="21"/>
              </w:rPr>
              <w:t>别</w:t>
            </w:r>
            <w:r>
              <w:rPr>
                <w:rFonts w:ascii="宋体" w:hAnsi="宋体" w:cs="宋体" w:eastAsia="宋体" w:hint="default"/>
                <w:sz w:val="21"/>
                <w:szCs w:val="21"/>
              </w:rPr>
            </w:r>
          </w:p>
        </w:tc>
        <w:tc>
          <w:tcPr>
            <w:tcW w:w="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139" w:right="122" w:firstLine="14"/>
              <w:jc w:val="left"/>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w w:val="100"/>
                <w:sz w:val="21"/>
                <w:szCs w:val="21"/>
              </w:rPr>
              <w:t> </w:t>
            </w:r>
            <w:r>
              <w:rPr>
                <w:rFonts w:ascii="宋体" w:hAnsi="宋体" w:cs="宋体" w:eastAsia="宋体" w:hint="default"/>
                <w:b/>
                <w:bCs/>
                <w:sz w:val="21"/>
                <w:szCs w:val="21"/>
              </w:rPr>
              <w:t>龄</w:t>
            </w:r>
            <w:r>
              <w:rPr>
                <w:rFonts w:ascii="宋体" w:hAnsi="宋体" w:cs="宋体" w:eastAsia="宋体" w:hint="default"/>
                <w:sz w:val="21"/>
                <w:szCs w:val="21"/>
              </w:rPr>
            </w:r>
          </w:p>
        </w:tc>
        <w:tc>
          <w:tcPr>
            <w:tcW w:w="12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420" w:right="191" w:hanging="197"/>
              <w:jc w:val="left"/>
              <w:rPr>
                <w:rFonts w:ascii="宋体" w:hAnsi="宋体" w:cs="宋体" w:eastAsia="宋体" w:hint="default"/>
                <w:sz w:val="21"/>
                <w:szCs w:val="21"/>
              </w:rPr>
            </w:pPr>
            <w:r>
              <w:rPr>
                <w:rFonts w:ascii="宋体" w:hAnsi="宋体" w:cs="宋体" w:eastAsia="宋体" w:hint="default"/>
                <w:b/>
                <w:bCs/>
                <w:sz w:val="21"/>
                <w:szCs w:val="21"/>
              </w:rPr>
              <w:t>任职起始</w:t>
            </w:r>
            <w:r>
              <w:rPr>
                <w:rFonts w:ascii="宋体" w:hAnsi="宋体" w:cs="宋体" w:eastAsia="宋体" w:hint="default"/>
                <w:b/>
                <w:bCs/>
                <w:w w:val="100"/>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413" w:right="185" w:hanging="195"/>
              <w:jc w:val="left"/>
              <w:rPr>
                <w:rFonts w:ascii="宋体" w:hAnsi="宋体" w:cs="宋体" w:eastAsia="宋体" w:hint="default"/>
                <w:sz w:val="21"/>
                <w:szCs w:val="21"/>
              </w:rPr>
            </w:pPr>
            <w:r>
              <w:rPr>
                <w:rFonts w:ascii="宋体" w:hAnsi="宋体" w:cs="宋体" w:eastAsia="宋体" w:hint="default"/>
                <w:b/>
                <w:bCs/>
                <w:sz w:val="21"/>
                <w:szCs w:val="21"/>
              </w:rPr>
              <w:t>任期终止</w:t>
            </w:r>
            <w:r>
              <w:rPr>
                <w:rFonts w:ascii="宋体" w:hAnsi="宋体" w:cs="宋体" w:eastAsia="宋体" w:hint="default"/>
                <w:b/>
                <w:bCs/>
                <w:w w:val="100"/>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c>
          <w:tcPr>
            <w:tcW w:w="1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316" w:right="128" w:hanging="14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期初持股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46" w:right="127" w:firstLine="14"/>
              <w:jc w:val="both"/>
              <w:rPr>
                <w:rFonts w:ascii="宋体" w:hAnsi="宋体" w:cs="宋体" w:eastAsia="宋体" w:hint="default"/>
                <w:sz w:val="21"/>
                <w:szCs w:val="21"/>
              </w:rPr>
            </w:pPr>
            <w:r>
              <w:rPr>
                <w:rFonts w:ascii="宋体" w:hAnsi="宋体" w:cs="宋体" w:eastAsia="宋体" w:hint="default"/>
                <w:b/>
                <w:bCs/>
                <w:sz w:val="21"/>
                <w:szCs w:val="21"/>
              </w:rPr>
              <w:t>本期增</w:t>
            </w:r>
            <w:r>
              <w:rPr>
                <w:rFonts w:ascii="宋体" w:hAnsi="宋体" w:cs="宋体" w:eastAsia="宋体" w:hint="default"/>
                <w:b/>
                <w:bCs/>
                <w:w w:val="100"/>
                <w:sz w:val="21"/>
                <w:szCs w:val="21"/>
              </w:rPr>
              <w:t> </w:t>
            </w:r>
            <w:r>
              <w:rPr>
                <w:rFonts w:ascii="宋体" w:hAnsi="宋体" w:cs="宋体" w:eastAsia="宋体" w:hint="default"/>
                <w:b/>
                <w:bCs/>
                <w:sz w:val="21"/>
                <w:szCs w:val="21"/>
              </w:rPr>
              <w:t>持股份</w:t>
            </w:r>
            <w:r>
              <w:rPr>
                <w:rFonts w:ascii="宋体" w:hAnsi="宋体" w:cs="宋体" w:eastAsia="宋体" w:hint="default"/>
                <w:b/>
                <w:bCs/>
                <w:w w:val="100"/>
                <w:sz w:val="21"/>
                <w:szCs w:val="21"/>
              </w:rPr>
              <w:t> </w:t>
            </w:r>
            <w:r>
              <w:rPr>
                <w:rFonts w:ascii="宋体" w:hAnsi="宋体" w:cs="宋体" w:eastAsia="宋体" w:hint="default"/>
                <w:b/>
                <w:bCs/>
                <w:sz w:val="21"/>
                <w:szCs w:val="21"/>
              </w:rPr>
              <w:t>数量</w:t>
            </w:r>
            <w:r>
              <w:rPr>
                <w:rFonts w:ascii="宋体" w:hAnsi="宋体" w:cs="宋体" w:eastAsia="宋体" w:hint="default"/>
                <w:sz w:val="21"/>
                <w:szCs w:val="21"/>
              </w:rPr>
            </w:r>
          </w:p>
          <w:p>
            <w:pPr>
              <w:pStyle w:val="TableParagraph"/>
              <w:spacing w:line="240" w:lineRule="auto" w:before="7"/>
              <w:ind w:left="146" w:right="0"/>
              <w:jc w:val="both"/>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8" w:right="107" w:firstLine="28"/>
              <w:jc w:val="center"/>
              <w:rPr>
                <w:rFonts w:ascii="宋体" w:hAnsi="宋体" w:cs="宋体" w:eastAsia="宋体" w:hint="default"/>
                <w:sz w:val="21"/>
                <w:szCs w:val="21"/>
              </w:rPr>
            </w:pPr>
            <w:r>
              <w:rPr>
                <w:rFonts w:ascii="宋体" w:hAnsi="宋体" w:cs="宋体" w:eastAsia="宋体" w:hint="default"/>
                <w:b/>
                <w:bCs/>
                <w:sz w:val="21"/>
                <w:szCs w:val="21"/>
              </w:rPr>
              <w:t>本期</w:t>
            </w:r>
            <w:r>
              <w:rPr>
                <w:rFonts w:ascii="宋体" w:hAnsi="宋体" w:cs="宋体" w:eastAsia="宋体" w:hint="default"/>
                <w:b/>
                <w:bCs/>
                <w:w w:val="100"/>
                <w:sz w:val="21"/>
                <w:szCs w:val="21"/>
              </w:rPr>
              <w:t> </w:t>
            </w:r>
            <w:r>
              <w:rPr>
                <w:rFonts w:ascii="宋体" w:hAnsi="宋体" w:cs="宋体" w:eastAsia="宋体" w:hint="default"/>
                <w:b/>
                <w:bCs/>
                <w:sz w:val="21"/>
                <w:szCs w:val="21"/>
              </w:rPr>
              <w:t>减持股</w:t>
            </w:r>
            <w:r>
              <w:rPr>
                <w:rFonts w:ascii="宋体" w:hAnsi="宋体" w:cs="宋体" w:eastAsia="宋体" w:hint="default"/>
                <w:b/>
                <w:bCs/>
                <w:w w:val="100"/>
                <w:sz w:val="21"/>
                <w:szCs w:val="21"/>
              </w:rPr>
              <w:t> </w:t>
            </w:r>
            <w:r>
              <w:rPr>
                <w:rFonts w:ascii="宋体" w:hAnsi="宋体" w:cs="宋体" w:eastAsia="宋体" w:hint="default"/>
                <w:b/>
                <w:bCs/>
                <w:sz w:val="21"/>
                <w:szCs w:val="21"/>
              </w:rPr>
              <w:t>份数量</w:t>
            </w:r>
            <w:r>
              <w:rPr>
                <w:rFonts w:ascii="宋体" w:hAnsi="宋体" w:cs="宋体" w:eastAsia="宋体" w:hint="default"/>
                <w:sz w:val="21"/>
                <w:szCs w:val="21"/>
              </w:rPr>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3"/>
              <w:ind w:left="103" w:right="-5" w:firstLine="12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1"/>
                <w:szCs w:val="21"/>
              </w:rPr>
              <w:t>增减变</w:t>
            </w:r>
            <w:r>
              <w:rPr>
                <w:rFonts w:ascii="宋体" w:hAnsi="宋体" w:cs="宋体" w:eastAsia="宋体" w:hint="default"/>
                <w:b/>
                <w:bCs/>
                <w:w w:val="100"/>
                <w:sz w:val="21"/>
                <w:szCs w:val="21"/>
              </w:rPr>
              <w:t> </w:t>
            </w:r>
            <w:r>
              <w:rPr>
                <w:rFonts w:ascii="宋体" w:hAnsi="宋体" w:cs="宋体" w:eastAsia="宋体" w:hint="default"/>
                <w:b/>
                <w:bCs/>
                <w:spacing w:val="-27"/>
                <w:w w:val="100"/>
                <w:sz w:val="21"/>
                <w:szCs w:val="21"/>
              </w:rPr>
              <w:t>动（股）</w:t>
            </w:r>
            <w:r>
              <w:rPr>
                <w:rFonts w:ascii="宋体" w:hAnsi="宋体" w:cs="宋体" w:eastAsia="宋体" w:hint="default"/>
                <w:spacing w:val="-27"/>
                <w:w w:val="100"/>
                <w:sz w:val="21"/>
                <w:szCs w:val="21"/>
              </w:rPr>
            </w:r>
          </w:p>
        </w:tc>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511" w:right="175" w:hanging="303"/>
              <w:jc w:val="left"/>
              <w:rPr>
                <w:rFonts w:ascii="宋体" w:hAnsi="宋体" w:cs="宋体" w:eastAsia="宋体" w:hint="default"/>
                <w:sz w:val="21"/>
                <w:szCs w:val="21"/>
              </w:rPr>
            </w:pPr>
            <w:r>
              <w:rPr>
                <w:rFonts w:ascii="宋体" w:hAnsi="宋体" w:cs="宋体" w:eastAsia="宋体" w:hint="default"/>
                <w:b/>
                <w:bCs/>
                <w:sz w:val="21"/>
                <w:szCs w:val="21"/>
              </w:rPr>
              <w:t>期末持股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53,542,080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53,542,080</w:t>
            </w:r>
          </w:p>
        </w:tc>
      </w:tr>
      <w:tr>
        <w:trPr>
          <w:trHeight w:val="451" w:hRule="exact"/>
        </w:trPr>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48</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2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22,913,440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22,913,440</w:t>
            </w:r>
          </w:p>
        </w:tc>
      </w:tr>
      <w:tr>
        <w:trPr>
          <w:trHeight w:val="454" w:hRule="exact"/>
        </w:trPr>
        <w:tc>
          <w:tcPr>
            <w:tcW w:w="850" w:type="dxa"/>
            <w:vMerge/>
            <w:tcBorders>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708"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c>
          <w:tcPr>
            <w:tcW w:w="49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160"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r>
      <w:tr>
        <w:trPr>
          <w:trHeight w:val="451" w:hRule="exact"/>
        </w:trPr>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杜庆娥</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4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43</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2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08" w:right="0"/>
              <w:jc w:val="left"/>
              <w:rPr>
                <w:rFonts w:ascii="Times New Roman" w:hAnsi="Times New Roman" w:cs="Times New Roman" w:eastAsia="Times New Roman" w:hint="default"/>
                <w:sz w:val="21"/>
                <w:szCs w:val="21"/>
              </w:rPr>
            </w:pPr>
            <w:r>
              <w:rPr>
                <w:rFonts w:ascii="Times New Roman"/>
                <w:sz w:val="21"/>
              </w:rPr>
              <w:t>6,228,000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6,228,000</w:t>
            </w:r>
          </w:p>
        </w:tc>
      </w:tr>
      <w:tr>
        <w:trPr>
          <w:trHeight w:val="451" w:hRule="exact"/>
        </w:trPr>
        <w:tc>
          <w:tcPr>
            <w:tcW w:w="850" w:type="dxa"/>
            <w:vMerge/>
            <w:tcBorders>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c>
          <w:tcPr>
            <w:tcW w:w="49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160"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王康弘</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9,149,600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9,149,600</w:t>
            </w:r>
          </w:p>
        </w:tc>
      </w:tr>
      <w:tr>
        <w:trPr>
          <w:trHeight w:val="63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孙在宏</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9,205,379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9,205,379</w:t>
            </w: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程邦波</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杜胜利</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8"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庄行方</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王浩</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卫丽红</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汤国安</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郭仁忠</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张军书</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刘英利</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曾志明</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702,640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702,640</w:t>
            </w: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官丽莉</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24" w:hRule="exact"/>
        </w:trPr>
        <w:tc>
          <w:tcPr>
            <w:tcW w:w="850" w:type="dxa"/>
            <w:tcBorders>
              <w:top w:val="single" w:sz="4" w:space="0" w:color="000000"/>
              <w:left w:val="single" w:sz="4" w:space="0" w:color="000000"/>
              <w:bottom w:val="nil" w:sz="6" w:space="0" w:color="auto"/>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139"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139"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z w:val="21"/>
              </w:rPr>
              <w:t>38</w:t>
            </w:r>
          </w:p>
        </w:tc>
        <w:tc>
          <w:tcPr>
            <w:tcW w:w="1270" w:type="dxa"/>
            <w:tcBorders>
              <w:top w:val="single" w:sz="4" w:space="0" w:color="000000"/>
              <w:left w:val="single" w:sz="4" w:space="0" w:color="000000"/>
              <w:bottom w:val="nil" w:sz="6" w:space="0" w:color="auto"/>
              <w:right w:val="single" w:sz="4" w:space="0" w:color="000000"/>
            </w:tcBorders>
          </w:tcPr>
          <w:p>
            <w:pPr>
              <w:pStyle w:val="TableParagraph"/>
              <w:spacing w:line="28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tc>
        <w:tc>
          <w:tcPr>
            <w:tcW w:w="1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120" w:right="120"/>
        </w:sectPr>
      </w:pPr>
    </w:p>
    <w:p>
      <w:pPr>
        <w:spacing w:line="240" w:lineRule="auto" w:before="3"/>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850"/>
        <w:gridCol w:w="1299"/>
        <w:gridCol w:w="708"/>
        <w:gridCol w:w="500"/>
        <w:gridCol w:w="499"/>
        <w:gridCol w:w="1270"/>
        <w:gridCol w:w="1260"/>
        <w:gridCol w:w="1160"/>
        <w:gridCol w:w="934"/>
        <w:gridCol w:w="859"/>
        <w:gridCol w:w="848"/>
        <w:gridCol w:w="1241"/>
      </w:tblGrid>
      <w:tr>
        <w:trPr>
          <w:trHeight w:val="317" w:hRule="exact"/>
        </w:trPr>
        <w:tc>
          <w:tcPr>
            <w:tcW w:w="850" w:type="dxa"/>
            <w:vMerge w:val="restart"/>
            <w:tcBorders>
              <w:top w:val="nil" w:sz="6" w:space="0" w:color="auto"/>
              <w:left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李煜</w:t>
            </w:r>
          </w:p>
        </w:tc>
        <w:tc>
          <w:tcPr>
            <w:tcW w:w="1299"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708" w:type="dxa"/>
            <w:vMerge w:val="restart"/>
            <w:tcBorders>
              <w:top w:val="nil" w:sz="6" w:space="0" w:color="auto"/>
              <w:left w:val="single" w:sz="4" w:space="0" w:color="000000"/>
              <w:right w:val="single" w:sz="4" w:space="0" w:color="000000"/>
            </w:tcBorders>
          </w:tcPr>
          <w:p>
            <w:pPr/>
          </w:p>
        </w:tc>
        <w:tc>
          <w:tcPr>
            <w:tcW w:w="500" w:type="dxa"/>
            <w:vMerge w:val="restart"/>
            <w:tcBorders>
              <w:top w:val="nil" w:sz="6" w:space="0" w:color="auto"/>
              <w:left w:val="single" w:sz="4" w:space="0" w:color="000000"/>
              <w:right w:val="single" w:sz="4" w:space="0" w:color="000000"/>
            </w:tcBorders>
          </w:tcPr>
          <w:p>
            <w:pPr/>
          </w:p>
        </w:tc>
        <w:tc>
          <w:tcPr>
            <w:tcW w:w="499" w:type="dxa"/>
            <w:vMerge w:val="restart"/>
            <w:tcBorders>
              <w:top w:val="nil" w:sz="6" w:space="0" w:color="auto"/>
              <w:left w:val="single" w:sz="4" w:space="0" w:color="000000"/>
              <w:right w:val="single" w:sz="4" w:space="0" w:color="000000"/>
            </w:tcBorders>
          </w:tcPr>
          <w:p>
            <w:pPr/>
          </w:p>
        </w:tc>
        <w:tc>
          <w:tcPr>
            <w:tcW w:w="1270" w:type="dxa"/>
            <w:vMerge w:val="restart"/>
            <w:tcBorders>
              <w:top w:val="nil" w:sz="6" w:space="0" w:color="auto"/>
              <w:left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vMerge w:val="restart"/>
            <w:tcBorders>
              <w:top w:val="nil" w:sz="6" w:space="0" w:color="auto"/>
              <w:left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vMerge w:val="restart"/>
            <w:tcBorders>
              <w:top w:val="nil" w:sz="6" w:space="0" w:color="auto"/>
              <w:left w:val="single" w:sz="4" w:space="0" w:color="000000"/>
              <w:right w:val="single" w:sz="4" w:space="0" w:color="000000"/>
            </w:tcBorders>
          </w:tcPr>
          <w:p>
            <w:pPr/>
          </w:p>
        </w:tc>
        <w:tc>
          <w:tcPr>
            <w:tcW w:w="934" w:type="dxa"/>
            <w:vMerge w:val="restart"/>
            <w:tcBorders>
              <w:top w:val="nil" w:sz="6" w:space="0" w:color="auto"/>
              <w:left w:val="single" w:sz="4" w:space="0" w:color="000000"/>
              <w:right w:val="single" w:sz="4" w:space="0" w:color="000000"/>
            </w:tcBorders>
          </w:tcPr>
          <w:p>
            <w:pPr/>
          </w:p>
        </w:tc>
        <w:tc>
          <w:tcPr>
            <w:tcW w:w="859" w:type="dxa"/>
            <w:vMerge w:val="restart"/>
            <w:tcBorders>
              <w:top w:val="nil" w:sz="6" w:space="0" w:color="auto"/>
              <w:left w:val="single" w:sz="4" w:space="0" w:color="000000"/>
              <w:right w:val="single" w:sz="4" w:space="0" w:color="000000"/>
            </w:tcBorders>
          </w:tcPr>
          <w:p>
            <w:pPr/>
          </w:p>
        </w:tc>
        <w:tc>
          <w:tcPr>
            <w:tcW w:w="848" w:type="dxa"/>
            <w:vMerge w:val="restart"/>
            <w:tcBorders>
              <w:top w:val="nil" w:sz="6" w:space="0" w:color="auto"/>
              <w:left w:val="single" w:sz="4" w:space="0" w:color="000000"/>
              <w:right w:val="single" w:sz="4" w:space="0" w:color="000000"/>
            </w:tcBorders>
          </w:tcPr>
          <w:p>
            <w:pPr/>
          </w:p>
        </w:tc>
        <w:tc>
          <w:tcPr>
            <w:tcW w:w="1241" w:type="dxa"/>
            <w:vMerge w:val="restart"/>
            <w:tcBorders>
              <w:top w:val="nil" w:sz="6" w:space="0" w:color="auto"/>
              <w:left w:val="single" w:sz="4" w:space="0" w:color="000000"/>
              <w:right w:val="single" w:sz="4" w:space="0" w:color="000000"/>
            </w:tcBorders>
          </w:tcPr>
          <w:p>
            <w:pPr/>
          </w:p>
        </w:tc>
      </w:tr>
      <w:tr>
        <w:trPr>
          <w:trHeight w:val="322" w:hRule="exact"/>
        </w:trPr>
        <w:tc>
          <w:tcPr>
            <w:tcW w:w="850" w:type="dxa"/>
            <w:vMerge/>
            <w:tcBorders>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708"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c>
          <w:tcPr>
            <w:tcW w:w="49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160"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李绍俊</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71,800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71,800</w:t>
            </w: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白杨建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56,000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56,000</w:t>
            </w:r>
          </w:p>
        </w:tc>
      </w:tr>
      <w:tr>
        <w:trPr>
          <w:trHeight w:val="63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徐旭</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108,900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108,900</w:t>
            </w: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元哲起</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王继晖</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691,200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691,200</w:t>
            </w:r>
          </w:p>
        </w:tc>
      </w:tr>
      <w:tr>
        <w:trPr>
          <w:trHeight w:val="6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任翔</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left="1013" w:right="993"/>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900" w:type="dxa"/>
        <w:tblLayout w:type="fixed"/>
        <w:tblCellMar>
          <w:top w:w="0" w:type="dxa"/>
          <w:left w:w="0" w:type="dxa"/>
          <w:bottom w:w="0" w:type="dxa"/>
          <w:right w:w="0" w:type="dxa"/>
        </w:tblCellMar>
        <w:tblLook w:val="01E0"/>
      </w:tblPr>
      <w:tblGrid>
        <w:gridCol w:w="872"/>
        <w:gridCol w:w="1226"/>
        <w:gridCol w:w="1695"/>
        <w:gridCol w:w="1844"/>
        <w:gridCol w:w="4220"/>
      </w:tblGrid>
      <w:tr>
        <w:trPr>
          <w:trHeight w:val="634"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18"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03" w:right="182" w:hanging="317"/>
              <w:jc w:val="left"/>
              <w:rPr>
                <w:rFonts w:ascii="宋体" w:hAnsi="宋体" w:cs="宋体" w:eastAsia="宋体" w:hint="default"/>
                <w:sz w:val="21"/>
                <w:szCs w:val="21"/>
              </w:rPr>
            </w:pPr>
            <w:r>
              <w:rPr>
                <w:rFonts w:ascii="宋体" w:hAnsi="宋体" w:cs="宋体" w:eastAsia="宋体" w:hint="default"/>
                <w:b/>
                <w:bCs/>
                <w:sz w:val="21"/>
                <w:szCs w:val="21"/>
              </w:rPr>
              <w:t>担任的职</w:t>
            </w:r>
            <w:r>
              <w:rPr>
                <w:rFonts w:ascii="宋体" w:hAnsi="宋体" w:cs="宋体" w:eastAsia="宋体" w:hint="default"/>
                <w:b/>
                <w:bCs/>
                <w:w w:val="100"/>
                <w:sz w:val="21"/>
                <w:szCs w:val="21"/>
              </w:rPr>
              <w:t> </w:t>
            </w:r>
            <w:r>
              <w:rPr>
                <w:rFonts w:ascii="宋体" w:hAnsi="宋体" w:cs="宋体" w:eastAsia="宋体" w:hint="default"/>
                <w:b/>
                <w:bCs/>
                <w:sz w:val="21"/>
                <w:szCs w:val="21"/>
              </w:rPr>
              <w:t>务</w:t>
            </w:r>
            <w:r>
              <w:rPr>
                <w:rFonts w:ascii="宋体" w:hAnsi="宋体" w:cs="宋体" w:eastAsia="宋体" w:hint="default"/>
                <w:sz w:val="21"/>
                <w:szCs w:val="21"/>
              </w:rPr>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b/>
                <w:bCs/>
                <w:sz w:val="21"/>
                <w:szCs w:val="21"/>
              </w:rPr>
              <w:t>日期</w:t>
            </w:r>
            <w:r>
              <w:rPr>
                <w:rFonts w:ascii="宋体" w:hAnsi="宋体" w:cs="宋体" w:eastAsia="宋体" w:hint="default"/>
                <w:sz w:val="21"/>
                <w:szCs w:val="21"/>
              </w:rPr>
            </w:r>
          </w:p>
        </w:tc>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b/>
                <w:bCs/>
                <w:sz w:val="21"/>
                <w:szCs w:val="21"/>
              </w:rPr>
              <w:t>原因</w:t>
            </w:r>
            <w:r>
              <w:rPr>
                <w:rFonts w:ascii="宋体" w:hAnsi="宋体" w:cs="宋体" w:eastAsia="宋体" w:hint="default"/>
                <w:sz w:val="21"/>
                <w:szCs w:val="21"/>
              </w:rPr>
            </w:r>
          </w:p>
        </w:tc>
      </w:tr>
      <w:tr>
        <w:trPr>
          <w:trHeight w:val="32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程邦波</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第三届董事会任期届满</w:t>
            </w:r>
          </w:p>
        </w:tc>
      </w:tr>
      <w:tr>
        <w:trPr>
          <w:trHeight w:val="32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杜胜利</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第三届董事会任期届满</w:t>
            </w:r>
          </w:p>
        </w:tc>
      </w:tr>
      <w:tr>
        <w:trPr>
          <w:trHeight w:val="32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庄行方</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第三届董事会任期届满</w:t>
            </w:r>
          </w:p>
        </w:tc>
      </w:tr>
      <w:tr>
        <w:trPr>
          <w:trHeight w:val="32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王浩</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第三届董事会任期届满</w:t>
            </w:r>
          </w:p>
        </w:tc>
      </w:tr>
      <w:tr>
        <w:trPr>
          <w:trHeight w:val="32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王继晖</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任免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因工作调整申请辞去公司副总经理职务</w:t>
            </w:r>
          </w:p>
        </w:tc>
      </w:tr>
      <w:tr>
        <w:trPr>
          <w:trHeight w:val="32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任翔</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因个人原因申请辞去公司财务总监职务</w:t>
            </w:r>
          </w:p>
        </w:tc>
      </w:tr>
    </w:tbl>
    <w:p>
      <w:pPr>
        <w:spacing w:line="240" w:lineRule="auto" w:before="1"/>
        <w:rPr>
          <w:rFonts w:ascii="宋体" w:hAnsi="宋体" w:cs="宋体" w:eastAsia="宋体" w:hint="default"/>
          <w:b/>
          <w:bCs/>
          <w:sz w:val="18"/>
          <w:szCs w:val="18"/>
        </w:rPr>
      </w:pPr>
    </w:p>
    <w:p>
      <w:pPr>
        <w:pStyle w:val="Heading2"/>
        <w:spacing w:line="240" w:lineRule="auto" w:before="26"/>
        <w:ind w:left="1013" w:right="0"/>
        <w:jc w:val="both"/>
        <w:rPr>
          <w:b w:val="0"/>
          <w:bCs w:val="0"/>
        </w:rPr>
      </w:pPr>
      <w:r>
        <w:rPr/>
        <w:t>三、任职情况</w:t>
      </w:r>
      <w:r>
        <w:rPr>
          <w:b w:val="0"/>
          <w:bCs w:val="0"/>
        </w:rPr>
      </w:r>
    </w:p>
    <w:p>
      <w:pPr>
        <w:spacing w:line="240" w:lineRule="auto" w:before="11"/>
        <w:rPr>
          <w:rFonts w:ascii="宋体" w:hAnsi="宋体" w:cs="宋体" w:eastAsia="宋体" w:hint="default"/>
          <w:b/>
          <w:bCs/>
          <w:sz w:val="28"/>
          <w:szCs w:val="28"/>
        </w:rPr>
      </w:pPr>
    </w:p>
    <w:p>
      <w:pPr>
        <w:pStyle w:val="BodyText"/>
        <w:spacing w:line="338" w:lineRule="auto" w:before="0"/>
        <w:ind w:left="1013" w:right="993" w:firstLine="480"/>
        <w:jc w:val="left"/>
      </w:pPr>
      <w:r>
        <w:rPr/>
        <w:t>董事长钟耳顺先生：中国国籍，无境外居留权，</w:t>
      </w:r>
      <w:r>
        <w:rPr>
          <w:rFonts w:ascii="Times New Roman" w:hAnsi="Times New Roman" w:cs="Times New Roman" w:eastAsia="Times New Roman" w:hint="default"/>
        </w:rPr>
        <w:t>62</w:t>
      </w:r>
      <w:r>
        <w:rPr>
          <w:rFonts w:ascii="Times New Roman" w:hAnsi="Times New Roman" w:cs="Times New Roman" w:eastAsia="Times New Roman" w:hint="default"/>
          <w:spacing w:val="-20"/>
        </w:rPr>
        <w:t> </w:t>
      </w:r>
      <w:r>
        <w:rPr/>
        <w:t>岁，博士，自公司成立一直在公司工 作。</w:t>
      </w:r>
    </w:p>
    <w:p>
      <w:pPr>
        <w:pStyle w:val="BodyText"/>
        <w:spacing w:line="338" w:lineRule="auto"/>
        <w:ind w:left="1493" w:right="997"/>
        <w:jc w:val="left"/>
      </w:pPr>
      <w:r>
        <w:rPr>
          <w:spacing w:val="-8"/>
        </w:rPr>
        <w:t>董事宋关福先生：中国国籍，无境外居留权，</w:t>
      </w:r>
      <w:r>
        <w:rPr>
          <w:rFonts w:ascii="Times New Roman" w:hAnsi="Times New Roman" w:cs="Times New Roman" w:eastAsia="Times New Roman" w:hint="default"/>
          <w:spacing w:val="-8"/>
        </w:rPr>
        <w:t>48</w:t>
      </w:r>
      <w:r>
        <w:rPr>
          <w:rFonts w:ascii="Times New Roman" w:hAnsi="Times New Roman" w:cs="Times New Roman" w:eastAsia="Times New Roman" w:hint="default"/>
          <w:spacing w:val="17"/>
        </w:rPr>
        <w:t> </w:t>
      </w:r>
      <w:r>
        <w:rPr>
          <w:spacing w:val="-6"/>
        </w:rPr>
        <w:t>岁，博士，自公司成立一直在公司工作。</w:t>
      </w:r>
      <w:r>
        <w:rPr>
          <w:spacing w:val="-118"/>
        </w:rPr>
        <w:t> </w:t>
      </w:r>
      <w:r>
        <w:rPr>
          <w:spacing w:val="-118"/>
        </w:rPr>
      </w:r>
      <w:r>
        <w:rPr/>
        <w:t>董事杜庆娥女士：中国国籍，无境外居留权，</w:t>
      </w:r>
      <w:r>
        <w:rPr>
          <w:rFonts w:ascii="Times New Roman" w:hAnsi="Times New Roman" w:cs="Times New Roman" w:eastAsia="Times New Roman" w:hint="default"/>
        </w:rPr>
        <w:t>43 </w:t>
      </w:r>
      <w:r>
        <w:rPr/>
        <w:t>岁，学士，于 </w:t>
      </w:r>
      <w:r>
        <w:rPr>
          <w:rFonts w:ascii="Times New Roman" w:hAnsi="Times New Roman" w:cs="Times New Roman" w:eastAsia="Times New Roman" w:hint="default"/>
        </w:rPr>
        <w:t>2000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t>月加入公司并</w:t>
      </w:r>
    </w:p>
    <w:p>
      <w:pPr>
        <w:pStyle w:val="BodyText"/>
        <w:spacing w:line="240" w:lineRule="auto" w:before="27"/>
        <w:ind w:left="1013" w:right="0"/>
        <w:jc w:val="both"/>
      </w:pPr>
      <w:r>
        <w:rPr/>
        <w:t>工作至今，现任公司副总经理。</w:t>
      </w:r>
    </w:p>
    <w:p>
      <w:pPr>
        <w:pStyle w:val="BodyText"/>
        <w:spacing w:line="338" w:lineRule="auto" w:before="154"/>
        <w:ind w:left="1493" w:right="0"/>
        <w:jc w:val="left"/>
      </w:pPr>
      <w:r>
        <w:rPr/>
        <w:t>董事王康弘先生：中国国籍，无境外居留权，</w:t>
      </w:r>
      <w:r>
        <w:rPr>
          <w:rFonts w:ascii="Times New Roman" w:hAnsi="Times New Roman" w:cs="Times New Roman" w:eastAsia="Times New Roman" w:hint="default"/>
        </w:rPr>
        <w:t>45 </w:t>
      </w:r>
      <w:r>
        <w:rPr/>
        <w:t>岁，博士，自毕业后一直在公司工作。</w:t>
      </w:r>
      <w:r>
        <w:rPr>
          <w:spacing w:val="-102"/>
        </w:rPr>
        <w:t> </w:t>
      </w:r>
      <w:r>
        <w:rPr>
          <w:spacing w:val="-102"/>
        </w:rPr>
      </w:r>
      <w:r>
        <w:rPr/>
        <w:t>董事孙在宏先生：中国国籍，无境外居留权，</w:t>
      </w:r>
      <w:r>
        <w:rPr>
          <w:rFonts w:ascii="Times New Roman" w:hAnsi="Times New Roman" w:cs="Times New Roman" w:eastAsia="Times New Roman" w:hint="default"/>
        </w:rPr>
        <w:t>53  </w:t>
      </w:r>
      <w:r>
        <w:rPr/>
        <w:t>岁，博士。孙在宏先生自 </w:t>
      </w:r>
      <w:r>
        <w:rPr>
          <w:rFonts w:ascii="Times New Roman" w:hAnsi="Times New Roman" w:cs="Times New Roman" w:eastAsia="Times New Roman" w:hint="default"/>
        </w:rPr>
        <w:t>1991</w:t>
      </w:r>
      <w:r>
        <w:rPr>
          <w:rFonts w:ascii="Times New Roman" w:hAnsi="Times New Roman" w:cs="Times New Roman" w:eastAsia="Times New Roman" w:hint="default"/>
          <w:spacing w:val="-19"/>
        </w:rPr>
        <w:t> </w:t>
      </w:r>
      <w:r>
        <w:rPr/>
        <w:t>年起先</w:t>
      </w:r>
    </w:p>
    <w:p>
      <w:pPr>
        <w:pStyle w:val="BodyText"/>
        <w:spacing w:line="350" w:lineRule="auto" w:before="27"/>
        <w:ind w:left="1013" w:right="1011"/>
        <w:jc w:val="both"/>
      </w:pPr>
      <w:r>
        <w:rPr/>
        <w:t>后担任南京师范大学地理系讲师、地理科学学院副教授、教授并担任江苏金陵资产评估有限</w:t>
      </w:r>
      <w:r>
        <w:rPr>
          <w:spacing w:val="-91"/>
        </w:rPr>
        <w:t> </w:t>
      </w:r>
      <w:r>
        <w:rPr>
          <w:spacing w:val="-91"/>
        </w:rPr>
      </w:r>
      <w:r>
        <w:rPr/>
        <w:t>责任公司总工程师、江苏国图信息产业园管理有限公司董事长兼总经理。自</w:t>
      </w:r>
      <w:r>
        <w:rPr>
          <w:spacing w:val="-85"/>
        </w:rPr>
        <w:t> </w:t>
      </w:r>
      <w:r>
        <w:rPr>
          <w:rFonts w:ascii="Times New Roman" w:hAnsi="Times New Roman" w:cs="Times New Roman" w:eastAsia="Times New Roman" w:hint="default"/>
        </w:rPr>
        <w:t>2001</w:t>
      </w:r>
      <w:r>
        <w:rPr>
          <w:rFonts w:ascii="Times New Roman" w:hAnsi="Times New Roman" w:cs="Times New Roman" w:eastAsia="Times New Roman" w:hint="default"/>
          <w:spacing w:val="-25"/>
        </w:rPr>
        <w:t> </w:t>
      </w:r>
      <w:r>
        <w:rPr>
          <w:spacing w:val="-6"/>
        </w:rPr>
        <w:t>年起，孙在</w:t>
      </w:r>
      <w:r>
        <w:rPr/>
        <w:t> 宏先生担任南京国图信息工程有限公司执行董事兼经理、南京国图信息产业股份有限公司董</w:t>
      </w:r>
      <w:r>
        <w:rPr>
          <w:spacing w:val="-91"/>
        </w:rPr>
        <w:t> </w:t>
      </w:r>
      <w:r>
        <w:rPr>
          <w:spacing w:val="-91"/>
        </w:rPr>
      </w:r>
      <w:r>
        <w:rPr>
          <w:spacing w:val="-5"/>
        </w:rPr>
        <w:t>事长；</w:t>
      </w:r>
      <w:r>
        <w:rPr>
          <w:rFonts w:ascii="Times New Roman" w:hAnsi="Times New Roman" w:cs="Times New Roman" w:eastAsia="Times New Roman" w:hint="default"/>
          <w:spacing w:val="-5"/>
        </w:rPr>
        <w:t>2011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月至今任南京鼎图投资咨询有限公司董事长；</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3"/>
        </w:rPr>
        <w:t>月至今，担任上市公</w:t>
      </w:r>
    </w:p>
    <w:p>
      <w:pPr>
        <w:spacing w:after="0" w:line="350" w:lineRule="auto"/>
        <w:jc w:val="both"/>
        <w:sectPr>
          <w:pgSz w:w="11910" w:h="16840"/>
          <w:pgMar w:header="877" w:footer="980" w:top="1100" w:bottom="1160" w:left="120" w:right="120"/>
        </w:sectPr>
      </w:pPr>
    </w:p>
    <w:p>
      <w:pPr>
        <w:spacing w:line="240" w:lineRule="auto" w:before="7"/>
        <w:rPr>
          <w:rFonts w:ascii="宋体" w:hAnsi="宋体" w:cs="宋体" w:eastAsia="宋体" w:hint="default"/>
          <w:sz w:val="25"/>
          <w:szCs w:val="25"/>
        </w:rPr>
      </w:pPr>
    </w:p>
    <w:p>
      <w:pPr>
        <w:pStyle w:val="BodyText"/>
        <w:spacing w:line="357" w:lineRule="auto" w:before="26"/>
        <w:ind w:left="633" w:right="217" w:hanging="480"/>
        <w:jc w:val="left"/>
      </w:pPr>
      <w:r>
        <w:rPr/>
        <w:t>司全资子公司南京国图信息产业有限公司董事兼总经理。 董事卫丽红女士：中国国籍，无境外居留权，</w:t>
      </w:r>
      <w:r>
        <w:rPr>
          <w:rFonts w:ascii="Times New Roman" w:hAnsi="Times New Roman" w:cs="Times New Roman" w:eastAsia="Times New Roman" w:hint="default"/>
        </w:rPr>
        <w:t>41</w:t>
      </w:r>
      <w:r>
        <w:rPr>
          <w:rFonts w:ascii="Times New Roman" w:hAnsi="Times New Roman" w:cs="Times New Roman" w:eastAsia="Times New Roman" w:hint="default"/>
          <w:spacing w:val="-24"/>
        </w:rPr>
        <w:t> </w:t>
      </w:r>
      <w:r>
        <w:rPr/>
        <w:t>岁，硕士，中国科学院地理科学与资源</w:t>
      </w:r>
    </w:p>
    <w:p>
      <w:pPr>
        <w:pStyle w:val="BodyText"/>
        <w:spacing w:line="240" w:lineRule="auto" w:before="5"/>
        <w:ind w:right="0"/>
        <w:jc w:val="both"/>
      </w:pPr>
      <w:r>
        <w:rPr/>
        <w:t>研究所基建资产处职员。</w:t>
      </w:r>
    </w:p>
    <w:p>
      <w:pPr>
        <w:pStyle w:val="BodyText"/>
        <w:spacing w:line="338" w:lineRule="auto" w:before="154"/>
        <w:ind w:right="98" w:firstLine="480"/>
        <w:jc w:val="left"/>
      </w:pPr>
      <w:r>
        <w:rPr>
          <w:spacing w:val="-6"/>
        </w:rPr>
        <w:t>独立董事郭仁忠先生：中国国籍，无境外居留权，</w:t>
      </w:r>
      <w:r>
        <w:rPr>
          <w:rFonts w:ascii="Times New Roman" w:hAnsi="Times New Roman" w:cs="Times New Roman" w:eastAsia="Times New Roman" w:hint="default"/>
          <w:spacing w:val="-6"/>
        </w:rPr>
        <w:t>61</w:t>
      </w:r>
      <w:r>
        <w:rPr>
          <w:rFonts w:ascii="Times New Roman" w:hAnsi="Times New Roman" w:cs="Times New Roman" w:eastAsia="Times New Roman" w:hint="default"/>
          <w:spacing w:val="7"/>
        </w:rPr>
        <w:t> </w:t>
      </w:r>
      <w:r>
        <w:rPr>
          <w:spacing w:val="-9"/>
        </w:rPr>
        <w:t>岁，中国工程院院士，教授，博导，</w:t>
      </w:r>
      <w:r>
        <w:rPr/>
        <w:t> 享有国务院政府津贴。郭仁忠先生于</w:t>
      </w:r>
      <w:r>
        <w:rPr>
          <w:spacing w:val="-55"/>
        </w:rPr>
        <w:t> </w:t>
      </w:r>
      <w:r>
        <w:rPr>
          <w:rFonts w:ascii="Times New Roman" w:hAnsi="Times New Roman" w:cs="Times New Roman" w:eastAsia="Times New Roman" w:hint="default"/>
        </w:rPr>
        <w:t>1984</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月至</w:t>
      </w:r>
      <w:r>
        <w:rPr>
          <w:spacing w:val="-56"/>
        </w:rPr>
        <w:t> </w:t>
      </w:r>
      <w:r>
        <w:rPr>
          <w:rFonts w:ascii="Times New Roman" w:hAnsi="Times New Roman" w:cs="Times New Roman" w:eastAsia="Times New Roman" w:hint="default"/>
        </w:rPr>
        <w:t>1996</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月工作于武汉测绘科技大学，</w:t>
      </w:r>
    </w:p>
    <w:p>
      <w:pPr>
        <w:pStyle w:val="BodyText"/>
        <w:spacing w:line="338" w:lineRule="auto" w:before="27"/>
        <w:ind w:right="231"/>
        <w:jc w:val="both"/>
      </w:pPr>
      <w:r>
        <w:rPr/>
        <w:t>历任助教、讲师、副教授、教授，</w:t>
      </w:r>
      <w:r>
        <w:rPr>
          <w:rFonts w:ascii="Times New Roman" w:hAnsi="Times New Roman" w:cs="Times New Roman" w:eastAsia="Times New Roman" w:hint="default"/>
        </w:rPr>
        <w:t>1996</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月工作于深圳市规划和国土资源 </w:t>
      </w:r>
      <w:r>
        <w:rPr>
          <w:spacing w:val="-5"/>
        </w:rPr>
        <w:t>委员会（规划国土局、国土房产局），历任信息中心主任，副局长（副主任），巡视员，</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年</w:t>
      </w:r>
      <w:r>
        <w:rPr>
          <w:spacing w:val="-60"/>
        </w:rPr>
        <w:t> </w:t>
      </w:r>
      <w:r>
        <w:rPr>
          <w:rFonts w:ascii="Times New Roman" w:hAnsi="Times New Roman" w:cs="Times New Roman" w:eastAsia="Times New Roman" w:hint="default"/>
        </w:rPr>
        <w:t>5 </w:t>
      </w:r>
      <w:r>
        <w:rPr/>
        <w:t>月起至今工作于深圳大学，为教授。</w:t>
      </w:r>
    </w:p>
    <w:p>
      <w:pPr>
        <w:pStyle w:val="BodyText"/>
        <w:spacing w:line="338" w:lineRule="auto" w:before="27"/>
        <w:ind w:right="213" w:firstLine="480"/>
        <w:jc w:val="left"/>
        <w:rPr>
          <w:rFonts w:ascii="Times New Roman" w:hAnsi="Times New Roman" w:cs="Times New Roman" w:eastAsia="Times New Roman" w:hint="default"/>
        </w:rPr>
      </w:pPr>
      <w:r>
        <w:rPr/>
        <w:t>独立董事汤国安先生：中国国籍，无境外居留权，</w:t>
      </w:r>
      <w:r>
        <w:rPr>
          <w:rFonts w:ascii="Times New Roman" w:hAnsi="Times New Roman" w:cs="Times New Roman" w:eastAsia="Times New Roman" w:hint="default"/>
        </w:rPr>
        <w:t>56</w:t>
      </w:r>
      <w:r>
        <w:rPr>
          <w:rFonts w:ascii="Times New Roman" w:hAnsi="Times New Roman" w:cs="Times New Roman" w:eastAsia="Times New Roman" w:hint="default"/>
          <w:spacing w:val="-20"/>
        </w:rPr>
        <w:t> </w:t>
      </w:r>
      <w:r>
        <w:rPr/>
        <w:t>岁，博士，教授，博士生导师，江 苏省政协委员，民盟江苏省委员会常委，民盟南京师范大学委员会主委。汤国安先生于</w:t>
      </w:r>
      <w:r>
        <w:rPr>
          <w:spacing w:val="-83"/>
        </w:rPr>
        <w:t> </w:t>
      </w:r>
      <w:r>
        <w:rPr>
          <w:rFonts w:ascii="Times New Roman" w:hAnsi="Times New Roman" w:cs="Times New Roman" w:eastAsia="Times New Roman" w:hint="default"/>
        </w:rPr>
        <w:t>1982</w:t>
      </w:r>
    </w:p>
    <w:p>
      <w:pPr>
        <w:pStyle w:val="BodyText"/>
        <w:spacing w:line="352" w:lineRule="auto" w:before="27"/>
        <w:ind w:right="228"/>
        <w:jc w:val="both"/>
      </w:pPr>
      <w:r>
        <w:rPr/>
        <w:t>年至</w:t>
      </w:r>
      <w:r>
        <w:rPr>
          <w:spacing w:val="-49"/>
        </w:rPr>
        <w:t> </w:t>
      </w:r>
      <w:r>
        <w:rPr>
          <w:rFonts w:ascii="Times New Roman" w:hAnsi="Times New Roman" w:cs="Times New Roman" w:eastAsia="Times New Roman" w:hint="default"/>
        </w:rPr>
        <w:t>1984</w:t>
      </w:r>
      <w:r>
        <w:rPr>
          <w:rFonts w:ascii="Times New Roman" w:hAnsi="Times New Roman" w:cs="Times New Roman" w:eastAsia="Times New Roman" w:hint="default"/>
          <w:spacing w:val="10"/>
        </w:rPr>
        <w:t> </w:t>
      </w:r>
      <w:r>
        <w:rPr/>
        <w:t>年工作于陕西省水土保持局，于</w:t>
      </w:r>
      <w:r>
        <w:rPr>
          <w:spacing w:val="-48"/>
        </w:rPr>
        <w:t> </w:t>
      </w:r>
      <w:r>
        <w:rPr>
          <w:rFonts w:ascii="Times New Roman" w:hAnsi="Times New Roman" w:cs="Times New Roman" w:eastAsia="Times New Roman" w:hint="default"/>
        </w:rPr>
        <w:t>1987</w:t>
      </w:r>
      <w:r>
        <w:rPr>
          <w:rFonts w:ascii="Times New Roman" w:hAnsi="Times New Roman" w:cs="Times New Roman" w:eastAsia="Times New Roman" w:hint="default"/>
          <w:spacing w:val="11"/>
        </w:rPr>
        <w:t> </w:t>
      </w:r>
      <w:r>
        <w:rPr/>
        <w:t>年至</w:t>
      </w:r>
      <w:r>
        <w:rPr>
          <w:spacing w:val="-4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年任教于西北大学，</w:t>
      </w: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 至今工作于南京师范大学，历任南京师范大学地理科学学院院长、虚拟地理环境教育部重点</w:t>
      </w:r>
      <w:r>
        <w:rPr>
          <w:spacing w:val="-91"/>
        </w:rPr>
        <w:t> </w:t>
      </w:r>
      <w:r>
        <w:rPr>
          <w:spacing w:val="-91"/>
        </w:rPr>
      </w:r>
      <w:r>
        <w:rPr/>
        <w:t>实验室副主任。现为南京师范大学教授，江苏省地理信息科学重点实验室主任，兼任中国地</w:t>
      </w:r>
      <w:r>
        <w:rPr>
          <w:spacing w:val="-91"/>
        </w:rPr>
        <w:t> </w:t>
      </w:r>
      <w:r>
        <w:rPr>
          <w:spacing w:val="-91"/>
        </w:rPr>
      </w:r>
      <w:r>
        <w:rPr/>
        <w:t>理信息产业协会副秘书长，教育与科普工作委员会主任，中国地理学会地图学与地理信息系</w:t>
      </w:r>
      <w:r>
        <w:rPr>
          <w:spacing w:val="-91"/>
        </w:rPr>
        <w:t> </w:t>
      </w:r>
      <w:r>
        <w:rPr>
          <w:spacing w:val="-91"/>
        </w:rPr>
      </w:r>
      <w:r>
        <w:rPr/>
        <w:t>统专业委员会副主任委员等学术兼职。</w:t>
      </w:r>
    </w:p>
    <w:p>
      <w:pPr>
        <w:pStyle w:val="BodyText"/>
        <w:spacing w:line="240" w:lineRule="auto" w:before="41"/>
        <w:ind w:left="633" w:right="98"/>
        <w:jc w:val="left"/>
        <w:rPr>
          <w:rFonts w:ascii="Times New Roman" w:hAnsi="Times New Roman" w:cs="Times New Roman" w:eastAsia="Times New Roman" w:hint="default"/>
        </w:rPr>
      </w:pPr>
      <w:r>
        <w:rPr/>
        <w:t>独立董事张军书先生：中国国籍，无境外居留权，</w:t>
      </w:r>
      <w:r>
        <w:rPr>
          <w:rFonts w:ascii="Times New Roman" w:hAnsi="Times New Roman" w:cs="Times New Roman" w:eastAsia="Times New Roman" w:hint="default"/>
        </w:rPr>
        <w:t>47</w:t>
      </w:r>
      <w:r>
        <w:rPr>
          <w:rFonts w:ascii="Times New Roman" w:hAnsi="Times New Roman" w:cs="Times New Roman" w:eastAsia="Times New Roman" w:hint="default"/>
          <w:spacing w:val="-30"/>
        </w:rPr>
        <w:t> </w:t>
      </w:r>
      <w:r>
        <w:rPr/>
        <w:t>岁，注册会计师，北大光华</w:t>
      </w:r>
      <w:r>
        <w:rPr>
          <w:spacing w:val="-90"/>
        </w:rPr>
        <w:t> </w:t>
      </w:r>
      <w:r>
        <w:rPr>
          <w:rFonts w:ascii="Times New Roman" w:hAnsi="Times New Roman" w:cs="Times New Roman" w:eastAsia="Times New Roman" w:hint="default"/>
        </w:rPr>
        <w:t>EMBA</w:t>
      </w:r>
    </w:p>
    <w:p>
      <w:pPr>
        <w:pStyle w:val="BodyText"/>
        <w:spacing w:line="348" w:lineRule="auto" w:before="136"/>
        <w:ind w:right="98"/>
        <w:jc w:val="left"/>
      </w:pPr>
      <w:r>
        <w:rPr>
          <w:spacing w:val="-5"/>
        </w:rPr>
        <w:t>（在读）。张军书先生历任西北有色地质勘察局财务处主任科员，岳华会计师事务所、中蓝特</w:t>
      </w:r>
      <w:r>
        <w:rPr>
          <w:spacing w:val="-116"/>
        </w:rPr>
        <w:t> </w:t>
      </w:r>
      <w:r>
        <w:rPr>
          <w:spacing w:val="-116"/>
        </w:rPr>
      </w:r>
      <w:r>
        <w:rPr/>
        <w:t>会计师事务所、中喜会计师事务所审计员、部门经理，中瑞岳华会计师事务所、大信会计师</w:t>
      </w:r>
      <w:r>
        <w:rPr>
          <w:spacing w:val="-91"/>
        </w:rPr>
        <w:t> </w:t>
      </w:r>
      <w:r>
        <w:rPr>
          <w:spacing w:val="-91"/>
        </w:rPr>
      </w:r>
      <w:r>
        <w:rPr/>
        <w:t>事务所合伙人；</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月至今，就职于立信会计师事务所，任高级合伙人。最近五年内， 张军书先生担任过广州海鸥卫浴用品股份有限公司独立董事（</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spacing w:val="-14"/>
        </w:rPr>
        <w:t>月辞任），现兼任北</w:t>
      </w:r>
      <w:r>
        <w:rPr/>
        <w:t> 京首都农业集团有限公司外部董事以及北京宝兰德软件股份有限公司独立董事。</w:t>
      </w:r>
    </w:p>
    <w:p>
      <w:pPr>
        <w:pStyle w:val="BodyText"/>
        <w:spacing w:line="338" w:lineRule="auto" w:before="46"/>
        <w:ind w:right="214" w:firstLine="480"/>
        <w:jc w:val="left"/>
      </w:pPr>
      <w:r>
        <w:rPr/>
        <w:t>监事会主席曾志明先生：中国国籍，无境外居留权，</w:t>
      </w:r>
      <w:r>
        <w:rPr>
          <w:rFonts w:ascii="Times New Roman" w:hAnsi="Times New Roman" w:cs="Times New Roman" w:eastAsia="Times New Roman" w:hint="default"/>
        </w:rPr>
        <w:t>39</w:t>
      </w:r>
      <w:r>
        <w:rPr>
          <w:rFonts w:ascii="Times New Roman" w:hAnsi="Times New Roman" w:cs="Times New Roman" w:eastAsia="Times New Roman" w:hint="default"/>
          <w:spacing w:val="-21"/>
        </w:rPr>
        <w:t> </w:t>
      </w:r>
      <w:r>
        <w:rPr/>
        <w:t>岁，博士，曾志明先生自毕业后 即加盟公司并工作至今，一直主持公司研发工作，现任公司基础研发中心研发总经理。</w:t>
      </w:r>
    </w:p>
    <w:p>
      <w:pPr>
        <w:pStyle w:val="BodyText"/>
        <w:spacing w:line="338" w:lineRule="auto" w:before="56"/>
        <w:ind w:right="100" w:firstLine="480"/>
        <w:jc w:val="left"/>
      </w:pPr>
      <w:r>
        <w:rPr>
          <w:spacing w:val="-3"/>
        </w:rPr>
        <w:t>职工监事刘英利女士：中国国籍，无境外居留权，</w:t>
      </w:r>
      <w:r>
        <w:rPr>
          <w:rFonts w:ascii="Times New Roman" w:hAnsi="Times New Roman" w:cs="Times New Roman" w:eastAsia="Times New Roman" w:hint="default"/>
          <w:spacing w:val="-3"/>
        </w:rPr>
        <w:t>41 </w:t>
      </w:r>
      <w:r>
        <w:rPr>
          <w:spacing w:val="-4"/>
        </w:rPr>
        <w:t>岁，硕士，</w:t>
      </w:r>
      <w:r>
        <w:rPr>
          <w:rFonts w:ascii="Times New Roman" w:hAnsi="Times New Roman" w:cs="Times New Roman" w:eastAsia="Times New Roman" w:hint="default"/>
          <w:spacing w:val="-4"/>
        </w:rPr>
        <w:t>2000 </w:t>
      </w:r>
      <w:r>
        <w:rPr/>
        <w:t>年 </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2006 </w:t>
      </w:r>
      <w:r>
        <w:rPr/>
        <w:t>年</w:t>
      </w:r>
      <w:r>
        <w:rPr>
          <w:spacing w:val="-94"/>
        </w:rPr>
        <w:t> </w:t>
      </w:r>
      <w:r>
        <w:rPr>
          <w:rFonts w:ascii="Times New Roman" w:hAnsi="Times New Roman" w:cs="Times New Roman" w:eastAsia="Times New Roman" w:hint="default"/>
        </w:rPr>
        <w:t>1 </w:t>
      </w:r>
      <w:r>
        <w:rPr/>
        <w:t>月在百丽投资股份有限公司工作，任采购专员； </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月在汉王科技股份 有限公司工作，任研发采购主管；</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月在北京金昶科技有限公司工作；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月至今在北京超图软件股份有限公司工作，任采购管理部总监。</w:t>
      </w:r>
    </w:p>
    <w:p>
      <w:pPr>
        <w:pStyle w:val="BodyText"/>
        <w:spacing w:line="338" w:lineRule="auto" w:before="27"/>
        <w:ind w:right="98" w:firstLine="480"/>
        <w:jc w:val="left"/>
      </w:pPr>
      <w:r>
        <w:rPr/>
        <w:t>监事官丽莉女士：中国国籍，无境外居留权，</w:t>
      </w:r>
      <w:r>
        <w:rPr>
          <w:rFonts w:ascii="Times New Roman" w:hAnsi="Times New Roman" w:cs="Times New Roman" w:eastAsia="Times New Roman" w:hint="default"/>
        </w:rPr>
        <w:t>39 </w:t>
      </w:r>
      <w:r>
        <w:rPr/>
        <w:t>岁，博士，于 </w:t>
      </w:r>
      <w:r>
        <w:rPr>
          <w:rFonts w:ascii="Times New Roman" w:hAnsi="Times New Roman" w:cs="Times New Roman" w:eastAsia="Times New Roman" w:hint="default"/>
        </w:rPr>
        <w:t>2006</w:t>
      </w:r>
      <w:r>
        <w:rPr>
          <w:rFonts w:ascii="Times New Roman" w:hAnsi="Times New Roman" w:cs="Times New Roman" w:eastAsia="Times New Roman" w:hint="default"/>
          <w:spacing w:val="-22"/>
        </w:rPr>
        <w:t> </w:t>
      </w:r>
      <w:r>
        <w:rPr/>
        <w:t>年至今在中国科学 院地理科学与资源研究所工作，任资产处资产与知识产权主管。</w:t>
      </w:r>
    </w:p>
    <w:p>
      <w:pPr>
        <w:spacing w:after="0" w:line="338" w:lineRule="auto"/>
        <w:jc w:val="left"/>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57" w:lineRule="auto" w:before="26"/>
        <w:ind w:left="633" w:right="5053"/>
        <w:jc w:val="left"/>
      </w:pPr>
      <w:r>
        <w:rPr/>
        <w:t>总经理宋关福先生：见前述董事介绍。 副总经理杜庆娥女士：见前述董事介绍。</w:t>
      </w:r>
    </w:p>
    <w:p>
      <w:pPr>
        <w:pStyle w:val="BodyText"/>
        <w:spacing w:line="338" w:lineRule="auto" w:before="36"/>
        <w:ind w:right="98" w:firstLine="480"/>
        <w:jc w:val="left"/>
      </w:pPr>
      <w:r>
        <w:rPr/>
        <w:t>副总经理、董事会秘书、财务总监李煜先生：中国国籍，无境外居留权，</w:t>
      </w:r>
      <w:r>
        <w:rPr>
          <w:rFonts w:ascii="Times New Roman" w:hAnsi="Times New Roman" w:cs="Times New Roman" w:eastAsia="Times New Roman" w:hint="default"/>
        </w:rPr>
        <w:t>38</w:t>
      </w:r>
      <w:r>
        <w:rPr>
          <w:rFonts w:ascii="Times New Roman" w:hAnsi="Times New Roman" w:cs="Times New Roman" w:eastAsia="Times New Roman" w:hint="default"/>
          <w:spacing w:val="29"/>
        </w:rPr>
        <w:t> </w:t>
      </w:r>
      <w:r>
        <w:rPr/>
        <w:t>岁，硕士， 李煜先生于</w:t>
      </w:r>
      <w:r>
        <w:rPr>
          <w:spacing w:val="-4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4"/>
        </w:rPr>
        <w:t> </w:t>
      </w:r>
      <w:r>
        <w:rPr/>
        <w:t>年至</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年任职于毕马威华振会计师事务所，</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年任职于西 南证券股份有限公司投行部，</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月至今任职于北京超图软件股份有限公司，现任公司 副总经理、董事会秘书、财务总监。</w:t>
      </w:r>
    </w:p>
    <w:p>
      <w:pPr>
        <w:pStyle w:val="BodyText"/>
        <w:spacing w:line="348" w:lineRule="auto"/>
        <w:ind w:right="231" w:firstLine="480"/>
        <w:jc w:val="both"/>
      </w:pPr>
      <w:r>
        <w:rPr/>
        <w:t>副总经理李绍俊先生：中国国籍，无境外居留权，</w:t>
      </w:r>
      <w:r>
        <w:rPr>
          <w:rFonts w:ascii="Times New Roman" w:hAnsi="Times New Roman" w:cs="Times New Roman" w:eastAsia="Times New Roman" w:hint="default"/>
        </w:rPr>
        <w:t>39</w:t>
      </w:r>
      <w:r>
        <w:rPr>
          <w:rFonts w:ascii="Times New Roman" w:hAnsi="Times New Roman" w:cs="Times New Roman" w:eastAsia="Times New Roman" w:hint="default"/>
          <w:spacing w:val="-20"/>
        </w:rPr>
        <w:t> </w:t>
      </w:r>
      <w:r>
        <w:rPr/>
        <w:t>岁，中科院地理科学与资源研究所 博士。李绍俊先生毕业后加入北京超图软件工作，历任部门经理、研发中心总经理、研究院</w:t>
      </w:r>
      <w:r>
        <w:rPr>
          <w:spacing w:val="-91"/>
        </w:rPr>
        <w:t> </w:t>
      </w:r>
      <w:r>
        <w:rPr>
          <w:spacing w:val="-91"/>
        </w:rPr>
      </w:r>
      <w:r>
        <w:rPr/>
        <w:t>副院长、研究院院长。</w:t>
      </w:r>
    </w:p>
    <w:p>
      <w:pPr>
        <w:pStyle w:val="BodyText"/>
        <w:spacing w:line="338" w:lineRule="auto" w:before="46"/>
        <w:ind w:right="231" w:firstLine="480"/>
        <w:jc w:val="both"/>
      </w:pPr>
      <w:r>
        <w:rPr/>
        <w:t>副总经理徐旭先生：中国国籍，无境外居留权，</w:t>
      </w:r>
      <w:r>
        <w:rPr>
          <w:rFonts w:ascii="Times New Roman" w:hAnsi="Times New Roman" w:cs="Times New Roman" w:eastAsia="Times New Roman" w:hint="default"/>
        </w:rPr>
        <w:t>42 </w:t>
      </w:r>
      <w:r>
        <w:rPr/>
        <w:t>岁。徐旭先生于 </w:t>
      </w:r>
      <w:r>
        <w:rPr>
          <w:rFonts w:ascii="Times New Roman" w:hAnsi="Times New Roman" w:cs="Times New Roman" w:eastAsia="Times New Roman" w:hint="default"/>
        </w:rPr>
        <w:t>2002</w:t>
      </w:r>
      <w:r>
        <w:rPr>
          <w:rFonts w:ascii="Times New Roman" w:hAnsi="Times New Roman" w:cs="Times New Roman" w:eastAsia="Times New Roman" w:hint="default"/>
          <w:spacing w:val="-23"/>
        </w:rPr>
        <w:t> </w:t>
      </w:r>
      <w:r>
        <w:rPr/>
        <w:t>年加入公司， </w:t>
      </w:r>
      <w:r>
        <w:rPr>
          <w:spacing w:val="-4"/>
        </w:rPr>
        <w:t>历任事业部总经理、助理总裁等职务。徐旭先生于</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月至今担任南京国图信息产业有</w:t>
      </w:r>
    </w:p>
    <w:p>
      <w:pPr>
        <w:pStyle w:val="BodyText"/>
        <w:spacing w:line="338" w:lineRule="auto" w:before="27"/>
        <w:ind w:right="218"/>
        <w:jc w:val="left"/>
      </w:pPr>
      <w:r>
        <w:rPr/>
        <w:t>限公司董事以及于</w:t>
      </w:r>
      <w:r>
        <w:rPr>
          <w:spacing w:val="-61"/>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9 </w:t>
      </w:r>
      <w:r>
        <w:rPr>
          <w:spacing w:val="-3"/>
        </w:rPr>
        <w:t>月至今担任北京世纪安图数码科技发展有限责任公司董事，除此</w:t>
      </w:r>
      <w:r>
        <w:rPr/>
        <w:t> 以外，最近五年内未在其他公司或机构担任董事、监事和高级管理人员。</w:t>
      </w:r>
    </w:p>
    <w:p>
      <w:pPr>
        <w:pStyle w:val="BodyText"/>
        <w:spacing w:line="348" w:lineRule="auto"/>
        <w:ind w:right="232" w:firstLine="480"/>
        <w:jc w:val="both"/>
      </w:pPr>
      <w:r>
        <w:rPr/>
        <w:t>副总经理白杨建先生：中国国籍，无境外居留权，</w:t>
      </w:r>
      <w:r>
        <w:rPr>
          <w:rFonts w:ascii="Times New Roman" w:hAnsi="Times New Roman" w:cs="Times New Roman" w:eastAsia="Times New Roman" w:hint="default"/>
        </w:rPr>
        <w:t>39</w:t>
      </w:r>
      <w:r>
        <w:rPr>
          <w:rFonts w:ascii="Times New Roman" w:hAnsi="Times New Roman" w:cs="Times New Roman" w:eastAsia="Times New Roman" w:hint="default"/>
          <w:spacing w:val="-21"/>
        </w:rPr>
        <w:t> </w:t>
      </w:r>
      <w:r>
        <w:rPr/>
        <w:t>岁，西南大学地理科学学院（原西 </w:t>
      </w:r>
      <w:r>
        <w:rPr>
          <w:spacing w:val="-5"/>
        </w:rPr>
        <w:t>南师范大学资环学院）学士。白杨建先生毕业后加入超图软件，历任开发工程师、项目经理、</w:t>
      </w:r>
      <w:r>
        <w:rPr/>
        <w:t> 部门经理、技术总监、分公司负责人等职务。</w:t>
      </w:r>
    </w:p>
    <w:p>
      <w:pPr>
        <w:pStyle w:val="BodyText"/>
        <w:spacing w:line="338" w:lineRule="auto" w:before="46"/>
        <w:ind w:right="228" w:firstLine="480"/>
        <w:jc w:val="both"/>
      </w:pPr>
      <w:r>
        <w:rPr/>
        <w:t>副总经理元哲起先生：中国国籍，无境外居留权，</w:t>
      </w:r>
      <w:r>
        <w:rPr>
          <w:rFonts w:ascii="Times New Roman" w:hAnsi="Times New Roman" w:cs="Times New Roman" w:eastAsia="Times New Roman" w:hint="default"/>
        </w:rPr>
        <w:t>53 </w:t>
      </w:r>
      <w:r>
        <w:rPr/>
        <w:t>岁，</w:t>
      </w:r>
      <w:r>
        <w:rPr>
          <w:rFonts w:ascii="Times New Roman" w:hAnsi="Times New Roman" w:cs="Times New Roman" w:eastAsia="Times New Roman" w:hint="default"/>
        </w:rPr>
        <w:t>EMBA</w:t>
      </w:r>
      <w:r>
        <w:rPr/>
        <w:t>。元哲起先生于</w:t>
      </w:r>
      <w:r>
        <w:rPr>
          <w:spacing w:val="52"/>
        </w:rPr>
        <w:t> </w:t>
      </w:r>
      <w:r>
        <w:rPr>
          <w:rFonts w:ascii="Times New Roman" w:hAnsi="Times New Roman" w:cs="Times New Roman" w:eastAsia="Times New Roman" w:hint="default"/>
        </w:rPr>
        <w:t>1986 </w:t>
      </w:r>
      <w:r>
        <w:rPr/>
        <w:t>年至</w:t>
      </w:r>
      <w:r>
        <w:rPr>
          <w:spacing w:val="-52"/>
        </w:rPr>
        <w:t> </w:t>
      </w:r>
      <w:r>
        <w:rPr>
          <w:rFonts w:ascii="Times New Roman" w:hAnsi="Times New Roman" w:cs="Times New Roman" w:eastAsia="Times New Roman" w:hint="default"/>
        </w:rPr>
        <w:t>1993</w:t>
      </w:r>
      <w:r>
        <w:rPr>
          <w:rFonts w:ascii="Times New Roman" w:hAnsi="Times New Roman" w:cs="Times New Roman" w:eastAsia="Times New Roman" w:hint="default"/>
          <w:spacing w:val="8"/>
        </w:rPr>
        <w:t> </w:t>
      </w:r>
      <w:r>
        <w:rPr/>
        <w:t>年，在国家海洋局信息中心任职；</w:t>
      </w:r>
      <w:r>
        <w:rPr>
          <w:rFonts w:ascii="Times New Roman" w:hAnsi="Times New Roman" w:cs="Times New Roman" w:eastAsia="Times New Roman" w:hint="default"/>
        </w:rPr>
        <w:t>1994</w:t>
      </w:r>
      <w:r>
        <w:rPr>
          <w:rFonts w:ascii="Times New Roman" w:hAnsi="Times New Roman" w:cs="Times New Roman" w:eastAsia="Times New Roman" w:hint="default"/>
          <w:spacing w:val="8"/>
        </w:rPr>
        <w:t> </w:t>
      </w:r>
      <w:r>
        <w:rPr/>
        <w:t>年至</w:t>
      </w:r>
      <w:r>
        <w:rPr>
          <w:spacing w:val="-52"/>
        </w:rPr>
        <w:t> </w:t>
      </w:r>
      <w:r>
        <w:rPr>
          <w:rFonts w:ascii="Times New Roman" w:hAnsi="Times New Roman" w:cs="Times New Roman" w:eastAsia="Times New Roman" w:hint="default"/>
        </w:rPr>
        <w:t>2003</w:t>
      </w:r>
      <w:r>
        <w:rPr>
          <w:rFonts w:ascii="Times New Roman" w:hAnsi="Times New Roman" w:cs="Times New Roman" w:eastAsia="Times New Roman" w:hint="default"/>
          <w:spacing w:val="8"/>
        </w:rPr>
        <w:t> </w:t>
      </w:r>
      <w:r>
        <w:rPr/>
        <w:t>年，担任</w:t>
      </w:r>
      <w:r>
        <w:rPr>
          <w:spacing w:val="-51"/>
        </w:rPr>
        <w:t> </w:t>
      </w:r>
      <w:r>
        <w:rPr>
          <w:rFonts w:ascii="Times New Roman" w:hAnsi="Times New Roman" w:cs="Times New Roman" w:eastAsia="Times New Roman" w:hint="default"/>
        </w:rPr>
        <w:t>ESRI</w:t>
      </w:r>
      <w:r>
        <w:rPr>
          <w:rFonts w:ascii="Times New Roman" w:hAnsi="Times New Roman" w:cs="Times New Roman" w:eastAsia="Times New Roman" w:hint="default"/>
          <w:spacing w:val="5"/>
        </w:rPr>
        <w:t> </w:t>
      </w:r>
      <w:r>
        <w:rPr/>
        <w:t>中国（北京）有 限公司（富融科技有限公司）销售经理、副总经理、总经理；</w:t>
      </w:r>
      <w:r>
        <w:rPr>
          <w:rFonts w:ascii="Times New Roman" w:hAnsi="Times New Roman" w:cs="Times New Roman" w:eastAsia="Times New Roman" w:hint="default"/>
        </w:rPr>
        <w:t>2004</w:t>
      </w:r>
      <w:r>
        <w:rPr>
          <w:rFonts w:ascii="Times New Roman" w:hAnsi="Times New Roman" w:cs="Times New Roman" w:eastAsia="Times New Roman" w:hint="default"/>
          <w:spacing w:val="-20"/>
        </w:rPr>
        <w:t> </w:t>
      </w:r>
      <w:r>
        <w:rPr/>
        <w:t>年至今任上海数慧系统技 术有限公司董事长、董事。</w:t>
      </w:r>
    </w:p>
    <w:p>
      <w:pPr>
        <w:pStyle w:val="BodyText"/>
        <w:spacing w:line="240" w:lineRule="auto"/>
        <w:ind w:left="633" w:right="98"/>
        <w:jc w:val="left"/>
      </w:pPr>
      <w:r>
        <w:rPr/>
        <w:t>在股东单位任职情况</w:t>
      </w:r>
    </w:p>
    <w:p>
      <w:pPr>
        <w:pStyle w:val="BodyText"/>
        <w:spacing w:line="240" w:lineRule="auto" w:before="154"/>
        <w:ind w:left="633"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34" w:type="dxa"/>
        <w:tblLayout w:type="fixed"/>
        <w:tblCellMar>
          <w:top w:w="0" w:type="dxa"/>
          <w:left w:w="0" w:type="dxa"/>
          <w:bottom w:w="0" w:type="dxa"/>
          <w:right w:w="0" w:type="dxa"/>
        </w:tblCellMar>
        <w:tblLook w:val="01E0"/>
      </w:tblPr>
      <w:tblGrid>
        <w:gridCol w:w="1145"/>
        <w:gridCol w:w="2552"/>
        <w:gridCol w:w="1764"/>
        <w:gridCol w:w="1561"/>
        <w:gridCol w:w="1320"/>
        <w:gridCol w:w="1380"/>
      </w:tblGrid>
      <w:tr>
        <w:trPr>
          <w:trHeight w:val="975" w:hRule="exact"/>
        </w:trPr>
        <w:tc>
          <w:tcPr>
            <w:tcW w:w="1145" w:type="dxa"/>
            <w:tcBorders>
              <w:top w:val="single" w:sz="8" w:space="0" w:color="000000"/>
              <w:left w:val="single" w:sz="8" w:space="0" w:color="000000"/>
              <w:bottom w:val="single" w:sz="4" w:space="0" w:color="000000"/>
              <w:right w:val="single" w:sz="4" w:space="0" w:color="000000"/>
            </w:tcBorders>
            <w:shd w:val="clear" w:color="auto" w:fill="D2D2D2"/>
          </w:tcPr>
          <w:p>
            <w:pPr>
              <w:pStyle w:val="TableParagraph"/>
              <w:spacing w:line="273" w:lineRule="auto" w:before="155"/>
              <w:ind w:left="352" w:right="144" w:hanging="212"/>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2552"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40"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764"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55"/>
              <w:ind w:left="561" w:right="137" w:hanging="420"/>
              <w:jc w:val="left"/>
              <w:rPr>
                <w:rFonts w:ascii="宋体" w:hAnsi="宋体" w:cs="宋体" w:eastAsia="宋体" w:hint="default"/>
                <w:sz w:val="21"/>
                <w:szCs w:val="21"/>
              </w:rPr>
            </w:pPr>
            <w:r>
              <w:rPr>
                <w:rFonts w:ascii="宋体" w:hAnsi="宋体" w:cs="宋体" w:eastAsia="宋体" w:hint="default"/>
                <w:sz w:val="21"/>
                <w:szCs w:val="21"/>
              </w:rPr>
              <w:t>在股东单位担任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的职务</w:t>
            </w:r>
          </w:p>
        </w:tc>
        <w:tc>
          <w:tcPr>
            <w:tcW w:w="1561"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320"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55"/>
              <w:ind w:left="549" w:right="125"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380" w:type="dxa"/>
            <w:tcBorders>
              <w:top w:val="single" w:sz="8" w:space="0" w:color="000000"/>
              <w:left w:val="single" w:sz="4" w:space="0" w:color="000000"/>
              <w:bottom w:val="single" w:sz="4" w:space="0" w:color="000000"/>
              <w:right w:val="single" w:sz="8" w:space="0" w:color="000000"/>
            </w:tcBorders>
            <w:shd w:val="clear" w:color="auto" w:fill="D2D2D2"/>
          </w:tcPr>
          <w:p>
            <w:pPr>
              <w:pStyle w:val="TableParagraph"/>
              <w:spacing w:line="273" w:lineRule="auto"/>
              <w:ind w:left="158" w:right="151"/>
              <w:jc w:val="center"/>
              <w:rPr>
                <w:rFonts w:ascii="宋体" w:hAnsi="宋体" w:cs="宋体" w:eastAsia="宋体" w:hint="default"/>
                <w:sz w:val="21"/>
                <w:szCs w:val="21"/>
              </w:rPr>
            </w:pPr>
            <w:r>
              <w:rPr>
                <w:rFonts w:ascii="宋体" w:hAnsi="宋体" w:cs="宋体" w:eastAsia="宋体" w:hint="default"/>
                <w:sz w:val="21"/>
                <w:szCs w:val="21"/>
              </w:rPr>
              <w:t>在股东单位</w:t>
            </w:r>
            <w:r>
              <w:rPr>
                <w:rFonts w:ascii="宋体" w:hAnsi="宋体" w:cs="宋体" w:eastAsia="宋体" w:hint="default"/>
                <w:w w:val="100"/>
                <w:sz w:val="21"/>
                <w:szCs w:val="21"/>
              </w:rPr>
              <w:t> </w:t>
            </w:r>
            <w:r>
              <w:rPr>
                <w:rFonts w:ascii="宋体" w:hAnsi="宋体" w:cs="宋体" w:eastAsia="宋体" w:hint="default"/>
                <w:sz w:val="21"/>
                <w:szCs w:val="21"/>
              </w:rPr>
              <w:t>是否领取报</w:t>
            </w:r>
            <w:r>
              <w:rPr>
                <w:rFonts w:ascii="宋体" w:hAnsi="宋体" w:cs="宋体" w:eastAsia="宋体" w:hint="default"/>
                <w:w w:val="100"/>
                <w:sz w:val="21"/>
                <w:szCs w:val="21"/>
              </w:rPr>
              <w:t> </w:t>
            </w:r>
            <w:r>
              <w:rPr>
                <w:rFonts w:ascii="宋体" w:hAnsi="宋体" w:cs="宋体" w:eastAsia="宋体" w:hint="default"/>
                <w:sz w:val="21"/>
                <w:szCs w:val="21"/>
              </w:rPr>
              <w:t>酬津贴</w:t>
            </w:r>
          </w:p>
        </w:tc>
      </w:tr>
      <w:tr>
        <w:trPr>
          <w:trHeight w:val="701" w:hRule="exact"/>
        </w:trPr>
        <w:tc>
          <w:tcPr>
            <w:tcW w:w="114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7"/>
              <w:ind w:left="98" w:right="0"/>
              <w:jc w:val="left"/>
              <w:rPr>
                <w:rFonts w:ascii="宋体" w:hAnsi="宋体" w:cs="宋体" w:eastAsia="宋体" w:hint="default"/>
                <w:sz w:val="21"/>
                <w:szCs w:val="21"/>
              </w:rPr>
            </w:pPr>
            <w:r>
              <w:rPr>
                <w:rFonts w:ascii="宋体" w:hAnsi="宋体" w:cs="宋体" w:eastAsia="宋体" w:hint="default"/>
                <w:sz w:val="21"/>
                <w:szCs w:val="21"/>
              </w:rPr>
              <w:t>卫丽红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3" w:right="123"/>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源研究所</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3" w:right="175"/>
              <w:jc w:val="left"/>
              <w:rPr>
                <w:rFonts w:ascii="宋体" w:hAnsi="宋体" w:cs="宋体" w:eastAsia="宋体" w:hint="default"/>
                <w:sz w:val="21"/>
                <w:szCs w:val="21"/>
              </w:rPr>
            </w:pPr>
            <w:r>
              <w:rPr>
                <w:rFonts w:ascii="宋体" w:hAnsi="宋体" w:cs="宋体" w:eastAsia="宋体" w:hint="default"/>
                <w:sz w:val="21"/>
                <w:szCs w:val="21"/>
              </w:rPr>
              <w:t>基建资产处资产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与知识产权职员</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3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01" w:hRule="exact"/>
        </w:trPr>
        <w:tc>
          <w:tcPr>
            <w:tcW w:w="114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7"/>
              <w:ind w:left="98" w:right="0"/>
              <w:jc w:val="left"/>
              <w:rPr>
                <w:rFonts w:ascii="宋体" w:hAnsi="宋体" w:cs="宋体" w:eastAsia="宋体" w:hint="default"/>
                <w:sz w:val="21"/>
                <w:szCs w:val="21"/>
              </w:rPr>
            </w:pPr>
            <w:r>
              <w:rPr>
                <w:rFonts w:ascii="宋体" w:hAnsi="宋体" w:cs="宋体" w:eastAsia="宋体" w:hint="default"/>
                <w:sz w:val="21"/>
                <w:szCs w:val="21"/>
              </w:rPr>
              <w:t>官丽莉</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3" w:right="123"/>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源研究所</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3" w:right="175"/>
              <w:jc w:val="left"/>
              <w:rPr>
                <w:rFonts w:ascii="宋体" w:hAnsi="宋体" w:cs="宋体" w:eastAsia="宋体" w:hint="default"/>
                <w:sz w:val="21"/>
                <w:szCs w:val="21"/>
              </w:rPr>
            </w:pPr>
            <w:r>
              <w:rPr>
                <w:rFonts w:ascii="宋体" w:hAnsi="宋体" w:cs="宋体" w:eastAsia="宋体" w:hint="default"/>
                <w:sz w:val="21"/>
                <w:szCs w:val="21"/>
              </w:rPr>
              <w:t>基建资产处资产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与知识产权主管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3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50" w:hRule="exact"/>
        </w:trPr>
        <w:tc>
          <w:tcPr>
            <w:tcW w:w="1145" w:type="dxa"/>
            <w:tcBorders>
              <w:top w:val="single" w:sz="4" w:space="0" w:color="000000"/>
              <w:left w:val="single" w:sz="8" w:space="0" w:color="000000"/>
              <w:bottom w:val="single" w:sz="8" w:space="0" w:color="000000"/>
              <w:right w:val="single" w:sz="4" w:space="0" w:color="000000"/>
            </w:tcBorders>
            <w:shd w:val="clear" w:color="auto" w:fill="D2D2D2"/>
          </w:tcPr>
          <w:p>
            <w:pPr>
              <w:pStyle w:val="TableParagraph"/>
              <w:spacing w:line="273" w:lineRule="auto"/>
              <w:ind w:left="98" w:right="187"/>
              <w:jc w:val="both"/>
              <w:rPr>
                <w:rFonts w:ascii="宋体" w:hAnsi="宋体" w:cs="宋体" w:eastAsia="宋体" w:hint="default"/>
                <w:sz w:val="21"/>
                <w:szCs w:val="21"/>
              </w:rPr>
            </w:pPr>
            <w:r>
              <w:rPr>
                <w:rFonts w:ascii="宋体" w:hAnsi="宋体" w:cs="宋体" w:eastAsia="宋体" w:hint="default"/>
                <w:sz w:val="21"/>
                <w:szCs w:val="21"/>
              </w:rPr>
              <w:t>在股东单</w:t>
            </w:r>
            <w:r>
              <w:rPr>
                <w:rFonts w:ascii="宋体" w:hAnsi="宋体" w:cs="宋体" w:eastAsia="宋体" w:hint="default"/>
                <w:w w:val="100"/>
                <w:sz w:val="21"/>
                <w:szCs w:val="21"/>
              </w:rPr>
              <w:t> </w:t>
            </w:r>
            <w:r>
              <w:rPr>
                <w:rFonts w:ascii="宋体" w:hAnsi="宋体" w:cs="宋体" w:eastAsia="宋体" w:hint="default"/>
                <w:sz w:val="21"/>
                <w:szCs w:val="21"/>
              </w:rPr>
              <w:t>位任职情</w:t>
            </w:r>
            <w:r>
              <w:rPr>
                <w:rFonts w:ascii="宋体" w:hAnsi="宋体" w:cs="宋体" w:eastAsia="宋体" w:hint="default"/>
                <w:w w:val="100"/>
                <w:sz w:val="21"/>
                <w:szCs w:val="21"/>
              </w:rPr>
              <w:t> </w:t>
            </w:r>
            <w:r>
              <w:rPr>
                <w:rFonts w:ascii="宋体" w:hAnsi="宋体" w:cs="宋体" w:eastAsia="宋体" w:hint="default"/>
                <w:sz w:val="21"/>
                <w:szCs w:val="21"/>
              </w:rPr>
              <w:t>况的说明</w:t>
            </w:r>
          </w:p>
        </w:tc>
        <w:tc>
          <w:tcPr>
            <w:tcW w:w="8577" w:type="dxa"/>
            <w:gridSpan w:val="5"/>
            <w:tcBorders>
              <w:top w:val="single" w:sz="4" w:space="0" w:color="000000"/>
              <w:left w:val="single" w:sz="4"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董事卫丽红女士以及监事官丽莉女士均在公司股东中国科学院地理科学与资源研究所任职。</w:t>
            </w:r>
          </w:p>
        </w:tc>
      </w:tr>
    </w:tbl>
    <w:p>
      <w:pPr>
        <w:spacing w:after="0" w:line="240" w:lineRule="auto"/>
        <w:jc w:val="left"/>
        <w:rPr>
          <w:rFonts w:ascii="宋体" w:hAnsi="宋体" w:cs="宋体" w:eastAsia="宋体" w:hint="default"/>
          <w:sz w:val="21"/>
          <w:szCs w:val="21"/>
        </w:rPr>
        <w:sectPr>
          <w:pgSz w:w="11910" w:h="16840"/>
          <w:pgMar w:header="877" w:footer="980" w:top="1100" w:bottom="1160" w:left="980" w:right="900"/>
        </w:sectPr>
      </w:pPr>
    </w:p>
    <w:p>
      <w:pPr>
        <w:spacing w:line="240" w:lineRule="auto" w:before="7"/>
        <w:rPr>
          <w:rFonts w:ascii="宋体" w:hAnsi="宋体" w:cs="宋体" w:eastAsia="宋体" w:hint="default"/>
          <w:sz w:val="19"/>
          <w:szCs w:val="19"/>
        </w:rPr>
      </w:pPr>
    </w:p>
    <w:p>
      <w:pPr>
        <w:pStyle w:val="BodyText"/>
        <w:spacing w:line="240" w:lineRule="auto" w:before="26"/>
        <w:ind w:left="213" w:right="0"/>
        <w:jc w:val="left"/>
      </w:pPr>
      <w:r>
        <w:rPr/>
        <w:t>在其他单位任职情况</w:t>
      </w:r>
    </w:p>
    <w:p>
      <w:pPr>
        <w:pStyle w:val="BodyText"/>
        <w:spacing w:line="240" w:lineRule="auto" w:before="39"/>
        <w:ind w:left="2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112"/>
        <w:gridCol w:w="3063"/>
        <w:gridCol w:w="1469"/>
        <w:gridCol w:w="1601"/>
        <w:gridCol w:w="1442"/>
        <w:gridCol w:w="1169"/>
      </w:tblGrid>
      <w:tr>
        <w:trPr>
          <w:trHeight w:val="1258" w:hRule="exact"/>
        </w:trPr>
        <w:tc>
          <w:tcPr>
            <w:tcW w:w="1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41" w:right="127" w:hanging="212"/>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3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14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06" w:right="197"/>
              <w:jc w:val="left"/>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担任的职务</w:t>
            </w:r>
          </w:p>
        </w:tc>
        <w:tc>
          <w:tcPr>
            <w:tcW w:w="16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4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09" w:right="187"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58" w:right="156"/>
              <w:jc w:val="center"/>
              <w:rPr>
                <w:rFonts w:ascii="宋体" w:hAnsi="宋体" w:cs="宋体" w:eastAsia="宋体" w:hint="default"/>
                <w:sz w:val="21"/>
                <w:szCs w:val="21"/>
              </w:rPr>
            </w:pPr>
            <w:r>
              <w:rPr>
                <w:rFonts w:ascii="宋体" w:hAnsi="宋体" w:cs="宋体" w:eastAsia="宋体" w:hint="default"/>
                <w:sz w:val="21"/>
                <w:szCs w:val="21"/>
              </w:rPr>
              <w:t>在其他单</w:t>
            </w:r>
            <w:r>
              <w:rPr>
                <w:rFonts w:ascii="宋体" w:hAnsi="宋体" w:cs="宋体" w:eastAsia="宋体" w:hint="default"/>
                <w:w w:val="100"/>
                <w:sz w:val="21"/>
                <w:szCs w:val="21"/>
              </w:rPr>
              <w:t> </w:t>
            </w:r>
            <w:r>
              <w:rPr>
                <w:rFonts w:ascii="宋体" w:hAnsi="宋体" w:cs="宋体" w:eastAsia="宋体" w:hint="default"/>
                <w:sz w:val="21"/>
                <w:szCs w:val="21"/>
              </w:rPr>
              <w:t>位是否领</w:t>
            </w:r>
            <w:r>
              <w:rPr>
                <w:rFonts w:ascii="宋体" w:hAnsi="宋体" w:cs="宋体" w:eastAsia="宋体" w:hint="default"/>
                <w:w w:val="100"/>
                <w:sz w:val="21"/>
                <w:szCs w:val="21"/>
              </w:rPr>
              <w:t> </w:t>
            </w:r>
            <w:r>
              <w:rPr>
                <w:rFonts w:ascii="宋体" w:hAnsi="宋体" w:cs="宋体" w:eastAsia="宋体" w:hint="default"/>
                <w:sz w:val="21"/>
                <w:szCs w:val="21"/>
              </w:rPr>
              <w:t>取报酬津</w:t>
            </w:r>
            <w:r>
              <w:rPr>
                <w:rFonts w:ascii="宋体" w:hAnsi="宋体" w:cs="宋体" w:eastAsia="宋体" w:hint="default"/>
                <w:w w:val="100"/>
                <w:sz w:val="21"/>
                <w:szCs w:val="21"/>
              </w:rPr>
              <w:t> </w:t>
            </w:r>
            <w:r>
              <w:rPr>
                <w:rFonts w:ascii="宋体" w:hAnsi="宋体" w:cs="宋体" w:eastAsia="宋体" w:hint="default"/>
                <w:sz w:val="21"/>
                <w:szCs w:val="21"/>
              </w:rPr>
              <w:t>贴</w:t>
            </w:r>
          </w:p>
        </w:tc>
      </w:tr>
      <w:tr>
        <w:trPr>
          <w:trHeight w:val="439"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hAnsi="宋体" w:cs="宋体" w:eastAsia="宋体" w:hint="default"/>
                <w:sz w:val="22"/>
                <w:szCs w:val="22"/>
              </w:rPr>
              <w:t>钟耳顺</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2"/>
                <w:szCs w:val="22"/>
              </w:rPr>
            </w:pPr>
            <w:r>
              <w:rPr>
                <w:rFonts w:ascii="宋体" w:hAnsi="宋体" w:cs="宋体" w:eastAsia="宋体" w:hint="default"/>
                <w:sz w:val="22"/>
                <w:szCs w:val="22"/>
              </w:rPr>
              <w:t>浙江中科数城软件有限公司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2"/>
                <w:szCs w:val="22"/>
              </w:rPr>
            </w:pPr>
            <w:r>
              <w:rPr>
                <w:rFonts w:ascii="宋体" w:hAnsi="宋体" w:cs="宋体" w:eastAsia="宋体" w:hint="default"/>
                <w:sz w:val="22"/>
                <w:szCs w:val="22"/>
              </w:rPr>
              <w:t>董事</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2001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2"/>
                <w:szCs w:val="22"/>
              </w:rPr>
            </w:pPr>
            <w:r>
              <w:rPr>
                <w:rFonts w:ascii="Times New Roman"/>
                <w:w w:val="100"/>
                <w:sz w:val="22"/>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22"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郭仁忠</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深圳大学</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 w:right="0"/>
              <w:jc w:val="center"/>
              <w:rPr>
                <w:rFonts w:ascii="宋体" w:hAnsi="宋体" w:cs="宋体" w:eastAsia="宋体" w:hint="default"/>
                <w:sz w:val="22"/>
                <w:szCs w:val="22"/>
              </w:rPr>
            </w:pPr>
            <w:r>
              <w:rPr>
                <w:rFonts w:ascii="宋体" w:hAnsi="宋体" w:cs="宋体" w:eastAsia="宋体" w:hint="default"/>
                <w:sz w:val="22"/>
                <w:szCs w:val="22"/>
              </w:rPr>
              <w:t>教授</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2"/>
                <w:szCs w:val="22"/>
              </w:rPr>
            </w:pPr>
            <w:r>
              <w:rPr>
                <w:rFonts w:ascii="Times New Roman"/>
                <w:w w:val="100"/>
                <w:sz w:val="22"/>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550"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2"/>
                <w:szCs w:val="22"/>
              </w:rPr>
            </w:pPr>
            <w:r>
              <w:rPr>
                <w:rFonts w:ascii="宋体" w:hAnsi="宋体" w:cs="宋体" w:eastAsia="宋体" w:hint="default"/>
                <w:sz w:val="22"/>
                <w:szCs w:val="22"/>
              </w:rPr>
              <w:t>汤国安</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宋体" w:hAnsi="宋体" w:cs="宋体" w:eastAsia="宋体" w:hint="default"/>
                <w:sz w:val="22"/>
                <w:szCs w:val="22"/>
              </w:rPr>
            </w:pPr>
            <w:r>
              <w:rPr>
                <w:rFonts w:ascii="宋体" w:hAnsi="宋体" w:cs="宋体" w:eastAsia="宋体" w:hint="default"/>
                <w:sz w:val="22"/>
                <w:szCs w:val="22"/>
              </w:rPr>
              <w:t>南京师范大学</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宋体" w:hAnsi="宋体" w:cs="宋体" w:eastAsia="宋体" w:hint="default"/>
                <w:sz w:val="22"/>
                <w:szCs w:val="22"/>
              </w:rPr>
            </w:pPr>
            <w:r>
              <w:rPr>
                <w:rFonts w:ascii="宋体" w:hAnsi="宋体" w:cs="宋体" w:eastAsia="宋体" w:hint="default"/>
                <w:sz w:val="22"/>
                <w:szCs w:val="22"/>
              </w:rPr>
              <w:t>教授</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2004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p>
        </w:tc>
        <w:tc>
          <w:tcPr>
            <w:tcW w:w="144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322" w:hRule="exact"/>
        </w:trPr>
        <w:tc>
          <w:tcPr>
            <w:tcW w:w="11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张军书</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立信会计师事务所</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 w:right="0"/>
              <w:jc w:val="center"/>
              <w:rPr>
                <w:rFonts w:ascii="宋体" w:hAnsi="宋体" w:cs="宋体" w:eastAsia="宋体" w:hint="default"/>
                <w:sz w:val="22"/>
                <w:szCs w:val="22"/>
              </w:rPr>
            </w:pPr>
            <w:r>
              <w:rPr>
                <w:rFonts w:ascii="宋体" w:hAnsi="宋体" w:cs="宋体" w:eastAsia="宋体" w:hint="default"/>
                <w:sz w:val="22"/>
                <w:szCs w:val="22"/>
              </w:rPr>
              <w:t>高级合伙人</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2"/>
                <w:szCs w:val="22"/>
              </w:rPr>
            </w:pPr>
            <w:r>
              <w:rPr>
                <w:rFonts w:ascii="Times New Roman"/>
                <w:w w:val="100"/>
                <w:sz w:val="22"/>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637" w:hRule="exact"/>
        </w:trPr>
        <w:tc>
          <w:tcPr>
            <w:tcW w:w="1112" w:type="dxa"/>
            <w:vMerge/>
            <w:tcBorders>
              <w:left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sz w:val="22"/>
                <w:szCs w:val="22"/>
              </w:rPr>
              <w:t>广州海鸥卫浴用品股份有限</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322" w:hRule="exact"/>
        </w:trPr>
        <w:tc>
          <w:tcPr>
            <w:tcW w:w="1112" w:type="dxa"/>
            <w:vMerge/>
            <w:tcBorders>
              <w:left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北京首都农业集团有限公司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hAnsi="宋体" w:cs="宋体" w:eastAsia="宋体" w:hint="default"/>
                <w:sz w:val="22"/>
                <w:szCs w:val="22"/>
              </w:rPr>
              <w:t>外部董事</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2"/>
                <w:szCs w:val="22"/>
              </w:rPr>
            </w:pPr>
            <w:r>
              <w:rPr>
                <w:rFonts w:ascii="Times New Roman"/>
                <w:w w:val="100"/>
                <w:sz w:val="22"/>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634" w:hRule="exact"/>
        </w:trPr>
        <w:tc>
          <w:tcPr>
            <w:tcW w:w="1112" w:type="dxa"/>
            <w:vMerge/>
            <w:tcBorders>
              <w:left w:val="single" w:sz="4" w:space="0" w:color="000000"/>
              <w:bottom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北京宝兰德软件股份有限公</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w w:val="100"/>
                <w:sz w:val="22"/>
                <w:szCs w:val="22"/>
              </w:rPr>
              <w:t>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0"/>
              <w:jc w:val="center"/>
              <w:rPr>
                <w:rFonts w:ascii="Times New Roman" w:hAnsi="Times New Roman" w:cs="Times New Roman" w:eastAsia="Times New Roman" w:hint="default"/>
                <w:sz w:val="22"/>
                <w:szCs w:val="22"/>
              </w:rPr>
            </w:pPr>
            <w:r>
              <w:rPr>
                <w:rFonts w:ascii="Times New Roman"/>
                <w:w w:val="100"/>
                <w:sz w:val="22"/>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322" w:hRule="exact"/>
        </w:trPr>
        <w:tc>
          <w:tcPr>
            <w:tcW w:w="111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1" w:right="0"/>
              <w:jc w:val="left"/>
              <w:rPr>
                <w:rFonts w:ascii="宋体" w:hAnsi="宋体" w:cs="宋体" w:eastAsia="宋体" w:hint="default"/>
                <w:sz w:val="22"/>
                <w:szCs w:val="22"/>
              </w:rPr>
            </w:pPr>
            <w:r>
              <w:rPr>
                <w:rFonts w:ascii="宋体" w:hAnsi="宋体" w:cs="宋体" w:eastAsia="宋体" w:hint="default"/>
                <w:sz w:val="22"/>
                <w:szCs w:val="22"/>
              </w:rPr>
              <w:t>孙在宏</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2"/>
                <w:szCs w:val="22"/>
              </w:rPr>
            </w:pPr>
            <w:r>
              <w:rPr>
                <w:rFonts w:ascii="宋体" w:hAnsi="宋体" w:cs="宋体" w:eastAsia="宋体" w:hint="default"/>
                <w:sz w:val="22"/>
                <w:szCs w:val="22"/>
              </w:rPr>
              <w:t>南京师范大学</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 w:right="0"/>
              <w:jc w:val="center"/>
              <w:rPr>
                <w:rFonts w:ascii="宋体" w:hAnsi="宋体" w:cs="宋体" w:eastAsia="宋体" w:hint="default"/>
                <w:sz w:val="22"/>
                <w:szCs w:val="22"/>
              </w:rPr>
            </w:pPr>
            <w:r>
              <w:rPr>
                <w:rFonts w:ascii="宋体" w:hAnsi="宋体" w:cs="宋体" w:eastAsia="宋体" w:hint="default"/>
                <w:sz w:val="22"/>
                <w:szCs w:val="22"/>
              </w:rPr>
              <w:t>教授</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2"/>
                <w:szCs w:val="22"/>
              </w:rPr>
            </w:pPr>
            <w:r>
              <w:rPr>
                <w:rFonts w:ascii="Times New Roman"/>
                <w:w w:val="100"/>
                <w:sz w:val="22"/>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492" w:hRule="exact"/>
        </w:trPr>
        <w:tc>
          <w:tcPr>
            <w:tcW w:w="1112" w:type="dxa"/>
            <w:vMerge/>
            <w:tcBorders>
              <w:left w:val="single" w:sz="4" w:space="0" w:color="000000"/>
              <w:bottom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hAnsi="宋体" w:cs="宋体" w:eastAsia="宋体" w:hint="default"/>
                <w:sz w:val="22"/>
                <w:szCs w:val="22"/>
              </w:rPr>
              <w:t>南京鼎图投资咨询有限公司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0"/>
              <w:jc w:val="center"/>
              <w:rPr>
                <w:rFonts w:ascii="宋体" w:hAnsi="宋体" w:cs="宋体" w:eastAsia="宋体" w:hint="default"/>
                <w:sz w:val="22"/>
                <w:szCs w:val="22"/>
              </w:rPr>
            </w:pPr>
            <w:r>
              <w:rPr>
                <w:rFonts w:ascii="宋体" w:hAnsi="宋体" w:cs="宋体" w:eastAsia="宋体" w:hint="default"/>
                <w:sz w:val="22"/>
                <w:szCs w:val="22"/>
              </w:rPr>
              <w:t>董事长</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22"/>
                <w:szCs w:val="22"/>
              </w:rPr>
            </w:pPr>
            <w:r>
              <w:rPr>
                <w:rFonts w:ascii="Times New Roman"/>
                <w:w w:val="100"/>
                <w:sz w:val="22"/>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946" w:hRule="exact"/>
        </w:trPr>
        <w:tc>
          <w:tcPr>
            <w:tcW w:w="1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30" w:right="127"/>
              <w:jc w:val="both"/>
              <w:rPr>
                <w:rFonts w:ascii="宋体" w:hAnsi="宋体" w:cs="宋体" w:eastAsia="宋体" w:hint="default"/>
                <w:sz w:val="21"/>
                <w:szCs w:val="21"/>
              </w:rPr>
            </w:pPr>
            <w:r>
              <w:rPr>
                <w:rFonts w:ascii="宋体" w:hAnsi="宋体" w:cs="宋体" w:eastAsia="宋体" w:hint="default"/>
                <w:sz w:val="21"/>
                <w:szCs w:val="21"/>
              </w:rPr>
              <w:t>在其他单</w:t>
            </w:r>
            <w:r>
              <w:rPr>
                <w:rFonts w:ascii="宋体" w:hAnsi="宋体" w:cs="宋体" w:eastAsia="宋体" w:hint="default"/>
                <w:w w:val="100"/>
                <w:sz w:val="21"/>
                <w:szCs w:val="21"/>
              </w:rPr>
              <w:t> </w:t>
            </w:r>
            <w:r>
              <w:rPr>
                <w:rFonts w:ascii="宋体" w:hAnsi="宋体" w:cs="宋体" w:eastAsia="宋体" w:hint="default"/>
                <w:sz w:val="21"/>
                <w:szCs w:val="21"/>
              </w:rPr>
              <w:t>位任职情</w:t>
            </w:r>
            <w:r>
              <w:rPr>
                <w:rFonts w:ascii="宋体" w:hAnsi="宋体" w:cs="宋体" w:eastAsia="宋体" w:hint="default"/>
                <w:w w:val="100"/>
                <w:sz w:val="21"/>
                <w:szCs w:val="21"/>
              </w:rPr>
              <w:t> </w:t>
            </w:r>
            <w:r>
              <w:rPr>
                <w:rFonts w:ascii="宋体" w:hAnsi="宋体" w:cs="宋体" w:eastAsia="宋体" w:hint="default"/>
                <w:sz w:val="21"/>
                <w:szCs w:val="21"/>
              </w:rPr>
              <w:t>况的说明</w:t>
            </w:r>
          </w:p>
        </w:tc>
        <w:tc>
          <w:tcPr>
            <w:tcW w:w="87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71" w:right="0"/>
              <w:jc w:val="left"/>
              <w:rPr>
                <w:rFonts w:ascii="宋体" w:hAnsi="宋体" w:cs="宋体" w:eastAsia="宋体" w:hint="default"/>
                <w:sz w:val="21"/>
                <w:szCs w:val="21"/>
              </w:rPr>
            </w:pPr>
            <w:r>
              <w:rPr>
                <w:rFonts w:ascii="宋体" w:hAnsi="宋体" w:cs="宋体" w:eastAsia="宋体" w:hint="default"/>
                <w:sz w:val="21"/>
                <w:szCs w:val="21"/>
              </w:rPr>
              <w:t>除上表信息以外，无其他需要说明的情况。</w:t>
            </w:r>
          </w:p>
        </w:tc>
      </w:tr>
    </w:tbl>
    <w:p>
      <w:pPr>
        <w:spacing w:before="28"/>
        <w:ind w:left="213" w:right="0" w:firstLine="0"/>
        <w:jc w:val="left"/>
        <w:rPr>
          <w:rFonts w:ascii="宋体" w:hAnsi="宋体" w:cs="宋体" w:eastAsia="宋体" w:hint="default"/>
          <w:sz w:val="21"/>
          <w:szCs w:val="21"/>
        </w:rPr>
      </w:pPr>
      <w:r>
        <w:rPr>
          <w:rFonts w:ascii="宋体" w:hAnsi="宋体" w:cs="宋体" w:eastAsia="宋体" w:hint="default"/>
          <w:sz w:val="21"/>
          <w:szCs w:val="21"/>
        </w:rPr>
        <w:t>注：本处的其他单位是指公司全资或控股子公司以外的单位。</w:t>
      </w:r>
    </w:p>
    <w:p>
      <w:pPr>
        <w:pStyle w:val="BodyText"/>
        <w:spacing w:line="240" w:lineRule="auto" w:before="129"/>
        <w:ind w:left="213" w:right="0"/>
        <w:jc w:val="left"/>
      </w:pPr>
      <w:r>
        <w:rPr/>
        <w:t>公司现任及报告期内离任董事、监事和高级管理人员近三年证券监管机构处罚的情况</w:t>
      </w:r>
    </w:p>
    <w:p>
      <w:pPr>
        <w:spacing w:line="499" w:lineRule="auto" w:before="192"/>
        <w:ind w:left="213" w:right="597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四、董事、监事、高级管理人员报酬情况</w:t>
      </w:r>
      <w:r>
        <w:rPr>
          <w:rFonts w:ascii="宋体" w:hAnsi="宋体" w:cs="宋体" w:eastAsia="宋体" w:hint="default"/>
          <w:sz w:val="24"/>
          <w:szCs w:val="24"/>
        </w:rPr>
      </w:r>
    </w:p>
    <w:p>
      <w:pPr>
        <w:pStyle w:val="BodyText"/>
        <w:spacing w:line="240" w:lineRule="auto" w:before="38"/>
        <w:ind w:left="213" w:right="0"/>
        <w:jc w:val="left"/>
      </w:pPr>
      <w:r>
        <w:rPr/>
        <w:t>董事、监事、高级管理人员报酬的决策程序、确定依据、实际支付情况</w:t>
      </w:r>
    </w:p>
    <w:p>
      <w:pPr>
        <w:spacing w:line="240" w:lineRule="auto" w:before="1"/>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3119"/>
        <w:gridCol w:w="6450"/>
      </w:tblGrid>
      <w:tr>
        <w:trPr>
          <w:trHeight w:val="1025"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165"/>
              <w:ind w:left="817" w:right="293" w:hanging="526"/>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报酬的决策程序</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08"/>
              <w:jc w:val="both"/>
              <w:rPr>
                <w:rFonts w:ascii="宋体" w:hAnsi="宋体" w:cs="宋体" w:eastAsia="宋体" w:hint="default"/>
                <w:sz w:val="21"/>
                <w:szCs w:val="21"/>
              </w:rPr>
            </w:pPr>
            <w:r>
              <w:rPr>
                <w:rFonts w:ascii="宋体" w:hAnsi="宋体" w:cs="宋体" w:eastAsia="宋体" w:hint="default"/>
                <w:spacing w:val="-2"/>
                <w:sz w:val="21"/>
                <w:szCs w:val="21"/>
              </w:rPr>
              <w:t>董事、监事津贴按照公司《董事、监事薪酬管理制度》执行；高管人</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员报酬根据公司《高级管理人员薪酬管理制度》执行，由薪酬与考核</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委员会进行考核。</w:t>
            </w:r>
          </w:p>
        </w:tc>
      </w:tr>
      <w:tr>
        <w:trPr>
          <w:trHeight w:val="75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28"/>
              <w:ind w:left="922" w:right="293" w:hanging="632"/>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报酬确定依据</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按年初制定的业绩考核目标进行确定</w:t>
            </w:r>
          </w:p>
        </w:tc>
      </w:tr>
      <w:tr>
        <w:trPr>
          <w:trHeight w:val="756"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30"/>
              <w:ind w:left="608" w:right="293" w:hanging="317"/>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报酬的实际支付情况</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董事、监事和高管薪酬实际支付情况请见下表</w:t>
            </w:r>
          </w:p>
        </w:tc>
      </w:tr>
    </w:tbl>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0" w:top="1100" w:bottom="1160" w:left="920" w:right="440"/>
        </w:sectPr>
      </w:pPr>
    </w:p>
    <w:p>
      <w:pPr>
        <w:pStyle w:val="BodyText"/>
        <w:spacing w:line="240" w:lineRule="auto" w:before="26"/>
        <w:ind w:left="213" w:right="-20"/>
        <w:jc w:val="left"/>
      </w:pPr>
      <w:r>
        <w:rPr/>
        <w:t>公司报告期内董事、监事和高级管理人员报酬情况</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213"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100" w:bottom="1160" w:left="920" w:right="440"/>
          <w:cols w:num="2" w:equalWidth="0">
            <w:col w:w="5494" w:space="3095"/>
            <w:col w:w="1961"/>
          </w:cols>
        </w:sectPr>
      </w:pPr>
    </w:p>
    <w:p>
      <w:pPr>
        <w:spacing w:line="240" w:lineRule="auto" w:before="10"/>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540"/>
        <w:gridCol w:w="1544"/>
        <w:gridCol w:w="802"/>
        <w:gridCol w:w="960"/>
        <w:gridCol w:w="1358"/>
        <w:gridCol w:w="1844"/>
        <w:gridCol w:w="2268"/>
      </w:tblGrid>
      <w:tr>
        <w:trPr>
          <w:trHeight w:val="715"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b/>
                <w:bCs/>
                <w:sz w:val="21"/>
                <w:szCs w:val="21"/>
              </w:rPr>
              <w:t>性别</w:t>
            </w:r>
            <w:r>
              <w:rPr>
                <w:rFonts w:ascii="宋体" w:hAnsi="宋体" w:cs="宋体" w:eastAsia="宋体" w:hint="default"/>
                <w:sz w:val="21"/>
                <w:szCs w:val="21"/>
              </w:rPr>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b/>
                <w:bCs/>
                <w:sz w:val="21"/>
                <w:szCs w:val="21"/>
              </w:rPr>
              <w:t>任职状态</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388" w:right="176" w:hanging="212"/>
              <w:jc w:val="left"/>
              <w:rPr>
                <w:rFonts w:ascii="宋体" w:hAnsi="宋体" w:cs="宋体" w:eastAsia="宋体" w:hint="default"/>
                <w:sz w:val="21"/>
                <w:szCs w:val="21"/>
              </w:rPr>
            </w:pPr>
            <w:r>
              <w:rPr>
                <w:rFonts w:ascii="宋体" w:hAnsi="宋体" w:cs="宋体" w:eastAsia="宋体" w:hint="default"/>
                <w:b/>
                <w:bCs/>
                <w:sz w:val="21"/>
                <w:szCs w:val="21"/>
              </w:rPr>
              <w:t>从公司获得的税</w:t>
            </w:r>
            <w:r>
              <w:rPr>
                <w:rFonts w:ascii="宋体" w:hAnsi="宋体" w:cs="宋体" w:eastAsia="宋体" w:hint="default"/>
                <w:b/>
                <w:bCs/>
                <w:spacing w:val="-104"/>
                <w:sz w:val="21"/>
                <w:szCs w:val="21"/>
              </w:rPr>
              <w:t> </w:t>
            </w:r>
            <w:r>
              <w:rPr>
                <w:rFonts w:ascii="宋体" w:hAnsi="宋体" w:cs="宋体" w:eastAsia="宋体" w:hint="default"/>
                <w:b/>
                <w:bCs/>
                <w:sz w:val="21"/>
                <w:szCs w:val="21"/>
              </w:rPr>
              <w:t>前报酬总额</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b/>
                <w:bCs/>
                <w:sz w:val="21"/>
                <w:szCs w:val="21"/>
              </w:rPr>
              <w:t>是否在公司关联方</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type w:val="continuous"/>
          <w:pgSz w:w="11910" w:h="16840"/>
          <w:pgMar w:top="1100" w:bottom="1160" w:left="920" w:right="4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541"/>
        <w:gridCol w:w="1544"/>
        <w:gridCol w:w="802"/>
        <w:gridCol w:w="960"/>
        <w:gridCol w:w="1358"/>
        <w:gridCol w:w="1844"/>
        <w:gridCol w:w="2268"/>
      </w:tblGrid>
      <w:tr>
        <w:trPr>
          <w:trHeight w:val="581" w:hRule="exact"/>
        </w:trPr>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4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707" w:right="0"/>
              <w:jc w:val="left"/>
              <w:rPr>
                <w:rFonts w:ascii="宋体" w:hAnsi="宋体" w:cs="宋体" w:eastAsia="宋体" w:hint="default"/>
                <w:sz w:val="21"/>
                <w:szCs w:val="21"/>
              </w:rPr>
            </w:pPr>
            <w:r>
              <w:rPr>
                <w:rFonts w:ascii="宋体" w:hAnsi="宋体" w:cs="宋体" w:eastAsia="宋体" w:hint="default"/>
                <w:b/>
                <w:bCs/>
                <w:sz w:val="21"/>
                <w:szCs w:val="21"/>
              </w:rPr>
              <w:t>获取报酬</w:t>
            </w:r>
            <w:r>
              <w:rPr>
                <w:rFonts w:ascii="宋体" w:hAnsi="宋体" w:cs="宋体" w:eastAsia="宋体" w:hint="default"/>
                <w:sz w:val="21"/>
                <w:szCs w:val="21"/>
              </w:rPr>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62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62.40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48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65.40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杜庆娥</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43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53.57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王康弘</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45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5.13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孙在宏</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53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28.12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程邦波</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36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杜胜利</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54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5.05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庄行方</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69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5.05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王浩</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64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5.05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卫丽红</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41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汤国安</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56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2.08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郭仁忠</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61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2.08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张军书</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47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2.08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刘英利</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41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14.88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曾志明</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39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29.51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官丽莉</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39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李煜</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38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46.05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李绍俊</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39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46.42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白杨建</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39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40.55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徐旭</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42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47.06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元哲起</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53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36.30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王继晖</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45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40.58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任翔</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50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14.05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6205"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551.41</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pStyle w:val="BodyText"/>
        <w:spacing w:line="240" w:lineRule="auto" w:before="79"/>
        <w:ind w:left="213" w:right="0"/>
        <w:jc w:val="left"/>
      </w:pPr>
      <w:r>
        <w:rPr/>
        <w:t>公司董事、高级管理人员报告期内被授予的股权激励情况</w:t>
      </w:r>
    </w:p>
    <w:p>
      <w:pPr>
        <w:spacing w:line="494" w:lineRule="auto" w:before="193"/>
        <w:ind w:left="213" w:right="665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、员工数量、专业构成及教育程度</w:t>
      </w:r>
      <w:r>
        <w:rPr>
          <w:rFonts w:ascii="宋体" w:hAnsi="宋体" w:cs="宋体" w:eastAsia="宋体" w:hint="default"/>
          <w:spacing w:val="-1"/>
          <w:sz w:val="21"/>
          <w:szCs w:val="21"/>
        </w:rPr>
      </w:r>
    </w:p>
    <w:p>
      <w:pPr>
        <w:spacing w:line="240" w:lineRule="auto" w:before="2"/>
        <w:rPr>
          <w:rFonts w:ascii="宋体" w:hAnsi="宋体" w:cs="宋体" w:eastAsia="宋体"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6144"/>
        <w:gridCol w:w="3711"/>
      </w:tblGrid>
      <w:tr>
        <w:trPr>
          <w:trHeight w:val="496" w:hRule="exact"/>
        </w:trPr>
        <w:tc>
          <w:tcPr>
            <w:tcW w:w="6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22"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428"/>
              <w:jc w:val="right"/>
              <w:rPr>
                <w:rFonts w:ascii="Times New Roman" w:hAnsi="Times New Roman" w:cs="Times New Roman" w:eastAsia="Times New Roman" w:hint="default"/>
                <w:sz w:val="24"/>
                <w:szCs w:val="24"/>
              </w:rPr>
            </w:pPr>
            <w:r>
              <w:rPr>
                <w:rFonts w:ascii="Times New Roman"/>
                <w:sz w:val="24"/>
              </w:rPr>
              <w:t>656</w:t>
            </w:r>
          </w:p>
        </w:tc>
      </w:tr>
      <w:tr>
        <w:trPr>
          <w:trHeight w:val="493" w:hRule="exact"/>
        </w:trPr>
        <w:tc>
          <w:tcPr>
            <w:tcW w:w="6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522"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68"/>
              <w:jc w:val="right"/>
              <w:rPr>
                <w:rFonts w:ascii="Times New Roman" w:hAnsi="Times New Roman" w:cs="Times New Roman" w:eastAsia="Times New Roman" w:hint="default"/>
                <w:sz w:val="24"/>
                <w:szCs w:val="24"/>
              </w:rPr>
            </w:pPr>
            <w:r>
              <w:rPr>
                <w:rFonts w:ascii="Times New Roman"/>
                <w:sz w:val="24"/>
              </w:rPr>
              <w:t>2419</w:t>
            </w:r>
          </w:p>
        </w:tc>
      </w:tr>
    </w:tbl>
    <w:p>
      <w:pPr>
        <w:spacing w:after="0" w:line="240" w:lineRule="auto"/>
        <w:jc w:val="right"/>
        <w:rPr>
          <w:rFonts w:ascii="Times New Roman" w:hAnsi="Times New Roman" w:cs="Times New Roman" w:eastAsia="Times New Roman" w:hint="default"/>
          <w:sz w:val="24"/>
          <w:szCs w:val="24"/>
        </w:rPr>
        <w:sectPr>
          <w:pgSz w:w="11910" w:h="16840"/>
          <w:pgMar w:header="877" w:footer="980" w:top="1100" w:bottom="1160" w:left="920" w:right="440"/>
        </w:sectPr>
      </w:pPr>
    </w:p>
    <w:p>
      <w:pPr>
        <w:spacing w:line="240" w:lineRule="auto" w:before="0"/>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6145"/>
        <w:gridCol w:w="3711"/>
      </w:tblGrid>
      <w:tr>
        <w:trPr>
          <w:trHeight w:val="495" w:hRule="exact"/>
        </w:trPr>
        <w:tc>
          <w:tcPr>
            <w:tcW w:w="6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23"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80" w:right="0"/>
              <w:jc w:val="center"/>
              <w:rPr>
                <w:rFonts w:ascii="Times New Roman" w:hAnsi="Times New Roman" w:cs="Times New Roman" w:eastAsia="Times New Roman" w:hint="default"/>
                <w:sz w:val="24"/>
                <w:szCs w:val="24"/>
              </w:rPr>
            </w:pPr>
            <w:r>
              <w:rPr>
                <w:rFonts w:ascii="Times New Roman"/>
                <w:sz w:val="24"/>
              </w:rPr>
              <w:t>3075</w:t>
            </w:r>
          </w:p>
        </w:tc>
      </w:tr>
      <w:tr>
        <w:trPr>
          <w:trHeight w:val="494" w:hRule="exact"/>
        </w:trPr>
        <w:tc>
          <w:tcPr>
            <w:tcW w:w="6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523"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80" w:right="0"/>
              <w:jc w:val="center"/>
              <w:rPr>
                <w:rFonts w:ascii="Times New Roman" w:hAnsi="Times New Roman" w:cs="Times New Roman" w:eastAsia="Times New Roman" w:hint="default"/>
                <w:sz w:val="24"/>
                <w:szCs w:val="24"/>
              </w:rPr>
            </w:pPr>
            <w:r>
              <w:rPr>
                <w:rFonts w:ascii="Times New Roman"/>
                <w:sz w:val="24"/>
              </w:rPr>
              <w:t>3075</w:t>
            </w:r>
          </w:p>
        </w:tc>
      </w:tr>
      <w:tr>
        <w:trPr>
          <w:trHeight w:val="745" w:hRule="exact"/>
        </w:trPr>
        <w:tc>
          <w:tcPr>
            <w:tcW w:w="6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母公司及主要子公司需承担费用的离退休职工人数（人）</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480" w:right="0"/>
              <w:jc w:val="center"/>
              <w:rPr>
                <w:rFonts w:ascii="Times New Roman" w:hAnsi="Times New Roman" w:cs="Times New Roman" w:eastAsia="Times New Roman" w:hint="default"/>
                <w:sz w:val="24"/>
                <w:szCs w:val="24"/>
              </w:rPr>
            </w:pPr>
            <w:r>
              <w:rPr>
                <w:rFonts w:ascii="Times New Roman"/>
                <w:sz w:val="24"/>
              </w:rPr>
              <w:t>0</w:t>
            </w:r>
          </w:p>
        </w:tc>
      </w:tr>
      <w:tr>
        <w:trPr>
          <w:trHeight w:val="478" w:hRule="exact"/>
        </w:trPr>
        <w:tc>
          <w:tcPr>
            <w:tcW w:w="98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20"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23"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116" w:right="0"/>
              <w:jc w:val="left"/>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center"/>
              <w:rPr>
                <w:rFonts w:ascii="Times New Roman" w:hAnsi="Times New Roman" w:cs="Times New Roman" w:eastAsia="Times New Roman" w:hint="default"/>
                <w:sz w:val="24"/>
                <w:szCs w:val="24"/>
              </w:rPr>
            </w:pPr>
            <w:r>
              <w:rPr>
                <w:rFonts w:ascii="Times New Roman"/>
                <w:sz w:val="24"/>
              </w:rPr>
              <w:t>0</w:t>
            </w:r>
          </w:p>
        </w:tc>
      </w:tr>
      <w:tr>
        <w:trPr>
          <w:trHeight w:val="480"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2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80" w:right="0"/>
              <w:jc w:val="center"/>
              <w:rPr>
                <w:rFonts w:ascii="Times New Roman" w:hAnsi="Times New Roman" w:cs="Times New Roman" w:eastAsia="Times New Roman" w:hint="default"/>
                <w:sz w:val="24"/>
                <w:szCs w:val="24"/>
              </w:rPr>
            </w:pPr>
            <w:r>
              <w:rPr>
                <w:rFonts w:ascii="Times New Roman"/>
                <w:sz w:val="24"/>
              </w:rPr>
              <w:t>385</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23"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0" w:right="0"/>
              <w:jc w:val="center"/>
              <w:rPr>
                <w:rFonts w:ascii="Times New Roman" w:hAnsi="Times New Roman" w:cs="Times New Roman" w:eastAsia="Times New Roman" w:hint="default"/>
                <w:sz w:val="24"/>
                <w:szCs w:val="24"/>
              </w:rPr>
            </w:pPr>
            <w:r>
              <w:rPr>
                <w:rFonts w:ascii="Times New Roman"/>
                <w:sz w:val="24"/>
              </w:rPr>
              <w:t>2332</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center"/>
              <w:rPr>
                <w:rFonts w:ascii="Times New Roman" w:hAnsi="Times New Roman" w:cs="Times New Roman" w:eastAsia="Times New Roman" w:hint="default"/>
                <w:sz w:val="24"/>
                <w:szCs w:val="24"/>
              </w:rPr>
            </w:pPr>
            <w:r>
              <w:rPr>
                <w:rFonts w:ascii="Times New Roman"/>
                <w:sz w:val="24"/>
              </w:rPr>
              <w:t>30</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center"/>
              <w:rPr>
                <w:rFonts w:ascii="Times New Roman" w:hAnsi="Times New Roman" w:cs="Times New Roman" w:eastAsia="Times New Roman" w:hint="default"/>
                <w:sz w:val="24"/>
                <w:szCs w:val="24"/>
              </w:rPr>
            </w:pPr>
            <w:r>
              <w:rPr>
                <w:rFonts w:ascii="Times New Roman"/>
                <w:sz w:val="24"/>
              </w:rPr>
              <w:t>184</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center"/>
              <w:rPr>
                <w:rFonts w:ascii="Times New Roman" w:hAnsi="Times New Roman" w:cs="Times New Roman" w:eastAsia="Times New Roman" w:hint="default"/>
                <w:sz w:val="24"/>
                <w:szCs w:val="24"/>
              </w:rPr>
            </w:pPr>
            <w:r>
              <w:rPr>
                <w:rFonts w:ascii="Times New Roman"/>
                <w:sz w:val="24"/>
              </w:rPr>
              <w:t>144</w:t>
            </w:r>
          </w:p>
        </w:tc>
      </w:tr>
      <w:tr>
        <w:trPr>
          <w:trHeight w:val="479" w:hRule="exact"/>
        </w:trPr>
        <w:tc>
          <w:tcPr>
            <w:tcW w:w="6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center"/>
              <w:rPr>
                <w:rFonts w:ascii="Times New Roman" w:hAnsi="Times New Roman" w:cs="Times New Roman" w:eastAsia="Times New Roman" w:hint="default"/>
                <w:sz w:val="24"/>
                <w:szCs w:val="24"/>
              </w:rPr>
            </w:pPr>
            <w:r>
              <w:rPr>
                <w:rFonts w:ascii="Times New Roman"/>
                <w:sz w:val="24"/>
              </w:rPr>
              <w:t>3075</w:t>
            </w:r>
          </w:p>
        </w:tc>
      </w:tr>
      <w:tr>
        <w:trPr>
          <w:trHeight w:val="479" w:hRule="exact"/>
        </w:trPr>
        <w:tc>
          <w:tcPr>
            <w:tcW w:w="98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420"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教育程度类别</w:t>
            </w:r>
          </w:p>
        </w:tc>
        <w:tc>
          <w:tcPr>
            <w:tcW w:w="3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25" w:right="0"/>
              <w:jc w:val="left"/>
              <w:rPr>
                <w:rFonts w:ascii="宋体" w:hAnsi="宋体" w:cs="宋体" w:eastAsia="宋体" w:hint="default"/>
                <w:sz w:val="21"/>
                <w:szCs w:val="21"/>
              </w:rPr>
            </w:pPr>
            <w:r>
              <w:rPr>
                <w:rFonts w:ascii="宋体" w:hAnsi="宋体" w:cs="宋体" w:eastAsia="宋体" w:hint="default"/>
                <w:sz w:val="21"/>
                <w:szCs w:val="21"/>
              </w:rPr>
              <w:t>数量（人）</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center"/>
              <w:rPr>
                <w:rFonts w:ascii="Times New Roman" w:hAnsi="Times New Roman" w:cs="Times New Roman" w:eastAsia="Times New Roman" w:hint="default"/>
                <w:sz w:val="24"/>
                <w:szCs w:val="24"/>
              </w:rPr>
            </w:pPr>
            <w:r>
              <w:rPr>
                <w:rFonts w:ascii="Times New Roman"/>
                <w:sz w:val="24"/>
              </w:rPr>
              <w:t>21</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center"/>
              <w:rPr>
                <w:rFonts w:ascii="Times New Roman" w:hAnsi="Times New Roman" w:cs="Times New Roman" w:eastAsia="Times New Roman" w:hint="default"/>
                <w:sz w:val="24"/>
                <w:szCs w:val="24"/>
              </w:rPr>
            </w:pPr>
            <w:r>
              <w:rPr>
                <w:rFonts w:ascii="Times New Roman"/>
                <w:sz w:val="24"/>
              </w:rPr>
              <w:t>323</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center"/>
              <w:rPr>
                <w:rFonts w:ascii="Times New Roman" w:hAnsi="Times New Roman" w:cs="Times New Roman" w:eastAsia="Times New Roman" w:hint="default"/>
                <w:sz w:val="24"/>
                <w:szCs w:val="24"/>
              </w:rPr>
            </w:pPr>
            <w:r>
              <w:rPr>
                <w:rFonts w:ascii="Times New Roman"/>
                <w:sz w:val="24"/>
              </w:rPr>
              <w:t>2166</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center"/>
              <w:rPr>
                <w:rFonts w:ascii="Times New Roman" w:hAnsi="Times New Roman" w:cs="Times New Roman" w:eastAsia="Times New Roman" w:hint="default"/>
                <w:sz w:val="24"/>
                <w:szCs w:val="24"/>
              </w:rPr>
            </w:pPr>
            <w:r>
              <w:rPr>
                <w:rFonts w:ascii="Times New Roman"/>
                <w:sz w:val="24"/>
              </w:rPr>
              <w:t>489</w:t>
            </w:r>
          </w:p>
        </w:tc>
      </w:tr>
      <w:tr>
        <w:trPr>
          <w:trHeight w:val="480"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2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80" w:right="0"/>
              <w:jc w:val="center"/>
              <w:rPr>
                <w:rFonts w:ascii="Times New Roman" w:hAnsi="Times New Roman" w:cs="Times New Roman" w:eastAsia="Times New Roman" w:hint="default"/>
                <w:sz w:val="24"/>
                <w:szCs w:val="24"/>
              </w:rPr>
            </w:pPr>
            <w:r>
              <w:rPr>
                <w:rFonts w:ascii="Times New Roman"/>
                <w:sz w:val="24"/>
              </w:rPr>
              <w:t>76</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center"/>
              <w:rPr>
                <w:rFonts w:ascii="Times New Roman" w:hAnsi="Times New Roman" w:cs="Times New Roman" w:eastAsia="Times New Roman" w:hint="default"/>
                <w:sz w:val="24"/>
                <w:szCs w:val="24"/>
              </w:rPr>
            </w:pPr>
            <w:r>
              <w:rPr>
                <w:rFonts w:ascii="Times New Roman"/>
                <w:sz w:val="24"/>
              </w:rPr>
              <w:t>3075</w:t>
            </w:r>
          </w:p>
        </w:tc>
      </w:tr>
    </w:tbl>
    <w:p>
      <w:pPr>
        <w:spacing w:line="240" w:lineRule="auto" w:before="1"/>
        <w:rPr>
          <w:rFonts w:ascii="宋体" w:hAnsi="宋体" w:cs="宋体" w:eastAsia="宋体" w:hint="default"/>
          <w:b/>
          <w:bCs/>
          <w:sz w:val="18"/>
          <w:szCs w:val="18"/>
        </w:rPr>
      </w:pPr>
    </w:p>
    <w:p>
      <w:pPr>
        <w:pStyle w:val="Heading2"/>
        <w:spacing w:line="240" w:lineRule="auto" w:before="26"/>
        <w:ind w:left="213"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7"/>
          <w:szCs w:val="27"/>
        </w:rPr>
      </w:pPr>
    </w:p>
    <w:p>
      <w:pPr>
        <w:pStyle w:val="BodyText"/>
        <w:spacing w:line="357" w:lineRule="auto" w:before="0"/>
        <w:ind w:left="213" w:right="238" w:firstLine="480"/>
        <w:jc w:val="both"/>
      </w:pPr>
      <w:r>
        <w:rPr/>
        <w:t>公司的薪酬政策即通过建立公平、公正的薪酬管理体系，发挥薪酬的激励作用，调动员 工的工作积极性，体现公司价值导向和企业文化，使薪酬与岗位价值、员工绩效、公司发展</w:t>
      </w:r>
      <w:r>
        <w:rPr>
          <w:spacing w:val="-91"/>
        </w:rPr>
        <w:t> </w:t>
      </w:r>
      <w:r>
        <w:rPr>
          <w:spacing w:val="-91"/>
        </w:rPr>
      </w:r>
      <w:r>
        <w:rPr/>
        <w:t>的短期收益、中期收益以及长期收益结合起来。根据员工贡献、能力、责任及行业薪酬水平</w:t>
      </w:r>
      <w:r>
        <w:rPr>
          <w:spacing w:val="-91"/>
        </w:rPr>
        <w:t> </w:t>
      </w:r>
      <w:r>
        <w:rPr>
          <w:spacing w:val="-91"/>
        </w:rPr>
      </w:r>
      <w:r>
        <w:rPr/>
        <w:t>来作为定薪的依据，员工月收入由岗位工资、绩效工资构成。员工年度总收入由基本工资、</w:t>
      </w:r>
      <w:r>
        <w:rPr>
          <w:spacing w:val="-91"/>
        </w:rPr>
        <w:t> </w:t>
      </w:r>
      <w:r>
        <w:rPr>
          <w:spacing w:val="-91"/>
        </w:rPr>
      </w:r>
      <w:r>
        <w:rPr/>
        <w:t>绩效工资、福利、奖金等构成。</w:t>
      </w:r>
    </w:p>
    <w:p>
      <w:pPr>
        <w:spacing w:after="0" w:line="357" w:lineRule="auto"/>
        <w:jc w:val="both"/>
        <w:sectPr>
          <w:pgSz w:w="11910" w:h="16840"/>
          <w:pgMar w:header="877" w:footer="980" w:top="1100" w:bottom="1160" w:left="920" w:right="900"/>
        </w:sectPr>
      </w:pPr>
    </w:p>
    <w:p>
      <w:pPr>
        <w:spacing w:line="240" w:lineRule="auto" w:before="9"/>
        <w:rPr>
          <w:rFonts w:ascii="宋体" w:hAnsi="宋体" w:cs="宋体" w:eastAsia="宋体" w:hint="default"/>
          <w:sz w:val="19"/>
          <w:szCs w:val="19"/>
        </w:rPr>
      </w:pPr>
    </w:p>
    <w:p>
      <w:pPr>
        <w:pStyle w:val="Heading2"/>
        <w:spacing w:line="240" w:lineRule="auto" w:before="26"/>
        <w:ind w:right="98"/>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27"/>
          <w:szCs w:val="27"/>
        </w:rPr>
      </w:pPr>
    </w:p>
    <w:p>
      <w:pPr>
        <w:pStyle w:val="BodyText"/>
        <w:spacing w:line="357" w:lineRule="auto" w:before="0"/>
        <w:ind w:right="253" w:firstLine="480"/>
        <w:jc w:val="left"/>
      </w:pPr>
      <w:r>
        <w:rPr/>
        <w:t>公司通过超图大学建立了由课程体系、内训师体系、制度管理体系组成的培训体系，致 力于支持公司的战略实施、业务发展和人力资本增值；其中：</w:t>
      </w:r>
    </w:p>
    <w:p>
      <w:pPr>
        <w:pStyle w:val="BodyText"/>
        <w:spacing w:line="338" w:lineRule="auto" w:before="36"/>
        <w:ind w:right="98" w:firstLine="480"/>
        <w:jc w:val="left"/>
      </w:pPr>
      <w:r>
        <w:rPr>
          <w:rFonts w:ascii="Times New Roman" w:hAnsi="Times New Roman" w:cs="Times New Roman" w:eastAsia="Times New Roman" w:hint="default"/>
          <w:spacing w:val="-3"/>
        </w:rPr>
        <w:t>1</w:t>
      </w:r>
      <w:r>
        <w:rPr>
          <w:spacing w:val="-3"/>
        </w:rPr>
        <w:t>）梳理了重点岗位的岗位胜任力模型，从态度、知识、技能三方面设计了岗位进阶学习</w:t>
      </w:r>
      <w:r>
        <w:rPr/>
        <w:t> 地图，形成了较为完整的课程体系，确保培训工作得以系统化开展。</w:t>
      </w:r>
    </w:p>
    <w:p>
      <w:pPr>
        <w:pStyle w:val="BodyText"/>
        <w:spacing w:line="338" w:lineRule="auto"/>
        <w:ind w:right="98" w:firstLine="480"/>
        <w:jc w:val="left"/>
      </w:pPr>
      <w:r>
        <w:rPr>
          <w:rFonts w:ascii="Times New Roman" w:hAnsi="Times New Roman" w:cs="Times New Roman" w:eastAsia="Times New Roman" w:hint="default"/>
          <w:spacing w:val="-3"/>
        </w:rPr>
        <w:t>2</w:t>
      </w:r>
      <w:r>
        <w:rPr>
          <w:spacing w:val="-3"/>
        </w:rPr>
        <w:t>）建立了内训师体系，设计并规范了内训师及课程认证流程、内训师晋级标准、内训师</w:t>
      </w:r>
      <w:r>
        <w:rPr/>
        <w:t> 激励等方面内容，有效促进了组织经验的萃取和传递。</w:t>
      </w:r>
    </w:p>
    <w:p>
      <w:pPr>
        <w:pStyle w:val="BodyText"/>
        <w:spacing w:line="338" w:lineRule="auto"/>
        <w:ind w:left="633" w:right="98"/>
        <w:jc w:val="left"/>
      </w:pPr>
      <w:r>
        <w:rPr>
          <w:rFonts w:ascii="Times New Roman" w:hAnsi="Times New Roman" w:cs="Times New Roman" w:eastAsia="Times New Roman" w:hint="default"/>
          <w:spacing w:val="-6"/>
        </w:rPr>
        <w:t>3</w:t>
      </w:r>
      <w:r>
        <w:rPr>
          <w:spacing w:val="-6"/>
        </w:rPr>
        <w:t>）制定发布了培训管理的相关制度和系列卓越模板，对培训工作的标准化做了有效改进。</w:t>
      </w:r>
      <w:r>
        <w:rPr>
          <w:spacing w:val="-82"/>
        </w:rPr>
        <w:t> </w:t>
      </w:r>
      <w:r>
        <w:rPr>
          <w:spacing w:val="-82"/>
        </w:rPr>
      </w:r>
      <w:r>
        <w:rPr/>
        <w:t>报告期内，超图大学共计开展了</w:t>
      </w:r>
      <w:r>
        <w:rPr>
          <w:spacing w:val="-66"/>
        </w:rPr>
        <w:t> </w:t>
      </w:r>
      <w:r>
        <w:rPr>
          <w:rFonts w:ascii="Times New Roman" w:hAnsi="Times New Roman" w:cs="Times New Roman" w:eastAsia="Times New Roman" w:hint="default"/>
        </w:rPr>
        <w:t>395</w:t>
      </w:r>
      <w:r>
        <w:rPr>
          <w:rFonts w:ascii="Times New Roman" w:hAnsi="Times New Roman" w:cs="Times New Roman" w:eastAsia="Times New Roman" w:hint="default"/>
          <w:spacing w:val="-6"/>
        </w:rPr>
        <w:t> </w:t>
      </w:r>
      <w:r>
        <w:rPr>
          <w:spacing w:val="-3"/>
        </w:rPr>
        <w:t>课时的培训，培训人次达</w:t>
      </w:r>
      <w:r>
        <w:rPr>
          <w:spacing w:val="-65"/>
        </w:rPr>
        <w:t> </w:t>
      </w:r>
      <w:r>
        <w:rPr>
          <w:rFonts w:ascii="Times New Roman" w:hAnsi="Times New Roman" w:cs="Times New Roman" w:eastAsia="Times New Roman" w:hint="default"/>
        </w:rPr>
        <w:t>3200</w:t>
      </w:r>
      <w:r>
        <w:rPr>
          <w:rFonts w:ascii="Times New Roman" w:hAnsi="Times New Roman" w:cs="Times New Roman" w:eastAsia="Times New Roman" w:hint="default"/>
          <w:spacing w:val="-6"/>
        </w:rPr>
        <w:t> </w:t>
      </w:r>
      <w:r>
        <w:rPr>
          <w:spacing w:val="-3"/>
        </w:rPr>
        <w:t>余次，为促进公司业</w:t>
      </w:r>
    </w:p>
    <w:p>
      <w:pPr>
        <w:pStyle w:val="BodyText"/>
        <w:spacing w:line="240" w:lineRule="auto" w:before="27"/>
        <w:ind w:right="98"/>
        <w:jc w:val="left"/>
      </w:pPr>
      <w:r>
        <w:rPr/>
        <w:t>务发展，提升人力资源的能力素质提供了有力支撑。</w:t>
      </w:r>
    </w:p>
    <w:p>
      <w:pPr>
        <w:spacing w:line="240" w:lineRule="auto" w:before="11"/>
        <w:rPr>
          <w:rFonts w:ascii="宋体" w:hAnsi="宋体" w:cs="宋体" w:eastAsia="宋体" w:hint="default"/>
          <w:sz w:val="28"/>
          <w:szCs w:val="28"/>
        </w:rPr>
      </w:pPr>
    </w:p>
    <w:p>
      <w:pPr>
        <w:pStyle w:val="Heading2"/>
        <w:spacing w:line="240" w:lineRule="auto"/>
        <w:ind w:right="98"/>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3"/>
        <w:rPr>
          <w:rFonts w:ascii="宋体" w:hAnsi="宋体" w:cs="宋体" w:eastAsia="宋体" w:hint="default"/>
          <w:b/>
          <w:bCs/>
          <w:sz w:val="21"/>
          <w:szCs w:val="21"/>
        </w:rPr>
      </w:pPr>
    </w:p>
    <w:p>
      <w:pPr>
        <w:pStyle w:val="BodyText"/>
        <w:spacing w:line="240" w:lineRule="auto" w:before="0"/>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after="0" w:line="240" w:lineRule="auto"/>
        <w:jc w:val="left"/>
        <w:sectPr>
          <w:pgSz w:w="11910" w:h="16840"/>
          <w:pgMar w:header="877" w:footer="980" w:top="1100" w:bottom="1160" w:left="980" w:right="900"/>
        </w:sectPr>
      </w:pPr>
    </w:p>
    <w:p>
      <w:pPr>
        <w:spacing w:line="240" w:lineRule="auto" w:before="0"/>
        <w:rPr>
          <w:rFonts w:ascii="宋体" w:hAnsi="宋体" w:cs="宋体" w:eastAsia="宋体" w:hint="default"/>
          <w:sz w:val="20"/>
          <w:szCs w:val="20"/>
        </w:rPr>
      </w:pPr>
    </w:p>
    <w:p>
      <w:pPr>
        <w:pStyle w:val="Heading1"/>
        <w:spacing w:line="240" w:lineRule="auto" w:before="173"/>
        <w:ind w:left="3178" w:right="2985"/>
        <w:jc w:val="center"/>
        <w:rPr>
          <w:b w:val="0"/>
          <w:bCs w:val="0"/>
        </w:rPr>
      </w:pPr>
      <w:bookmarkStart w:name="_bookmark8" w:id="9"/>
      <w:bookmarkEnd w:id="9"/>
      <w:r>
        <w:rPr>
          <w:b w:val="0"/>
          <w:bCs w:val="0"/>
        </w:rPr>
      </w:r>
      <w:r>
        <w:rPr>
          <w:spacing w:val="4"/>
        </w:rPr>
        <w:t>第九节</w:t>
      </w:r>
      <w:r>
        <w:rPr>
          <w:spacing w:val="-1"/>
        </w:rPr>
        <w:t> </w:t>
      </w:r>
      <w:r>
        <w:rPr>
          <w:spacing w:val="3"/>
        </w:rPr>
        <w:t>公司治理</w:t>
      </w:r>
      <w:r>
        <w:rPr>
          <w:b w:val="0"/>
          <w:bCs w:val="0"/>
          <w:spacing w:val="3"/>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293"/>
        <w:jc w:val="left"/>
        <w:rPr>
          <w:b w:val="0"/>
          <w:bCs w:val="0"/>
        </w:rPr>
      </w:pPr>
      <w:r>
        <w:rPr/>
        <w:t>一、公司治理的基本状况</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152" w:firstLine="480"/>
        <w:jc w:val="both"/>
      </w:pPr>
      <w:r>
        <w:rPr/>
        <w:t>报告期内，公司严格按照《公司法》、《证券法》、《上市公司治理准则》、《深圳证 </w:t>
      </w:r>
      <w:r>
        <w:rPr>
          <w:spacing w:val="-5"/>
        </w:rPr>
        <w:t>券交易所创业板股票上市规则》、《深圳证券交易所创业板上市公司规范运作指引》等法律、</w:t>
      </w:r>
      <w:r>
        <w:rPr>
          <w:spacing w:val="-118"/>
        </w:rPr>
        <w:t> </w:t>
      </w:r>
      <w:r>
        <w:rPr>
          <w:spacing w:val="-118"/>
        </w:rPr>
      </w:r>
      <w:r>
        <w:rPr/>
        <w:t>法规和中国证监会有关法律法规等的要求，不断完善公司的法人治理结构，建立健全公司内</w:t>
      </w:r>
      <w:r>
        <w:rPr>
          <w:spacing w:val="-91"/>
        </w:rPr>
        <w:t> </w:t>
      </w:r>
      <w:r>
        <w:rPr>
          <w:spacing w:val="-91"/>
        </w:rPr>
      </w:r>
      <w:r>
        <w:rPr/>
        <w:t>部管理和控制制度，持续深入开展公司治理活动，促进了公司规范运作，提高了公司治理水</w:t>
      </w:r>
      <w:r>
        <w:rPr>
          <w:spacing w:val="-91"/>
        </w:rPr>
        <w:t> </w:t>
      </w:r>
      <w:r>
        <w:rPr>
          <w:spacing w:val="-91"/>
        </w:rPr>
      </w:r>
      <w:r>
        <w:rPr/>
        <w:t>平。截至报告期末，公司治理的实际状况符合《上市公司治理准则》和《深圳证券交易所创</w:t>
      </w:r>
      <w:r>
        <w:rPr>
          <w:spacing w:val="-91"/>
        </w:rPr>
        <w:t> </w:t>
      </w:r>
      <w:r>
        <w:rPr>
          <w:spacing w:val="-91"/>
        </w:rPr>
      </w:r>
      <w:r>
        <w:rPr/>
        <w:t>业板上市公司规范运作指引》的要求。</w:t>
      </w:r>
    </w:p>
    <w:p>
      <w:pPr>
        <w:spacing w:line="240" w:lineRule="auto" w:before="11"/>
        <w:rPr>
          <w:rFonts w:ascii="宋体" w:hAnsi="宋体" w:cs="宋体" w:eastAsia="宋体" w:hint="default"/>
          <w:sz w:val="19"/>
          <w:szCs w:val="19"/>
        </w:rPr>
      </w:pPr>
    </w:p>
    <w:p>
      <w:pPr>
        <w:pStyle w:val="Heading2"/>
        <w:spacing w:line="240" w:lineRule="auto"/>
        <w:ind w:right="293"/>
        <w:jc w:val="left"/>
        <w:rPr>
          <w:b w:val="0"/>
          <w:bCs w:val="0"/>
        </w:rPr>
      </w:pPr>
      <w:r>
        <w:rPr>
          <w:rFonts w:ascii="Times New Roman" w:hAnsi="Times New Roman" w:cs="Times New Roman" w:eastAsia="Times New Roman" w:hint="default"/>
        </w:rPr>
        <w:t>1</w:t>
      </w:r>
      <w:r>
        <w:rPr/>
        <w:t>、关于股东与股东大会</w:t>
      </w:r>
      <w:r>
        <w:rPr>
          <w:b w:val="0"/>
          <w:bCs w:val="0"/>
        </w:rPr>
      </w:r>
    </w:p>
    <w:p>
      <w:pPr>
        <w:spacing w:line="240" w:lineRule="auto" w:before="6"/>
        <w:rPr>
          <w:rFonts w:ascii="宋体" w:hAnsi="宋体" w:cs="宋体" w:eastAsia="宋体" w:hint="default"/>
          <w:b/>
          <w:bCs/>
          <w:sz w:val="27"/>
          <w:szCs w:val="27"/>
        </w:rPr>
      </w:pPr>
    </w:p>
    <w:p>
      <w:pPr>
        <w:pStyle w:val="BodyText"/>
        <w:spacing w:line="357" w:lineRule="auto" w:before="0"/>
        <w:ind w:right="158" w:firstLine="480"/>
        <w:jc w:val="both"/>
      </w:pPr>
      <w:r>
        <w:rPr/>
        <w:t>报告期内，严格遵守《上市公司股东大会规则》、《公司章程》、《北京超图软件股份 有限公司股东大会议事规则》的规定，规范的召集召开股东大会，公平对待所有股东，并尽</w:t>
      </w:r>
      <w:r>
        <w:rPr>
          <w:spacing w:val="-91"/>
        </w:rPr>
        <w:t> </w:t>
      </w:r>
      <w:r>
        <w:rPr>
          <w:spacing w:val="-91"/>
        </w:rPr>
      </w:r>
      <w:r>
        <w:rPr/>
        <w:t>可能为股东参加股东大会提供便利条件，确保股东充分行使权利。</w:t>
      </w:r>
    </w:p>
    <w:p>
      <w:pPr>
        <w:spacing w:line="240" w:lineRule="auto" w:before="11"/>
        <w:rPr>
          <w:rFonts w:ascii="宋体" w:hAnsi="宋体" w:cs="宋体" w:eastAsia="宋体" w:hint="default"/>
          <w:sz w:val="19"/>
          <w:szCs w:val="19"/>
        </w:rPr>
      </w:pPr>
    </w:p>
    <w:p>
      <w:pPr>
        <w:pStyle w:val="Heading2"/>
        <w:spacing w:line="240" w:lineRule="auto"/>
        <w:ind w:right="293"/>
        <w:jc w:val="left"/>
        <w:rPr>
          <w:b w:val="0"/>
          <w:bCs w:val="0"/>
        </w:rPr>
      </w:pPr>
      <w:r>
        <w:rPr>
          <w:rFonts w:ascii="Times New Roman" w:hAnsi="Times New Roman" w:cs="Times New Roman" w:eastAsia="Times New Roman" w:hint="default"/>
        </w:rPr>
        <w:t>2</w:t>
      </w:r>
      <w:r>
        <w:rPr/>
        <w:t>、关于公司与控股股东</w:t>
      </w:r>
      <w:r>
        <w:rPr>
          <w:b w:val="0"/>
          <w:bCs w:val="0"/>
        </w:rPr>
      </w:r>
    </w:p>
    <w:p>
      <w:pPr>
        <w:spacing w:line="240" w:lineRule="auto" w:before="4"/>
        <w:rPr>
          <w:rFonts w:ascii="宋体" w:hAnsi="宋体" w:cs="宋体" w:eastAsia="宋体" w:hint="default"/>
          <w:b/>
          <w:bCs/>
          <w:sz w:val="27"/>
          <w:szCs w:val="27"/>
        </w:rPr>
      </w:pPr>
    </w:p>
    <w:p>
      <w:pPr>
        <w:pStyle w:val="BodyText"/>
        <w:spacing w:line="357" w:lineRule="auto" w:before="0"/>
        <w:ind w:right="158" w:firstLine="480"/>
        <w:jc w:val="both"/>
      </w:pPr>
      <w:r>
        <w:rPr/>
        <w:t>控股股东严格依法行使其股东权利，没有超越股东大会或董事会直接或间接干预公司的 决策及依法开展的生产经营活动，未损害公司及其他股东的权益。公司拥有独立的人员、资</w:t>
      </w:r>
      <w:r>
        <w:rPr>
          <w:spacing w:val="-91"/>
        </w:rPr>
        <w:t> </w:t>
      </w:r>
      <w:r>
        <w:rPr>
          <w:spacing w:val="-91"/>
        </w:rPr>
      </w:r>
      <w:r>
        <w:rPr/>
        <w:t>产、财务、业务、机构，公司的董事会、监事会及其他内部机构独立运作。此外，控股股东</w:t>
      </w:r>
      <w:r>
        <w:rPr>
          <w:spacing w:val="-91"/>
        </w:rPr>
        <w:t> </w:t>
      </w:r>
      <w:r>
        <w:rPr>
          <w:spacing w:val="-91"/>
        </w:rPr>
      </w:r>
      <w:r>
        <w:rPr/>
        <w:t>已签署《避免同业竞争承诺函》，不从事与公司相同、相近或形成竞争的业务。</w:t>
      </w:r>
    </w:p>
    <w:p>
      <w:pPr>
        <w:spacing w:line="240" w:lineRule="auto" w:before="11"/>
        <w:rPr>
          <w:rFonts w:ascii="宋体" w:hAnsi="宋体" w:cs="宋体" w:eastAsia="宋体" w:hint="default"/>
          <w:sz w:val="19"/>
          <w:szCs w:val="19"/>
        </w:rPr>
      </w:pPr>
    </w:p>
    <w:p>
      <w:pPr>
        <w:pStyle w:val="Heading2"/>
        <w:spacing w:line="240" w:lineRule="auto"/>
        <w:ind w:right="293"/>
        <w:jc w:val="left"/>
        <w:rPr>
          <w:b w:val="0"/>
          <w:bCs w:val="0"/>
        </w:rPr>
      </w:pPr>
      <w:r>
        <w:rPr>
          <w:rFonts w:ascii="Times New Roman" w:hAnsi="Times New Roman" w:cs="Times New Roman" w:eastAsia="Times New Roman" w:hint="default"/>
        </w:rPr>
        <w:t>3</w:t>
      </w:r>
      <w:r>
        <w:rPr/>
        <w:t>、关于董事和董事会</w:t>
      </w:r>
      <w:r>
        <w:rPr>
          <w:b w:val="0"/>
          <w:bCs w:val="0"/>
        </w:rPr>
      </w:r>
    </w:p>
    <w:p>
      <w:pPr>
        <w:spacing w:line="240" w:lineRule="auto" w:before="6"/>
        <w:rPr>
          <w:rFonts w:ascii="宋体" w:hAnsi="宋体" w:cs="宋体" w:eastAsia="宋体" w:hint="default"/>
          <w:b/>
          <w:bCs/>
          <w:sz w:val="27"/>
          <w:szCs w:val="27"/>
        </w:rPr>
      </w:pPr>
    </w:p>
    <w:p>
      <w:pPr>
        <w:pStyle w:val="BodyText"/>
        <w:spacing w:line="338" w:lineRule="auto" w:before="0"/>
        <w:ind w:right="158" w:firstLine="480"/>
        <w:jc w:val="both"/>
      </w:pPr>
      <w:r>
        <w:rPr/>
        <w:t>公司董事会成员</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名，董事会的人数、人员资格、人员构成均符合有 关法律、法规以及《公司章程》的要求。</w:t>
      </w:r>
    </w:p>
    <w:p>
      <w:pPr>
        <w:pStyle w:val="BodyText"/>
        <w:spacing w:line="357" w:lineRule="auto"/>
        <w:ind w:right="158" w:firstLine="480"/>
        <w:jc w:val="both"/>
      </w:pPr>
      <w:r>
        <w:rPr/>
        <w:t>各位董事能够按照《董事会议事规则》、《北京超图软件股份有限公司独立董事工作制 度》、《深圳证券交易所创业板上市公司规范运作指引》以及《公司章程》等有关规定，认</w:t>
      </w:r>
      <w:r>
        <w:rPr>
          <w:spacing w:val="-91"/>
        </w:rPr>
        <w:t> </w:t>
      </w:r>
      <w:r>
        <w:rPr>
          <w:spacing w:val="-91"/>
        </w:rPr>
      </w:r>
      <w:r>
        <w:rPr/>
        <w:t>真出席董事会，积极参与有关培训，熟悉有关法律法规，忠实、诚信、勤勉的履行了职责。</w:t>
      </w:r>
    </w:p>
    <w:p>
      <w:pPr>
        <w:spacing w:after="0" w:line="357" w:lineRule="auto"/>
        <w:jc w:val="both"/>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293"/>
        <w:jc w:val="left"/>
        <w:rPr>
          <w:b w:val="0"/>
          <w:bCs w:val="0"/>
        </w:rPr>
      </w:pPr>
      <w:r>
        <w:rPr>
          <w:rFonts w:ascii="Times New Roman" w:hAnsi="Times New Roman" w:cs="Times New Roman" w:eastAsia="Times New Roman" w:hint="default"/>
        </w:rPr>
        <w:t>4</w:t>
      </w:r>
      <w:r>
        <w:rPr/>
        <w:t>、关于监事和监事会</w:t>
      </w:r>
      <w:r>
        <w:rPr>
          <w:b w:val="0"/>
          <w:bCs w:val="0"/>
        </w:rPr>
      </w:r>
    </w:p>
    <w:p>
      <w:pPr>
        <w:spacing w:line="240" w:lineRule="auto" w:before="6"/>
        <w:rPr>
          <w:rFonts w:ascii="宋体" w:hAnsi="宋体" w:cs="宋体" w:eastAsia="宋体" w:hint="default"/>
          <w:b/>
          <w:bCs/>
          <w:sz w:val="27"/>
          <w:szCs w:val="27"/>
        </w:rPr>
      </w:pPr>
    </w:p>
    <w:p>
      <w:pPr>
        <w:pStyle w:val="BodyText"/>
        <w:spacing w:line="352" w:lineRule="auto" w:before="0"/>
        <w:ind w:right="158" w:firstLine="480"/>
        <w:jc w:val="both"/>
      </w:pPr>
      <w:r>
        <w:rPr/>
        <w:t>公司监事会成员</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名，监事会的人数、人员资格以及人员构成符合法 律、法规和《公司章程》的要求。各位监事能够按照《北京超图软件股份有限公司监事会议</w:t>
      </w:r>
      <w:r>
        <w:rPr>
          <w:spacing w:val="-91"/>
        </w:rPr>
        <w:t> </w:t>
      </w:r>
      <w:r>
        <w:rPr>
          <w:spacing w:val="-91"/>
        </w:rPr>
      </w:r>
      <w:r>
        <w:rPr/>
        <w:t>事规则》等相关制度的要求，按照规定的程序召开监事会，对公司依法运行、定期报告、审</w:t>
      </w:r>
      <w:r>
        <w:rPr>
          <w:spacing w:val="-91"/>
        </w:rPr>
        <w:t> </w:t>
      </w:r>
      <w:r>
        <w:rPr>
          <w:spacing w:val="-91"/>
        </w:rPr>
      </w:r>
      <w:r>
        <w:rPr/>
        <w:t>计报告等重大事项发表意见，对公司财务以及公司董事、经理和其他高级管理人员履行职责</w:t>
      </w:r>
      <w:r>
        <w:rPr>
          <w:spacing w:val="-91"/>
        </w:rPr>
        <w:t> </w:t>
      </w:r>
      <w:r>
        <w:rPr>
          <w:spacing w:val="-91"/>
        </w:rPr>
      </w:r>
      <w:r>
        <w:rPr/>
        <w:t>的合法合规性进行了监督。</w:t>
      </w:r>
    </w:p>
    <w:p>
      <w:pPr>
        <w:spacing w:line="240" w:lineRule="auto" w:before="3"/>
        <w:rPr>
          <w:rFonts w:ascii="宋体" w:hAnsi="宋体" w:cs="宋体" w:eastAsia="宋体" w:hint="default"/>
          <w:sz w:val="20"/>
          <w:szCs w:val="20"/>
        </w:rPr>
      </w:pPr>
    </w:p>
    <w:p>
      <w:pPr>
        <w:pStyle w:val="Heading2"/>
        <w:spacing w:line="240" w:lineRule="auto"/>
        <w:ind w:right="293"/>
        <w:jc w:val="left"/>
        <w:rPr>
          <w:b w:val="0"/>
          <w:bCs w:val="0"/>
        </w:rPr>
      </w:pPr>
      <w:r>
        <w:rPr>
          <w:rFonts w:ascii="Times New Roman" w:hAnsi="Times New Roman" w:cs="Times New Roman" w:eastAsia="Times New Roman" w:hint="default"/>
        </w:rPr>
        <w:t>5</w:t>
      </w:r>
      <w:r>
        <w:rPr/>
        <w:t>、关于绩效评价和激励约束机制</w:t>
      </w:r>
      <w:r>
        <w:rPr>
          <w:b w:val="0"/>
          <w:bCs w:val="0"/>
        </w:rPr>
      </w:r>
    </w:p>
    <w:p>
      <w:pPr>
        <w:spacing w:line="240" w:lineRule="auto" w:before="4"/>
        <w:rPr>
          <w:rFonts w:ascii="宋体" w:hAnsi="宋体" w:cs="宋体" w:eastAsia="宋体" w:hint="default"/>
          <w:b/>
          <w:bCs/>
          <w:sz w:val="27"/>
          <w:szCs w:val="27"/>
        </w:rPr>
      </w:pPr>
    </w:p>
    <w:p>
      <w:pPr>
        <w:pStyle w:val="BodyText"/>
        <w:spacing w:line="357" w:lineRule="auto" w:before="0"/>
        <w:ind w:right="160" w:firstLine="480"/>
        <w:jc w:val="both"/>
      </w:pPr>
      <w:r>
        <w:rPr/>
        <w:t>公司进一步健全了有效的绩效评价与激励体系，经营者的收入与公司经营业绩挂钩，高 级管理人员的聘任公开、透明、依法进行。</w:t>
      </w:r>
    </w:p>
    <w:p>
      <w:pPr>
        <w:spacing w:line="240" w:lineRule="auto" w:before="11"/>
        <w:rPr>
          <w:rFonts w:ascii="宋体" w:hAnsi="宋体" w:cs="宋体" w:eastAsia="宋体" w:hint="default"/>
          <w:sz w:val="19"/>
          <w:szCs w:val="19"/>
        </w:rPr>
      </w:pPr>
    </w:p>
    <w:p>
      <w:pPr>
        <w:pStyle w:val="Heading2"/>
        <w:spacing w:line="240" w:lineRule="auto"/>
        <w:ind w:right="293"/>
        <w:jc w:val="left"/>
        <w:rPr>
          <w:b w:val="0"/>
          <w:bCs w:val="0"/>
        </w:rPr>
      </w:pPr>
      <w:r>
        <w:rPr>
          <w:rFonts w:ascii="Times New Roman" w:hAnsi="Times New Roman" w:cs="Times New Roman" w:eastAsia="Times New Roman" w:hint="default"/>
        </w:rPr>
        <w:t>6</w:t>
      </w:r>
      <w:r>
        <w:rPr/>
        <w:t>、关于信息披露与透明度</w:t>
      </w:r>
      <w:r>
        <w:rPr>
          <w:b w:val="0"/>
          <w:bCs w:val="0"/>
        </w:rPr>
      </w:r>
    </w:p>
    <w:p>
      <w:pPr>
        <w:spacing w:line="240" w:lineRule="auto" w:before="6"/>
        <w:rPr>
          <w:rFonts w:ascii="宋体" w:hAnsi="宋体" w:cs="宋体" w:eastAsia="宋体" w:hint="default"/>
          <w:b/>
          <w:bCs/>
          <w:sz w:val="27"/>
          <w:szCs w:val="27"/>
        </w:rPr>
      </w:pPr>
    </w:p>
    <w:p>
      <w:pPr>
        <w:pStyle w:val="BodyText"/>
        <w:spacing w:line="357" w:lineRule="auto" w:before="0"/>
        <w:ind w:right="156" w:firstLine="480"/>
        <w:jc w:val="both"/>
      </w:pPr>
      <w:r>
        <w:rPr/>
        <w:t>公司严格按照《北京超图软件股份有限公司信息披露管理办法》、《深圳证券交易所创 业板上市规则》等有关规定真实、准确、完整、及时地披露信息。指定公司董事会秘书为公</w:t>
      </w:r>
      <w:r>
        <w:rPr>
          <w:spacing w:val="-91"/>
        </w:rPr>
        <w:t> </w:t>
      </w:r>
      <w:r>
        <w:rPr>
          <w:spacing w:val="-91"/>
        </w:rPr>
      </w:r>
      <w:r>
        <w:rPr/>
        <w:t>司信息披露与投资者关系活动的负责人，协调公司与投资者的关系，接待股东来访，回答咨</w:t>
      </w:r>
      <w:r>
        <w:rPr>
          <w:spacing w:val="-91"/>
        </w:rPr>
        <w:t> </w:t>
      </w:r>
      <w:r>
        <w:rPr>
          <w:spacing w:val="-91"/>
        </w:rPr>
      </w:r>
      <w:r>
        <w:rPr>
          <w:spacing w:val="31"/>
        </w:rPr>
        <w:t>询，联系股东，向</w:t>
      </w:r>
      <w:r>
        <w:rPr>
          <w:spacing w:val="-79"/>
        </w:rPr>
        <w:t> </w:t>
      </w:r>
      <w:r>
        <w:rPr>
          <w:spacing w:val="31"/>
        </w:rPr>
        <w:t>投资者提供公司公</w:t>
      </w:r>
      <w:r>
        <w:rPr>
          <w:spacing w:val="-79"/>
        </w:rPr>
        <w:t> </w:t>
      </w:r>
      <w:r>
        <w:rPr>
          <w:spacing w:val="31"/>
        </w:rPr>
        <w:t>开披露的资料；并</w:t>
      </w:r>
      <w:r>
        <w:rPr>
          <w:spacing w:val="-79"/>
        </w:rPr>
        <w:t> </w:t>
      </w:r>
      <w:r>
        <w:rPr>
          <w:spacing w:val="31"/>
        </w:rPr>
        <w:t>将《证券时报》、</w:t>
      </w:r>
      <w:r>
        <w:rPr>
          <w:spacing w:val="-79"/>
        </w:rPr>
        <w:t> </w:t>
      </w:r>
      <w:r>
        <w:rPr>
          <w:spacing w:val="18"/>
        </w:rPr>
        <w:t>巨潮</w:t>
      </w:r>
      <w:r>
        <w:rPr>
          <w:spacing w:val="-79"/>
        </w:rPr>
        <w:t> </w:t>
      </w:r>
      <w:r>
        <w:rPr/>
        <w:t>网</w:t>
      </w:r>
    </w:p>
    <w:p>
      <w:pPr>
        <w:pStyle w:val="BodyText"/>
        <w:spacing w:line="338" w:lineRule="auto" w:before="36"/>
        <w:ind w:right="140"/>
        <w:jc w:val="left"/>
      </w:pPr>
      <w:r>
        <w:rPr/>
        <w:t>（</w:t>
      </w:r>
      <w:hyperlink r:id="rId11">
        <w:r>
          <w:rPr>
            <w:rFonts w:ascii="Times New Roman" w:hAnsi="Times New Roman" w:cs="Times New Roman" w:eastAsia="Times New Roman" w:hint="default"/>
          </w:rPr>
          <w:t>www.cninfo.com.cn</w:t>
        </w:r>
      </w:hyperlink>
      <w:r>
        <w:rPr/>
        <w:t>）以及公司官方网站作为公司信息披露平台，确保所有股东有平等的机</w:t>
      </w:r>
      <w:r>
        <w:rPr>
          <w:spacing w:val="-118"/>
        </w:rPr>
        <w:t> </w:t>
      </w:r>
      <w:r>
        <w:rPr>
          <w:spacing w:val="-118"/>
        </w:rPr>
      </w:r>
      <w:r>
        <w:rPr/>
        <w:t>会获得信息。</w:t>
      </w:r>
    </w:p>
    <w:p>
      <w:pPr>
        <w:spacing w:line="688" w:lineRule="exact" w:before="8"/>
        <w:ind w:left="633" w:right="13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、关于利益相关者</w:t>
      </w:r>
      <w:r>
        <w:rPr>
          <w:rFonts w:ascii="宋体" w:hAnsi="宋体" w:cs="宋体" w:eastAsia="宋体" w:hint="default"/>
          <w:b/>
          <w:bCs/>
          <w:w w:val="99"/>
          <w:sz w:val="24"/>
          <w:szCs w:val="24"/>
        </w:rPr>
        <w:t> </w:t>
      </w:r>
      <w:r>
        <w:rPr>
          <w:rFonts w:ascii="宋体" w:hAnsi="宋体" w:cs="宋体" w:eastAsia="宋体" w:hint="default"/>
          <w:sz w:val="24"/>
          <w:szCs w:val="24"/>
        </w:rPr>
        <w:t>公司充分尊重和维护利益相关者的合法权利，并与利益相关者积极合作，共同推动公司</w:t>
      </w:r>
    </w:p>
    <w:p>
      <w:pPr>
        <w:pStyle w:val="BodyText"/>
        <w:spacing w:line="357" w:lineRule="auto" w:before="50"/>
        <w:ind w:left="633" w:right="138" w:hanging="480"/>
        <w:jc w:val="left"/>
      </w:pPr>
      <w:r>
        <w:rPr/>
        <w:t>持续、健康地发展。 公司治理的实际状况与中国证监会发布的有关上市公司治理的规范性文件是否存在重大</w:t>
      </w:r>
    </w:p>
    <w:p>
      <w:pPr>
        <w:pStyle w:val="BodyText"/>
        <w:spacing w:line="240" w:lineRule="auto" w:before="37"/>
        <w:ind w:right="293"/>
        <w:jc w:val="left"/>
      </w:pPr>
      <w:r>
        <w:rPr/>
        <w:t>差异</w:t>
      </w:r>
    </w:p>
    <w:p>
      <w:pPr>
        <w:pStyle w:val="BodyText"/>
        <w:spacing w:line="338" w:lineRule="auto" w:before="154"/>
        <w:ind w:left="633" w:right="13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公司治理的实际状况与中国证监会发布的有关上市公司治理的规范性文件不存在重大差</w:t>
      </w:r>
    </w:p>
    <w:p>
      <w:pPr>
        <w:pStyle w:val="BodyText"/>
        <w:spacing w:line="240" w:lineRule="auto"/>
        <w:ind w:right="293"/>
        <w:jc w:val="left"/>
      </w:pPr>
      <w:r>
        <w:rPr/>
        <w:t>异。</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left="453" w:right="0"/>
        <w:jc w:val="left"/>
        <w:rPr>
          <w:b w:val="0"/>
          <w:bCs w:val="0"/>
        </w:rPr>
      </w:pPr>
      <w:r>
        <w:rPr/>
        <w:t>二、公司相对于控股股东在业务、人员、资产、机构、财务等方面的独立情况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left="453" w:right="0" w:firstLine="480"/>
        <w:jc w:val="left"/>
      </w:pPr>
      <w:r>
        <w:rPr/>
        <w:t>公司控股股东、实际控制人为自然人，公司与控股股东在业务、人员、资产、机构、财 务方面均保持独立。</w:t>
      </w:r>
    </w:p>
    <w:p>
      <w:pPr>
        <w:spacing w:line="240" w:lineRule="auto" w:before="11"/>
        <w:rPr>
          <w:rFonts w:ascii="宋体" w:hAnsi="宋体" w:cs="宋体" w:eastAsia="宋体" w:hint="default"/>
          <w:sz w:val="19"/>
          <w:szCs w:val="19"/>
        </w:rPr>
      </w:pPr>
    </w:p>
    <w:p>
      <w:pPr>
        <w:pStyle w:val="Heading2"/>
        <w:spacing w:line="240" w:lineRule="auto"/>
        <w:ind w:left="453" w:right="0"/>
        <w:jc w:val="left"/>
        <w:rPr>
          <w:b w:val="0"/>
          <w:bCs w:val="0"/>
        </w:rPr>
      </w:pPr>
      <w:r>
        <w:rPr/>
        <w:t>三、同业竞争情况</w:t>
      </w:r>
      <w:r>
        <w:rPr>
          <w:b w:val="0"/>
          <w:bCs w:val="0"/>
        </w:rPr>
      </w:r>
    </w:p>
    <w:p>
      <w:pPr>
        <w:spacing w:line="240" w:lineRule="auto" w:before="8"/>
        <w:rPr>
          <w:rFonts w:ascii="宋体" w:hAnsi="宋体" w:cs="宋体" w:eastAsia="宋体" w:hint="default"/>
          <w:b/>
          <w:bCs/>
          <w:sz w:val="22"/>
          <w:szCs w:val="22"/>
        </w:rPr>
      </w:pPr>
    </w:p>
    <w:p>
      <w:pPr>
        <w:spacing w:line="456" w:lineRule="auto" w:before="0"/>
        <w:ind w:left="453" w:right="358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、本报告期股东大会情况</w:t>
      </w:r>
      <w:r>
        <w:rPr>
          <w:rFonts w:ascii="宋体" w:hAnsi="宋体" w:cs="宋体" w:eastAsia="宋体" w:hint="default"/>
          <w:sz w:val="24"/>
          <w:szCs w:val="24"/>
        </w:rPr>
      </w:r>
    </w:p>
    <w:p>
      <w:pPr>
        <w:spacing w:line="240" w:lineRule="auto" w:before="13"/>
        <w:rPr>
          <w:rFonts w:ascii="宋体" w:hAnsi="宋体" w:cs="宋体" w:eastAsia="宋体" w:hint="default"/>
          <w:b/>
          <w:bCs/>
          <w:sz w:val="5"/>
          <w:szCs w:val="5"/>
        </w:rPr>
      </w:pPr>
    </w:p>
    <w:tbl>
      <w:tblPr>
        <w:tblW w:w="0" w:type="auto"/>
        <w:jc w:val="left"/>
        <w:tblInd w:w="102" w:type="dxa"/>
        <w:tblLayout w:type="fixed"/>
        <w:tblCellMar>
          <w:top w:w="0" w:type="dxa"/>
          <w:left w:w="0" w:type="dxa"/>
          <w:bottom w:w="0" w:type="dxa"/>
          <w:right w:w="0" w:type="dxa"/>
        </w:tblCellMar>
        <w:tblLook w:val="01E0"/>
      </w:tblPr>
      <w:tblGrid>
        <w:gridCol w:w="1978"/>
        <w:gridCol w:w="1597"/>
        <w:gridCol w:w="1099"/>
        <w:gridCol w:w="1702"/>
        <w:gridCol w:w="1755"/>
        <w:gridCol w:w="2201"/>
      </w:tblGrid>
      <w:tr>
        <w:trPr>
          <w:trHeight w:val="715"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会议类型</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30" w:right="120" w:hanging="106"/>
              <w:jc w:val="left"/>
              <w:rPr>
                <w:rFonts w:ascii="宋体" w:hAnsi="宋体" w:cs="宋体" w:eastAsia="宋体" w:hint="default"/>
                <w:sz w:val="21"/>
                <w:szCs w:val="21"/>
              </w:rPr>
            </w:pPr>
            <w:r>
              <w:rPr>
                <w:rFonts w:ascii="宋体" w:hAnsi="宋体" w:cs="宋体" w:eastAsia="宋体" w:hint="default"/>
                <w:sz w:val="21"/>
                <w:szCs w:val="21"/>
              </w:rPr>
              <w:t>投资者参</w:t>
            </w:r>
            <w:r>
              <w:rPr>
                <w:rFonts w:ascii="宋体" w:hAnsi="宋体" w:cs="宋体" w:eastAsia="宋体" w:hint="default"/>
                <w:w w:val="100"/>
                <w:sz w:val="21"/>
                <w:szCs w:val="21"/>
              </w:rPr>
              <w:t> </w:t>
            </w:r>
            <w:r>
              <w:rPr>
                <w:rFonts w:ascii="宋体" w:hAnsi="宋体" w:cs="宋体" w:eastAsia="宋体" w:hint="default"/>
                <w:sz w:val="21"/>
                <w:szCs w:val="21"/>
              </w:rPr>
              <w:t>与比例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401"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年年度股东大会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年度股东大会</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color w:val="333333"/>
                <w:sz w:val="21"/>
              </w:rPr>
              <w:t>27.2617%</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15"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6"/>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年第一次临时股</w:t>
            </w:r>
            <w:r>
              <w:rPr>
                <w:rFonts w:ascii="宋体" w:hAnsi="宋体" w:cs="宋体" w:eastAsia="宋体" w:hint="default"/>
                <w:w w:val="100"/>
                <w:sz w:val="21"/>
                <w:szCs w:val="21"/>
              </w:rPr>
              <w:t> </w:t>
            </w:r>
            <w:r>
              <w:rPr>
                <w:rFonts w:ascii="宋体" w:hAnsi="宋体" w:cs="宋体" w:eastAsia="宋体" w:hint="default"/>
                <w:sz w:val="21"/>
                <w:szCs w:val="21"/>
              </w:rPr>
              <w:t>东大会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临时股东大会</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color w:val="333333"/>
                <w:sz w:val="21"/>
              </w:rPr>
              <w:t>28.4418%</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13"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6"/>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年第二次临时股</w:t>
            </w:r>
            <w:r>
              <w:rPr>
                <w:rFonts w:ascii="宋体" w:hAnsi="宋体" w:cs="宋体" w:eastAsia="宋体" w:hint="default"/>
                <w:w w:val="100"/>
                <w:sz w:val="21"/>
                <w:szCs w:val="21"/>
              </w:rPr>
              <w:t> </w:t>
            </w:r>
            <w:r>
              <w:rPr>
                <w:rFonts w:ascii="宋体" w:hAnsi="宋体" w:cs="宋体" w:eastAsia="宋体" w:hint="default"/>
                <w:sz w:val="21"/>
                <w:szCs w:val="21"/>
              </w:rPr>
              <w:t>东大会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临时股东大会</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58" w:right="0"/>
              <w:jc w:val="center"/>
              <w:rPr>
                <w:rFonts w:ascii="Times New Roman" w:hAnsi="Times New Roman" w:cs="Times New Roman" w:eastAsia="Times New Roman" w:hint="default"/>
                <w:sz w:val="21"/>
                <w:szCs w:val="21"/>
              </w:rPr>
            </w:pPr>
            <w:r>
              <w:rPr>
                <w:rFonts w:ascii="Times New Roman"/>
                <w:color w:val="333333"/>
                <w:sz w:val="21"/>
              </w:rPr>
              <w:t>19.9022%</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1"/>
        <w:rPr>
          <w:rFonts w:ascii="宋体" w:hAnsi="宋体" w:cs="宋体" w:eastAsia="宋体" w:hint="default"/>
          <w:b/>
          <w:bCs/>
          <w:sz w:val="18"/>
          <w:szCs w:val="18"/>
        </w:rPr>
      </w:pPr>
    </w:p>
    <w:p>
      <w:pPr>
        <w:pStyle w:val="Heading2"/>
        <w:spacing w:line="240" w:lineRule="auto" w:before="26"/>
        <w:ind w:left="453"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1"/>
          <w:szCs w:val="21"/>
        </w:rPr>
      </w:pPr>
    </w:p>
    <w:p>
      <w:pPr>
        <w:spacing w:line="456" w:lineRule="auto" w:before="0"/>
        <w:ind w:left="453" w:right="563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、独立董事出席董事会及股东大会的情况</w:t>
      </w:r>
      <w:r>
        <w:rPr>
          <w:rFonts w:ascii="宋体" w:hAnsi="宋体" w:cs="宋体" w:eastAsia="宋体" w:hint="default"/>
          <w:sz w:val="24"/>
          <w:szCs w:val="24"/>
        </w:rPr>
      </w:r>
    </w:p>
    <w:p>
      <w:pPr>
        <w:spacing w:line="240" w:lineRule="auto" w:before="2"/>
        <w:rPr>
          <w:rFonts w:ascii="宋体" w:hAnsi="宋体" w:cs="宋体" w:eastAsia="宋体" w:hint="default"/>
          <w:b/>
          <w:bCs/>
          <w:sz w:val="6"/>
          <w:szCs w:val="6"/>
        </w:rPr>
      </w:pPr>
    </w:p>
    <w:tbl>
      <w:tblPr>
        <w:tblW w:w="0" w:type="auto"/>
        <w:jc w:val="left"/>
        <w:tblInd w:w="918" w:type="dxa"/>
        <w:tblLayout w:type="fixed"/>
        <w:tblCellMar>
          <w:top w:w="0" w:type="dxa"/>
          <w:left w:w="0" w:type="dxa"/>
          <w:bottom w:w="0" w:type="dxa"/>
          <w:right w:w="0" w:type="dxa"/>
        </w:tblCellMar>
        <w:tblLook w:val="01E0"/>
      </w:tblPr>
      <w:tblGrid>
        <w:gridCol w:w="1625"/>
        <w:gridCol w:w="929"/>
        <w:gridCol w:w="991"/>
        <w:gridCol w:w="992"/>
        <w:gridCol w:w="852"/>
        <w:gridCol w:w="992"/>
        <w:gridCol w:w="994"/>
        <w:gridCol w:w="1323"/>
      </w:tblGrid>
      <w:tr>
        <w:trPr>
          <w:trHeight w:val="402" w:hRule="exact"/>
        </w:trPr>
        <w:tc>
          <w:tcPr>
            <w:tcW w:w="869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1339"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71" w:lineRule="auto"/>
              <w:ind w:left="38" w:right="36"/>
              <w:jc w:val="both"/>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应参加董</w:t>
            </w:r>
            <w:r>
              <w:rPr>
                <w:rFonts w:ascii="宋体" w:hAnsi="宋体" w:cs="宋体" w:eastAsia="宋体" w:hint="default"/>
                <w:w w:val="100"/>
                <w:sz w:val="21"/>
                <w:szCs w:val="21"/>
              </w:rPr>
              <w:t> </w:t>
            </w:r>
            <w:r>
              <w:rPr>
                <w:rFonts w:ascii="宋体" w:hAnsi="宋体" w:cs="宋体" w:eastAsia="宋体" w:hint="default"/>
                <w:sz w:val="21"/>
                <w:szCs w:val="21"/>
              </w:rPr>
              <w:t>事会次数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71" w:lineRule="auto"/>
              <w:ind w:left="71" w:right="65"/>
              <w:jc w:val="center"/>
              <w:rPr>
                <w:rFonts w:ascii="宋体" w:hAnsi="宋体" w:cs="宋体" w:eastAsia="宋体" w:hint="default"/>
                <w:sz w:val="21"/>
                <w:szCs w:val="21"/>
              </w:rPr>
            </w:pPr>
            <w:r>
              <w:rPr>
                <w:rFonts w:ascii="宋体" w:hAnsi="宋体" w:cs="宋体" w:eastAsia="宋体" w:hint="default"/>
                <w:sz w:val="21"/>
                <w:szCs w:val="21"/>
              </w:rPr>
              <w:t>现场出席</w:t>
            </w:r>
            <w:r>
              <w:rPr>
                <w:rFonts w:ascii="宋体" w:hAnsi="宋体" w:cs="宋体" w:eastAsia="宋体" w:hint="default"/>
                <w:w w:val="100"/>
                <w:sz w:val="21"/>
                <w:szCs w:val="21"/>
              </w:rPr>
              <w:t> </w:t>
            </w:r>
            <w:r>
              <w:rPr>
                <w:rFonts w:ascii="宋体" w:hAnsi="宋体" w:cs="宋体" w:eastAsia="宋体" w:hint="default"/>
                <w:sz w:val="21"/>
                <w:szCs w:val="21"/>
              </w:rPr>
              <w:t>董事会次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71" w:lineRule="auto"/>
              <w:ind w:left="72" w:right="65"/>
              <w:jc w:val="both"/>
              <w:rPr>
                <w:rFonts w:ascii="宋体" w:hAnsi="宋体" w:cs="宋体" w:eastAsia="宋体" w:hint="default"/>
                <w:sz w:val="21"/>
                <w:szCs w:val="21"/>
              </w:rPr>
            </w:pPr>
            <w:r>
              <w:rPr>
                <w:rFonts w:ascii="宋体" w:hAnsi="宋体" w:cs="宋体" w:eastAsia="宋体" w:hint="default"/>
                <w:sz w:val="21"/>
                <w:szCs w:val="21"/>
              </w:rPr>
              <w:t>以通讯方</w:t>
            </w:r>
            <w:r>
              <w:rPr>
                <w:rFonts w:ascii="宋体" w:hAnsi="宋体" w:cs="宋体" w:eastAsia="宋体" w:hint="default"/>
                <w:w w:val="100"/>
                <w:sz w:val="21"/>
                <w:szCs w:val="21"/>
              </w:rPr>
              <w:t> </w:t>
            </w:r>
            <w:r>
              <w:rPr>
                <w:rFonts w:ascii="宋体" w:hAnsi="宋体" w:cs="宋体" w:eastAsia="宋体" w:hint="default"/>
                <w:sz w:val="21"/>
                <w:szCs w:val="21"/>
              </w:rPr>
              <w:t>式参加董</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事会次数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71" w:lineRule="auto"/>
              <w:ind w:left="105" w:right="101"/>
              <w:jc w:val="both"/>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席董事</w:t>
            </w:r>
            <w:r>
              <w:rPr>
                <w:rFonts w:ascii="宋体" w:hAnsi="宋体" w:cs="宋体" w:eastAsia="宋体" w:hint="default"/>
                <w:spacing w:val="-102"/>
                <w:sz w:val="21"/>
                <w:szCs w:val="21"/>
              </w:rPr>
              <w:t> </w:t>
            </w:r>
            <w:r>
              <w:rPr>
                <w:rFonts w:ascii="宋体" w:hAnsi="宋体" w:cs="宋体" w:eastAsia="宋体" w:hint="default"/>
                <w:sz w:val="21"/>
                <w:szCs w:val="21"/>
              </w:rPr>
              <w:t>会次数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1" w:lineRule="auto"/>
              <w:ind w:left="175" w:right="68" w:hanging="104"/>
              <w:jc w:val="left"/>
              <w:rPr>
                <w:rFonts w:ascii="宋体" w:hAnsi="宋体" w:cs="宋体" w:eastAsia="宋体" w:hint="default"/>
                <w:sz w:val="21"/>
                <w:szCs w:val="21"/>
              </w:rPr>
            </w:pPr>
            <w:r>
              <w:rPr>
                <w:rFonts w:ascii="宋体" w:hAnsi="宋体" w:cs="宋体" w:eastAsia="宋体" w:hint="default"/>
                <w:sz w:val="21"/>
                <w:szCs w:val="21"/>
              </w:rPr>
              <w:t>缺席董事</w:t>
            </w:r>
            <w:r>
              <w:rPr>
                <w:rFonts w:ascii="宋体" w:hAnsi="宋体" w:cs="宋体" w:eastAsia="宋体" w:hint="default"/>
                <w:spacing w:val="-3"/>
                <w:w w:val="100"/>
                <w:sz w:val="21"/>
                <w:szCs w:val="21"/>
              </w:rPr>
              <w:t> </w:t>
            </w:r>
            <w:r>
              <w:rPr>
                <w:rFonts w:ascii="宋体" w:hAnsi="宋体" w:cs="宋体" w:eastAsia="宋体" w:hint="default"/>
                <w:sz w:val="21"/>
                <w:szCs w:val="21"/>
              </w:rPr>
              <w:t>会次数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72" w:right="67"/>
              <w:jc w:val="both"/>
              <w:rPr>
                <w:rFonts w:ascii="宋体" w:hAnsi="宋体" w:cs="宋体" w:eastAsia="宋体" w:hint="default"/>
                <w:sz w:val="21"/>
                <w:szCs w:val="21"/>
              </w:rPr>
            </w:pPr>
            <w:r>
              <w:rPr>
                <w:rFonts w:ascii="宋体" w:hAnsi="宋体" w:cs="宋体" w:eastAsia="宋体" w:hint="default"/>
                <w:sz w:val="21"/>
                <w:szCs w:val="21"/>
              </w:rPr>
              <w:t>是否连续</w:t>
            </w:r>
            <w:r>
              <w:rPr>
                <w:rFonts w:ascii="宋体" w:hAnsi="宋体" w:cs="宋体" w:eastAsia="宋体" w:hint="default"/>
                <w:w w:val="100"/>
                <w:sz w:val="21"/>
                <w:szCs w:val="21"/>
              </w:rPr>
              <w:t> </w:t>
            </w:r>
            <w:r>
              <w:rPr>
                <w:rFonts w:ascii="宋体" w:hAnsi="宋体" w:cs="宋体" w:eastAsia="宋体" w:hint="default"/>
                <w:sz w:val="21"/>
                <w:szCs w:val="21"/>
              </w:rPr>
              <w:t>两次未亲</w:t>
            </w:r>
            <w:r>
              <w:rPr>
                <w:rFonts w:ascii="宋体" w:hAnsi="宋体" w:cs="宋体" w:eastAsia="宋体" w:hint="default"/>
                <w:w w:val="100"/>
                <w:sz w:val="21"/>
                <w:szCs w:val="21"/>
              </w:rPr>
              <w:t> </w:t>
            </w:r>
            <w:r>
              <w:rPr>
                <w:rFonts w:ascii="宋体" w:hAnsi="宋体" w:cs="宋体" w:eastAsia="宋体" w:hint="default"/>
                <w:sz w:val="21"/>
                <w:szCs w:val="21"/>
              </w:rPr>
              <w:t>自参加董</w:t>
            </w:r>
            <w:r>
              <w:rPr>
                <w:rFonts w:ascii="宋体" w:hAnsi="宋体" w:cs="宋体" w:eastAsia="宋体" w:hint="default"/>
                <w:w w:val="100"/>
                <w:sz w:val="21"/>
                <w:szCs w:val="21"/>
              </w:rPr>
              <w:t> </w:t>
            </w:r>
            <w:r>
              <w:rPr>
                <w:rFonts w:ascii="宋体" w:hAnsi="宋体" w:cs="宋体" w:eastAsia="宋体" w:hint="default"/>
                <w:sz w:val="21"/>
                <w:szCs w:val="21"/>
              </w:rPr>
              <w:t>事会会议</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1" w:lineRule="auto"/>
              <w:ind w:left="446" w:right="22" w:hanging="420"/>
              <w:jc w:val="left"/>
              <w:rPr>
                <w:rFonts w:ascii="宋体" w:hAnsi="宋体" w:cs="宋体" w:eastAsia="宋体" w:hint="default"/>
                <w:sz w:val="21"/>
                <w:szCs w:val="21"/>
              </w:rPr>
            </w:pPr>
            <w:r>
              <w:rPr>
                <w:rFonts w:ascii="宋体" w:hAnsi="宋体" w:cs="宋体" w:eastAsia="宋体" w:hint="default"/>
                <w:sz w:val="21"/>
                <w:szCs w:val="21"/>
              </w:rPr>
              <w:t>出席股东大会</w:t>
            </w:r>
            <w:r>
              <w:rPr>
                <w:rFonts w:ascii="宋体" w:hAnsi="宋体" w:cs="宋体" w:eastAsia="宋体" w:hint="default"/>
                <w:w w:val="100"/>
                <w:sz w:val="21"/>
                <w:szCs w:val="21"/>
              </w:rPr>
              <w:t> </w:t>
            </w:r>
            <w:r>
              <w:rPr>
                <w:rFonts w:ascii="宋体" w:hAnsi="宋体" w:cs="宋体" w:eastAsia="宋体" w:hint="default"/>
                <w:sz w:val="21"/>
                <w:szCs w:val="21"/>
              </w:rPr>
              <w:t>次数</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王浩</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100"/>
                <w:sz w:val="21"/>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34"/>
              <w:jc w:val="right"/>
              <w:rPr>
                <w:rFonts w:ascii="Times New Roman" w:hAnsi="Times New Roman" w:cs="Times New Roman" w:eastAsia="Times New Roman" w:hint="default"/>
                <w:sz w:val="21"/>
                <w:szCs w:val="21"/>
              </w:rPr>
            </w:pPr>
            <w:r>
              <w:rPr>
                <w:rFonts w:ascii="Times New Roman"/>
                <w:w w:val="100"/>
                <w:sz w:val="21"/>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w w:val="100"/>
                <w:sz w:val="21"/>
              </w:rPr>
              <w:t>2</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杜胜利</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w w:val="100"/>
                <w:sz w:val="21"/>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34"/>
              <w:jc w:val="right"/>
              <w:rPr>
                <w:rFonts w:ascii="Times New Roman" w:hAnsi="Times New Roman" w:cs="Times New Roman" w:eastAsia="Times New Roman" w:hint="default"/>
                <w:sz w:val="21"/>
                <w:szCs w:val="21"/>
              </w:rPr>
            </w:pPr>
            <w:r>
              <w:rPr>
                <w:rFonts w:ascii="Times New Roman"/>
                <w:w w:val="100"/>
                <w:sz w:val="21"/>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w w:val="100"/>
                <w:sz w:val="21"/>
              </w:rPr>
              <w:t>2</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庄行方</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100"/>
                <w:sz w:val="21"/>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34"/>
              <w:jc w:val="right"/>
              <w:rPr>
                <w:rFonts w:ascii="Times New Roman" w:hAnsi="Times New Roman" w:cs="Times New Roman" w:eastAsia="Times New Roman" w:hint="default"/>
                <w:sz w:val="21"/>
                <w:szCs w:val="21"/>
              </w:rPr>
            </w:pPr>
            <w:r>
              <w:rPr>
                <w:rFonts w:ascii="Times New Roman"/>
                <w:w w:val="100"/>
                <w:sz w:val="21"/>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w w:val="100"/>
                <w:sz w:val="21"/>
              </w:rPr>
              <w:t>2</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郭仁忠</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w w:val="100"/>
                <w:sz w:val="21"/>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34"/>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汤国安</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100"/>
                <w:sz w:val="21"/>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34"/>
              <w:jc w:val="right"/>
              <w:rPr>
                <w:rFonts w:ascii="Times New Roman" w:hAnsi="Times New Roman" w:cs="Times New Roman" w:eastAsia="Times New Roman" w:hint="default"/>
                <w:sz w:val="21"/>
                <w:szCs w:val="21"/>
              </w:rPr>
            </w:pPr>
            <w:r>
              <w:rPr>
                <w:rFonts w:ascii="Times New Roman"/>
                <w:w w:val="100"/>
                <w:sz w:val="21"/>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张军书</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w w:val="100"/>
                <w:sz w:val="21"/>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34"/>
              <w:jc w:val="right"/>
              <w:rPr>
                <w:rFonts w:ascii="Times New Roman" w:hAnsi="Times New Roman" w:cs="Times New Roman" w:eastAsia="Times New Roman" w:hint="default"/>
                <w:sz w:val="21"/>
                <w:szCs w:val="21"/>
              </w:rPr>
            </w:pPr>
            <w:r>
              <w:rPr>
                <w:rFonts w:ascii="Times New Roman"/>
                <w:w w:val="100"/>
                <w:sz w:val="21"/>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w w:val="100"/>
                <w:sz w:val="21"/>
              </w:rPr>
              <w:t>1</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0" w:top="1100" w:bottom="1160" w:left="680" w:right="660"/>
        </w:sectPr>
      </w:pPr>
    </w:p>
    <w:p>
      <w:pPr>
        <w:spacing w:line="240" w:lineRule="auto" w:before="7"/>
        <w:rPr>
          <w:rFonts w:ascii="宋体" w:hAnsi="宋体" w:cs="宋体" w:eastAsia="宋体" w:hint="default"/>
          <w:b/>
          <w:bCs/>
          <w:sz w:val="25"/>
          <w:szCs w:val="25"/>
        </w:rPr>
      </w:pPr>
    </w:p>
    <w:p>
      <w:pPr>
        <w:pStyle w:val="BodyText"/>
        <w:spacing w:line="388" w:lineRule="auto" w:before="26"/>
        <w:ind w:right="4333"/>
        <w:jc w:val="left"/>
      </w:pPr>
      <w:r>
        <w:rPr/>
        <w:t>连续两次未亲自出席董事会的说明 不存在独立董事联系两次未亲自出席董事会的情况。</w:t>
      </w:r>
    </w:p>
    <w:p>
      <w:pPr>
        <w:spacing w:line="240" w:lineRule="auto" w:before="4"/>
        <w:rPr>
          <w:rFonts w:ascii="宋体" w:hAnsi="宋体" w:cs="宋体" w:eastAsia="宋体" w:hint="default"/>
          <w:sz w:val="23"/>
          <w:szCs w:val="23"/>
        </w:rPr>
      </w:pPr>
    </w:p>
    <w:p>
      <w:pPr>
        <w:pStyle w:val="Heading2"/>
        <w:spacing w:line="240" w:lineRule="auto"/>
        <w:ind w:right="98"/>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right="98"/>
        <w:jc w:val="left"/>
      </w:pPr>
      <w:r>
        <w:rPr/>
        <w:t>独立董事对公司有关事项是否提出异议</w:t>
      </w:r>
    </w:p>
    <w:p>
      <w:pPr>
        <w:pStyle w:val="BodyText"/>
        <w:spacing w:line="367" w:lineRule="auto" w:before="192"/>
        <w:ind w:right="48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报告期内独立董事对公司有关事项未提出异议。</w:t>
      </w:r>
    </w:p>
    <w:p>
      <w:pPr>
        <w:spacing w:line="240" w:lineRule="auto" w:before="3"/>
        <w:rPr>
          <w:rFonts w:ascii="宋体" w:hAnsi="宋体" w:cs="宋体" w:eastAsia="宋体" w:hint="default"/>
          <w:sz w:val="25"/>
          <w:szCs w:val="25"/>
        </w:rPr>
      </w:pPr>
    </w:p>
    <w:p>
      <w:pPr>
        <w:pStyle w:val="Heading2"/>
        <w:spacing w:line="240" w:lineRule="auto"/>
        <w:ind w:right="98"/>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33"/>
          <w:szCs w:val="33"/>
        </w:rPr>
      </w:pPr>
    </w:p>
    <w:p>
      <w:pPr>
        <w:pStyle w:val="BodyText"/>
        <w:spacing w:line="240" w:lineRule="auto" w:before="0"/>
        <w:ind w:right="98"/>
        <w:jc w:val="left"/>
      </w:pPr>
      <w:r>
        <w:rPr/>
        <w:t>独立董事对公司有关建议是否被采纳</w:t>
      </w:r>
    </w:p>
    <w:p>
      <w:pPr>
        <w:pStyle w:val="BodyText"/>
        <w:spacing w:line="240" w:lineRule="auto" w:before="194"/>
        <w:ind w:right="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338" w:lineRule="auto" w:before="174"/>
        <w:ind w:right="232" w:firstLine="566"/>
        <w:jc w:val="both"/>
      </w:pPr>
      <w:r>
        <w:rPr>
          <w:rFonts w:ascii="Times New Roman" w:hAnsi="Times New Roman" w:cs="Times New Roman" w:eastAsia="Times New Roman" w:hint="default"/>
          <w:spacing w:val="-10"/>
        </w:rPr>
        <w:t>1</w:t>
      </w:r>
      <w:r>
        <w:rPr>
          <w:spacing w:val="-10"/>
        </w:rPr>
        <w:t>）</w:t>
      </w:r>
      <w:r>
        <w:rPr>
          <w:rFonts w:ascii="Times New Roman" w:hAnsi="Times New Roman" w:cs="Times New Roman" w:eastAsia="Times New Roman" w:hint="default"/>
          <w:color w:val="333333"/>
          <w:spacing w:val="-10"/>
        </w:rPr>
        <w:t>2017 </w:t>
      </w:r>
      <w:r>
        <w:rPr>
          <w:color w:val="333333"/>
        </w:rPr>
        <w:t>年</w:t>
      </w:r>
      <w:r>
        <w:rPr>
          <w:color w:val="333333"/>
          <w:spacing w:val="-70"/>
        </w:rPr>
        <w:t> </w:t>
      </w:r>
      <w:r>
        <w:rPr>
          <w:rFonts w:ascii="Times New Roman" w:hAnsi="Times New Roman" w:cs="Times New Roman" w:eastAsia="Times New Roman" w:hint="default"/>
          <w:color w:val="333333"/>
        </w:rPr>
        <w:t>2</w:t>
      </w:r>
      <w:r>
        <w:rPr>
          <w:rFonts w:ascii="Times New Roman" w:hAnsi="Times New Roman" w:cs="Times New Roman" w:eastAsia="Times New Roman" w:hint="default"/>
          <w:color w:val="333333"/>
          <w:spacing w:val="-10"/>
        </w:rPr>
        <w:t> </w:t>
      </w:r>
      <w:r>
        <w:rPr>
          <w:color w:val="333333"/>
        </w:rPr>
        <w:t>月</w:t>
      </w:r>
      <w:r>
        <w:rPr>
          <w:color w:val="333333"/>
          <w:spacing w:val="-70"/>
        </w:rPr>
        <w:t> </w:t>
      </w:r>
      <w:r>
        <w:rPr>
          <w:rFonts w:ascii="Times New Roman" w:hAnsi="Times New Roman" w:cs="Times New Roman" w:eastAsia="Times New Roman" w:hint="default"/>
          <w:color w:val="333333"/>
        </w:rPr>
        <w:t>10</w:t>
      </w:r>
      <w:r>
        <w:rPr>
          <w:rFonts w:ascii="Times New Roman" w:hAnsi="Times New Roman" w:cs="Times New Roman" w:eastAsia="Times New Roman" w:hint="default"/>
          <w:color w:val="333333"/>
          <w:spacing w:val="-10"/>
        </w:rPr>
        <w:t> </w:t>
      </w:r>
      <w:r>
        <w:rPr>
          <w:color w:val="333333"/>
        </w:rPr>
        <w:t>日，</w:t>
      </w:r>
      <w:r>
        <w:rPr/>
        <w:t>独立董事就聘任公司高级管理人员事项发表了独立意见并被公司</w:t>
      </w:r>
      <w:r>
        <w:rPr/>
        <w:t> 采纳。</w:t>
      </w:r>
    </w:p>
    <w:p>
      <w:pPr>
        <w:pStyle w:val="BodyText"/>
        <w:spacing w:line="338" w:lineRule="auto" w:before="96"/>
        <w:ind w:right="233" w:firstLine="566"/>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日，独立董事就公司收购上海数慧系统技术有限公司</w:t>
      </w:r>
      <w:r>
        <w:rPr>
          <w:spacing w:val="-61"/>
        </w:rPr>
        <w:t> </w:t>
      </w:r>
      <w:r>
        <w:rPr>
          <w:rFonts w:ascii="Times New Roman" w:hAnsi="Times New Roman" w:cs="Times New Roman" w:eastAsia="Times New Roman" w:hint="default"/>
        </w:rPr>
        <w:t>100%</w:t>
      </w:r>
      <w:r>
        <w:rPr/>
        <w:t>股权事项 发表了独立意见并被公司采纳。</w:t>
      </w:r>
    </w:p>
    <w:p>
      <w:pPr>
        <w:pStyle w:val="BodyText"/>
        <w:spacing w:line="240" w:lineRule="auto" w:before="96"/>
        <w:ind w:left="719" w:right="98"/>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spacing w:val="-3"/>
        </w:rPr>
        <w:t>日，独立董事就</w:t>
      </w:r>
      <w:r>
        <w:rPr>
          <w:spacing w:val="-6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年度募集资金存放与使用情况、</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年度公司</w:t>
      </w:r>
    </w:p>
    <w:p>
      <w:pPr>
        <w:pStyle w:val="BodyText"/>
        <w:spacing w:line="240" w:lineRule="auto" w:before="135"/>
        <w:ind w:right="0"/>
        <w:jc w:val="left"/>
      </w:pPr>
      <w:r>
        <w:rPr/>
        <w:t>内部控制自我评价报告</w:t>
      </w:r>
      <w:r>
        <w:rPr>
          <w:spacing w:val="-101"/>
        </w:rPr>
        <w:t>、</w:t>
      </w:r>
      <w:r>
        <w:rPr/>
        <w:t>公司</w:t>
      </w:r>
      <w:r>
        <w:rPr>
          <w:spacing w:val="-60"/>
        </w:rPr>
        <w:t> </w:t>
      </w:r>
      <w:r>
        <w:rPr>
          <w:rFonts w:ascii="Times New Roman" w:hAnsi="Times New Roman" w:cs="Times New Roman" w:eastAsia="Times New Roman" w:hint="default"/>
        </w:rPr>
        <w:t>2016 </w:t>
      </w:r>
      <w:r>
        <w:rPr/>
        <w:t>年度关联交易</w:t>
      </w:r>
      <w:r>
        <w:rPr>
          <w:spacing w:val="-101"/>
        </w:rPr>
        <w:t>、</w:t>
      </w:r>
      <w:r>
        <w:rPr/>
        <w:t>公司控股股东及其他关联方占用公司资金、</w:t>
      </w:r>
    </w:p>
    <w:p>
      <w:pPr>
        <w:pStyle w:val="BodyText"/>
        <w:spacing w:line="338" w:lineRule="auto" w:before="135"/>
        <w:ind w:right="252"/>
        <w:jc w:val="left"/>
      </w:pPr>
      <w:r>
        <w:rPr/>
        <w:t>公司对外担保情况、公司</w:t>
      </w:r>
      <w:r>
        <w:rPr>
          <w:spacing w:val="-60"/>
        </w:rPr>
        <w:t> </w:t>
      </w:r>
      <w:r>
        <w:rPr>
          <w:rFonts w:ascii="Times New Roman" w:hAnsi="Times New Roman" w:cs="Times New Roman" w:eastAsia="Times New Roman" w:hint="default"/>
        </w:rPr>
        <w:t>2016 </w:t>
      </w:r>
      <w:r>
        <w:rPr/>
        <w:t>年度董事、高级管理人员薪酬、公司</w:t>
      </w:r>
      <w:r>
        <w:rPr>
          <w:spacing w:val="-59"/>
        </w:rPr>
        <w:t> </w:t>
      </w:r>
      <w:r>
        <w:rPr>
          <w:rFonts w:ascii="Times New Roman" w:hAnsi="Times New Roman" w:cs="Times New Roman" w:eastAsia="Times New Roman" w:hint="default"/>
        </w:rPr>
        <w:t>2016 </w:t>
      </w:r>
      <w:r>
        <w:rPr/>
        <w:t>年度利润分配预案 以及关于使用暂时闲置自有资金进行现金管理等相关事项发表了独立意见并被公司采纳。</w:t>
      </w:r>
    </w:p>
    <w:p>
      <w:pPr>
        <w:pStyle w:val="BodyText"/>
        <w:spacing w:line="240" w:lineRule="auto" w:before="94"/>
        <w:ind w:left="719" w:right="98"/>
        <w:jc w:val="left"/>
      </w:pPr>
      <w:r>
        <w:rPr>
          <w:rFonts w:ascii="Times New Roman" w:hAnsi="Times New Roman" w:cs="Times New Roman" w:eastAsia="Times New Roman" w:hint="default"/>
        </w:rPr>
        <w:t>4</w:t>
      </w:r>
      <w:r>
        <w:rPr>
          <w:spacing w:val="-120"/>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70"/>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70"/>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日</w:t>
      </w:r>
      <w:r>
        <w:rPr>
          <w:rFonts w:ascii="Times New Roman" w:hAnsi="Times New Roman" w:cs="Times New Roman" w:eastAsia="Times New Roman" w:hint="default"/>
        </w:rPr>
        <w:t>,  </w:t>
      </w:r>
      <w:r>
        <w:rPr/>
        <w:t>独立董事就变更公司财务总监事项发表了独立意见并被公司采纳。</w:t>
      </w:r>
    </w:p>
    <w:p>
      <w:pPr>
        <w:pStyle w:val="BodyText"/>
        <w:spacing w:line="338" w:lineRule="auto" w:before="176"/>
        <w:ind w:right="232" w:firstLine="566"/>
        <w:jc w:val="both"/>
      </w:pPr>
      <w:r>
        <w:rPr>
          <w:rFonts w:ascii="Times New Roman" w:hAnsi="Times New Roman" w:cs="Times New Roman" w:eastAsia="Times New Roman" w:hint="default"/>
          <w:spacing w:val="-10"/>
        </w:rPr>
        <w:t>5</w:t>
      </w:r>
      <w:r>
        <w:rPr>
          <w:spacing w:val="-10"/>
        </w:rPr>
        <w:t>）</w:t>
      </w:r>
      <w:r>
        <w:rPr>
          <w:rFonts w:ascii="Times New Roman" w:hAnsi="Times New Roman" w:cs="Times New Roman" w:eastAsia="Times New Roman" w:hint="default"/>
          <w:spacing w:val="-10"/>
        </w:rPr>
        <w:t>2017 </w:t>
      </w:r>
      <w:r>
        <w:rPr/>
        <w:t>年</w:t>
      </w:r>
      <w:r>
        <w:rPr>
          <w:spacing w:val="-70"/>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70"/>
        </w:rPr>
        <w:t> </w:t>
      </w:r>
      <w:r>
        <w:rPr>
          <w:rFonts w:ascii="Times New Roman" w:hAnsi="Times New Roman" w:cs="Times New Roman" w:eastAsia="Times New Roman" w:hint="default"/>
        </w:rPr>
        <w:t>23</w:t>
      </w:r>
      <w:r>
        <w:rPr>
          <w:rFonts w:ascii="Times New Roman" w:hAnsi="Times New Roman" w:cs="Times New Roman" w:eastAsia="Times New Roman" w:hint="default"/>
          <w:spacing w:val="-10"/>
        </w:rPr>
        <w:t> </w:t>
      </w:r>
      <w:r>
        <w:rPr/>
        <w:t>日，独立董事就公司股权激励计划预留部分限制性股票第三个解锁期 条件成就可解锁以及聘任公司高级管理人员等相关事项发表了独立意见并被公司采纳。</w:t>
      </w:r>
    </w:p>
    <w:p>
      <w:pPr>
        <w:pStyle w:val="BodyText"/>
        <w:spacing w:line="338" w:lineRule="auto" w:before="97"/>
        <w:ind w:right="244" w:firstLine="566"/>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日，独立董事就公司继续使用暂时闲置募集资金进行现金管理事项发 表了独立意见并被公司采纳。</w:t>
      </w:r>
    </w:p>
    <w:p>
      <w:pPr>
        <w:pStyle w:val="BodyText"/>
        <w:spacing w:line="348" w:lineRule="auto" w:before="94"/>
        <w:ind w:right="232" w:firstLine="566"/>
        <w:jc w:val="both"/>
      </w:pPr>
      <w:r>
        <w:rPr>
          <w:rFonts w:ascii="Times New Roman" w:hAnsi="Times New Roman" w:cs="Times New Roman" w:eastAsia="Times New Roman" w:hint="default"/>
          <w:spacing w:val="-7"/>
        </w:rPr>
        <w:t>7</w:t>
      </w:r>
      <w:r>
        <w:rPr>
          <w:spacing w:val="-7"/>
        </w:rPr>
        <w:t>）</w:t>
      </w:r>
      <w:r>
        <w:rPr>
          <w:rFonts w:ascii="Times New Roman" w:hAnsi="Times New Roman" w:cs="Times New Roman" w:eastAsia="Times New Roman" w:hint="default"/>
          <w:spacing w:val="-7"/>
        </w:rPr>
        <w:t>2017</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spacing w:val="-3"/>
        </w:rPr>
        <w:t>日，独立董事就公司控股股东及其他关联方占用资金情况、公司对外</w:t>
      </w:r>
      <w:r>
        <w:rPr/>
        <w:t> 担保、公司半年度募集资金存放与使用、公司改聘会计师事务所、董事会换届选举暨候选人 等事项发表了独立意见并被公司采纳。</w:t>
      </w:r>
    </w:p>
    <w:p>
      <w:pPr>
        <w:pStyle w:val="BodyText"/>
        <w:spacing w:line="240" w:lineRule="auto" w:before="86"/>
        <w:ind w:left="719" w:right="98"/>
        <w:jc w:val="left"/>
      </w:pPr>
      <w:r>
        <w:rPr>
          <w:rFonts w:ascii="Times New Roman" w:hAnsi="Times New Roman" w:cs="Times New Roman" w:eastAsia="Times New Roman" w:hint="default"/>
        </w:rPr>
        <w:t>8</w:t>
      </w:r>
      <w:r>
        <w:rPr/>
        <w:t>）</w:t>
      </w:r>
      <w:r>
        <w:rPr>
          <w:spacing w:val="-1"/>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12 </w:t>
      </w:r>
      <w:r>
        <w:rPr/>
        <w:t>日，独立董事就聘任公司高级管理人员发表了独立意见并被公司采</w:t>
      </w:r>
    </w:p>
    <w:p>
      <w:pPr>
        <w:spacing w:after="0" w:line="240" w:lineRule="auto"/>
        <w:jc w:val="left"/>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240" w:lineRule="auto" w:before="26"/>
        <w:ind w:right="0"/>
        <w:jc w:val="both"/>
      </w:pPr>
      <w:r>
        <w:rPr/>
        <w:t>纳。</w:t>
      </w:r>
    </w:p>
    <w:p>
      <w:pPr>
        <w:pStyle w:val="BodyText"/>
        <w:spacing w:line="348" w:lineRule="auto" w:before="195"/>
        <w:ind w:right="150" w:firstLine="566"/>
        <w:jc w:val="both"/>
      </w:pPr>
      <w:r>
        <w:rPr>
          <w:rFonts w:ascii="Times New Roman" w:hAnsi="Times New Roman" w:cs="Times New Roman" w:eastAsia="Times New Roman" w:hint="default"/>
          <w:spacing w:val="-9"/>
        </w:rPr>
        <w:t>9</w:t>
      </w:r>
      <w:r>
        <w:rPr>
          <w:spacing w:val="-9"/>
        </w:rPr>
        <w:t>）</w:t>
      </w:r>
      <w:r>
        <w:rPr>
          <w:rFonts w:ascii="Times New Roman" w:hAnsi="Times New Roman" w:cs="Times New Roman" w:eastAsia="Times New Roman" w:hint="default"/>
          <w:spacing w:val="-9"/>
        </w:rPr>
        <w:t>2017 </w:t>
      </w:r>
      <w:r>
        <w:rPr/>
        <w:t>年</w:t>
      </w:r>
      <w:r>
        <w:rPr>
          <w:spacing w:val="-6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9"/>
        </w:rPr>
        <w:t> </w:t>
      </w:r>
      <w:r>
        <w:rPr/>
        <w:t>月</w:t>
      </w:r>
      <w:r>
        <w:rPr>
          <w:spacing w:val="-69"/>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日，独立董事就公司回购注销部分激励对象已获授但尚未解锁的限制 性股票以及公司股权激励计划首次授予的限制性股票第四个解锁期条件成就可解锁等事项发 表了独立意见并被公司采纳。</w:t>
      </w:r>
    </w:p>
    <w:p>
      <w:pPr>
        <w:spacing w:line="768" w:lineRule="exact" w:before="12"/>
        <w:ind w:left="573" w:right="138" w:hanging="420"/>
        <w:jc w:val="left"/>
        <w:rPr>
          <w:rFonts w:ascii="宋体" w:hAnsi="宋体" w:cs="宋体" w:eastAsia="宋体" w:hint="default"/>
          <w:sz w:val="24"/>
          <w:szCs w:val="24"/>
        </w:rPr>
      </w:pPr>
      <w:r>
        <w:rPr>
          <w:rFonts w:ascii="宋体" w:hAnsi="宋体" w:cs="宋体" w:eastAsia="宋体" w:hint="default"/>
          <w:b/>
          <w:bCs/>
          <w:sz w:val="24"/>
          <w:szCs w:val="24"/>
        </w:rPr>
        <w:t>六、董事会下设专门委员会在报告期内履行职责情况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公司董事会下设四个专业委员会：审计委员会、薪酬与考核委员会、提名委员会以及战</w:t>
      </w:r>
      <w:r>
        <w:rPr>
          <w:rFonts w:ascii="宋体" w:hAnsi="宋体" w:cs="宋体" w:eastAsia="宋体" w:hint="default"/>
          <w:sz w:val="24"/>
          <w:szCs w:val="24"/>
        </w:rPr>
      </w:r>
    </w:p>
    <w:p>
      <w:pPr>
        <w:pStyle w:val="BodyText"/>
        <w:spacing w:line="240" w:lineRule="auto" w:before="34"/>
        <w:ind w:right="0"/>
        <w:jc w:val="both"/>
      </w:pPr>
      <w:r>
        <w:rPr/>
        <w:t>略与发展委员会。</w:t>
      </w:r>
    </w:p>
    <w:p>
      <w:pPr>
        <w:pStyle w:val="BodyText"/>
        <w:spacing w:line="240" w:lineRule="auto" w:before="193"/>
        <w:ind w:left="633" w:right="293"/>
        <w:jc w:val="left"/>
      </w:pPr>
      <w:r>
        <w:rPr/>
        <w:t>（一）审计委员会</w:t>
      </w:r>
    </w:p>
    <w:p>
      <w:pPr>
        <w:pStyle w:val="BodyText"/>
        <w:spacing w:line="350" w:lineRule="auto" w:before="194"/>
        <w:ind w:right="151" w:firstLine="420"/>
        <w:jc w:val="both"/>
      </w:pPr>
      <w:r>
        <w:rPr/>
        <w:t>公司董事会审计委员会由 </w:t>
      </w:r>
      <w:r>
        <w:rPr>
          <w:rFonts w:ascii="Times New Roman" w:hAnsi="Times New Roman" w:cs="Times New Roman" w:eastAsia="Times New Roman" w:hint="default"/>
        </w:rPr>
        <w:t>3 </w:t>
      </w:r>
      <w:r>
        <w:rPr/>
        <w:t>名成员组成，其中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名为独立董事，并由会计专业的独立董 事担任召集人。审计委员会定期召开会议，审议了定期报告相关事项及内部审计部门提交的</w:t>
      </w:r>
      <w:r>
        <w:rPr>
          <w:spacing w:val="-91"/>
        </w:rPr>
        <w:t> </w:t>
      </w:r>
      <w:r>
        <w:rPr>
          <w:spacing w:val="-91"/>
        </w:rPr>
      </w:r>
      <w:r>
        <w:rPr/>
        <w:t>工作计划和报告等事项。审计委员会与年审注册会计师进行沟通，督促其按计划进行审计工</w:t>
      </w:r>
      <w:r>
        <w:rPr>
          <w:spacing w:val="-91"/>
        </w:rPr>
        <w:t> </w:t>
      </w:r>
      <w:r>
        <w:rPr>
          <w:spacing w:val="-91"/>
        </w:rPr>
      </w:r>
      <w:r>
        <w:rPr/>
        <w:t>作，就年度审计事宜与公司管理层和年审机构进行沟通，并对年度审计机构的年报审计工作</w:t>
      </w:r>
      <w:r>
        <w:rPr>
          <w:spacing w:val="-91"/>
        </w:rPr>
        <w:t> </w:t>
      </w:r>
      <w:r>
        <w:rPr>
          <w:spacing w:val="-91"/>
        </w:rPr>
      </w:r>
      <w:r>
        <w:rPr/>
        <w:t>进行总结和评价。报告期内，审计委员会共召开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次会议，对公司内控情况、募集资金存放 与使用情况、控股股东及关联方资金占用、改聘会计师事务所等事项进行审议。</w:t>
      </w:r>
    </w:p>
    <w:p>
      <w:pPr>
        <w:pStyle w:val="BodyText"/>
        <w:spacing w:line="240" w:lineRule="auto" w:before="84"/>
        <w:ind w:left="578" w:right="293"/>
        <w:jc w:val="left"/>
      </w:pPr>
      <w:r>
        <w:rPr/>
        <w:t>（二）薪酬与考核委员会</w:t>
      </w:r>
    </w:p>
    <w:p>
      <w:pPr>
        <w:pStyle w:val="BodyText"/>
        <w:spacing w:line="345" w:lineRule="auto" w:before="192"/>
        <w:ind w:right="150" w:firstLine="420"/>
        <w:jc w:val="both"/>
      </w:pPr>
      <w:r>
        <w:rPr/>
        <w:t>公司薪酬与考核委员会由 </w:t>
      </w:r>
      <w:r>
        <w:rPr>
          <w:rFonts w:ascii="Times New Roman" w:hAnsi="Times New Roman" w:cs="Times New Roman" w:eastAsia="Times New Roman" w:hint="default"/>
        </w:rPr>
        <w:t>3 </w:t>
      </w:r>
      <w:r>
        <w:rPr/>
        <w:t>名成员组成，其中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名为独立董事，并由独立董事担任召集 人。报告期内，薪酬与考核委员会对董事和高级管理人员的履职情况进行了审核并对其进行</w:t>
      </w:r>
      <w:r>
        <w:rPr>
          <w:spacing w:val="-91"/>
        </w:rPr>
        <w:t> </w:t>
      </w:r>
      <w:r>
        <w:rPr>
          <w:spacing w:val="-91"/>
        </w:rPr>
      </w:r>
      <w:r>
        <w:rPr/>
        <w:t>年度绩效考评，监督公司薪酬制度的执行情况。报告期内，薪酬与考核委员会共召开 </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次会 议，对董事和高级管理人员的薪酬以及公司股权激励计划限制性股票解锁等事项进行审议。</w:t>
      </w:r>
    </w:p>
    <w:p>
      <w:pPr>
        <w:pStyle w:val="BodyText"/>
        <w:spacing w:line="240" w:lineRule="auto" w:before="89"/>
        <w:ind w:left="633" w:right="293"/>
        <w:jc w:val="left"/>
      </w:pPr>
      <w:r>
        <w:rPr/>
        <w:t>（三）提名委员会</w:t>
      </w:r>
    </w:p>
    <w:p>
      <w:pPr>
        <w:pStyle w:val="BodyText"/>
        <w:spacing w:line="240" w:lineRule="auto" w:before="194"/>
        <w:ind w:left="633" w:right="0"/>
        <w:jc w:val="left"/>
      </w:pPr>
      <w:r>
        <w:rPr/>
        <w:t>公司提名委员会由</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名成员组成，其中</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名为独立董事，并由独立董事担任召集人。报</w:t>
      </w:r>
    </w:p>
    <w:p>
      <w:pPr>
        <w:pStyle w:val="BodyText"/>
        <w:spacing w:line="348" w:lineRule="auto" w:before="135"/>
        <w:ind w:right="152"/>
        <w:jc w:val="both"/>
      </w:pPr>
      <w:r>
        <w:rPr/>
        <w:t>告期内，提名委员会共召开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spacing w:val="-9"/>
        </w:rPr>
        <w:t>次会议，其根据公司《章程》、《董事会提名委员会工作细则》</w:t>
      </w:r>
      <w:r>
        <w:rPr/>
        <w:t> 等有关规定，积极履行职责，主要对公司换届选举及聘任高级管理人员等事宜进行提名并形</w:t>
      </w:r>
      <w:r>
        <w:rPr>
          <w:spacing w:val="-91"/>
        </w:rPr>
        <w:t> </w:t>
      </w:r>
      <w:r>
        <w:rPr>
          <w:spacing w:val="-91"/>
        </w:rPr>
      </w:r>
      <w:r>
        <w:rPr/>
        <w:t>成决议提交公司董事会审议，并对公司董事、监事、高级管理人员的任职情况进行审议。</w:t>
      </w:r>
    </w:p>
    <w:p>
      <w:pPr>
        <w:pStyle w:val="BodyText"/>
        <w:spacing w:line="240" w:lineRule="auto" w:before="84"/>
        <w:ind w:left="578" w:right="293"/>
        <w:jc w:val="left"/>
      </w:pPr>
      <w:r>
        <w:rPr/>
        <w:t>（四）战略与发展委员会</w:t>
      </w:r>
    </w:p>
    <w:p>
      <w:pPr>
        <w:pStyle w:val="BodyText"/>
        <w:spacing w:line="338" w:lineRule="auto" w:before="194"/>
        <w:ind w:right="152" w:firstLine="420"/>
        <w:jc w:val="both"/>
      </w:pPr>
      <w:r>
        <w:rPr/>
        <w:t>公司战略与发展委员会共有委员 </w:t>
      </w: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t>名，由独立董事担任召集人，人员数目以及人员结构 符合《公司章程》以及《公司战略与发展委员会实施细则》的要求。报告期内，战略与发展</w:t>
      </w:r>
    </w:p>
    <w:p>
      <w:pPr>
        <w:spacing w:after="0" w:line="338" w:lineRule="auto"/>
        <w:jc w:val="both"/>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before="26"/>
        <w:ind w:right="98"/>
        <w:jc w:val="left"/>
      </w:pPr>
      <w:r>
        <w:rPr/>
        <w:t>委员会根据公司中长期发展战略，对公司重大投资事项进行了研究和分析，并结合行业趋势</w:t>
      </w:r>
      <w:r>
        <w:rPr>
          <w:spacing w:val="-91"/>
        </w:rPr>
        <w:t> </w:t>
      </w:r>
      <w:r>
        <w:rPr>
          <w:spacing w:val="-91"/>
        </w:rPr>
      </w:r>
      <w:r>
        <w:rPr/>
        <w:t>针对未来业务整合提出了建议。报告期内，公司战略与发展委员会共召开</w:t>
      </w:r>
      <w:r>
        <w:rPr>
          <w:spacing w:val="-59"/>
        </w:rPr>
        <w:t> </w:t>
      </w:r>
      <w:r>
        <w:rPr>
          <w:rFonts w:ascii="Times New Roman" w:hAnsi="Times New Roman" w:cs="Times New Roman" w:eastAsia="Times New Roman" w:hint="default"/>
        </w:rPr>
        <w:t>1 </w:t>
      </w:r>
      <w:r>
        <w:rPr/>
        <w:t>次会议。</w:t>
      </w:r>
    </w:p>
    <w:p>
      <w:pPr>
        <w:spacing w:line="240" w:lineRule="auto" w:before="7"/>
        <w:rPr>
          <w:rFonts w:ascii="宋体" w:hAnsi="宋体" w:cs="宋体" w:eastAsia="宋体" w:hint="default"/>
          <w:sz w:val="23"/>
          <w:szCs w:val="23"/>
        </w:rPr>
      </w:pPr>
    </w:p>
    <w:p>
      <w:pPr>
        <w:pStyle w:val="Heading2"/>
        <w:spacing w:line="240" w:lineRule="auto"/>
        <w:ind w:right="98"/>
        <w:jc w:val="left"/>
        <w:rPr>
          <w:b w:val="0"/>
          <w:bCs w:val="0"/>
        </w:rPr>
      </w:pPr>
      <w:r>
        <w:rPr/>
        <w:t>七、监事会工作情况</w:t>
      </w:r>
      <w:r>
        <w:rPr>
          <w:b w:val="0"/>
          <w:bCs w:val="0"/>
        </w:rPr>
      </w:r>
    </w:p>
    <w:p>
      <w:pPr>
        <w:spacing w:line="240" w:lineRule="auto" w:before="7"/>
        <w:rPr>
          <w:rFonts w:ascii="宋体" w:hAnsi="宋体" w:cs="宋体" w:eastAsia="宋体" w:hint="default"/>
          <w:b/>
          <w:bCs/>
          <w:sz w:val="34"/>
          <w:szCs w:val="34"/>
        </w:rPr>
      </w:pPr>
    </w:p>
    <w:p>
      <w:pPr>
        <w:pStyle w:val="BodyText"/>
        <w:spacing w:line="240" w:lineRule="auto" w:before="0"/>
        <w:ind w:right="98"/>
        <w:jc w:val="left"/>
      </w:pPr>
      <w:r>
        <w:rPr/>
        <w:t>监事会在报告期内的监督活动中发现公司是否存在风险</w:t>
      </w:r>
    </w:p>
    <w:p>
      <w:pPr>
        <w:pStyle w:val="BodyText"/>
        <w:spacing w:line="364" w:lineRule="auto" w:before="194"/>
        <w:ind w:right="5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公司监事会对报告期内的监督事项无异议。</w:t>
      </w:r>
    </w:p>
    <w:p>
      <w:pPr>
        <w:spacing w:line="766" w:lineRule="exact" w:before="0"/>
        <w:ind w:left="633" w:right="98" w:hanging="480"/>
        <w:jc w:val="left"/>
        <w:rPr>
          <w:rFonts w:ascii="宋体" w:hAnsi="宋体" w:cs="宋体" w:eastAsia="宋体" w:hint="default"/>
          <w:sz w:val="24"/>
          <w:szCs w:val="24"/>
        </w:rPr>
      </w:pPr>
      <w:r>
        <w:rPr>
          <w:rFonts w:ascii="宋体" w:hAnsi="宋体" w:cs="宋体" w:eastAsia="宋体" w:hint="default"/>
          <w:b/>
          <w:bCs/>
          <w:sz w:val="24"/>
          <w:szCs w:val="24"/>
        </w:rPr>
        <w:t>八、高级管理人员的考评及激励情况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公司高级管理人员的薪酬分配与考核以公司规模与经济效益为基础，根据公司年度经营</w:t>
      </w:r>
    </w:p>
    <w:p>
      <w:pPr>
        <w:pStyle w:val="BodyText"/>
        <w:spacing w:line="357" w:lineRule="auto" w:before="34"/>
        <w:ind w:right="95"/>
        <w:jc w:val="left"/>
      </w:pPr>
      <w:r>
        <w:rPr/>
        <w:t>目标和岗位分管工作的年度工作目标，进行综合考核，根据考核结果确定高级管理人员年度</w:t>
      </w:r>
      <w:r>
        <w:rPr>
          <w:spacing w:val="-91"/>
        </w:rPr>
        <w:t> </w:t>
      </w:r>
      <w:r>
        <w:rPr>
          <w:spacing w:val="-91"/>
        </w:rPr>
      </w:r>
      <w:r>
        <w:rPr>
          <w:spacing w:val="-2"/>
        </w:rPr>
        <w:t>薪酬。公司董事会薪酬与考核委员会是对高级管理人员进行薪酬方案制定和考核管理的机构。</w:t>
      </w:r>
    </w:p>
    <w:p>
      <w:pPr>
        <w:pStyle w:val="BodyText"/>
        <w:spacing w:line="357" w:lineRule="auto" w:before="77"/>
        <w:ind w:right="238" w:firstLine="480"/>
        <w:jc w:val="both"/>
      </w:pPr>
      <w:r>
        <w:rPr/>
        <w:t>经营年度开始前，公司与全体高管人员分别签署绩效考核任务书，高级管理人员签订的 绩效考核任务书将作为高级管理人员年度薪酬考核的依据。在经营年度结束后，人力资源中</w:t>
      </w:r>
      <w:r>
        <w:rPr>
          <w:spacing w:val="-91"/>
        </w:rPr>
        <w:t> </w:t>
      </w:r>
      <w:r>
        <w:rPr>
          <w:spacing w:val="-91"/>
        </w:rPr>
      </w:r>
      <w:r>
        <w:rPr/>
        <w:t>心比照工作计划和目标完成情况，对高级管理人员进行绩效考核评价，并依据考核结果公司</w:t>
      </w:r>
      <w:r>
        <w:rPr>
          <w:spacing w:val="-91"/>
        </w:rPr>
        <w:t> </w:t>
      </w:r>
      <w:r>
        <w:rPr>
          <w:spacing w:val="-91"/>
        </w:rPr>
      </w:r>
      <w:r>
        <w:rPr/>
        <w:t>确定绩效年薪。</w:t>
      </w:r>
    </w:p>
    <w:p>
      <w:pPr>
        <w:pStyle w:val="BodyText"/>
        <w:spacing w:line="345" w:lineRule="auto" w:before="77"/>
        <w:ind w:right="223" w:firstLine="480"/>
        <w:jc w:val="both"/>
      </w:pPr>
      <w:r>
        <w:rPr/>
        <w:t>根据公司整体业绩完成情况和高级管理人员绩效评价结果，人力资源中心提出高级管理 人员的业绩奖金分配方案，报薪酬与考核委员会审核。公司实现业绩低于考核目标</w:t>
      </w:r>
      <w:r>
        <w:rPr>
          <w:rFonts w:ascii="Times New Roman" w:hAnsi="Times New Roman" w:cs="Times New Roman" w:eastAsia="Times New Roman" w:hint="default"/>
        </w:rPr>
        <w:t>70%</w:t>
      </w:r>
      <w:r>
        <w:rPr/>
        <w:t>，不</w:t>
      </w:r>
      <w:r>
        <w:rPr>
          <w:spacing w:val="-48"/>
        </w:rPr>
        <w:t> </w:t>
      </w:r>
      <w:r>
        <w:rPr>
          <w:spacing w:val="2"/>
        </w:rPr>
        <w:t>兑付绩效薪酬；公司实现业绩低于考核目标</w:t>
      </w:r>
      <w:r>
        <w:rPr>
          <w:rFonts w:ascii="Times New Roman" w:hAnsi="Times New Roman" w:cs="Times New Roman" w:eastAsia="Times New Roman" w:hint="default"/>
          <w:spacing w:val="2"/>
        </w:rPr>
        <w:t>70%~100%</w:t>
      </w:r>
      <w:r>
        <w:rPr>
          <w:spacing w:val="2"/>
        </w:rPr>
        <w:t>之间的，按实现完成百分比兑付经营</w:t>
      </w:r>
      <w:r>
        <w:rPr>
          <w:spacing w:val="-112"/>
        </w:rPr>
        <w:t> </w:t>
      </w:r>
      <w:r>
        <w:rPr>
          <w:spacing w:val="-112"/>
        </w:rPr>
      </w:r>
      <w:r>
        <w:rPr/>
        <w:t>绩效薪酬。</w:t>
      </w:r>
    </w:p>
    <w:p>
      <w:pPr>
        <w:spacing w:line="240" w:lineRule="auto" w:before="8"/>
        <w:rPr>
          <w:rFonts w:ascii="宋体" w:hAnsi="宋体" w:cs="宋体" w:eastAsia="宋体" w:hint="default"/>
          <w:sz w:val="26"/>
          <w:szCs w:val="26"/>
        </w:rPr>
      </w:pPr>
    </w:p>
    <w:p>
      <w:pPr>
        <w:pStyle w:val="Heading2"/>
        <w:spacing w:line="240" w:lineRule="auto"/>
        <w:ind w:right="98"/>
        <w:jc w:val="left"/>
        <w:rPr>
          <w:b w:val="0"/>
          <w:bCs w:val="0"/>
        </w:rPr>
      </w:pPr>
      <w:r>
        <w:rPr/>
        <w:t>九、内部控制评价报告</w:t>
      </w:r>
      <w:r>
        <w:rPr>
          <w:b w:val="0"/>
          <w:bCs w:val="0"/>
        </w:rPr>
      </w:r>
    </w:p>
    <w:p>
      <w:pPr>
        <w:spacing w:line="240" w:lineRule="auto" w:before="10"/>
        <w:rPr>
          <w:rFonts w:ascii="宋体" w:hAnsi="宋体" w:cs="宋体" w:eastAsia="宋体" w:hint="default"/>
          <w:b/>
          <w:bCs/>
          <w:sz w:val="34"/>
          <w:szCs w:val="34"/>
        </w:rPr>
      </w:pPr>
    </w:p>
    <w:p>
      <w:pPr>
        <w:pStyle w:val="Heading2"/>
        <w:spacing w:line="240" w:lineRule="auto"/>
        <w:ind w:right="98"/>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right="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240" w:lineRule="auto" w:before="3"/>
        <w:rPr>
          <w:rFonts w:ascii="宋体" w:hAnsi="宋体" w:cs="宋体" w:eastAsia="宋体" w:hint="default"/>
          <w:sz w:val="27"/>
          <w:szCs w:val="27"/>
        </w:rPr>
      </w:pPr>
    </w:p>
    <w:p>
      <w:pPr>
        <w:pStyle w:val="Heading2"/>
        <w:spacing w:line="240" w:lineRule="auto"/>
        <w:ind w:right="98"/>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08"/>
        <w:gridCol w:w="6532"/>
      </w:tblGrid>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53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pgSz w:w="11910" w:h="16840"/>
          <w:pgMar w:header="877" w:footer="980" w:top="1100" w:bottom="1160" w:left="980" w:right="90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14"/>
        <w:gridCol w:w="3266"/>
        <w:gridCol w:w="3260"/>
      </w:tblGrid>
      <w:tr>
        <w:trPr>
          <w:trHeight w:val="713" w:hRule="exact"/>
        </w:trPr>
        <w:tc>
          <w:tcPr>
            <w:tcW w:w="3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33"/>
              <w:jc w:val="left"/>
              <w:rPr>
                <w:rFonts w:ascii="宋体" w:hAnsi="宋体" w:cs="宋体" w:eastAsia="宋体" w:hint="default"/>
                <w:sz w:val="21"/>
                <w:szCs w:val="21"/>
              </w:rPr>
            </w:pPr>
            <w:r>
              <w:rPr>
                <w:rFonts w:ascii="宋体" w:hAnsi="宋体" w:cs="宋体" w:eastAsia="宋体" w:hint="default"/>
                <w:spacing w:val="-2"/>
                <w:sz w:val="21"/>
                <w:szCs w:val="21"/>
              </w:rPr>
              <w:t>纳入评价范围单位资产总额占公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司合并财务报表资产总额的比例</w:t>
            </w:r>
          </w:p>
        </w:tc>
        <w:tc>
          <w:tcPr>
            <w:tcW w:w="65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w:t>
            </w:r>
          </w:p>
        </w:tc>
      </w:tr>
      <w:tr>
        <w:trPr>
          <w:trHeight w:val="715" w:hRule="exact"/>
        </w:trPr>
        <w:tc>
          <w:tcPr>
            <w:tcW w:w="3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133"/>
              <w:jc w:val="left"/>
              <w:rPr>
                <w:rFonts w:ascii="宋体" w:hAnsi="宋体" w:cs="宋体" w:eastAsia="宋体" w:hint="default"/>
                <w:sz w:val="21"/>
                <w:szCs w:val="21"/>
              </w:rPr>
            </w:pPr>
            <w:r>
              <w:rPr>
                <w:rFonts w:ascii="宋体" w:hAnsi="宋体" w:cs="宋体" w:eastAsia="宋体" w:hint="default"/>
                <w:spacing w:val="-2"/>
                <w:sz w:val="21"/>
                <w:szCs w:val="21"/>
              </w:rPr>
              <w:t>纳入评价范围单位营业收入占公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司合并财务报表营业收入的比例</w:t>
            </w:r>
          </w:p>
        </w:tc>
        <w:tc>
          <w:tcPr>
            <w:tcW w:w="65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w:t>
            </w:r>
          </w:p>
        </w:tc>
      </w:tr>
      <w:tr>
        <w:trPr>
          <w:trHeight w:val="402" w:hRule="exact"/>
        </w:trPr>
        <w:tc>
          <w:tcPr>
            <w:tcW w:w="96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402" w:hRule="exact"/>
        </w:trPr>
        <w:tc>
          <w:tcPr>
            <w:tcW w:w="3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 w:right="0"/>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5591" w:hRule="exact"/>
        </w:trPr>
        <w:tc>
          <w:tcPr>
            <w:tcW w:w="3114"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6" w:type="dxa"/>
            <w:vMerge w:val="restart"/>
            <w:tcBorders>
              <w:top w:val="single" w:sz="4" w:space="0" w:color="000000"/>
              <w:left w:val="single" w:sz="10" w:space="0" w:color="D2D2D2"/>
              <w:right w:val="single" w:sz="4" w:space="0" w:color="000000"/>
            </w:tcBorders>
          </w:tcPr>
          <w:p>
            <w:pPr>
              <w:pStyle w:val="TableParagraph"/>
              <w:spacing w:line="240" w:lineRule="auto" w:before="28"/>
              <w:ind w:left="22" w:right="0"/>
              <w:jc w:val="both"/>
              <w:rPr>
                <w:rFonts w:ascii="宋体" w:hAnsi="宋体" w:cs="宋体" w:eastAsia="宋体" w:hint="default"/>
                <w:sz w:val="21"/>
                <w:szCs w:val="21"/>
              </w:rPr>
            </w:pPr>
            <w:r>
              <w:rPr>
                <w:rFonts w:ascii="宋体" w:hAnsi="宋体" w:cs="宋体" w:eastAsia="宋体" w:hint="default"/>
                <w:sz w:val="21"/>
                <w:szCs w:val="21"/>
              </w:rPr>
              <w:t>财务报告重大缺陷的迹象包括：</w:t>
            </w:r>
          </w:p>
          <w:p>
            <w:pPr>
              <w:pStyle w:val="TableParagraph"/>
              <w:spacing w:line="256" w:lineRule="auto" w:before="75"/>
              <w:ind w:left="22"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）公司已经上报或披露的财务报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告出现的重大差错进行错报更正；</w:t>
            </w:r>
          </w:p>
          <w:p>
            <w:pPr>
              <w:pStyle w:val="TableParagraph"/>
              <w:spacing w:line="266" w:lineRule="auto" w:before="63"/>
              <w:ind w:left="22"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）公司的审计机构发现当期财务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报告存在重大错报，而公司内部控</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制运行过程中未能发现；</w:t>
            </w:r>
          </w:p>
          <w:p>
            <w:pPr>
              <w:pStyle w:val="TableParagraph"/>
              <w:spacing w:line="256" w:lineRule="auto" w:before="55"/>
              <w:ind w:left="22"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）公司审计委员会以及内部审计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部门对内部控制监督无效；</w:t>
            </w:r>
          </w:p>
          <w:p>
            <w:pPr>
              <w:pStyle w:val="TableParagraph"/>
              <w:spacing w:line="256" w:lineRule="auto" w:before="61"/>
              <w:ind w:left="22"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）董事、监事或高级管理层中出</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现重大舞弊行为；</w:t>
            </w:r>
          </w:p>
          <w:p>
            <w:pPr>
              <w:pStyle w:val="TableParagraph"/>
              <w:spacing w:line="240" w:lineRule="auto" w:before="63"/>
              <w:ind w:left="22"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财务报告重要缺陷的迹象包括</w:t>
            </w:r>
            <w:r>
              <w:rPr>
                <w:rFonts w:ascii="Times New Roman" w:hAnsi="Times New Roman" w:cs="Times New Roman" w:eastAsia="Times New Roman" w:hint="default"/>
                <w:sz w:val="21"/>
                <w:szCs w:val="21"/>
              </w:rPr>
              <w:t>:</w:t>
            </w:r>
          </w:p>
          <w:p>
            <w:pPr>
              <w:pStyle w:val="TableParagraph"/>
              <w:spacing w:line="256" w:lineRule="auto" w:before="62"/>
              <w:ind w:left="22"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）未依照公认会计准则选择和应</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用会计政策；</w:t>
            </w:r>
          </w:p>
          <w:p>
            <w:pPr>
              <w:pStyle w:val="TableParagraph"/>
              <w:spacing w:line="266" w:lineRule="auto" w:before="61"/>
              <w:ind w:left="22"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）对于非常规或特殊交易的账务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处理没有建立相应的控制机制或没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有实施且没有相应的补偿性控制；</w:t>
            </w:r>
          </w:p>
          <w:p>
            <w:pPr>
              <w:pStyle w:val="TableParagraph"/>
              <w:spacing w:line="266" w:lineRule="auto" w:before="55"/>
              <w:ind w:left="22"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）对于期末财务报告过程的控制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存在一项或多项缺陷且不能合理保</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证编制的财务报表达到真实、完整</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的目标。</w:t>
            </w:r>
          </w:p>
          <w:p>
            <w:pPr>
              <w:pStyle w:val="TableParagraph"/>
              <w:spacing w:line="290" w:lineRule="auto" w:before="55"/>
              <w:ind w:left="22" w:right="21"/>
              <w:jc w:val="left"/>
              <w:rPr>
                <w:rFonts w:ascii="宋体" w:hAnsi="宋体" w:cs="宋体" w:eastAsia="宋体" w:hint="default"/>
                <w:sz w:val="21"/>
                <w:szCs w:val="21"/>
              </w:rPr>
            </w:pPr>
            <w:r>
              <w:rPr>
                <w:rFonts w:ascii="宋体" w:hAnsi="宋体" w:cs="宋体" w:eastAsia="宋体" w:hint="default"/>
                <w:sz w:val="21"/>
                <w:szCs w:val="21"/>
              </w:rPr>
              <w:t>一般缺陷：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是指除上述重大缺陷、重要缺陷之</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外的其他控制缺陷。</w:t>
            </w:r>
          </w:p>
        </w:tc>
        <w:tc>
          <w:tcPr>
            <w:tcW w:w="3260"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21"/>
              <w:jc w:val="both"/>
              <w:rPr>
                <w:rFonts w:ascii="宋体" w:hAnsi="宋体" w:cs="宋体" w:eastAsia="宋体" w:hint="default"/>
                <w:sz w:val="21"/>
                <w:szCs w:val="21"/>
              </w:rPr>
            </w:pPr>
            <w:r>
              <w:rPr>
                <w:rFonts w:ascii="宋体" w:hAnsi="宋体" w:cs="宋体" w:eastAsia="宋体" w:hint="default"/>
                <w:sz w:val="21"/>
                <w:szCs w:val="21"/>
              </w:rPr>
              <w:t>出现以下情形的，可认定为重大缺</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陷：</w:t>
            </w:r>
          </w:p>
          <w:p>
            <w:pPr>
              <w:pStyle w:val="TableParagraph"/>
              <w:spacing w:line="268" w:lineRule="auto" w:before="46"/>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）公司重大事项决策违反国家有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关法律法规，决策程序缺乏集体民</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主决策程序，或集体民主决策程序</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不规范；</w:t>
            </w:r>
          </w:p>
          <w:p>
            <w:pPr>
              <w:pStyle w:val="TableParagraph"/>
              <w:spacing w:line="256" w:lineRule="auto" w:before="52"/>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）公司决策程序不科学，或决策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出现重大失误；</w:t>
            </w:r>
          </w:p>
          <w:p>
            <w:pPr>
              <w:pStyle w:val="TableParagraph"/>
              <w:spacing w:line="256" w:lineRule="auto" w:before="63"/>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）公司经营或决策严重违反国家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法律法规；</w:t>
            </w:r>
          </w:p>
          <w:p>
            <w:pPr>
              <w:pStyle w:val="TableParagraph"/>
              <w:spacing w:line="256" w:lineRule="auto" w:before="61"/>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）公司出现重大环境污染或其他</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严重影响社会公共利益的事件；</w:t>
            </w:r>
          </w:p>
          <w:p>
            <w:pPr>
              <w:pStyle w:val="TableParagraph"/>
              <w:spacing w:line="264" w:lineRule="auto" w:before="63"/>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）缺乏重要的业务管理制度或制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度运行系统性失效，持续经营受到</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挑战，且缺乏有效的补偿机制；</w:t>
            </w:r>
          </w:p>
          <w:p>
            <w:pPr>
              <w:pStyle w:val="TableParagraph"/>
              <w:spacing w:line="256" w:lineRule="auto" w:before="57"/>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）公司的重大或重要内控缺陷未</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得到整改；</w:t>
            </w:r>
          </w:p>
          <w:p>
            <w:pPr>
              <w:pStyle w:val="TableParagraph"/>
              <w:spacing w:line="256" w:lineRule="auto" w:before="61"/>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）公司持续或大量出现重要内控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缺陷；</w:t>
            </w:r>
          </w:p>
          <w:p>
            <w:pPr>
              <w:pStyle w:val="TableParagraph"/>
              <w:spacing w:line="256" w:lineRule="auto" w:before="63"/>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8</w:t>
            </w:r>
            <w:r>
              <w:rPr>
                <w:rFonts w:ascii="宋体" w:hAnsi="宋体" w:cs="宋体" w:eastAsia="宋体" w:hint="default"/>
                <w:spacing w:val="-5"/>
                <w:sz w:val="21"/>
                <w:szCs w:val="21"/>
              </w:rPr>
              <w:t>）中高级管理人员和高级技术人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员流失严重；</w:t>
            </w:r>
          </w:p>
          <w:p>
            <w:pPr>
              <w:pStyle w:val="TableParagraph"/>
              <w:spacing w:line="256" w:lineRule="auto" w:before="63"/>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9</w:t>
            </w:r>
            <w:r>
              <w:rPr>
                <w:rFonts w:ascii="宋体" w:hAnsi="宋体" w:cs="宋体" w:eastAsia="宋体" w:hint="default"/>
                <w:spacing w:val="-5"/>
                <w:sz w:val="21"/>
                <w:szCs w:val="21"/>
              </w:rPr>
              <w:t>）其他可能导致公司严重偏离控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制目标的情况。</w:t>
            </w:r>
          </w:p>
          <w:p>
            <w:pPr>
              <w:pStyle w:val="TableParagraph"/>
              <w:spacing w:line="273" w:lineRule="auto" w:before="61"/>
              <w:ind w:left="23" w:right="21"/>
              <w:jc w:val="both"/>
              <w:rPr>
                <w:rFonts w:ascii="宋体" w:hAnsi="宋体" w:cs="宋体" w:eastAsia="宋体" w:hint="default"/>
                <w:sz w:val="21"/>
                <w:szCs w:val="21"/>
              </w:rPr>
            </w:pPr>
            <w:r>
              <w:rPr>
                <w:rFonts w:ascii="宋体" w:hAnsi="宋体" w:cs="宋体" w:eastAsia="宋体" w:hint="default"/>
                <w:sz w:val="21"/>
                <w:szCs w:val="21"/>
              </w:rPr>
              <w:t>出现以下情形，可以认定为重要缺</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陷：</w:t>
            </w:r>
          </w:p>
          <w:p>
            <w:pPr>
              <w:pStyle w:val="TableParagraph"/>
              <w:spacing w:line="240" w:lineRule="auto" w:before="48"/>
              <w:ind w:left="23" w:right="0"/>
              <w:jc w:val="both"/>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重</w:t>
            </w:r>
            <w:r>
              <w:rPr>
                <w:rFonts w:ascii="宋体" w:hAnsi="宋体" w:cs="宋体" w:eastAsia="宋体" w:hint="default"/>
                <w:spacing w:val="-3"/>
                <w:w w:val="100"/>
                <w:sz w:val="21"/>
                <w:szCs w:val="21"/>
              </w:rPr>
              <w:t>要</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w w:val="100"/>
                <w:sz w:val="21"/>
                <w:szCs w:val="21"/>
              </w:rPr>
              <w:t>或</w:t>
            </w:r>
            <w:r>
              <w:rPr>
                <w:rFonts w:ascii="宋体" w:hAnsi="宋体" w:cs="宋体" w:eastAsia="宋体" w:hint="default"/>
                <w:spacing w:val="-3"/>
                <w:w w:val="100"/>
                <w:sz w:val="21"/>
                <w:szCs w:val="21"/>
              </w:rPr>
              <w:t>流</w:t>
            </w:r>
            <w:r>
              <w:rPr>
                <w:rFonts w:ascii="宋体" w:hAnsi="宋体" w:cs="宋体" w:eastAsia="宋体" w:hint="default"/>
                <w:w w:val="100"/>
                <w:sz w:val="21"/>
                <w:szCs w:val="21"/>
              </w:rPr>
              <w:t>程</w:t>
            </w:r>
            <w:r>
              <w:rPr>
                <w:rFonts w:ascii="宋体" w:hAnsi="宋体" w:cs="宋体" w:eastAsia="宋体" w:hint="default"/>
                <w:spacing w:val="-3"/>
                <w:w w:val="100"/>
                <w:sz w:val="21"/>
                <w:szCs w:val="21"/>
              </w:rPr>
              <w:t>指引</w:t>
            </w:r>
            <w:r>
              <w:rPr>
                <w:rFonts w:ascii="宋体" w:hAnsi="宋体" w:cs="宋体" w:eastAsia="宋体" w:hint="default"/>
                <w:w w:val="100"/>
                <w:sz w:val="21"/>
                <w:szCs w:val="21"/>
              </w:rPr>
              <w:t>的缺</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p>
          <w:p>
            <w:pPr>
              <w:pStyle w:val="TableParagraph"/>
              <w:spacing w:line="268" w:lineRule="auto" w:before="62"/>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）违反法律、法规、规章、政府</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政策、其他规范性文件等，导致地</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方政府或监管机构的调查，并被处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以罚款或罚金，同时被责令停业整</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顿等；</w:t>
            </w:r>
          </w:p>
          <w:p>
            <w:pPr>
              <w:pStyle w:val="TableParagraph"/>
              <w:spacing w:line="256" w:lineRule="auto" w:before="50"/>
              <w:ind w:left="23" w:right="20"/>
              <w:jc w:val="both"/>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）内部控制重要缺陷未得到整</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改。</w:t>
            </w:r>
          </w:p>
          <w:p>
            <w:pPr>
              <w:pStyle w:val="TableParagraph"/>
              <w:spacing w:line="273" w:lineRule="auto" w:before="63"/>
              <w:ind w:left="23" w:right="21"/>
              <w:jc w:val="both"/>
              <w:rPr>
                <w:rFonts w:ascii="宋体" w:hAnsi="宋体" w:cs="宋体" w:eastAsia="宋体" w:hint="default"/>
                <w:sz w:val="21"/>
                <w:szCs w:val="21"/>
              </w:rPr>
            </w:pPr>
            <w:r>
              <w:rPr>
                <w:rFonts w:ascii="宋体" w:hAnsi="宋体" w:cs="宋体" w:eastAsia="宋体" w:hint="default"/>
                <w:sz w:val="21"/>
                <w:szCs w:val="21"/>
              </w:rPr>
              <w:t>出现以下情形，可以认定为一般缺</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陷：</w:t>
            </w:r>
          </w:p>
        </w:tc>
      </w:tr>
      <w:tr>
        <w:trPr>
          <w:trHeight w:val="391" w:hRule="exact"/>
        </w:trPr>
        <w:tc>
          <w:tcPr>
            <w:tcW w:w="31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定性标准</w:t>
            </w:r>
          </w:p>
        </w:tc>
        <w:tc>
          <w:tcPr>
            <w:tcW w:w="3266" w:type="dxa"/>
            <w:vMerge/>
            <w:tcBorders>
              <w:left w:val="single" w:sz="10" w:space="0" w:color="D2D2D2"/>
              <w:right w:val="single" w:sz="4" w:space="0" w:color="000000"/>
            </w:tcBorders>
          </w:tcPr>
          <w:p>
            <w:pPr/>
          </w:p>
        </w:tc>
        <w:tc>
          <w:tcPr>
            <w:tcW w:w="3260" w:type="dxa"/>
            <w:vMerge/>
            <w:tcBorders>
              <w:left w:val="single" w:sz="4" w:space="0" w:color="000000"/>
              <w:right w:val="single" w:sz="4" w:space="0" w:color="000000"/>
            </w:tcBorders>
          </w:tcPr>
          <w:p>
            <w:pPr/>
          </w:p>
        </w:tc>
      </w:tr>
      <w:tr>
        <w:trPr>
          <w:trHeight w:val="5590" w:hRule="exact"/>
        </w:trPr>
        <w:tc>
          <w:tcPr>
            <w:tcW w:w="3114" w:type="dxa"/>
            <w:tcBorders>
              <w:top w:val="nil" w:sz="6" w:space="0" w:color="auto"/>
              <w:left w:val="single" w:sz="4" w:space="0" w:color="000000"/>
              <w:bottom w:val="single" w:sz="4" w:space="0" w:color="000000"/>
              <w:right w:val="single" w:sz="4" w:space="0" w:color="000000"/>
            </w:tcBorders>
            <w:shd w:val="clear" w:color="auto" w:fill="D2D2D2"/>
          </w:tcPr>
          <w:p>
            <w:pPr/>
          </w:p>
        </w:tc>
        <w:tc>
          <w:tcPr>
            <w:tcW w:w="3266" w:type="dxa"/>
            <w:vMerge/>
            <w:tcBorders>
              <w:left w:val="single" w:sz="10" w:space="0" w:color="D2D2D2"/>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19"/>
        <w:gridCol w:w="3260"/>
        <w:gridCol w:w="3260"/>
      </w:tblGrid>
      <w:tr>
        <w:trPr>
          <w:trHeight w:val="1378"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60"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3" w:right="17"/>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）公司一般业务制度或系统存在</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缺陷；</w:t>
            </w:r>
          </w:p>
          <w:p>
            <w:pPr>
              <w:pStyle w:val="TableParagraph"/>
              <w:spacing w:line="240" w:lineRule="auto" w:before="63"/>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）公司一般缺陷未得到整改；</w:t>
            </w:r>
          </w:p>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）公司存在其他缺陷。</w:t>
            </w:r>
          </w:p>
        </w:tc>
      </w:tr>
      <w:tr>
        <w:trPr>
          <w:trHeight w:val="2979"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22" w:right="0"/>
              <w:jc w:val="left"/>
              <w:rPr>
                <w:rFonts w:ascii="宋体" w:hAnsi="宋体" w:cs="宋体" w:eastAsia="宋体" w:hint="default"/>
                <w:sz w:val="21"/>
                <w:szCs w:val="21"/>
              </w:rPr>
            </w:pPr>
            <w:r>
              <w:rPr>
                <w:rFonts w:ascii="宋体" w:hAnsi="宋体" w:cs="宋体" w:eastAsia="宋体" w:hint="default"/>
                <w:sz w:val="21"/>
                <w:szCs w:val="21"/>
              </w:rPr>
              <w:t>定量标准</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16"/>
              <w:jc w:val="both"/>
              <w:rPr>
                <w:rFonts w:ascii="宋体" w:hAnsi="宋体" w:cs="宋体" w:eastAsia="宋体" w:hint="default"/>
                <w:sz w:val="21"/>
                <w:szCs w:val="21"/>
              </w:rPr>
            </w:pPr>
            <w:r>
              <w:rPr>
                <w:rFonts w:ascii="宋体" w:hAnsi="宋体" w:cs="宋体" w:eastAsia="宋体" w:hint="default"/>
                <w:spacing w:val="2"/>
                <w:sz w:val="21"/>
                <w:szCs w:val="21"/>
              </w:rPr>
              <w:t>重大缺陷：营业收入潜在错报</w:t>
            </w:r>
            <w:r>
              <w:rPr>
                <w:rFonts w:ascii="Times New Roman" w:hAnsi="Times New Roman" w:cs="Times New Roman" w:eastAsia="Times New Roman" w:hint="default"/>
                <w:spacing w:val="2"/>
                <w:sz w:val="21"/>
                <w:szCs w:val="21"/>
              </w:rPr>
              <w:t>≥5%</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pacing w:val="-13"/>
                <w:sz w:val="21"/>
                <w:szCs w:val="21"/>
              </w:rPr>
            </w:r>
            <w:r>
              <w:rPr>
                <w:rFonts w:ascii="宋体" w:hAnsi="宋体" w:cs="宋体" w:eastAsia="宋体" w:hint="default"/>
                <w:spacing w:val="2"/>
                <w:sz w:val="21"/>
                <w:szCs w:val="21"/>
              </w:rPr>
              <w:t>营业收入或利润总额潜在错报</w:t>
            </w:r>
            <w:r>
              <w:rPr>
                <w:rFonts w:ascii="Times New Roman" w:hAnsi="Times New Roman" w:cs="Times New Roman" w:eastAsia="Times New Roman" w:hint="default"/>
                <w:spacing w:val="2"/>
                <w:sz w:val="21"/>
                <w:szCs w:val="21"/>
              </w:rPr>
              <w:t>≥5%</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pacing w:val="-13"/>
                <w:sz w:val="21"/>
                <w:szCs w:val="21"/>
              </w:rPr>
            </w:r>
            <w:r>
              <w:rPr>
                <w:rFonts w:ascii="宋体" w:hAnsi="宋体" w:cs="宋体" w:eastAsia="宋体" w:hint="default"/>
                <w:sz w:val="21"/>
                <w:szCs w:val="21"/>
              </w:rPr>
              <w:t>利润总额</w:t>
            </w:r>
          </w:p>
          <w:p>
            <w:pPr>
              <w:pStyle w:val="TableParagraph"/>
              <w:spacing w:line="268" w:lineRule="auto" w:before="63"/>
              <w:ind w:left="23" w:right="17"/>
              <w:jc w:val="left"/>
              <w:rPr>
                <w:rFonts w:ascii="宋体" w:hAnsi="宋体" w:cs="宋体" w:eastAsia="宋体" w:hint="default"/>
                <w:sz w:val="21"/>
                <w:szCs w:val="21"/>
              </w:rPr>
            </w:pPr>
            <w:r>
              <w:rPr>
                <w:rFonts w:ascii="宋体" w:hAnsi="宋体" w:cs="宋体" w:eastAsia="宋体" w:hint="default"/>
                <w:spacing w:val="-12"/>
                <w:w w:val="100"/>
                <w:sz w:val="21"/>
                <w:szCs w:val="21"/>
              </w:rPr>
              <w:t>重要缺陷：营业收入</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2"/>
                <w:w w:val="100"/>
                <w:sz w:val="21"/>
                <w:szCs w:val="21"/>
              </w:rPr>
              <w:t>2%≤</w:t>
            </w:r>
            <w:r>
              <w:rPr>
                <w:rFonts w:ascii="宋体" w:hAnsi="宋体" w:cs="宋体" w:eastAsia="宋体" w:hint="default"/>
                <w:spacing w:val="-2"/>
                <w:w w:val="100"/>
                <w:sz w:val="21"/>
                <w:szCs w:val="21"/>
              </w:rPr>
              <w:t>错报</w:t>
            </w:r>
            <w:r>
              <w:rPr>
                <w:rFonts w:ascii="Times New Roman" w:hAnsi="Times New Roman" w:cs="Times New Roman" w:eastAsia="Times New Roman" w:hint="default"/>
                <w:spacing w:val="-2"/>
                <w:w w:val="100"/>
                <w:sz w:val="21"/>
                <w:szCs w:val="21"/>
              </w:rPr>
              <w:t>&lt;</w:t>
            </w:r>
            <w:r>
              <w:rPr>
                <w:rFonts w:ascii="宋体" w:hAnsi="宋体" w:cs="宋体" w:eastAsia="宋体" w:hint="default"/>
                <w:spacing w:val="-2"/>
                <w:w w:val="100"/>
                <w:sz w:val="21"/>
                <w:szCs w:val="21"/>
              </w:rPr>
              <w:t>营业</w:t>
            </w:r>
            <w:r>
              <w:rPr>
                <w:rFonts w:ascii="宋体" w:hAnsi="宋体" w:cs="宋体" w:eastAsia="宋体" w:hint="default"/>
                <w:spacing w:val="-103"/>
                <w:w w:val="100"/>
                <w:sz w:val="21"/>
                <w:szCs w:val="21"/>
              </w:rPr>
              <w:t> </w:t>
            </w:r>
            <w:r>
              <w:rPr>
                <w:rFonts w:ascii="宋体" w:hAnsi="宋体" w:cs="宋体" w:eastAsia="宋体" w:hint="default"/>
                <w:sz w:val="21"/>
                <w:szCs w:val="21"/>
              </w:rPr>
              <w:t>收入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或利润总额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9"/>
                <w:sz w:val="21"/>
                <w:szCs w:val="21"/>
              </w:rPr>
              <w:t> </w:t>
            </w:r>
            <w:r>
              <w:rPr>
                <w:rFonts w:ascii="宋体" w:hAnsi="宋体" w:cs="宋体" w:eastAsia="宋体" w:hint="default"/>
                <w:spacing w:val="-6"/>
                <w:sz w:val="21"/>
                <w:szCs w:val="21"/>
              </w:rPr>
              <w:t>一般缺陷：营业收入潜在错报</w:t>
            </w:r>
            <w:r>
              <w:rPr>
                <w:rFonts w:ascii="Times New Roman" w:hAnsi="Times New Roman" w:cs="Times New Roman" w:eastAsia="Times New Roman" w:hint="default"/>
                <w:spacing w:val="-6"/>
                <w:sz w:val="21"/>
                <w:szCs w:val="21"/>
              </w:rPr>
              <w:t>&lt;</w:t>
            </w:r>
            <w:r>
              <w:rPr>
                <w:rFonts w:ascii="宋体" w:hAnsi="宋体" w:cs="宋体" w:eastAsia="宋体" w:hint="default"/>
                <w:spacing w:val="-6"/>
                <w:sz w:val="21"/>
                <w:szCs w:val="21"/>
              </w:rPr>
              <w:t>营业</w:t>
            </w:r>
          </w:p>
          <w:p>
            <w:pPr>
              <w:pStyle w:val="TableParagraph"/>
              <w:spacing w:line="256" w:lineRule="auto"/>
              <w:ind w:left="23" w:right="17"/>
              <w:jc w:val="left"/>
              <w:rPr>
                <w:rFonts w:ascii="Times New Roman" w:hAnsi="Times New Roman" w:cs="Times New Roman" w:eastAsia="Times New Roman" w:hint="default"/>
                <w:sz w:val="21"/>
                <w:szCs w:val="21"/>
              </w:rPr>
            </w:pPr>
            <w:r>
              <w:rPr>
                <w:rFonts w:ascii="宋体" w:hAnsi="宋体" w:cs="宋体" w:eastAsia="宋体" w:hint="default"/>
                <w:sz w:val="21"/>
                <w:szCs w:val="21"/>
              </w:rPr>
              <w:t>收入</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或利润总额潜在错报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16"/>
              <w:jc w:val="both"/>
              <w:rPr>
                <w:rFonts w:ascii="宋体" w:hAnsi="宋体" w:cs="宋体" w:eastAsia="宋体" w:hint="default"/>
                <w:sz w:val="21"/>
                <w:szCs w:val="21"/>
              </w:rPr>
            </w:pPr>
            <w:r>
              <w:rPr>
                <w:rFonts w:ascii="宋体" w:hAnsi="宋体" w:cs="宋体" w:eastAsia="宋体" w:hint="default"/>
                <w:spacing w:val="2"/>
                <w:sz w:val="21"/>
                <w:szCs w:val="21"/>
              </w:rPr>
              <w:t>重大缺陷：营业收入潜在错报</w:t>
            </w:r>
            <w:r>
              <w:rPr>
                <w:rFonts w:ascii="Times New Roman" w:hAnsi="Times New Roman" w:cs="Times New Roman" w:eastAsia="Times New Roman" w:hint="default"/>
                <w:spacing w:val="2"/>
                <w:sz w:val="21"/>
                <w:szCs w:val="21"/>
              </w:rPr>
              <w:t>≥5%</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pacing w:val="-12"/>
                <w:sz w:val="21"/>
                <w:szCs w:val="21"/>
              </w:rPr>
            </w:r>
            <w:r>
              <w:rPr>
                <w:rFonts w:ascii="宋体" w:hAnsi="宋体" w:cs="宋体" w:eastAsia="宋体" w:hint="default"/>
                <w:spacing w:val="2"/>
                <w:sz w:val="21"/>
                <w:szCs w:val="21"/>
              </w:rPr>
              <w:t>营业收入或利润总额潜在错报</w:t>
            </w:r>
            <w:r>
              <w:rPr>
                <w:rFonts w:ascii="Times New Roman" w:hAnsi="Times New Roman" w:cs="Times New Roman" w:eastAsia="Times New Roman" w:hint="default"/>
                <w:spacing w:val="2"/>
                <w:sz w:val="21"/>
                <w:szCs w:val="21"/>
              </w:rPr>
              <w:t>≥5%</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pacing w:val="-12"/>
                <w:sz w:val="21"/>
                <w:szCs w:val="21"/>
              </w:rPr>
            </w:r>
            <w:r>
              <w:rPr>
                <w:rFonts w:ascii="宋体" w:hAnsi="宋体" w:cs="宋体" w:eastAsia="宋体" w:hint="default"/>
                <w:sz w:val="21"/>
                <w:szCs w:val="21"/>
              </w:rPr>
              <w:t>利润总额</w:t>
            </w:r>
          </w:p>
          <w:p>
            <w:pPr>
              <w:pStyle w:val="TableParagraph"/>
              <w:spacing w:line="268" w:lineRule="auto" w:before="63"/>
              <w:ind w:left="23" w:right="17"/>
              <w:jc w:val="left"/>
              <w:rPr>
                <w:rFonts w:ascii="宋体" w:hAnsi="宋体" w:cs="宋体" w:eastAsia="宋体" w:hint="default"/>
                <w:sz w:val="21"/>
                <w:szCs w:val="21"/>
              </w:rPr>
            </w:pPr>
            <w:r>
              <w:rPr>
                <w:rFonts w:ascii="宋体" w:hAnsi="宋体" w:cs="宋体" w:eastAsia="宋体" w:hint="default"/>
                <w:spacing w:val="-12"/>
                <w:w w:val="100"/>
                <w:sz w:val="21"/>
                <w:szCs w:val="21"/>
              </w:rPr>
              <w:t>重要缺陷：营业收入</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2"/>
                <w:w w:val="100"/>
                <w:sz w:val="21"/>
                <w:szCs w:val="21"/>
              </w:rPr>
              <w:t>2%≤</w:t>
            </w:r>
            <w:r>
              <w:rPr>
                <w:rFonts w:ascii="宋体" w:hAnsi="宋体" w:cs="宋体" w:eastAsia="宋体" w:hint="default"/>
                <w:spacing w:val="-2"/>
                <w:w w:val="100"/>
                <w:sz w:val="21"/>
                <w:szCs w:val="21"/>
              </w:rPr>
              <w:t>错报</w:t>
            </w:r>
            <w:r>
              <w:rPr>
                <w:rFonts w:ascii="Times New Roman" w:hAnsi="Times New Roman" w:cs="Times New Roman" w:eastAsia="Times New Roman" w:hint="default"/>
                <w:spacing w:val="-2"/>
                <w:w w:val="100"/>
                <w:sz w:val="21"/>
                <w:szCs w:val="21"/>
              </w:rPr>
              <w:t>&lt;</w:t>
            </w:r>
            <w:r>
              <w:rPr>
                <w:rFonts w:ascii="宋体" w:hAnsi="宋体" w:cs="宋体" w:eastAsia="宋体" w:hint="default"/>
                <w:spacing w:val="-2"/>
                <w:w w:val="100"/>
                <w:sz w:val="21"/>
                <w:szCs w:val="21"/>
              </w:rPr>
              <w:t>营业</w:t>
            </w:r>
            <w:r>
              <w:rPr>
                <w:rFonts w:ascii="宋体" w:hAnsi="宋体" w:cs="宋体" w:eastAsia="宋体" w:hint="default"/>
                <w:spacing w:val="-103"/>
                <w:w w:val="100"/>
                <w:sz w:val="21"/>
                <w:szCs w:val="21"/>
              </w:rPr>
              <w:t> </w:t>
            </w:r>
            <w:r>
              <w:rPr>
                <w:rFonts w:ascii="宋体" w:hAnsi="宋体" w:cs="宋体" w:eastAsia="宋体" w:hint="default"/>
                <w:sz w:val="21"/>
                <w:szCs w:val="21"/>
              </w:rPr>
              <w:t>收入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或利润总额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9"/>
                <w:sz w:val="21"/>
                <w:szCs w:val="21"/>
              </w:rPr>
              <w:t> </w:t>
            </w:r>
            <w:r>
              <w:rPr>
                <w:rFonts w:ascii="宋体" w:hAnsi="宋体" w:cs="宋体" w:eastAsia="宋体" w:hint="default"/>
                <w:spacing w:val="-6"/>
                <w:sz w:val="21"/>
                <w:szCs w:val="21"/>
              </w:rPr>
              <w:t>一般缺陷：营业收入潜在错报</w:t>
            </w:r>
            <w:r>
              <w:rPr>
                <w:rFonts w:ascii="Times New Roman" w:hAnsi="Times New Roman" w:cs="Times New Roman" w:eastAsia="Times New Roman" w:hint="default"/>
                <w:spacing w:val="-6"/>
                <w:sz w:val="21"/>
                <w:szCs w:val="21"/>
              </w:rPr>
              <w:t>&lt;</w:t>
            </w:r>
            <w:r>
              <w:rPr>
                <w:rFonts w:ascii="宋体" w:hAnsi="宋体" w:cs="宋体" w:eastAsia="宋体" w:hint="default"/>
                <w:spacing w:val="-6"/>
                <w:sz w:val="21"/>
                <w:szCs w:val="21"/>
              </w:rPr>
              <w:t>营业</w:t>
            </w:r>
          </w:p>
          <w:p>
            <w:pPr>
              <w:pStyle w:val="TableParagraph"/>
              <w:spacing w:line="256" w:lineRule="auto"/>
              <w:ind w:left="23" w:right="38"/>
              <w:jc w:val="left"/>
              <w:rPr>
                <w:rFonts w:ascii="Times New Roman" w:hAnsi="Times New Roman" w:cs="Times New Roman" w:eastAsia="Times New Roman" w:hint="default"/>
                <w:sz w:val="21"/>
                <w:szCs w:val="21"/>
              </w:rPr>
            </w:pPr>
            <w:r>
              <w:rPr>
                <w:rFonts w:ascii="宋体" w:hAnsi="宋体" w:cs="宋体" w:eastAsia="宋体" w:hint="default"/>
                <w:sz w:val="21"/>
                <w:szCs w:val="21"/>
              </w:rPr>
              <w:t>收入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或利润总额潜在错报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w:t>
            </w:r>
          </w:p>
        </w:tc>
      </w:tr>
      <w:tr>
        <w:trPr>
          <w:trHeight w:val="401"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6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非财务报告重大缺陷数量（个）</w:t>
            </w:r>
          </w:p>
        </w:tc>
        <w:tc>
          <w:tcPr>
            <w:tcW w:w="6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6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非财务报告重要缺陷数量（个）</w:t>
            </w:r>
          </w:p>
        </w:tc>
        <w:tc>
          <w:tcPr>
            <w:tcW w:w="6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293"/>
        <w:jc w:val="left"/>
        <w:rPr>
          <w:b w:val="0"/>
          <w:bCs w:val="0"/>
        </w:rPr>
      </w:pPr>
      <w:r>
        <w:rPr/>
        <w:t>十、内部控制审计报告或鉴证报告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6909"/>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内部控制鉴证报告中的审议意见段</w:t>
            </w:r>
          </w:p>
        </w:tc>
      </w:tr>
      <w:tr>
        <w:trPr>
          <w:trHeight w:val="71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9"/>
              <w:jc w:val="left"/>
              <w:rPr>
                <w:rFonts w:ascii="宋体" w:hAnsi="宋体" w:cs="宋体" w:eastAsia="宋体" w:hint="default"/>
                <w:sz w:val="21"/>
                <w:szCs w:val="21"/>
              </w:rPr>
            </w:pPr>
            <w:r>
              <w:rPr>
                <w:rFonts w:ascii="宋体" w:hAnsi="宋体" w:cs="宋体" w:eastAsia="宋体" w:hint="default"/>
                <w:spacing w:val="-3"/>
                <w:sz w:val="21"/>
                <w:szCs w:val="21"/>
              </w:rPr>
              <w:t>我们认为，超图软件公司按照《企业内部控制基本规范》及相关规定于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日在所有重大方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面保持了与财务报表相关的有效的内部控制。</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披露</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3"/>
              <w:jc w:val="left"/>
              <w:rPr>
                <w:rFonts w:ascii="宋体" w:hAnsi="宋体" w:cs="宋体" w:eastAsia="宋体" w:hint="default"/>
                <w:sz w:val="21"/>
                <w:szCs w:val="21"/>
              </w:rPr>
            </w:pPr>
            <w:r>
              <w:rPr>
                <w:rFonts w:ascii="宋体" w:hAnsi="宋体" w:cs="宋体" w:eastAsia="宋体" w:hint="default"/>
                <w:spacing w:val="-2"/>
                <w:sz w:val="21"/>
                <w:szCs w:val="21"/>
              </w:rPr>
              <w:t>内部控制鉴证报告全文披露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3"/>
              <w:jc w:val="left"/>
              <w:rPr>
                <w:rFonts w:ascii="宋体" w:hAnsi="宋体" w:cs="宋体" w:eastAsia="宋体" w:hint="default"/>
                <w:sz w:val="21"/>
                <w:szCs w:val="21"/>
              </w:rPr>
            </w:pPr>
            <w:r>
              <w:rPr>
                <w:rFonts w:ascii="宋体" w:hAnsi="宋体" w:cs="宋体" w:eastAsia="宋体" w:hint="default"/>
                <w:spacing w:val="-2"/>
                <w:sz w:val="21"/>
                <w:szCs w:val="21"/>
              </w:rPr>
              <w:t>内部控制鉴证报告全文披露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标准无保留意见</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3"/>
              <w:jc w:val="left"/>
              <w:rPr>
                <w:rFonts w:ascii="宋体" w:hAnsi="宋体" w:cs="宋体" w:eastAsia="宋体" w:hint="default"/>
                <w:sz w:val="21"/>
                <w:szCs w:val="21"/>
              </w:rPr>
            </w:pPr>
            <w:r>
              <w:rPr>
                <w:rFonts w:ascii="宋体" w:hAnsi="宋体" w:cs="宋体" w:eastAsia="宋体" w:hint="default"/>
                <w:spacing w:val="-2"/>
                <w:sz w:val="21"/>
                <w:szCs w:val="21"/>
              </w:rPr>
              <w:t>非财务报告是否存在重大缺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40" w:lineRule="auto" w:before="80"/>
        <w:ind w:right="293"/>
        <w:jc w:val="left"/>
      </w:pPr>
      <w:r>
        <w:rPr/>
        <w:t>会计师事务所是否出具非标准意见的内部控制鉴证报告</w:t>
      </w:r>
    </w:p>
    <w:p>
      <w:pPr>
        <w:pStyle w:val="BodyText"/>
        <w:spacing w:line="364" w:lineRule="auto" w:before="194"/>
        <w:ind w:right="1613"/>
        <w:jc w:val="left"/>
      </w:pPr>
      <w:r>
        <w:rPr>
          <w:rFonts w:ascii="Times New Roman" w:hAnsi="Times New Roman" w:cs="Times New Roman" w:eastAsia="Times New Roman" w:hint="default"/>
        </w:rPr>
        <w:t>□ </w:t>
      </w:r>
      <w:r>
        <w:rPr/>
        <w:t>是</w:t>
      </w:r>
      <w:r>
        <w:rPr>
          <w:spacing w:val="-1"/>
        </w:rPr>
        <w:t> </w:t>
      </w:r>
      <w:r>
        <w:rPr>
          <w:rFonts w:ascii="Times New Roman" w:hAnsi="Times New Roman" w:cs="Times New Roman" w:eastAsia="Times New Roman" w:hint="default"/>
        </w:rPr>
        <w:t>√</w:t>
      </w:r>
      <w:r>
        <w:rPr/>
        <w:t>否 会计师事务所出具的内部控制鉴证报告与董事会的自我评价报告意见是否一致</w:t>
      </w:r>
    </w:p>
    <w:p>
      <w:pPr>
        <w:pStyle w:val="BodyText"/>
        <w:spacing w:line="240" w:lineRule="auto" w:before="70"/>
        <w:ind w:right="293"/>
        <w:jc w:val="left"/>
      </w:pPr>
      <w:r>
        <w:rPr>
          <w:rFonts w:ascii="Times New Roman" w:hAnsi="Times New Roman" w:cs="Times New Roman" w:eastAsia="Times New Roman" w:hint="default"/>
        </w:rPr>
        <w:t>√</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after="0" w:line="240" w:lineRule="auto"/>
        <w:jc w:val="left"/>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pStyle w:val="Heading1"/>
        <w:spacing w:line="240" w:lineRule="auto" w:before="173"/>
        <w:ind w:left="3101" w:right="293"/>
        <w:jc w:val="left"/>
        <w:rPr>
          <w:b w:val="0"/>
          <w:bCs w:val="0"/>
        </w:rPr>
      </w:pPr>
      <w:bookmarkStart w:name="_bookmark9" w:id="10"/>
      <w:bookmarkEnd w:id="10"/>
      <w:r>
        <w:rPr>
          <w:b w:val="0"/>
          <w:bCs w:val="0"/>
        </w:rPr>
      </w:r>
      <w:r>
        <w:rPr>
          <w:spacing w:val="4"/>
        </w:rPr>
        <w:t>第十节</w:t>
      </w:r>
      <w:r>
        <w:rPr>
          <w:spacing w:val="-7"/>
        </w:rPr>
        <w:t> </w:t>
      </w:r>
      <w:r>
        <w:rPr>
          <w:spacing w:val="4"/>
        </w:rPr>
        <w:t>公司债券相关情况</w:t>
      </w:r>
      <w:r>
        <w:rPr>
          <w:b w:val="0"/>
          <w:bCs w:val="0"/>
          <w:spacing w:val="4"/>
        </w:rPr>
      </w:r>
    </w:p>
    <w:p>
      <w:pPr>
        <w:spacing w:line="240" w:lineRule="auto" w:before="0"/>
        <w:rPr>
          <w:rFonts w:ascii="宋体" w:hAnsi="宋体" w:cs="宋体" w:eastAsia="宋体" w:hint="default"/>
          <w:b/>
          <w:bCs/>
          <w:sz w:val="45"/>
          <w:szCs w:val="45"/>
        </w:rPr>
      </w:pPr>
    </w:p>
    <w:p>
      <w:pPr>
        <w:pStyle w:val="BodyText"/>
        <w:spacing w:line="357" w:lineRule="auto" w:before="0"/>
        <w:ind w:right="173" w:firstLine="480"/>
        <w:jc w:val="left"/>
      </w:pPr>
      <w:r>
        <w:rPr/>
        <w:t>公司是否存在公开发行并在证券交易所上市，且在年度报告批准报出日未到期或到期未 能全额兑付的公司债券</w:t>
      </w:r>
    </w:p>
    <w:p>
      <w:pPr>
        <w:pStyle w:val="BodyText"/>
        <w:spacing w:line="240" w:lineRule="auto" w:before="36"/>
        <w:ind w:left="633" w:right="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after="0" w:line="240" w:lineRule="auto"/>
        <w:jc w:val="left"/>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929" w:right="293"/>
        <w:jc w:val="left"/>
        <w:rPr>
          <w:b w:val="0"/>
          <w:bCs w:val="0"/>
        </w:rPr>
      </w:pPr>
      <w:bookmarkStart w:name="_bookmark10" w:id="11"/>
      <w:bookmarkEnd w:id="11"/>
      <w:r>
        <w:rPr>
          <w:b w:val="0"/>
          <w:bCs w:val="0"/>
        </w:rPr>
      </w:r>
      <w:r>
        <w:rPr/>
        <w:t>第十一节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635" w:right="293"/>
        <w:jc w:val="left"/>
        <w:rPr>
          <w:b w:val="0"/>
          <w:bCs w:val="0"/>
        </w:rPr>
      </w:pPr>
      <w:r>
        <w:rPr/>
        <w:t>一、审计报告</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2"/>
          <w:szCs w:val="12"/>
        </w:rPr>
      </w:pPr>
    </w:p>
    <w:tbl>
      <w:tblPr>
        <w:tblW w:w="0" w:type="auto"/>
        <w:jc w:val="left"/>
        <w:tblInd w:w="120" w:type="dxa"/>
        <w:tblLayout w:type="fixed"/>
        <w:tblCellMar>
          <w:top w:w="0" w:type="dxa"/>
          <w:left w:w="0" w:type="dxa"/>
          <w:bottom w:w="0" w:type="dxa"/>
          <w:right w:w="0" w:type="dxa"/>
        </w:tblCellMar>
        <w:tblLook w:val="01E0"/>
      </w:tblPr>
      <w:tblGrid>
        <w:gridCol w:w="4846"/>
        <w:gridCol w:w="4851"/>
      </w:tblGrid>
      <w:tr>
        <w:trPr>
          <w:trHeight w:val="324" w:hRule="exact"/>
        </w:trPr>
        <w:tc>
          <w:tcPr>
            <w:tcW w:w="4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4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4" w:right="0"/>
              <w:jc w:val="left"/>
              <w:rPr>
                <w:rFonts w:ascii="宋体" w:hAnsi="宋体" w:cs="宋体" w:eastAsia="宋体" w:hint="default"/>
                <w:sz w:val="21"/>
                <w:szCs w:val="21"/>
              </w:rPr>
            </w:pPr>
            <w:r>
              <w:rPr>
                <w:rFonts w:ascii="宋体" w:hAnsi="宋体" w:cs="宋体" w:eastAsia="宋体" w:hint="default"/>
                <w:sz w:val="21"/>
                <w:szCs w:val="21"/>
              </w:rPr>
              <w:t>标准的无保留意见</w:t>
            </w:r>
          </w:p>
        </w:tc>
      </w:tr>
      <w:tr>
        <w:trPr>
          <w:trHeight w:val="322" w:hRule="exact"/>
        </w:trPr>
        <w:tc>
          <w:tcPr>
            <w:tcW w:w="4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4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中汇会计师事务所（特殊普通合伙）</w:t>
            </w:r>
          </w:p>
        </w:tc>
      </w:tr>
      <w:tr>
        <w:trPr>
          <w:trHeight w:val="322" w:hRule="exact"/>
        </w:trPr>
        <w:tc>
          <w:tcPr>
            <w:tcW w:w="4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44" w:right="0"/>
              <w:jc w:val="left"/>
              <w:rPr>
                <w:rFonts w:ascii="宋体" w:hAnsi="宋体" w:cs="宋体" w:eastAsia="宋体" w:hint="default"/>
                <w:sz w:val="21"/>
                <w:szCs w:val="21"/>
              </w:rPr>
            </w:pPr>
            <w:r>
              <w:rPr>
                <w:rFonts w:ascii="宋体" w:hAnsi="宋体" w:cs="宋体" w:eastAsia="宋体" w:hint="default"/>
                <w:sz w:val="21"/>
                <w:szCs w:val="21"/>
              </w:rPr>
              <w:t>中汇会审</w:t>
            </w:r>
            <w:r>
              <w:rPr>
                <w:rFonts w:ascii="Times New Roman" w:hAnsi="Times New Roman" w:cs="Times New Roman" w:eastAsia="Times New Roman" w:hint="default"/>
                <w:sz w:val="21"/>
                <w:szCs w:val="21"/>
              </w:rPr>
              <w:t>[2018]0704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22" w:hRule="exact"/>
        </w:trPr>
        <w:tc>
          <w:tcPr>
            <w:tcW w:w="4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赵亦飞、刘成龙</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BodyText"/>
        <w:spacing w:line="240" w:lineRule="auto" w:before="26"/>
        <w:ind w:left="3268" w:right="2789"/>
        <w:jc w:val="center"/>
      </w:pPr>
      <w:r>
        <w:rPr/>
        <w:t>审计报告正文</w:t>
      </w:r>
    </w:p>
    <w:p>
      <w:pPr>
        <w:spacing w:line="240" w:lineRule="auto" w:before="12"/>
        <w:rPr>
          <w:rFonts w:ascii="宋体" w:hAnsi="宋体" w:cs="宋体" w:eastAsia="宋体" w:hint="default"/>
          <w:sz w:val="18"/>
          <w:szCs w:val="18"/>
        </w:rPr>
      </w:pPr>
    </w:p>
    <w:p>
      <w:pPr>
        <w:pStyle w:val="BodyText"/>
        <w:spacing w:line="415" w:lineRule="auto" w:before="26"/>
        <w:ind w:left="633" w:right="5693" w:hanging="480"/>
        <w:jc w:val="left"/>
      </w:pPr>
      <w:r>
        <w:rPr/>
        <w:t>北京超图软件股份有限公司全体股东： 一、审计意见</w:t>
      </w:r>
    </w:p>
    <w:p>
      <w:pPr>
        <w:pStyle w:val="BodyText"/>
        <w:spacing w:line="381" w:lineRule="auto" w:before="50"/>
        <w:ind w:right="107" w:firstLine="480"/>
        <w:jc w:val="both"/>
      </w:pPr>
      <w:r>
        <w:rPr/>
        <w:t>我们审计了北京超图软件股份有限公司</w:t>
      </w:r>
      <w:r>
        <w:rPr>
          <w:rFonts w:ascii="宋体" w:hAnsi="宋体" w:cs="宋体" w:eastAsia="宋体" w:hint="default"/>
        </w:rPr>
        <w:t>(</w:t>
      </w:r>
      <w:r>
        <w:rPr/>
        <w:t>以下简称超图软件公司</w:t>
      </w:r>
      <w:r>
        <w:rPr>
          <w:rFonts w:ascii="宋体" w:hAnsi="宋体" w:cs="宋体" w:eastAsia="宋体" w:hint="default"/>
        </w:rPr>
        <w:t>)</w:t>
      </w:r>
      <w:r>
        <w:rPr/>
        <w:t>财务报表，包括</w:t>
      </w:r>
      <w:r>
        <w:rPr>
          <w:rFonts w:ascii="宋体" w:hAnsi="宋体" w:cs="宋体" w:eastAsia="宋体" w:hint="default"/>
        </w:rPr>
        <w:t>2017</w:t>
      </w:r>
      <w:r>
        <w:rPr/>
        <w:t>年 </w:t>
      </w:r>
      <w:r>
        <w:rPr>
          <w:rFonts w:ascii="宋体" w:hAnsi="宋体" w:cs="宋体" w:eastAsia="宋体" w:hint="default"/>
        </w:rPr>
        <w:t>12</w:t>
      </w:r>
      <w:r>
        <w:rPr/>
        <w:t>月</w:t>
      </w:r>
      <w:r>
        <w:rPr>
          <w:rFonts w:ascii="宋体" w:hAnsi="宋体" w:cs="宋体" w:eastAsia="宋体" w:hint="default"/>
        </w:rPr>
        <w:t>31</w:t>
      </w:r>
      <w:r>
        <w:rPr/>
        <w:t>日的合并及母公司资产负债表，</w:t>
      </w:r>
      <w:r>
        <w:rPr>
          <w:rFonts w:ascii="宋体" w:hAnsi="宋体" w:cs="宋体" w:eastAsia="宋体" w:hint="default"/>
        </w:rPr>
        <w:t>2017</w:t>
      </w:r>
      <w:r>
        <w:rPr/>
        <w:t>年度的合并及母公司利润表、合并及母公司现金</w:t>
      </w:r>
      <w:r>
        <w:rPr>
          <w:spacing w:val="-50"/>
        </w:rPr>
        <w:t> </w:t>
      </w:r>
      <w:r>
        <w:rPr>
          <w:spacing w:val="-50"/>
        </w:rPr>
      </w:r>
      <w:r>
        <w:rPr/>
        <w:t>流量表、合并及母公司所有者权益变动表以及财务报表附注。</w:t>
      </w:r>
    </w:p>
    <w:p>
      <w:pPr>
        <w:pStyle w:val="BodyText"/>
        <w:spacing w:line="381" w:lineRule="auto" w:before="84"/>
        <w:ind w:right="105" w:firstLine="480"/>
        <w:jc w:val="both"/>
      </w:pPr>
      <w:r>
        <w:rPr/>
        <w:t>我们认为，后附的财务报表在所有重大方面按照企业会计准则的规定编制，公允反映了</w:t>
      </w:r>
      <w:r>
        <w:rPr>
          <w:spacing w:val="2"/>
        </w:rPr>
        <w:t> </w:t>
      </w:r>
      <w:r>
        <w:rPr/>
        <w:t>超图软件公司</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2017</w:t>
      </w:r>
      <w:r>
        <w:rPr/>
        <w:t>年度的合并及母公司经营成</w:t>
      </w:r>
      <w:r>
        <w:rPr>
          <w:spacing w:val="-51"/>
        </w:rPr>
        <w:t> </w:t>
      </w:r>
      <w:r>
        <w:rPr>
          <w:spacing w:val="-51"/>
        </w:rPr>
      </w:r>
      <w:r>
        <w:rPr/>
        <w:t>果和现金流量。</w:t>
      </w:r>
    </w:p>
    <w:p>
      <w:pPr>
        <w:pStyle w:val="BodyText"/>
        <w:spacing w:line="412" w:lineRule="auto" w:before="84"/>
        <w:ind w:left="633" w:right="138"/>
        <w:jc w:val="left"/>
      </w:pPr>
      <w:r>
        <w:rPr/>
        <w:t>二、形成审计意见的基础 我们按照中国注册会计师审计准则的规定执行了审计工作。审计报告的“注册会计师对</w:t>
      </w:r>
    </w:p>
    <w:p>
      <w:pPr>
        <w:pStyle w:val="BodyText"/>
        <w:spacing w:line="381" w:lineRule="auto" w:before="14"/>
        <w:ind w:right="111"/>
        <w:jc w:val="both"/>
      </w:pPr>
      <w:r>
        <w:rPr/>
        <w:t>财务报表审计的责任”部分进一步阐述了我们在这些准则下的责任。按照中国注册会计师职</w:t>
      </w:r>
      <w:r>
        <w:rPr>
          <w:spacing w:val="-55"/>
        </w:rPr>
        <w:t> </w:t>
      </w:r>
      <w:r>
        <w:rPr>
          <w:spacing w:val="-55"/>
        </w:rPr>
      </w:r>
      <w:r>
        <w:rPr/>
        <w:t>业道德守则，我们独立于超图软件公司，并履行了职业道德方面的其他责任。我们相信，我</w:t>
      </w:r>
      <w:r>
        <w:rPr>
          <w:spacing w:val="-57"/>
        </w:rPr>
        <w:t> </w:t>
      </w:r>
      <w:r>
        <w:rPr>
          <w:spacing w:val="-57"/>
        </w:rPr>
      </w:r>
      <w:r>
        <w:rPr/>
        <w:t>们获取的审计证据是充分、适当的，为发表审计意见提供了基础。</w:t>
      </w:r>
    </w:p>
    <w:p>
      <w:pPr>
        <w:pStyle w:val="BodyText"/>
        <w:spacing w:line="412" w:lineRule="auto" w:before="84"/>
        <w:ind w:left="633" w:right="138"/>
        <w:jc w:val="left"/>
      </w:pPr>
      <w:r>
        <w:rPr/>
        <w:t>三、关键审计事项 关键审计事项是我们根据职业判断，认为对本期财务报表审计最为重要的事项。这些事</w:t>
      </w:r>
    </w:p>
    <w:p>
      <w:pPr>
        <w:pStyle w:val="BodyText"/>
        <w:spacing w:line="381" w:lineRule="auto" w:before="14"/>
        <w:ind w:right="152"/>
        <w:jc w:val="both"/>
      </w:pPr>
      <w:r>
        <w:rPr/>
        <w:t>项的应对以对财务报表整体进行审计并形成审计意见为背景，我们不对这些事项单独发表意</w:t>
      </w:r>
      <w:r>
        <w:rPr>
          <w:spacing w:val="-85"/>
        </w:rPr>
        <w:t> </w:t>
      </w:r>
      <w:r>
        <w:rPr>
          <w:spacing w:val="-85"/>
        </w:rPr>
      </w:r>
      <w:r>
        <w:rPr/>
        <w:t>见。我们确定下列事项是需要在审计报告中沟通的关键审计事项。</w:t>
      </w:r>
    </w:p>
    <w:p>
      <w:pPr>
        <w:spacing w:after="0" w:line="381" w:lineRule="auto"/>
        <w:jc w:val="both"/>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412" w:lineRule="auto" w:before="180"/>
        <w:ind w:left="633" w:right="7805"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一</w:t>
      </w:r>
      <w:r>
        <w:rPr>
          <w:rFonts w:ascii="宋体" w:hAnsi="宋体" w:cs="宋体" w:eastAsia="宋体" w:hint="default"/>
          <w:b/>
          <w:bCs/>
          <w:sz w:val="24"/>
          <w:szCs w:val="24"/>
        </w:rPr>
        <w:t>)</w:t>
      </w:r>
      <w:r>
        <w:rPr>
          <w:rFonts w:ascii="宋体" w:hAnsi="宋体" w:cs="宋体" w:eastAsia="宋体" w:hint="default"/>
          <w:b/>
          <w:bCs/>
          <w:spacing w:val="-2"/>
          <w:sz w:val="24"/>
          <w:szCs w:val="24"/>
        </w:rPr>
        <w:t> </w:t>
      </w:r>
      <w:r>
        <w:rPr>
          <w:rFonts w:ascii="宋体" w:hAnsi="宋体" w:cs="宋体" w:eastAsia="宋体" w:hint="default"/>
          <w:b/>
          <w:bCs/>
          <w:sz w:val="24"/>
          <w:szCs w:val="24"/>
        </w:rPr>
        <w:t>商誉减值</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、事项描述</w:t>
      </w:r>
    </w:p>
    <w:p>
      <w:pPr>
        <w:pStyle w:val="BodyText"/>
        <w:spacing w:line="381" w:lineRule="auto" w:before="53"/>
        <w:ind w:right="227" w:firstLine="480"/>
        <w:jc w:val="both"/>
      </w:pPr>
      <w:r>
        <w:rPr>
          <w:spacing w:val="3"/>
        </w:rPr>
        <w:t>截至</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日，超图软件公司合并财务报表中商誉账面余额为人民币</w:t>
      </w:r>
      <w:r>
        <w:rPr>
          <w:rFonts w:ascii="宋体" w:hAnsi="宋体" w:cs="宋体" w:eastAsia="宋体" w:hint="default"/>
          <w:spacing w:val="3"/>
        </w:rPr>
        <w:t>70,858.20</w:t>
      </w:r>
      <w:r>
        <w:rPr>
          <w:rFonts w:ascii="宋体" w:hAnsi="宋体" w:cs="宋体" w:eastAsia="宋体" w:hint="default"/>
        </w:rPr>
        <w:t> </w:t>
      </w:r>
      <w:r>
        <w:rPr/>
        <w:t>万元，已经计提的商誉减值准备为人民币</w:t>
      </w:r>
      <w:r>
        <w:rPr>
          <w:rFonts w:ascii="宋体" w:hAnsi="宋体" w:cs="宋体" w:eastAsia="宋体" w:hint="default"/>
        </w:rPr>
        <w:t>131.21</w:t>
      </w:r>
      <w:r>
        <w:rPr/>
        <w:t>万元。管理层在每年年度终了对商誉进行减</w:t>
      </w:r>
      <w:r>
        <w:rPr>
          <w:spacing w:val="-83"/>
        </w:rPr>
        <w:t> </w:t>
      </w:r>
      <w:r>
        <w:rPr>
          <w:spacing w:val="-83"/>
        </w:rPr>
      </w:r>
      <w:r>
        <w:rPr/>
        <w:t>值测试，并依据减值测试的结果调整商誉的账面价值。商誉减值测试的结果很大程度上依赖</w:t>
      </w:r>
      <w:r>
        <w:rPr>
          <w:spacing w:val="-85"/>
        </w:rPr>
        <w:t> </w:t>
      </w:r>
      <w:r>
        <w:rPr>
          <w:spacing w:val="-85"/>
        </w:rPr>
      </w:r>
      <w:r>
        <w:rPr/>
        <w:t>于管理层所做的估计和采用的假设，例如对资产组或资产组组合预计未来可产生现金流量和</w:t>
      </w:r>
      <w:r>
        <w:rPr>
          <w:spacing w:val="-81"/>
        </w:rPr>
        <w:t> </w:t>
      </w:r>
      <w:r>
        <w:rPr>
          <w:spacing w:val="-81"/>
        </w:rPr>
      </w:r>
      <w:r>
        <w:rPr/>
        <w:t>折现率的估计。该等估计受到管理层对未来市场以及对经济环境判断的影响，采用不同的估</w:t>
      </w:r>
      <w:r>
        <w:rPr>
          <w:spacing w:val="-85"/>
        </w:rPr>
        <w:t> </w:t>
      </w:r>
      <w:r>
        <w:rPr>
          <w:spacing w:val="-85"/>
        </w:rPr>
      </w:r>
      <w:r>
        <w:rPr/>
        <w:t>计和假设会对评估的商誉之可收回价值有很大的影响。由于商誉金额重大，且管理层需要作</w:t>
      </w:r>
      <w:r>
        <w:rPr>
          <w:spacing w:val="-82"/>
        </w:rPr>
        <w:t> </w:t>
      </w:r>
      <w:r>
        <w:rPr>
          <w:spacing w:val="-82"/>
        </w:rPr>
      </w:r>
      <w:r>
        <w:rPr/>
        <w:t>出重大判断，因此我们将商誉的减值确定为关键审计事项。</w:t>
      </w:r>
    </w:p>
    <w:p>
      <w:pPr>
        <w:pStyle w:val="BodyText"/>
        <w:spacing w:line="412" w:lineRule="auto" w:before="84"/>
        <w:ind w:left="633" w:right="98"/>
        <w:jc w:val="left"/>
      </w:pPr>
      <w:r>
        <w:rPr>
          <w:rFonts w:ascii="宋体" w:hAnsi="宋体" w:cs="宋体" w:eastAsia="宋体" w:hint="default"/>
        </w:rPr>
        <w:t>2</w:t>
      </w:r>
      <w:r>
        <w:rPr/>
        <w:t>、审计应对 我们分析管理层对商誉所属资产组或资产组组合的认定和进行商誉减值测试时采用的关</w:t>
      </w:r>
    </w:p>
    <w:p>
      <w:pPr>
        <w:pStyle w:val="BodyText"/>
        <w:spacing w:line="381" w:lineRule="auto" w:before="12"/>
        <w:ind w:right="232"/>
        <w:jc w:val="both"/>
      </w:pPr>
      <w:r>
        <w:rPr/>
        <w:t>键假设和方法，检查相关的假设和方法的合理性；我们与公司管理层及外部评估专家讨论，</w:t>
      </w:r>
      <w:r>
        <w:rPr>
          <w:spacing w:val="-85"/>
        </w:rPr>
        <w:t> </w:t>
      </w:r>
      <w:r>
        <w:rPr>
          <w:spacing w:val="-85"/>
        </w:rPr>
      </w:r>
      <w:r>
        <w:rPr/>
        <w:t>了解减值测试结果最为敏感的假设并进行分析，分析检查管理层采用的假设的恰当性及相关</w:t>
      </w:r>
      <w:r>
        <w:rPr>
          <w:spacing w:val="-85"/>
        </w:rPr>
        <w:t> </w:t>
      </w:r>
      <w:r>
        <w:rPr>
          <w:spacing w:val="-85"/>
        </w:rPr>
      </w:r>
      <w:r>
        <w:rPr/>
        <w:t>披露是否适当。</w:t>
      </w:r>
    </w:p>
    <w:p>
      <w:pPr>
        <w:spacing w:line="412" w:lineRule="auto" w:before="84"/>
        <w:ind w:left="633" w:right="7805"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pacing w:val="-2"/>
          <w:sz w:val="24"/>
          <w:szCs w:val="24"/>
        </w:rPr>
        <w:t> </w:t>
      </w:r>
      <w:r>
        <w:rPr>
          <w:rFonts w:ascii="宋体" w:hAnsi="宋体" w:cs="宋体" w:eastAsia="宋体" w:hint="default"/>
          <w:b/>
          <w:bCs/>
          <w:sz w:val="24"/>
          <w:szCs w:val="24"/>
        </w:rPr>
        <w:t>收入确认</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、事项描述</w:t>
      </w:r>
    </w:p>
    <w:p>
      <w:pPr>
        <w:pStyle w:val="BodyText"/>
        <w:spacing w:line="381" w:lineRule="auto" w:before="53"/>
        <w:ind w:right="224" w:firstLine="480"/>
        <w:jc w:val="both"/>
      </w:pPr>
      <w:r>
        <w:rPr>
          <w:rFonts w:ascii="宋体" w:hAnsi="宋体" w:cs="宋体" w:eastAsia="宋体" w:hint="default"/>
        </w:rPr>
        <w:t>2017</w:t>
      </w:r>
      <w:r>
        <w:rPr/>
        <w:t>年度超图软件公司实现营业收入</w:t>
      </w:r>
      <w:r>
        <w:rPr>
          <w:rFonts w:ascii="宋体" w:hAnsi="宋体" w:cs="宋体" w:eastAsia="宋体" w:hint="default"/>
        </w:rPr>
        <w:t>124,975.85</w:t>
      </w:r>
      <w:r>
        <w:rPr/>
        <w:t>万元，采用完工百分比法确认收入的比 重为</w:t>
      </w:r>
      <w:r>
        <w:rPr>
          <w:rFonts w:ascii="宋体" w:hAnsi="宋体" w:cs="宋体" w:eastAsia="宋体" w:hint="default"/>
        </w:rPr>
        <w:t>61.94%</w:t>
      </w:r>
      <w:r>
        <w:rPr/>
        <w:t>。采用完工百分比法确认收入涉及管理层的重大会计估计和判断，可能导致该类</w:t>
      </w:r>
      <w:r>
        <w:rPr>
          <w:spacing w:val="-81"/>
        </w:rPr>
        <w:t> </w:t>
      </w:r>
      <w:r>
        <w:rPr>
          <w:spacing w:val="-81"/>
        </w:rPr>
      </w:r>
      <w:r>
        <w:rPr/>
        <w:t>收入记入错误的会计期间或遭到操控而产生固有风险。同时该类收入是公司的关键绩效指标</w:t>
      </w:r>
      <w:r>
        <w:rPr>
          <w:spacing w:val="-82"/>
        </w:rPr>
        <w:t> </w:t>
      </w:r>
      <w:r>
        <w:rPr>
          <w:spacing w:val="-82"/>
        </w:rPr>
      </w:r>
      <w:r>
        <w:rPr/>
        <w:t>之一，我们把采用完工百分比法确认的收入列为关键审计事项。</w:t>
      </w:r>
    </w:p>
    <w:p>
      <w:pPr>
        <w:pStyle w:val="BodyText"/>
        <w:spacing w:line="412" w:lineRule="auto" w:before="84"/>
        <w:ind w:left="633" w:right="6013"/>
        <w:jc w:val="left"/>
      </w:pPr>
      <w:r>
        <w:rPr>
          <w:rFonts w:ascii="宋体" w:hAnsi="宋体" w:cs="宋体" w:eastAsia="宋体" w:hint="default"/>
        </w:rPr>
        <w:t>2</w:t>
      </w:r>
      <w:r>
        <w:rPr/>
        <w:t>、审计应对 我们执行的主要审计程序如下：</w:t>
      </w:r>
    </w:p>
    <w:p>
      <w:pPr>
        <w:pStyle w:val="BodyText"/>
        <w:spacing w:line="240" w:lineRule="auto" w:before="53"/>
        <w:ind w:left="633" w:right="98"/>
        <w:jc w:val="left"/>
      </w:pPr>
      <w:r>
        <w:rPr>
          <w:rFonts w:ascii="宋体" w:hAnsi="宋体" w:cs="宋体" w:eastAsia="宋体" w:hint="default"/>
        </w:rPr>
        <w:t>(1)</w:t>
      </w:r>
      <w:r>
        <w:rPr>
          <w:rFonts w:ascii="宋体" w:hAnsi="宋体" w:cs="宋体" w:eastAsia="宋体" w:hint="default"/>
          <w:spacing w:val="-1"/>
        </w:rPr>
        <w:t> </w:t>
      </w:r>
      <w:r>
        <w:rPr/>
        <w:t>对超图软件公司收入确认相关的内部控制的设计及执行有效性进行了评估和测试；</w:t>
      </w:r>
    </w:p>
    <w:p>
      <w:pPr>
        <w:spacing w:line="240" w:lineRule="auto" w:before="3"/>
        <w:rPr>
          <w:rFonts w:ascii="宋体" w:hAnsi="宋体" w:cs="宋体" w:eastAsia="宋体" w:hint="default"/>
          <w:sz w:val="17"/>
          <w:szCs w:val="17"/>
        </w:rPr>
      </w:pPr>
    </w:p>
    <w:p>
      <w:pPr>
        <w:pStyle w:val="BodyText"/>
        <w:spacing w:line="240" w:lineRule="auto" w:before="0"/>
        <w:ind w:left="633" w:right="0"/>
        <w:jc w:val="left"/>
      </w:pPr>
      <w:r>
        <w:rPr>
          <w:rFonts w:ascii="宋体" w:hAnsi="宋体" w:cs="宋体" w:eastAsia="宋体" w:hint="default"/>
        </w:rPr>
        <w:t>(2)</w:t>
      </w:r>
      <w:r>
        <w:rPr>
          <w:rFonts w:ascii="宋体" w:hAnsi="宋体" w:cs="宋体" w:eastAsia="宋体" w:hint="default"/>
          <w:spacing w:val="33"/>
        </w:rPr>
        <w:t> </w:t>
      </w:r>
      <w:r>
        <w:rPr>
          <w:spacing w:val="-3"/>
        </w:rPr>
        <w:t>检查完工进度表形成的过程与相关支持文件，比较不同期间的完工进度表的合理性；</w:t>
      </w:r>
    </w:p>
    <w:p>
      <w:pPr>
        <w:spacing w:line="240" w:lineRule="auto" w:before="3"/>
        <w:rPr>
          <w:rFonts w:ascii="宋体" w:hAnsi="宋体" w:cs="宋体" w:eastAsia="宋体" w:hint="default"/>
          <w:sz w:val="17"/>
          <w:szCs w:val="17"/>
        </w:rPr>
      </w:pPr>
    </w:p>
    <w:p>
      <w:pPr>
        <w:pStyle w:val="BodyText"/>
        <w:spacing w:line="240" w:lineRule="auto" w:before="0"/>
        <w:ind w:left="633" w:right="98"/>
        <w:jc w:val="left"/>
      </w:pPr>
      <w:r>
        <w:rPr>
          <w:rFonts w:ascii="宋体" w:hAnsi="宋体" w:cs="宋体" w:eastAsia="宋体" w:hint="default"/>
        </w:rPr>
        <w:t>(3)</w:t>
      </w:r>
      <w:r>
        <w:rPr>
          <w:rFonts w:ascii="宋体" w:hAnsi="宋体" w:cs="宋体" w:eastAsia="宋体" w:hint="default"/>
          <w:spacing w:val="-1"/>
        </w:rPr>
        <w:t> </w:t>
      </w:r>
      <w:r>
        <w:rPr/>
        <w:t>检查按照完工进度表确认收入的准确性；</w:t>
      </w:r>
    </w:p>
    <w:p>
      <w:pPr>
        <w:spacing w:line="240" w:lineRule="auto" w:before="3"/>
        <w:rPr>
          <w:rFonts w:ascii="宋体" w:hAnsi="宋体" w:cs="宋体" w:eastAsia="宋体" w:hint="default"/>
          <w:sz w:val="17"/>
          <w:szCs w:val="17"/>
        </w:rPr>
      </w:pPr>
    </w:p>
    <w:p>
      <w:pPr>
        <w:pStyle w:val="BodyText"/>
        <w:spacing w:line="240" w:lineRule="auto" w:before="0"/>
        <w:ind w:left="633" w:right="98"/>
        <w:jc w:val="left"/>
      </w:pPr>
      <w:r>
        <w:rPr>
          <w:rFonts w:ascii="宋体" w:hAnsi="宋体" w:cs="宋体" w:eastAsia="宋体" w:hint="default"/>
        </w:rPr>
        <w:t>(4)</w:t>
      </w:r>
      <w:r>
        <w:rPr>
          <w:rFonts w:ascii="宋体" w:hAnsi="宋体" w:cs="宋体" w:eastAsia="宋体" w:hint="default"/>
          <w:spacing w:val="-1"/>
        </w:rPr>
        <w:t> </w:t>
      </w:r>
      <w:r>
        <w:rPr/>
        <w:t>核对经客户确认的完工进度表，并函证项目完工进度。</w:t>
      </w:r>
    </w:p>
    <w:p>
      <w:pPr>
        <w:spacing w:after="0" w:line="240" w:lineRule="auto"/>
        <w:jc w:val="left"/>
        <w:sectPr>
          <w:pgSz w:w="11910" w:h="16840"/>
          <w:pgMar w:header="877" w:footer="980" w:top="1100" w:bottom="1160" w:left="980" w:right="900"/>
        </w:sectPr>
      </w:pPr>
    </w:p>
    <w:p>
      <w:pPr>
        <w:spacing w:line="240" w:lineRule="auto" w:before="0"/>
        <w:rPr>
          <w:rFonts w:ascii="宋体" w:hAnsi="宋体" w:cs="宋体" w:eastAsia="宋体" w:hint="default"/>
          <w:sz w:val="20"/>
          <w:szCs w:val="20"/>
        </w:rPr>
      </w:pPr>
    </w:p>
    <w:p>
      <w:pPr>
        <w:pStyle w:val="BodyText"/>
        <w:spacing w:line="412" w:lineRule="auto" w:before="180"/>
        <w:ind w:left="633" w:right="215"/>
        <w:jc w:val="left"/>
      </w:pPr>
      <w:r>
        <w:rPr/>
        <w:t>四、其他信息 超图软件公司管理层</w:t>
      </w:r>
      <w:r>
        <w:rPr>
          <w:rFonts w:ascii="宋体" w:hAnsi="宋体" w:cs="宋体" w:eastAsia="宋体" w:hint="default"/>
        </w:rPr>
        <w:t>(</w:t>
      </w:r>
      <w:r>
        <w:rPr/>
        <w:t>以下简称管理层</w:t>
      </w:r>
      <w:r>
        <w:rPr>
          <w:rFonts w:ascii="宋体" w:hAnsi="宋体" w:cs="宋体" w:eastAsia="宋体" w:hint="default"/>
        </w:rPr>
        <w:t>)</w:t>
      </w:r>
      <w:r>
        <w:rPr/>
        <w:t>对其他信息负责。其他信息包括</w:t>
      </w:r>
      <w:r>
        <w:rPr>
          <w:rFonts w:ascii="宋体" w:hAnsi="宋体" w:cs="宋体" w:eastAsia="宋体" w:hint="default"/>
        </w:rPr>
        <w:t>2017</w:t>
      </w:r>
      <w:r>
        <w:rPr/>
        <w:t>年度报告中</w:t>
      </w:r>
    </w:p>
    <w:p>
      <w:pPr>
        <w:pStyle w:val="BodyText"/>
        <w:spacing w:line="412" w:lineRule="auto" w:before="12"/>
        <w:ind w:left="633" w:right="215" w:hanging="480"/>
        <w:jc w:val="left"/>
      </w:pPr>
      <w:r>
        <w:rPr/>
        <w:t>涵盖的信息，但不包括财务报表和我们的审计报告。 我们对财务报表发表的审计意见不涵盖其他信息，我们也不对其他信息发表任何形式的</w:t>
      </w:r>
    </w:p>
    <w:p>
      <w:pPr>
        <w:pStyle w:val="BodyText"/>
        <w:spacing w:line="240" w:lineRule="auto" w:before="14"/>
        <w:ind w:right="215"/>
        <w:jc w:val="left"/>
      </w:pPr>
      <w:r>
        <w:rPr/>
        <w:t>鉴证结论。</w:t>
      </w:r>
    </w:p>
    <w:p>
      <w:pPr>
        <w:spacing w:line="240" w:lineRule="auto" w:before="3"/>
        <w:rPr>
          <w:rFonts w:ascii="宋体" w:hAnsi="宋体" w:cs="宋体" w:eastAsia="宋体" w:hint="default"/>
          <w:sz w:val="17"/>
          <w:szCs w:val="17"/>
        </w:rPr>
      </w:pPr>
    </w:p>
    <w:p>
      <w:pPr>
        <w:pStyle w:val="BodyText"/>
        <w:spacing w:line="398" w:lineRule="auto" w:before="0"/>
        <w:ind w:right="352"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BodyText"/>
        <w:spacing w:line="412" w:lineRule="auto" w:before="26"/>
        <w:ind w:left="633" w:right="5413" w:hanging="480"/>
        <w:jc w:val="left"/>
      </w:pPr>
      <w:r>
        <w:rPr/>
        <w:t>在这方面，我们无任何事项需要报告。 五、管理层和治理层对财务报表的责任</w:t>
      </w:r>
    </w:p>
    <w:p>
      <w:pPr>
        <w:pStyle w:val="BodyText"/>
        <w:spacing w:line="384" w:lineRule="auto" w:before="53"/>
        <w:ind w:right="352" w:firstLine="480"/>
        <w:jc w:val="both"/>
      </w:pPr>
      <w:r>
        <w:rPr/>
        <w:t>管理层负责按照企业会计准则的规定编制财务报表，使其实现公允反映，并设计、执行 和维护必要的内部控制，以使财务报表不存在由于舞弊或错误导致的重大错报。</w:t>
      </w:r>
    </w:p>
    <w:p>
      <w:pPr>
        <w:pStyle w:val="BodyText"/>
        <w:spacing w:line="381" w:lineRule="auto" w:before="82"/>
        <w:ind w:right="346" w:firstLine="480"/>
        <w:jc w:val="both"/>
      </w:pPr>
      <w:r>
        <w:rPr/>
        <w:t>在编制财务报表时，管理层负责评估超图软件公司的持续经营能力，披露与持续经营相 关的事项</w:t>
      </w:r>
      <w:r>
        <w:rPr>
          <w:rFonts w:ascii="宋体" w:hAnsi="宋体" w:cs="宋体" w:eastAsia="宋体" w:hint="default"/>
        </w:rPr>
        <w:t>(</w:t>
      </w:r>
      <w:r>
        <w:rPr/>
        <w:t>如适用</w:t>
      </w:r>
      <w:r>
        <w:rPr>
          <w:rFonts w:ascii="宋体" w:hAnsi="宋体" w:cs="宋体" w:eastAsia="宋体" w:hint="default"/>
        </w:rPr>
        <w:t>)</w:t>
      </w:r>
      <w:r>
        <w:rPr/>
        <w:t>，并运用持续经营假设，除非管理层计划清算超图软件公司、终止运营或</w:t>
      </w:r>
      <w:r>
        <w:rPr>
          <w:spacing w:val="-82"/>
        </w:rPr>
        <w:t> </w:t>
      </w:r>
      <w:r>
        <w:rPr>
          <w:spacing w:val="-82"/>
        </w:rPr>
      </w:r>
      <w:r>
        <w:rPr/>
        <w:t>别无其他现实的选择。</w:t>
      </w:r>
    </w:p>
    <w:p>
      <w:pPr>
        <w:pStyle w:val="BodyText"/>
        <w:spacing w:line="412" w:lineRule="auto" w:before="84"/>
        <w:ind w:left="633" w:right="97"/>
        <w:jc w:val="left"/>
      </w:pPr>
      <w:r>
        <w:rPr/>
        <w:t>超图软件公司治理层</w:t>
      </w:r>
      <w:r>
        <w:rPr>
          <w:rFonts w:ascii="宋体" w:hAnsi="宋体" w:cs="宋体" w:eastAsia="宋体" w:hint="default"/>
        </w:rPr>
        <w:t>(</w:t>
      </w:r>
      <w:r>
        <w:rPr/>
        <w:t>以下简称治理层</w:t>
      </w:r>
      <w:r>
        <w:rPr>
          <w:rFonts w:ascii="宋体" w:hAnsi="宋体" w:cs="宋体" w:eastAsia="宋体" w:hint="default"/>
        </w:rPr>
        <w:t>)</w:t>
      </w:r>
      <w:r>
        <w:rPr/>
        <w:t>负责监督超图软件公司的财务报告过程。 六、注册会计师对财务报表审计的责任 我们的目标是对财务报表整体是否不存在由于舞弊或错误导致的重大错报获取合理保证，</w:t>
      </w:r>
    </w:p>
    <w:p>
      <w:pPr>
        <w:pStyle w:val="BodyText"/>
        <w:spacing w:line="381" w:lineRule="auto" w:before="14"/>
        <w:ind w:right="352"/>
        <w:jc w:val="both"/>
      </w:pPr>
      <w:r>
        <w:rPr/>
        <w:t>并出具包含审计意见的审计报告。合理保证是高水平的保证，但并不能保证按照审计准则执</w:t>
      </w:r>
      <w:r>
        <w:rPr>
          <w:spacing w:val="-85"/>
        </w:rPr>
        <w:t> </w:t>
      </w:r>
      <w:r>
        <w:rPr>
          <w:spacing w:val="-85"/>
        </w:rPr>
      </w:r>
      <w:r>
        <w:rPr/>
        <w:t>行的审计在某一重大错报存在时总能发现。错报可能由于舞弊或错误导致，如果合理预期错</w:t>
      </w:r>
      <w:r>
        <w:rPr>
          <w:spacing w:val="-85"/>
        </w:rPr>
        <w:t> </w:t>
      </w:r>
      <w:r>
        <w:rPr>
          <w:spacing w:val="-85"/>
        </w:rPr>
      </w:r>
      <w:r>
        <w:rPr/>
        <w:t>报单独或汇总起来可能影响财务报表使用者依据财务报表作出的经济决策，则通常认为错报</w:t>
      </w:r>
      <w:r>
        <w:rPr>
          <w:spacing w:val="-85"/>
        </w:rPr>
        <w:t> </w:t>
      </w:r>
      <w:r>
        <w:rPr>
          <w:spacing w:val="-85"/>
        </w:rPr>
      </w:r>
      <w:r>
        <w:rPr/>
        <w:t>是重大的。</w:t>
      </w:r>
    </w:p>
    <w:p>
      <w:pPr>
        <w:pStyle w:val="BodyText"/>
        <w:spacing w:line="381" w:lineRule="auto" w:before="84"/>
        <w:ind w:right="352" w:firstLine="480"/>
        <w:jc w:val="both"/>
      </w:pPr>
      <w:r>
        <w:rPr/>
        <w:t>在按照审计准则执行审计工作的过程中，我们运用职业判断，并保持职业怀疑。同时， 我们也执行以下工作：</w:t>
      </w:r>
    </w:p>
    <w:p>
      <w:pPr>
        <w:pStyle w:val="BodyText"/>
        <w:spacing w:line="381" w:lineRule="auto" w:before="84"/>
        <w:ind w:right="349" w:firstLine="480"/>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8"/>
        </w:rPr>
        <w:t> </w:t>
      </w:r>
      <w:r>
        <w:rPr>
          <w:spacing w:val="-3"/>
        </w:rPr>
        <w:t>识别和评估由于舞弊或错误导致的财务报表重大错报风险，设计和实施审计程序以</w:t>
      </w:r>
      <w:r>
        <w:rPr/>
        <w:t> 应对这些风险，并获取充分、适当的审计证据，作为发表审计意见的基础。由于舞弊可能涉</w:t>
      </w:r>
    </w:p>
    <w:p>
      <w:pPr>
        <w:spacing w:after="0" w:line="381" w:lineRule="auto"/>
        <w:jc w:val="both"/>
        <w:sectPr>
          <w:pgSz w:w="11910" w:h="16840"/>
          <w:pgMar w:header="877" w:footer="980" w:top="1100" w:bottom="1160" w:left="980" w:right="780"/>
        </w:sectPr>
      </w:pPr>
    </w:p>
    <w:p>
      <w:pPr>
        <w:spacing w:line="240" w:lineRule="auto" w:before="0"/>
        <w:rPr>
          <w:rFonts w:ascii="宋体" w:hAnsi="宋体" w:cs="宋体" w:eastAsia="宋体" w:hint="default"/>
          <w:sz w:val="20"/>
          <w:szCs w:val="20"/>
        </w:rPr>
      </w:pPr>
    </w:p>
    <w:p>
      <w:pPr>
        <w:pStyle w:val="BodyText"/>
        <w:spacing w:line="381" w:lineRule="auto" w:before="180"/>
        <w:ind w:right="152"/>
        <w:jc w:val="both"/>
      </w:pPr>
      <w:r>
        <w:rPr/>
        <w:t>及串通、伪造、故意遗漏、虚假陈述或凌驾于内部控制之上，未能发现由于舞弊导致的重大</w:t>
      </w:r>
      <w:r>
        <w:rPr>
          <w:spacing w:val="-85"/>
        </w:rPr>
        <w:t> </w:t>
      </w:r>
      <w:r>
        <w:rPr>
          <w:spacing w:val="-85"/>
        </w:rPr>
      </w:r>
      <w:r>
        <w:rPr/>
        <w:t>错报的风险高于未能发现由于错误导致的重大错报的风险。</w:t>
      </w:r>
    </w:p>
    <w:p>
      <w:pPr>
        <w:pStyle w:val="BodyText"/>
        <w:spacing w:line="240" w:lineRule="auto" w:before="84"/>
        <w:ind w:left="633" w:right="293"/>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了解与审计相关的内部控制，以设计恰当的审计程序。</w:t>
      </w:r>
    </w:p>
    <w:p>
      <w:pPr>
        <w:spacing w:line="240" w:lineRule="auto" w:before="3"/>
        <w:rPr>
          <w:rFonts w:ascii="宋体" w:hAnsi="宋体" w:cs="宋体" w:eastAsia="宋体" w:hint="default"/>
          <w:sz w:val="17"/>
          <w:szCs w:val="17"/>
        </w:rPr>
      </w:pPr>
    </w:p>
    <w:p>
      <w:pPr>
        <w:pStyle w:val="BodyText"/>
        <w:spacing w:line="240" w:lineRule="auto" w:before="0"/>
        <w:ind w:left="633" w:right="293"/>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评价管理层选用会计政策的恰当性和作出会计估计及相关披露的合理性。</w:t>
      </w:r>
    </w:p>
    <w:p>
      <w:pPr>
        <w:spacing w:line="240" w:lineRule="auto" w:before="3"/>
        <w:rPr>
          <w:rFonts w:ascii="宋体" w:hAnsi="宋体" w:cs="宋体" w:eastAsia="宋体" w:hint="default"/>
          <w:sz w:val="17"/>
          <w:szCs w:val="17"/>
        </w:rPr>
      </w:pPr>
    </w:p>
    <w:p>
      <w:pPr>
        <w:pStyle w:val="BodyText"/>
        <w:spacing w:line="381" w:lineRule="auto" w:before="0"/>
        <w:ind w:right="146" w:firstLine="480"/>
        <w:jc w:val="both"/>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5"/>
        </w:rPr>
        <w:t> </w:t>
      </w:r>
      <w:r>
        <w:rPr>
          <w:spacing w:val="-3"/>
        </w:rPr>
        <w:t>对管理层使用持续经营假设的恰当性得出结论。同时，根据获取的审计证据，就可</w:t>
      </w:r>
      <w:r>
        <w:rPr/>
        <w:t> 能导致对超图软件公司持续经营能力产生重大疑虑的事项或情况是否存在重大不确定性得出</w:t>
      </w:r>
      <w:r>
        <w:rPr>
          <w:spacing w:val="-84"/>
        </w:rPr>
        <w:t> </w:t>
      </w:r>
      <w:r>
        <w:rPr>
          <w:spacing w:val="-84"/>
        </w:rPr>
      </w:r>
      <w:r>
        <w:rPr/>
        <w:t>结论。如果我们得出结论认为存在重大不确定性，审计准则要求我们在审计报告中提请报表</w:t>
      </w:r>
      <w:r>
        <w:rPr>
          <w:spacing w:val="-85"/>
        </w:rPr>
        <w:t> </w:t>
      </w:r>
      <w:r>
        <w:rPr>
          <w:spacing w:val="-85"/>
        </w:rPr>
      </w:r>
      <w:r>
        <w:rPr/>
        <w:t>使用者注意财务报表中的相关披露；如果披露不充分，我们应当发表非无保留意见。我们的</w:t>
      </w:r>
      <w:r>
        <w:rPr>
          <w:spacing w:val="-85"/>
        </w:rPr>
        <w:t> </w:t>
      </w:r>
      <w:r>
        <w:rPr>
          <w:spacing w:val="-85"/>
        </w:rPr>
      </w:r>
      <w:r>
        <w:rPr/>
        <w:t>结论基于截至审计报告日可获得的信息。然而，未来的事项或情况可能导致超图软件公司不</w:t>
      </w:r>
      <w:r>
        <w:rPr>
          <w:spacing w:val="-80"/>
        </w:rPr>
        <w:t> </w:t>
      </w:r>
      <w:r>
        <w:rPr>
          <w:spacing w:val="-80"/>
        </w:rPr>
      </w:r>
      <w:r>
        <w:rPr/>
        <w:t>能持续经营。</w:t>
      </w:r>
    </w:p>
    <w:p>
      <w:pPr>
        <w:pStyle w:val="BodyText"/>
        <w:spacing w:line="381" w:lineRule="auto" w:before="84"/>
        <w:ind w:right="148" w:firstLine="480"/>
        <w:jc w:val="both"/>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31"/>
        </w:rPr>
        <w:t> </w:t>
      </w:r>
      <w:r>
        <w:rPr>
          <w:spacing w:val="-3"/>
        </w:rPr>
        <w:t>评价财务报表的总体列报、结构和内容</w:t>
      </w:r>
      <w:r>
        <w:rPr>
          <w:rFonts w:ascii="宋体" w:hAnsi="宋体" w:cs="宋体" w:eastAsia="宋体" w:hint="default"/>
          <w:spacing w:val="-3"/>
        </w:rPr>
        <w:t>(</w:t>
      </w:r>
      <w:r>
        <w:rPr>
          <w:spacing w:val="-3"/>
        </w:rPr>
        <w:t>包括披露</w:t>
      </w:r>
      <w:r>
        <w:rPr>
          <w:rFonts w:ascii="宋体" w:hAnsi="宋体" w:cs="宋体" w:eastAsia="宋体" w:hint="default"/>
          <w:spacing w:val="-3"/>
        </w:rPr>
        <w:t>)</w:t>
      </w:r>
      <w:r>
        <w:rPr>
          <w:spacing w:val="-3"/>
        </w:rPr>
        <w:t>，并评价财务报表是否公允反映</w:t>
      </w:r>
      <w:r>
        <w:rPr/>
        <w:t> 相关交易和事项。</w:t>
      </w:r>
    </w:p>
    <w:p>
      <w:pPr>
        <w:pStyle w:val="BodyText"/>
        <w:spacing w:line="398" w:lineRule="auto" w:before="84"/>
        <w:ind w:right="147" w:firstLine="480"/>
        <w:jc w:val="righ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29"/>
        </w:rPr>
        <w:t> </w:t>
      </w:r>
      <w:r>
        <w:rPr>
          <w:spacing w:val="-3"/>
        </w:rPr>
        <w:t>就超图软件公司中实体或业务活动的财务信息获取充分、适当的审计证据，以对财</w:t>
      </w:r>
      <w:r>
        <w:rPr/>
        <w:t> </w:t>
      </w:r>
      <w:r>
        <w:rPr>
          <w:spacing w:val="-1"/>
        </w:rPr>
        <w:t>务报表发表审计意见。我们负责指导、监督和执行集团审计，并对审计意见承担全部责任。</w:t>
      </w:r>
      <w:r>
        <w:rPr/>
        <w:t> 我们与治理层就计划的审计范围、时间安排和重大审计发现等事项进行沟通，包括沟通</w:t>
      </w:r>
    </w:p>
    <w:p>
      <w:pPr>
        <w:pStyle w:val="BodyText"/>
        <w:spacing w:line="412" w:lineRule="auto" w:before="26"/>
        <w:ind w:left="633" w:right="138" w:hanging="480"/>
        <w:jc w:val="left"/>
      </w:pPr>
      <w:r>
        <w:rPr/>
        <w:t>我们在审计中识别出的值得关注的内部控制缺陷。 我们还就已遵守与独立性相关的职业道德要求向治理层提供声明，并与治理层沟通可能</w:t>
      </w:r>
    </w:p>
    <w:p>
      <w:pPr>
        <w:pStyle w:val="BodyText"/>
        <w:spacing w:line="412" w:lineRule="auto" w:before="12"/>
        <w:ind w:left="633" w:right="138" w:hanging="480"/>
        <w:jc w:val="left"/>
      </w:pPr>
      <w:r>
        <w:rPr/>
        <w:t>被合理认为影响我们独立性的所有关系和其他事项，以及相关的防范措施</w:t>
      </w:r>
      <w:r>
        <w:rPr>
          <w:rFonts w:ascii="宋体" w:hAnsi="宋体" w:cs="宋体" w:eastAsia="宋体" w:hint="default"/>
        </w:rPr>
        <w:t>(</w:t>
      </w:r>
      <w:r>
        <w:rPr/>
        <w:t>如适用</w:t>
      </w:r>
      <w:r>
        <w:rPr>
          <w:rFonts w:ascii="宋体" w:hAnsi="宋体" w:cs="宋体" w:eastAsia="宋体" w:hint="default"/>
        </w:rPr>
        <w:t>)</w:t>
      </w:r>
      <w:r>
        <w:rPr/>
        <w:t>。 从与治理层沟通过的事项中，我们确定哪些事项对本期财务报表审计最为重要，因而构</w:t>
      </w:r>
    </w:p>
    <w:p>
      <w:pPr>
        <w:pStyle w:val="BodyText"/>
        <w:spacing w:line="381" w:lineRule="auto" w:before="14"/>
        <w:ind w:right="152"/>
        <w:jc w:val="both"/>
      </w:pPr>
      <w:r>
        <w:rPr/>
        <w:t>成关键审计事项。我们在审计报告中描述这些事项，除非法律法规禁止公开披露这些事项，</w:t>
      </w:r>
      <w:r>
        <w:rPr>
          <w:spacing w:val="-85"/>
        </w:rPr>
        <w:t> </w:t>
      </w:r>
      <w:r>
        <w:rPr>
          <w:spacing w:val="-85"/>
        </w:rPr>
      </w:r>
      <w:r>
        <w:rPr/>
        <w:t>或在极少数情形下，如果合理预期在审计报告中沟通某事项造成的负面后果超过在公众利益</w:t>
      </w:r>
      <w:r>
        <w:rPr>
          <w:spacing w:val="-85"/>
        </w:rPr>
        <w:t> </w:t>
      </w:r>
      <w:r>
        <w:rPr>
          <w:spacing w:val="-85"/>
        </w:rPr>
      </w:r>
      <w:r>
        <w:rPr/>
        <w:t>方面产生的益处，我们确定不应在审计报告中沟通该事项。</w:t>
      </w:r>
    </w:p>
    <w:p>
      <w:pPr>
        <w:spacing w:line="240" w:lineRule="auto" w:before="8"/>
        <w:rPr>
          <w:rFonts w:ascii="宋体" w:hAnsi="宋体" w:cs="宋体" w:eastAsia="宋体" w:hint="default"/>
          <w:sz w:val="35"/>
          <w:szCs w:val="35"/>
        </w:rPr>
      </w:pPr>
    </w:p>
    <w:p>
      <w:pPr>
        <w:spacing w:line="300" w:lineRule="auto" w:before="0"/>
        <w:ind w:left="633" w:right="5453" w:firstLine="2"/>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4"/>
          <w:szCs w:val="24"/>
        </w:rPr>
        <w:t>财务附注中报表的单位为：人民币元</w:t>
      </w:r>
    </w:p>
    <w:p>
      <w:pPr>
        <w:spacing w:line="338" w:lineRule="auto" w:before="94"/>
        <w:ind w:left="633" w:right="521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编制单位：北京超图软件股份有限公司</w:t>
      </w:r>
    </w:p>
    <w:p>
      <w:pPr>
        <w:spacing w:after="0" w:line="338" w:lineRule="auto"/>
        <w:jc w:val="left"/>
        <w:rPr>
          <w:rFonts w:ascii="宋体" w:hAnsi="宋体" w:cs="宋体" w:eastAsia="宋体" w:hint="default"/>
          <w:sz w:val="24"/>
          <w:szCs w:val="24"/>
        </w:rPr>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240" w:lineRule="auto" w:before="26"/>
        <w:ind w:left="3268" w:right="2791"/>
        <w:jc w:val="center"/>
      </w:pP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p>
    <w:p>
      <w:pPr>
        <w:spacing w:line="240" w:lineRule="auto" w:before="8"/>
        <w:rPr>
          <w:rFonts w:ascii="宋体" w:hAnsi="宋体" w:cs="宋体" w:eastAsia="宋体" w:hint="default"/>
          <w:sz w:val="9"/>
          <w:szCs w:val="9"/>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96" w:type="dxa"/>
        <w:tblLayout w:type="fixed"/>
        <w:tblCellMar>
          <w:top w:w="0" w:type="dxa"/>
          <w:left w:w="0" w:type="dxa"/>
          <w:bottom w:w="0" w:type="dxa"/>
          <w:right w:w="0" w:type="dxa"/>
        </w:tblCellMar>
        <w:tblLook w:val="01E0"/>
      </w:tblPr>
      <w:tblGrid>
        <w:gridCol w:w="2939"/>
        <w:gridCol w:w="3316"/>
        <w:gridCol w:w="3301"/>
      </w:tblGrid>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45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435"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7" w:right="0"/>
              <w:jc w:val="center"/>
              <w:rPr>
                <w:rFonts w:ascii="宋体" w:hAnsi="宋体" w:cs="宋体" w:eastAsia="宋体" w:hint="default"/>
                <w:sz w:val="21"/>
                <w:szCs w:val="21"/>
              </w:rPr>
            </w:pPr>
            <w:r>
              <w:rPr>
                <w:rFonts w:ascii="宋体" w:hAnsi="宋体" w:cs="宋体" w:eastAsia="宋体" w:hint="default"/>
                <w:sz w:val="21"/>
                <w:szCs w:val="21"/>
              </w:rPr>
              <w:t>流动资产：</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7"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561,680,511.43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532,675,048.16</w:t>
            </w: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7" w:right="0"/>
              <w:jc w:val="center"/>
              <w:rPr>
                <w:rFonts w:ascii="宋体" w:hAnsi="宋体" w:cs="宋体" w:eastAsia="宋体" w:hint="default"/>
                <w:sz w:val="21"/>
                <w:szCs w:val="21"/>
              </w:rPr>
            </w:pPr>
            <w:r>
              <w:rPr>
                <w:rFonts w:ascii="宋体" w:hAnsi="宋体" w:cs="宋体" w:eastAsia="宋体" w:hint="default"/>
                <w:sz w:val="21"/>
                <w:szCs w:val="21"/>
              </w:rPr>
              <w:t>结算备付金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7" w:right="0"/>
              <w:jc w:val="center"/>
              <w:rPr>
                <w:rFonts w:ascii="宋体" w:hAnsi="宋体" w:cs="宋体" w:eastAsia="宋体" w:hint="default"/>
                <w:sz w:val="21"/>
                <w:szCs w:val="21"/>
              </w:rPr>
            </w:pPr>
            <w:r>
              <w:rPr>
                <w:rFonts w:ascii="宋体" w:hAnsi="宋体" w:cs="宋体" w:eastAsia="宋体" w:hint="default"/>
                <w:sz w:val="21"/>
                <w:szCs w:val="21"/>
              </w:rPr>
              <w:t>拆出资金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11" w:right="93" w:firstLine="208"/>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计入当期损益的金融资产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5" w:right="0"/>
              <w:jc w:val="center"/>
              <w:rPr>
                <w:rFonts w:ascii="宋体" w:hAnsi="宋体" w:cs="宋体" w:eastAsia="宋体" w:hint="default"/>
                <w:sz w:val="21"/>
                <w:szCs w:val="21"/>
              </w:rPr>
            </w:pPr>
            <w:r>
              <w:rPr>
                <w:rFonts w:ascii="宋体" w:hAnsi="宋体" w:cs="宋体" w:eastAsia="宋体" w:hint="default"/>
                <w:sz w:val="21"/>
                <w:szCs w:val="21"/>
              </w:rPr>
              <w:t>衍生金融资产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7" w:right="0"/>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4,117,040.00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1,940,823.90</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27"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413,357,441.58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296,103,530.04</w:t>
            </w: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7" w:right="0"/>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8,722,865.50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10,580,787.60</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7" w:right="0"/>
              <w:jc w:val="center"/>
              <w:rPr>
                <w:rFonts w:ascii="宋体" w:hAnsi="宋体" w:cs="宋体" w:eastAsia="宋体" w:hint="default"/>
                <w:sz w:val="21"/>
                <w:szCs w:val="21"/>
              </w:rPr>
            </w:pPr>
            <w:r>
              <w:rPr>
                <w:rFonts w:ascii="宋体" w:hAnsi="宋体" w:cs="宋体" w:eastAsia="宋体" w:hint="default"/>
                <w:sz w:val="21"/>
                <w:szCs w:val="21"/>
              </w:rPr>
              <w:t>应收保费</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5" w:right="0"/>
              <w:jc w:val="center"/>
              <w:rPr>
                <w:rFonts w:ascii="宋体" w:hAnsi="宋体" w:cs="宋体" w:eastAsia="宋体" w:hint="default"/>
                <w:sz w:val="21"/>
                <w:szCs w:val="21"/>
              </w:rPr>
            </w:pPr>
            <w:r>
              <w:rPr>
                <w:rFonts w:ascii="宋体" w:hAnsi="宋体" w:cs="宋体" w:eastAsia="宋体" w:hint="default"/>
                <w:sz w:val="21"/>
                <w:szCs w:val="21"/>
              </w:rPr>
              <w:t>应收分保账款</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8" w:right="0"/>
              <w:jc w:val="center"/>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7" w:right="0"/>
              <w:jc w:val="center"/>
              <w:rPr>
                <w:rFonts w:ascii="宋体" w:hAnsi="宋体" w:cs="宋体" w:eastAsia="宋体" w:hint="default"/>
                <w:sz w:val="21"/>
                <w:szCs w:val="21"/>
              </w:rPr>
            </w:pPr>
            <w:r>
              <w:rPr>
                <w:rFonts w:ascii="宋体" w:hAnsi="宋体" w:cs="宋体" w:eastAsia="宋体" w:hint="default"/>
                <w:sz w:val="21"/>
                <w:szCs w:val="21"/>
              </w:rPr>
              <w:t>应收利息</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7" w:right="0"/>
              <w:jc w:val="center"/>
              <w:rPr>
                <w:rFonts w:ascii="宋体" w:hAnsi="宋体" w:cs="宋体" w:eastAsia="宋体" w:hint="default"/>
                <w:sz w:val="21"/>
                <w:szCs w:val="21"/>
              </w:rPr>
            </w:pPr>
            <w:r>
              <w:rPr>
                <w:rFonts w:ascii="宋体" w:hAnsi="宋体" w:cs="宋体" w:eastAsia="宋体" w:hint="default"/>
                <w:sz w:val="21"/>
                <w:szCs w:val="21"/>
              </w:rPr>
              <w:t>应收股利</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7"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76,867,761.00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55,332,086.68</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7" w:right="0"/>
              <w:jc w:val="center"/>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5"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10,552,114.06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5,026,468.38</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5" w:right="0"/>
              <w:jc w:val="center"/>
              <w:rPr>
                <w:rFonts w:ascii="宋体" w:hAnsi="宋体" w:cs="宋体" w:eastAsia="宋体" w:hint="default"/>
                <w:sz w:val="21"/>
                <w:szCs w:val="21"/>
              </w:rPr>
            </w:pPr>
            <w:r>
              <w:rPr>
                <w:rFonts w:ascii="宋体" w:hAnsi="宋体" w:cs="宋体" w:eastAsia="宋体" w:hint="default"/>
                <w:sz w:val="21"/>
                <w:szCs w:val="21"/>
              </w:rPr>
              <w:t>持有待售的资产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25" w:right="0"/>
              <w:jc w:val="center"/>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5" w:right="0"/>
              <w:jc w:val="center"/>
              <w:rPr>
                <w:rFonts w:ascii="宋体" w:hAnsi="宋体" w:cs="宋体" w:eastAsia="宋体" w:hint="default"/>
                <w:sz w:val="21"/>
                <w:szCs w:val="21"/>
              </w:rPr>
            </w:pPr>
            <w:r>
              <w:rPr>
                <w:rFonts w:ascii="宋体" w:hAnsi="宋体" w:cs="宋体" w:eastAsia="宋体" w:hint="default"/>
                <w:sz w:val="21"/>
                <w:szCs w:val="21"/>
              </w:rPr>
              <w:t>其他流动资产</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394,847,392.11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315,310,123.30</w:t>
            </w: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5" w:right="0"/>
              <w:jc w:val="center"/>
              <w:rPr>
                <w:rFonts w:ascii="宋体" w:hAnsi="宋体" w:cs="宋体" w:eastAsia="宋体" w:hint="default"/>
                <w:sz w:val="21"/>
                <w:szCs w:val="21"/>
              </w:rPr>
            </w:pPr>
            <w:r>
              <w:rPr>
                <w:rFonts w:ascii="宋体" w:hAnsi="宋体" w:cs="宋体" w:eastAsia="宋体" w:hint="default"/>
                <w:sz w:val="21"/>
                <w:szCs w:val="21"/>
              </w:rPr>
              <w:t>流动资产合计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1,470,145,125.68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1,216,968,868.06</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5" w:right="0"/>
              <w:jc w:val="center"/>
              <w:rPr>
                <w:rFonts w:ascii="宋体" w:hAnsi="宋体" w:cs="宋体" w:eastAsia="宋体" w:hint="default"/>
                <w:sz w:val="21"/>
                <w:szCs w:val="21"/>
              </w:rPr>
            </w:pPr>
            <w:r>
              <w:rPr>
                <w:rFonts w:ascii="宋体" w:hAnsi="宋体" w:cs="宋体" w:eastAsia="宋体" w:hint="default"/>
                <w:sz w:val="21"/>
                <w:szCs w:val="21"/>
              </w:rPr>
              <w:t>非流动资产：</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5" w:right="0"/>
              <w:jc w:val="center"/>
              <w:rPr>
                <w:rFonts w:ascii="宋体" w:hAnsi="宋体" w:cs="宋体" w:eastAsia="宋体" w:hint="default"/>
                <w:sz w:val="21"/>
                <w:szCs w:val="21"/>
              </w:rPr>
            </w:pPr>
            <w:r>
              <w:rPr>
                <w:rFonts w:ascii="宋体" w:hAnsi="宋体" w:cs="宋体" w:eastAsia="宋体" w:hint="default"/>
                <w:sz w:val="21"/>
                <w:szCs w:val="21"/>
              </w:rPr>
              <w:t>发放贷款及垫款</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7" w:right="0"/>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3,012,155.43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3,012,514.11</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5" w:right="0"/>
              <w:jc w:val="center"/>
              <w:rPr>
                <w:rFonts w:ascii="宋体" w:hAnsi="宋体" w:cs="宋体" w:eastAsia="宋体" w:hint="default"/>
                <w:sz w:val="21"/>
                <w:szCs w:val="21"/>
              </w:rPr>
            </w:pPr>
            <w:r>
              <w:rPr>
                <w:rFonts w:ascii="宋体" w:hAnsi="宋体" w:cs="宋体" w:eastAsia="宋体" w:hint="default"/>
                <w:sz w:val="21"/>
                <w:szCs w:val="21"/>
              </w:rPr>
              <w:t>持有至到期投资</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7" w:right="0"/>
              <w:jc w:val="center"/>
              <w:rPr>
                <w:rFonts w:ascii="宋体" w:hAnsi="宋体" w:cs="宋体" w:eastAsia="宋体" w:hint="default"/>
                <w:sz w:val="21"/>
                <w:szCs w:val="21"/>
              </w:rPr>
            </w:pPr>
            <w:r>
              <w:rPr>
                <w:rFonts w:ascii="宋体" w:hAnsi="宋体" w:cs="宋体" w:eastAsia="宋体" w:hint="default"/>
                <w:sz w:val="21"/>
                <w:szCs w:val="21"/>
              </w:rPr>
              <w:t>长期应收款</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748,284.23</w:t>
            </w: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5"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1,948,820.21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1,100,435.95</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5" w:right="0"/>
              <w:jc w:val="center"/>
              <w:rPr>
                <w:rFonts w:ascii="宋体" w:hAnsi="宋体" w:cs="宋体" w:eastAsia="宋体" w:hint="default"/>
                <w:sz w:val="21"/>
                <w:szCs w:val="21"/>
              </w:rPr>
            </w:pPr>
            <w:r>
              <w:rPr>
                <w:rFonts w:ascii="宋体" w:hAnsi="宋体" w:cs="宋体" w:eastAsia="宋体" w:hint="default"/>
                <w:sz w:val="21"/>
                <w:szCs w:val="21"/>
              </w:rPr>
              <w:t>投资性房地产</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121,539,879.37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123,947,832.48</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7"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165,287,617.58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175,820,535.56</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27"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14,912,976.25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247,641.52</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7" w:right="0"/>
              <w:jc w:val="center"/>
              <w:rPr>
                <w:rFonts w:ascii="宋体" w:hAnsi="宋体" w:cs="宋体" w:eastAsia="宋体" w:hint="default"/>
                <w:sz w:val="21"/>
                <w:szCs w:val="21"/>
              </w:rPr>
            </w:pPr>
            <w:r>
              <w:rPr>
                <w:rFonts w:ascii="宋体" w:hAnsi="宋体" w:cs="宋体" w:eastAsia="宋体" w:hint="default"/>
                <w:sz w:val="21"/>
                <w:szCs w:val="21"/>
              </w:rPr>
              <w:t>工程物资</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5" w:right="0"/>
              <w:jc w:val="center"/>
              <w:rPr>
                <w:rFonts w:ascii="宋体" w:hAnsi="宋体" w:cs="宋体" w:eastAsia="宋体" w:hint="default"/>
                <w:sz w:val="21"/>
                <w:szCs w:val="21"/>
              </w:rPr>
            </w:pPr>
            <w:r>
              <w:rPr>
                <w:rFonts w:ascii="宋体" w:hAnsi="宋体" w:cs="宋体" w:eastAsia="宋体" w:hint="default"/>
                <w:sz w:val="21"/>
                <w:szCs w:val="21"/>
              </w:rPr>
              <w:t>固定资产清理</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5" w:right="0"/>
              <w:jc w:val="center"/>
              <w:rPr>
                <w:rFonts w:ascii="宋体" w:hAnsi="宋体" w:cs="宋体" w:eastAsia="宋体" w:hint="default"/>
                <w:sz w:val="21"/>
                <w:szCs w:val="21"/>
              </w:rPr>
            </w:pPr>
            <w:r>
              <w:rPr>
                <w:rFonts w:ascii="宋体" w:hAnsi="宋体" w:cs="宋体" w:eastAsia="宋体" w:hint="default"/>
                <w:sz w:val="21"/>
                <w:szCs w:val="21"/>
              </w:rPr>
              <w:t>生产性生物资产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7" w:right="0"/>
              <w:jc w:val="center"/>
              <w:rPr>
                <w:rFonts w:ascii="宋体" w:hAnsi="宋体" w:cs="宋体" w:eastAsia="宋体" w:hint="default"/>
                <w:sz w:val="21"/>
                <w:szCs w:val="21"/>
              </w:rPr>
            </w:pPr>
            <w:r>
              <w:rPr>
                <w:rFonts w:ascii="宋体" w:hAnsi="宋体" w:cs="宋体" w:eastAsia="宋体" w:hint="default"/>
                <w:sz w:val="21"/>
                <w:szCs w:val="21"/>
              </w:rPr>
              <w:t>油气资产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7"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120,737,801.57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85,056,057.57</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7" w:right="0"/>
              <w:jc w:val="center"/>
              <w:rPr>
                <w:rFonts w:ascii="宋体" w:hAnsi="宋体" w:cs="宋体" w:eastAsia="宋体" w:hint="default"/>
                <w:sz w:val="21"/>
                <w:szCs w:val="21"/>
              </w:rPr>
            </w:pPr>
            <w:r>
              <w:rPr>
                <w:rFonts w:ascii="宋体" w:hAnsi="宋体" w:cs="宋体" w:eastAsia="宋体" w:hint="default"/>
                <w:sz w:val="21"/>
                <w:szCs w:val="21"/>
              </w:rPr>
              <w:t>开发支出</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11,116,674.61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46,748,751.52</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5" w:right="0"/>
              <w:jc w:val="center"/>
              <w:rPr>
                <w:rFonts w:ascii="宋体" w:hAnsi="宋体" w:cs="宋体" w:eastAsia="宋体" w:hint="default"/>
                <w:sz w:val="21"/>
                <w:szCs w:val="21"/>
              </w:rPr>
            </w:pPr>
            <w:r>
              <w:rPr>
                <w:rFonts w:ascii="宋体" w:hAnsi="宋体" w:cs="宋体" w:eastAsia="宋体" w:hint="default"/>
                <w:sz w:val="21"/>
                <w:szCs w:val="21"/>
              </w:rPr>
              <w:t>商誉</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707,269,877.25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529,300,601.06</w:t>
            </w:r>
          </w:p>
        </w:tc>
      </w:tr>
      <w:tr>
        <w:trPr>
          <w:trHeight w:val="32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5" w:right="0"/>
              <w:jc w:val="center"/>
              <w:rPr>
                <w:rFonts w:ascii="宋体" w:hAnsi="宋体" w:cs="宋体" w:eastAsia="宋体" w:hint="default"/>
                <w:sz w:val="21"/>
                <w:szCs w:val="21"/>
              </w:rPr>
            </w:pPr>
            <w:r>
              <w:rPr>
                <w:rFonts w:ascii="宋体" w:hAnsi="宋体" w:cs="宋体" w:eastAsia="宋体" w:hint="default"/>
                <w:sz w:val="21"/>
                <w:szCs w:val="21"/>
              </w:rPr>
              <w:t>长期待摊费用</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1,651,966.61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1,674,214.81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96" w:type="dxa"/>
        <w:tblLayout w:type="fixed"/>
        <w:tblCellMar>
          <w:top w:w="0" w:type="dxa"/>
          <w:left w:w="0" w:type="dxa"/>
          <w:bottom w:w="0" w:type="dxa"/>
          <w:right w:w="0" w:type="dxa"/>
        </w:tblCellMar>
        <w:tblLook w:val="01E0"/>
      </w:tblPr>
      <w:tblGrid>
        <w:gridCol w:w="2944"/>
        <w:gridCol w:w="3311"/>
        <w:gridCol w:w="3301"/>
      </w:tblGrid>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10,875,192.58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9,645,154.98</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20" w:right="0"/>
              <w:jc w:val="center"/>
              <w:rPr>
                <w:rFonts w:ascii="宋体" w:hAnsi="宋体" w:cs="宋体" w:eastAsia="宋体" w:hint="default"/>
                <w:sz w:val="21"/>
                <w:szCs w:val="21"/>
              </w:rPr>
            </w:pPr>
            <w:r>
              <w:rPr>
                <w:rFonts w:ascii="宋体" w:hAnsi="宋体" w:cs="宋体" w:eastAsia="宋体" w:hint="default"/>
                <w:sz w:val="21"/>
                <w:szCs w:val="21"/>
              </w:rPr>
              <w:t>其他非流动资产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1,230,000.00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非流动资产合计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1,159,582,961.46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977,302,023.79</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2"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2,629,728,087.14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2,194,270,891.85</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5,055,848.52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15,370,108.86</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向中央银行借款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3" w:right="0"/>
              <w:jc w:val="center"/>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拆入资金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11" w:right="97" w:firstLine="208"/>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衍生金融负债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22" w:right="0"/>
              <w:jc w:val="center"/>
              <w:rPr>
                <w:rFonts w:ascii="宋体" w:hAnsi="宋体" w:cs="宋体" w:eastAsia="宋体" w:hint="default"/>
                <w:sz w:val="21"/>
                <w:szCs w:val="21"/>
              </w:rPr>
            </w:pPr>
            <w:r>
              <w:rPr>
                <w:rFonts w:ascii="宋体" w:hAnsi="宋体" w:cs="宋体" w:eastAsia="宋体" w:hint="default"/>
                <w:sz w:val="21"/>
                <w:szCs w:val="21"/>
              </w:rPr>
              <w:t>应付票据</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300,000.00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225,953,802.54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188,178,335.93</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预收款项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179,897,572.96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91,649,043.88</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3" w:right="0"/>
              <w:jc w:val="center"/>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3" w:right="0"/>
              <w:jc w:val="center"/>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应付职工薪酬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98,395,104.53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44,733,948.07</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35,530,199.28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33,194,077.91</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应付利息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27,706.05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84,073.81</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应付股利</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36,612.00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2,430,206.26</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33,744,930.88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69,382,928.41</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0" w:right="0"/>
              <w:jc w:val="center"/>
              <w:rPr>
                <w:rFonts w:ascii="宋体" w:hAnsi="宋体" w:cs="宋体" w:eastAsia="宋体" w:hint="default"/>
                <w:sz w:val="21"/>
                <w:szCs w:val="21"/>
              </w:rPr>
            </w:pPr>
            <w:r>
              <w:rPr>
                <w:rFonts w:ascii="宋体" w:hAnsi="宋体" w:cs="宋体" w:eastAsia="宋体" w:hint="default"/>
                <w:sz w:val="21"/>
                <w:szCs w:val="21"/>
              </w:rPr>
              <w:t>应付分保账款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20" w:right="0"/>
              <w:jc w:val="center"/>
              <w:rPr>
                <w:rFonts w:ascii="宋体" w:hAnsi="宋体" w:cs="宋体" w:eastAsia="宋体" w:hint="default"/>
                <w:sz w:val="21"/>
                <w:szCs w:val="21"/>
              </w:rPr>
            </w:pPr>
            <w:r>
              <w:rPr>
                <w:rFonts w:ascii="宋体" w:hAnsi="宋体" w:cs="宋体" w:eastAsia="宋体" w:hint="default"/>
                <w:sz w:val="21"/>
                <w:szCs w:val="21"/>
              </w:rPr>
              <w:t>保险合同准备金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代理买卖证券款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代理承销证券款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持有待售的负债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65,350,526.85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39,873,415.00</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0" w:right="0"/>
              <w:jc w:val="center"/>
              <w:rPr>
                <w:rFonts w:ascii="宋体" w:hAnsi="宋体" w:cs="宋体" w:eastAsia="宋体" w:hint="default"/>
                <w:sz w:val="21"/>
                <w:szCs w:val="21"/>
              </w:rPr>
            </w:pPr>
            <w:r>
              <w:rPr>
                <w:rFonts w:ascii="宋体" w:hAnsi="宋体" w:cs="宋体" w:eastAsia="宋体" w:hint="default"/>
                <w:sz w:val="21"/>
                <w:szCs w:val="21"/>
              </w:rPr>
              <w:t>其他流动负债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455,638.22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流动负债合计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644,747,941.83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484,896,138.13</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5,588,253.81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5,715,477.03</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应付债券</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其中：优先股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0"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长期应付款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161,249,022.10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67,912,183.32</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3" w:right="0"/>
              <w:jc w:val="center"/>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专项应付款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预计负债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802,227.28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1,390,495.43</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0" w:right="0"/>
              <w:jc w:val="center"/>
              <w:rPr>
                <w:rFonts w:ascii="宋体" w:hAnsi="宋体" w:cs="宋体" w:eastAsia="宋体" w:hint="default"/>
                <w:sz w:val="21"/>
                <w:szCs w:val="21"/>
              </w:rPr>
            </w:pPr>
            <w:r>
              <w:rPr>
                <w:rFonts w:ascii="宋体" w:hAnsi="宋体" w:cs="宋体" w:eastAsia="宋体" w:hint="default"/>
                <w:sz w:val="21"/>
                <w:szCs w:val="21"/>
              </w:rPr>
              <w:t>递延所得税负债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1,968,604.13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2,219,619.15</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其他非流动负债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非流动负债合计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169,608,107.32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77,237,774.93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96" w:type="dxa"/>
        <w:tblLayout w:type="fixed"/>
        <w:tblCellMar>
          <w:top w:w="0" w:type="dxa"/>
          <w:left w:w="0" w:type="dxa"/>
          <w:bottom w:w="0" w:type="dxa"/>
          <w:right w:w="0" w:type="dxa"/>
        </w:tblCellMar>
        <w:tblLook w:val="01E0"/>
      </w:tblPr>
      <w:tblGrid>
        <w:gridCol w:w="2944"/>
        <w:gridCol w:w="3311"/>
        <w:gridCol w:w="3301"/>
      </w:tblGrid>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814,356,049.15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562,133,913.06</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20" w:right="0"/>
              <w:jc w:val="center"/>
              <w:rPr>
                <w:rFonts w:ascii="宋体" w:hAnsi="宋体" w:cs="宋体" w:eastAsia="宋体" w:hint="default"/>
                <w:sz w:val="21"/>
                <w:szCs w:val="21"/>
              </w:rPr>
            </w:pPr>
            <w:r>
              <w:rPr>
                <w:rFonts w:ascii="宋体" w:hAnsi="宋体" w:cs="宋体" w:eastAsia="宋体" w:hint="default"/>
                <w:sz w:val="21"/>
                <w:szCs w:val="21"/>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449,537,367.00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449,578,967.00</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0" w:right="0"/>
              <w:jc w:val="center"/>
              <w:rPr>
                <w:rFonts w:ascii="宋体" w:hAnsi="宋体" w:cs="宋体" w:eastAsia="宋体" w:hint="default"/>
                <w:sz w:val="21"/>
                <w:szCs w:val="21"/>
              </w:rPr>
            </w:pPr>
            <w:r>
              <w:rPr>
                <w:rFonts w:ascii="宋体" w:hAnsi="宋体" w:cs="宋体" w:eastAsia="宋体" w:hint="default"/>
                <w:sz w:val="21"/>
                <w:szCs w:val="21"/>
              </w:rPr>
              <w:t>其他权益工具</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其中：优先股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829,796,508.00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829,452,786.61</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减：库存股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486,000.00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21,893,014.35</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其他综合收益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-4,768,686.55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-3,954,118.60</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2" w:right="0"/>
              <w:jc w:val="center"/>
              <w:rPr>
                <w:rFonts w:ascii="宋体" w:hAnsi="宋体" w:cs="宋体" w:eastAsia="宋体" w:hint="default"/>
                <w:sz w:val="21"/>
                <w:szCs w:val="21"/>
              </w:rPr>
            </w:pPr>
            <w:r>
              <w:rPr>
                <w:rFonts w:ascii="宋体" w:hAnsi="宋体" w:cs="宋体" w:eastAsia="宋体" w:hint="default"/>
                <w:sz w:val="21"/>
                <w:szCs w:val="21"/>
              </w:rPr>
              <w:t>专项储备</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43,790,317.54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34,818,145.17</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一般风险准备</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22"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488,024,661.45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327,852,167.21</w:t>
            </w:r>
          </w:p>
        </w:tc>
      </w:tr>
      <w:tr>
        <w:trPr>
          <w:trHeight w:val="63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1,805,894,167.44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1,615,854,933.04</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少数股东权益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9,477,870.55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16,282,045.75</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0" w:right="0"/>
              <w:jc w:val="center"/>
              <w:rPr>
                <w:rFonts w:ascii="宋体" w:hAnsi="宋体" w:cs="宋体" w:eastAsia="宋体" w:hint="default"/>
                <w:sz w:val="21"/>
                <w:szCs w:val="21"/>
              </w:rPr>
            </w:pPr>
            <w:r>
              <w:rPr>
                <w:rFonts w:ascii="宋体" w:hAnsi="宋体" w:cs="宋体" w:eastAsia="宋体" w:hint="default"/>
                <w:sz w:val="21"/>
                <w:szCs w:val="21"/>
              </w:rPr>
              <w:t>所有者权益合计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1,815,372,037.99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1,632,136,978.79</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2,629,728,087.14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2,194,270,891.85</w:t>
            </w:r>
          </w:p>
        </w:tc>
      </w:tr>
    </w:tbl>
    <w:p>
      <w:pPr>
        <w:spacing w:line="240" w:lineRule="auto" w:before="2"/>
        <w:rPr>
          <w:rFonts w:ascii="Times New Roman" w:hAnsi="Times New Roman" w:cs="Times New Roman" w:eastAsia="Times New Roman" w:hint="default"/>
          <w:sz w:val="27"/>
          <w:szCs w:val="27"/>
        </w:rPr>
      </w:pPr>
    </w:p>
    <w:p>
      <w:pPr>
        <w:pStyle w:val="BodyText"/>
        <w:tabs>
          <w:tab w:pos="3334" w:val="left" w:leader="none"/>
          <w:tab w:pos="7028" w:val="left" w:leader="none"/>
        </w:tabs>
        <w:spacing w:line="240" w:lineRule="auto" w:before="26"/>
        <w:ind w:left="0" w:right="148"/>
        <w:jc w:val="right"/>
      </w:pPr>
      <w:r>
        <w:rPr>
          <w:spacing w:val="-3"/>
        </w:rPr>
        <w:t>法定代表人：钟耳顺</w:t>
        <w:tab/>
        <w:t>主管会计工作负责人：李煜</w:t>
        <w:tab/>
        <w:t>会计机构负责人：荆钺坤</w:t>
      </w:r>
    </w:p>
    <w:p>
      <w:pPr>
        <w:spacing w:line="240" w:lineRule="auto" w:before="9"/>
        <w:rPr>
          <w:rFonts w:ascii="宋体" w:hAnsi="宋体" w:cs="宋体" w:eastAsia="宋体" w:hint="default"/>
          <w:sz w:val="34"/>
          <w:szCs w:val="34"/>
        </w:rPr>
      </w:pPr>
    </w:p>
    <w:p>
      <w:pPr>
        <w:pStyle w:val="Heading2"/>
        <w:spacing w:line="240" w:lineRule="auto"/>
        <w:ind w:left="633" w:right="29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35"/>
          <w:szCs w:val="35"/>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947"/>
        <w:gridCol w:w="3129"/>
        <w:gridCol w:w="2482"/>
      </w:tblGrid>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3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1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277,329,440.71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396,747,594.68</w:t>
            </w:r>
          </w:p>
        </w:tc>
      </w:tr>
      <w:tr>
        <w:trPr>
          <w:trHeight w:val="635"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138"/>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金融资产</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4,117,040.00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1,940,823.90</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278,146,269.88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208,651,338.73</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4,513,215.48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6,342,597.76</w:t>
            </w: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85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5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42,421,406.93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53,022,092.76</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持有待售的资产</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363,162,451.43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290,000,000.00</w:t>
            </w: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3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969,689,824.43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956,704,447.83</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1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947"/>
        <w:gridCol w:w="3129"/>
        <w:gridCol w:w="2482"/>
      </w:tblGrid>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85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5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957,877,451.42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719,292,735.22</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120,162,278.06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123,947,832.48</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151,019,194.22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158,382,012.81</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5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65,733,565.51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27,919,969.55</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85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2"/>
                <w:sz w:val="21"/>
              </w:rPr>
              <w:t>11,116,674.61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27,882,246.94</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204,077.63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278,287.54</w:t>
            </w: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5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6,010,176.80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6,233,013.36</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1,315,123,418.25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1,066,936,097.90</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2,284,813,242.68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2,023,640,545.73</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1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138" w:firstLine="84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w:t>
            </w:r>
            <w:r>
              <w:rPr>
                <w:rFonts w:ascii="宋体" w:hAnsi="宋体" w:cs="宋体" w:eastAsia="宋体" w:hint="default"/>
                <w:w w:val="100"/>
                <w:sz w:val="21"/>
                <w:szCs w:val="21"/>
              </w:rPr>
              <w:t> </w:t>
            </w:r>
            <w:r>
              <w:rPr>
                <w:rFonts w:ascii="宋体" w:hAnsi="宋体" w:cs="宋体" w:eastAsia="宋体" w:hint="default"/>
                <w:sz w:val="21"/>
                <w:szCs w:val="21"/>
              </w:rPr>
              <w:t>期损益的金融负债</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85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300,000.00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254,054,380.36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197,802,808.81</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123,726,968.25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71,158,240.73</w:t>
            </w: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24,191,159.88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22,298,494.21</w:t>
            </w: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5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18,692,553.02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22,261,242.66</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36,612.00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2,430,206.26</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16,824,037.53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63,586,194.77</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持有待售的负债</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61,875,000.00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36,000,000.00</w:t>
            </w: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5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499,700,711.04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415,537,187.44</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1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161,249,022.10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67,912,183.32</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947"/>
        <w:gridCol w:w="3129"/>
        <w:gridCol w:w="2482"/>
      </w:tblGrid>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85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802,227.28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1,390,495.43</w:t>
            </w: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5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162,051,249.38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69,302,678.75</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661,751,960.42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484,839,866.19</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1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449,537,367.00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449,578,967.00</w:t>
            </w: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5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85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837,155,866.41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836,812,145.02</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486,000.00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21,893,014.35</w:t>
            </w: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5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129"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43,790,317.54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34,818,145.17</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293,063,731.31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239,484,436.70</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1,623,061,282.26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1,538,800,679.54</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1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2,284,813,242.68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2,023,640,545.73</w:t>
            </w:r>
          </w:p>
        </w:tc>
      </w:tr>
    </w:tbl>
    <w:p>
      <w:pPr>
        <w:spacing w:line="240" w:lineRule="auto" w:before="2"/>
        <w:rPr>
          <w:rFonts w:ascii="Times New Roman" w:hAnsi="Times New Roman" w:cs="Times New Roman" w:eastAsia="Times New Roman" w:hint="default"/>
          <w:sz w:val="27"/>
          <w:szCs w:val="27"/>
        </w:rPr>
      </w:pPr>
    </w:p>
    <w:p>
      <w:pPr>
        <w:pStyle w:val="Heading2"/>
        <w:spacing w:line="240" w:lineRule="auto" w:before="26"/>
        <w:ind w:left="633" w:right="29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4231"/>
        <w:gridCol w:w="2846"/>
        <w:gridCol w:w="2480"/>
      </w:tblGrid>
      <w:tr>
        <w:trPr>
          <w:trHeight w:val="32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0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1,249,758,548.46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833,150,645.25</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58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1,249,758,548.46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833,150,645.25</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48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3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1,086,198,175.17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723,301,236.31</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509,948,911.52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305,085,372.85</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48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退保金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689"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63"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689"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795"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12,177,143.00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6,473,315.24</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155,240,147.96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113,928,371.94</w:t>
            </w:r>
          </w:p>
        </w:tc>
      </w:tr>
      <w:tr>
        <w:trPr>
          <w:trHeight w:val="32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403,303,038.42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285,795,871.36</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269.690002pt;margin-top:329.149994pt;width:140.1pt;height:16.7pt;mso-position-horizontal-relative:page;mso-position-vertical-relative:page;z-index:-997720" coordorigin="5394,6583" coordsize="2802,334">
            <v:group style="position:absolute;left:5405;top:6594;width:2;height:312" coordorigin="5405,6594" coordsize="2,312">
              <v:shape style="position:absolute;left:5405;top:6594;width:2;height:312" coordorigin="5405,6594" coordsize="0,312" path="m5405,6594l5405,6906e" filled="false" stroked="true" strokeweight="1.08pt" strokecolor="#ffffff">
                <v:path arrowok="t"/>
              </v:shape>
            </v:group>
            <v:group style="position:absolute;left:5415;top:6594;width:2781;height:312" coordorigin="5415,6594" coordsize="2781,312">
              <v:shape style="position:absolute;left:5415;top:6594;width:2781;height:312" coordorigin="5415,6594" coordsize="2781,312" path="m5415,6906l8196,6906,8196,6594,5415,6594,5415,690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4231"/>
        <w:gridCol w:w="2846"/>
        <w:gridCol w:w="2480"/>
      </w:tblGrid>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2,973,521.87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949,814.50</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689"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2,555,412.40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11,068,490.42</w:t>
            </w: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9,087,404.68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2,163,737.04</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701,216.26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-294,092.13</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1"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23"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-186,929.10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-235,963.91</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25,781,266.85</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198,242,115.72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111,777,182.07</w:t>
            </w: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5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5,108,706.84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34,189,840.87</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53,809.28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104,999.59</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203,297,013.28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145,862,023.35</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2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14,156,102.69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20,093,519.42</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189,140,910.59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125,768,503.93</w:t>
            </w:r>
          </w:p>
        </w:tc>
      </w:tr>
      <w:tr>
        <w:trPr>
          <w:trHeight w:val="635"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12" w:right="25" w:firstLine="211"/>
              <w:jc w:val="left"/>
              <w:rPr>
                <w:rFonts w:ascii="宋体" w:hAnsi="宋体" w:cs="宋体" w:eastAsia="宋体" w:hint="default"/>
                <w:sz w:val="21"/>
                <w:szCs w:val="21"/>
              </w:rPr>
            </w:pPr>
            <w:r>
              <w:rPr>
                <w:rFonts w:ascii="宋体" w:hAnsi="宋体" w:cs="宋体" w:eastAsia="宋体" w:hint="default"/>
                <w:spacing w:val="-2"/>
                <w:sz w:val="21"/>
                <w:szCs w:val="21"/>
              </w:rPr>
              <w:t>（一）持续经营净利润（净亏损以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w w:val="100"/>
                <w:sz w:val="21"/>
                <w:szCs w:val="21"/>
              </w:rPr>
              <w:t> </w:t>
            </w:r>
            <w:r>
              <w:rPr>
                <w:rFonts w:ascii="宋体" w:hAnsi="宋体" w:cs="宋体" w:eastAsia="宋体" w:hint="default"/>
                <w:sz w:val="21"/>
                <w:szCs w:val="21"/>
              </w:rPr>
              <w:t>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189,140,910.59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125,768,503.93</w:t>
            </w: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12" w:right="0"/>
              <w:jc w:val="left"/>
              <w:rPr>
                <w:rFonts w:ascii="宋体" w:hAnsi="宋体" w:cs="宋体" w:eastAsia="宋体" w:hint="default"/>
                <w:sz w:val="21"/>
                <w:szCs w:val="21"/>
              </w:rPr>
            </w:pPr>
            <w:r>
              <w:rPr>
                <w:rFonts w:ascii="宋体" w:hAnsi="宋体" w:cs="宋体" w:eastAsia="宋体" w:hint="default"/>
                <w:spacing w:val="-6"/>
                <w:sz w:val="21"/>
                <w:szCs w:val="21"/>
              </w:rPr>
              <w:t>（二）终止经营净利润（净亏损以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64"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3"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196,266,033.25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127,450,223.24</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-7,125,122.66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-1,681,719.31</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-853,620.49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3,899,961.04</w:t>
            </w:r>
          </w:p>
        </w:tc>
      </w:tr>
      <w:tr>
        <w:trPr>
          <w:trHeight w:val="63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212"/>
              <w:jc w:val="left"/>
              <w:rPr>
                <w:rFonts w:ascii="宋体" w:hAnsi="宋体" w:cs="宋体" w:eastAsia="宋体" w:hint="default"/>
                <w:sz w:val="21"/>
                <w:szCs w:val="21"/>
              </w:rPr>
            </w:pPr>
            <w:r>
              <w:rPr>
                <w:rFonts w:ascii="宋体" w:hAnsi="宋体" w:cs="宋体" w:eastAsia="宋体" w:hint="default"/>
                <w:spacing w:val="-2"/>
                <w:sz w:val="21"/>
                <w:szCs w:val="21"/>
              </w:rPr>
              <w:t>归属母公司所有者的其他综合收益的税后净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-814,567.95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3,653,410.20</w:t>
            </w: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（一）以后不能重分类进损益的其他综合收益</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12" w:right="54" w:firstLine="21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重新计量设定受益计划净负债或净资产的</w:t>
            </w:r>
            <w:r>
              <w:rPr>
                <w:rFonts w:ascii="宋体" w:hAnsi="宋体" w:cs="宋体" w:eastAsia="宋体" w:hint="default"/>
                <w:w w:val="100"/>
                <w:sz w:val="21"/>
                <w:szCs w:val="21"/>
              </w:rPr>
              <w:t> </w:t>
            </w:r>
            <w:r>
              <w:rPr>
                <w:rFonts w:ascii="宋体" w:hAnsi="宋体" w:cs="宋体" w:eastAsia="宋体" w:hint="default"/>
                <w:sz w:val="21"/>
                <w:szCs w:val="21"/>
              </w:rPr>
              <w:t>变动</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12" w:right="5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权益法下在被投资单位不能重分类进损益的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其他综合收益中享有的份额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-814,567.95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3,653,410.20</w:t>
            </w:r>
          </w:p>
        </w:tc>
      </w:tr>
      <w:tr>
        <w:trPr>
          <w:trHeight w:val="63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12" w:right="5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权益法下在被投资单位以后将重分类进损益</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的其他综合收益中享有的份额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可供出售金融资产公允价值变动损益</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12" w:right="5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持有至到期投资重分类为可供出售金融资产</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损益</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-814,567.95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3,653,410.20</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212" w:firstLine="211"/>
              <w:jc w:val="left"/>
              <w:rPr>
                <w:rFonts w:ascii="宋体" w:hAnsi="宋体" w:cs="宋体" w:eastAsia="宋体" w:hint="default"/>
                <w:sz w:val="21"/>
                <w:szCs w:val="21"/>
              </w:rPr>
            </w:pPr>
            <w:r>
              <w:rPr>
                <w:rFonts w:ascii="宋体" w:hAnsi="宋体" w:cs="宋体" w:eastAsia="宋体" w:hint="default"/>
                <w:spacing w:val="-2"/>
                <w:sz w:val="21"/>
                <w:szCs w:val="21"/>
              </w:rPr>
              <w:t>归属于少数股东的其他综合收益的税后净</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-39,052.54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246,550.84</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188,287,290.10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129,668,464.97</w:t>
            </w: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195,451,465.30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131,103,633.44</w:t>
            </w: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-7,164,175.20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-1,435,168.47</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0.44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0.31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269.690002pt;margin-top:541.570007pt;width:140.1pt;height:16.7pt;mso-position-horizontal-relative:page;mso-position-vertical-relative:page;z-index:-997696" coordorigin="5394,10831" coordsize="2802,334">
            <v:group style="position:absolute;left:5405;top:10842;width:2;height:312" coordorigin="5405,10842" coordsize="2,312">
              <v:shape style="position:absolute;left:5405;top:10842;width:2;height:312" coordorigin="5405,10842" coordsize="0,312" path="m5405,10842l5405,11154e" filled="false" stroked="true" strokeweight="1.08pt" strokecolor="#ffffff">
                <v:path arrowok="t"/>
              </v:shape>
            </v:group>
            <v:group style="position:absolute;left:5415;top:10842;width:2781;height:312" coordorigin="5415,10842" coordsize="2781,312">
              <v:shape style="position:absolute;left:5415;top:10842;width:2781;height:312" coordorigin="5415,10842" coordsize="2781,312" path="m5415,11154l8196,11154,8196,10842,5415,10842,5415,1115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4241"/>
        <w:gridCol w:w="2846"/>
        <w:gridCol w:w="2480"/>
      </w:tblGrid>
      <w:tr>
        <w:trPr>
          <w:trHeight w:val="322" w:hRule="exact"/>
        </w:trPr>
        <w:tc>
          <w:tcPr>
            <w:tcW w:w="4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5"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0.44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0.30</w:t>
            </w:r>
          </w:p>
        </w:tc>
      </w:tr>
    </w:tbl>
    <w:p>
      <w:pPr>
        <w:pStyle w:val="BodyText"/>
        <w:spacing w:line="338" w:lineRule="auto" w:before="39"/>
        <w:ind w:right="173" w:firstLine="480"/>
        <w:jc w:val="left"/>
      </w:pPr>
      <w:r>
        <w:rPr/>
        <w:t>本期发生同一控制下企业合并的，被合并方在合并前实现的净利润为：</w:t>
      </w:r>
      <w:r>
        <w:rPr>
          <w:rFonts w:ascii="Times New Roman" w:hAnsi="Times New Roman" w:cs="Times New Roman" w:eastAsia="Times New Roman" w:hint="default"/>
        </w:rPr>
        <w:t>0.00 </w:t>
      </w:r>
      <w:r>
        <w:rPr/>
        <w:t>元，上期被 合并方实现的净利润为：</w:t>
      </w:r>
      <w:r>
        <w:rPr>
          <w:rFonts w:ascii="Times New Roman" w:hAnsi="Times New Roman" w:cs="Times New Roman" w:eastAsia="Times New Roman" w:hint="default"/>
        </w:rPr>
        <w:t>0.00 </w:t>
      </w:r>
      <w:r>
        <w:rPr/>
        <w:t>元。</w:t>
      </w:r>
    </w:p>
    <w:p>
      <w:pPr>
        <w:pStyle w:val="BodyText"/>
        <w:tabs>
          <w:tab w:pos="3727" w:val="left" w:leader="none"/>
          <w:tab w:pos="7181" w:val="left" w:leader="none"/>
        </w:tabs>
        <w:spacing w:line="240" w:lineRule="auto" w:before="27"/>
        <w:ind w:left="633" w:right="0"/>
        <w:jc w:val="left"/>
      </w:pPr>
      <w:r>
        <w:rPr>
          <w:spacing w:val="-3"/>
        </w:rPr>
        <w:t>法定代表人：钟耳顺</w:t>
        <w:tab/>
        <w:t>主管会计工作负责人：李煜</w:t>
        <w:tab/>
        <w:t>会计机构负责人：荆钺坤</w:t>
      </w:r>
    </w:p>
    <w:p>
      <w:pPr>
        <w:spacing w:line="240" w:lineRule="auto" w:before="9"/>
        <w:rPr>
          <w:rFonts w:ascii="宋体" w:hAnsi="宋体" w:cs="宋体" w:eastAsia="宋体" w:hint="default"/>
          <w:sz w:val="34"/>
          <w:szCs w:val="34"/>
        </w:rPr>
      </w:pPr>
    </w:p>
    <w:p>
      <w:pPr>
        <w:pStyle w:val="Heading2"/>
        <w:spacing w:line="240" w:lineRule="auto"/>
        <w:ind w:left="633" w:right="29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35"/>
          <w:szCs w:val="35"/>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4231"/>
        <w:gridCol w:w="852"/>
        <w:gridCol w:w="1994"/>
        <w:gridCol w:w="2482"/>
      </w:tblGrid>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0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3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left="1490" w:right="0"/>
              <w:jc w:val="left"/>
              <w:rPr>
                <w:rFonts w:ascii="Times New Roman" w:hAnsi="Times New Roman" w:cs="Times New Roman" w:eastAsia="Times New Roman" w:hint="default"/>
                <w:sz w:val="21"/>
                <w:szCs w:val="21"/>
              </w:rPr>
            </w:pPr>
            <w:r>
              <w:rPr>
                <w:rFonts w:ascii="Times New Roman"/>
                <w:sz w:val="21"/>
              </w:rPr>
              <w:t>650,366,965.64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564,102,505.99</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689"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1490" w:right="0"/>
              <w:jc w:val="left"/>
              <w:rPr>
                <w:rFonts w:ascii="Times New Roman" w:hAnsi="Times New Roman" w:cs="Times New Roman" w:eastAsia="Times New Roman" w:hint="default"/>
                <w:sz w:val="21"/>
                <w:szCs w:val="21"/>
              </w:rPr>
            </w:pPr>
            <w:r>
              <w:rPr>
                <w:rFonts w:ascii="Times New Roman"/>
                <w:sz w:val="21"/>
              </w:rPr>
              <w:t>350,132,037.79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231,228,637.72</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795"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1702" w:right="0"/>
              <w:jc w:val="left"/>
              <w:rPr>
                <w:rFonts w:ascii="Times New Roman" w:hAnsi="Times New Roman" w:cs="Times New Roman" w:eastAsia="Times New Roman" w:hint="default"/>
                <w:sz w:val="21"/>
                <w:szCs w:val="21"/>
              </w:rPr>
            </w:pPr>
            <w:r>
              <w:rPr>
                <w:rFonts w:ascii="Times New Roman"/>
                <w:sz w:val="21"/>
              </w:rPr>
              <w:t>8,740,156.60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5,122,728.68</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1596" w:right="0"/>
              <w:jc w:val="left"/>
              <w:rPr>
                <w:rFonts w:ascii="Times New Roman" w:hAnsi="Times New Roman" w:cs="Times New Roman" w:eastAsia="Times New Roman" w:hint="default"/>
                <w:sz w:val="21"/>
                <w:szCs w:val="21"/>
              </w:rPr>
            </w:pPr>
            <w:r>
              <w:rPr>
                <w:rFonts w:ascii="Times New Roman"/>
                <w:sz w:val="21"/>
              </w:rPr>
              <w:t>59,325,440.15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78,530,066.24</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1490" w:right="0"/>
              <w:jc w:val="left"/>
              <w:rPr>
                <w:rFonts w:ascii="Times New Roman" w:hAnsi="Times New Roman" w:cs="Times New Roman" w:eastAsia="Times New Roman" w:hint="default"/>
                <w:sz w:val="21"/>
                <w:szCs w:val="21"/>
              </w:rPr>
            </w:pPr>
            <w:r>
              <w:rPr>
                <w:rFonts w:ascii="Times New Roman"/>
                <w:sz w:val="21"/>
              </w:rPr>
              <w:t>171,019,278.75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195,239,733.46</w:t>
            </w: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1702" w:right="0"/>
              <w:jc w:val="left"/>
              <w:rPr>
                <w:rFonts w:ascii="Times New Roman" w:hAnsi="Times New Roman" w:cs="Times New Roman" w:eastAsia="Times New Roman" w:hint="default"/>
                <w:sz w:val="21"/>
                <w:szCs w:val="21"/>
              </w:rPr>
            </w:pPr>
            <w:r>
              <w:rPr>
                <w:rFonts w:ascii="Times New Roman"/>
                <w:sz w:val="21"/>
              </w:rPr>
              <w:t>2,217,562.89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-373,923.66</w:t>
            </w: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689"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left="1630" w:right="0"/>
              <w:jc w:val="left"/>
              <w:rPr>
                <w:rFonts w:ascii="Times New Roman" w:hAnsi="Times New Roman" w:cs="Times New Roman" w:eastAsia="Times New Roman" w:hint="default"/>
                <w:sz w:val="21"/>
                <w:szCs w:val="21"/>
              </w:rPr>
            </w:pPr>
            <w:r>
              <w:rPr>
                <w:rFonts w:ascii="Times New Roman"/>
                <w:sz w:val="21"/>
              </w:rPr>
              <w:t>-5,325,969.85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5,853,555.49</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46" w:type="dxa"/>
            <w:gridSpan w:val="2"/>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1702" w:right="0"/>
              <w:jc w:val="left"/>
              <w:rPr>
                <w:rFonts w:ascii="Times New Roman" w:hAnsi="Times New Roman" w:cs="Times New Roman" w:eastAsia="Times New Roman" w:hint="default"/>
                <w:sz w:val="21"/>
                <w:szCs w:val="21"/>
              </w:rPr>
            </w:pPr>
            <w:r>
              <w:rPr>
                <w:rFonts w:ascii="Times New Roman"/>
                <w:sz w:val="21"/>
              </w:rPr>
              <w:t>8,647,750.37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1,894,648.01</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1858" w:right="0"/>
              <w:jc w:val="left"/>
              <w:rPr>
                <w:rFonts w:ascii="Times New Roman" w:hAnsi="Times New Roman" w:cs="Times New Roman" w:eastAsia="Times New Roman" w:hint="default"/>
                <w:sz w:val="21"/>
                <w:szCs w:val="21"/>
              </w:rPr>
            </w:pPr>
            <w:r>
              <w:rPr>
                <w:rFonts w:ascii="Times New Roman"/>
                <w:sz w:val="21"/>
              </w:rPr>
              <w:t>701,216.26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-294,092.13</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1788" w:right="0"/>
              <w:jc w:val="left"/>
              <w:rPr>
                <w:rFonts w:ascii="Times New Roman" w:hAnsi="Times New Roman" w:cs="Times New Roman" w:eastAsia="Times New Roman" w:hint="default"/>
                <w:sz w:val="21"/>
                <w:szCs w:val="21"/>
              </w:rPr>
            </w:pPr>
            <w:r>
              <w:rPr>
                <w:rFonts w:ascii="Times New Roman"/>
                <w:sz w:val="21"/>
              </w:rPr>
              <w:t>-200,085.69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-168,465.80</w:t>
            </w: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1596" w:right="0"/>
              <w:jc w:val="left"/>
              <w:rPr>
                <w:rFonts w:ascii="Times New Roman" w:hAnsi="Times New Roman" w:cs="Times New Roman" w:eastAsia="Times New Roman" w:hint="default"/>
                <w:sz w:val="21"/>
                <w:szCs w:val="21"/>
              </w:rPr>
            </w:pPr>
            <w:r>
              <w:rPr>
                <w:rFonts w:ascii="Times New Roman"/>
                <w:sz w:val="21"/>
              </w:rPr>
              <w:t>22,366,057.66</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left="12"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left="1596" w:right="0"/>
              <w:jc w:val="left"/>
              <w:rPr>
                <w:rFonts w:ascii="Times New Roman" w:hAnsi="Times New Roman" w:cs="Times New Roman" w:eastAsia="Times New Roman" w:hint="default"/>
                <w:sz w:val="21"/>
                <w:szCs w:val="21"/>
              </w:rPr>
            </w:pPr>
            <w:r>
              <w:rPr>
                <w:rFonts w:ascii="Times New Roman"/>
                <w:sz w:val="21"/>
              </w:rPr>
              <w:t>95,072,181.65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50,227,890.27</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583"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1702" w:right="0"/>
              <w:jc w:val="left"/>
              <w:rPr>
                <w:rFonts w:ascii="Times New Roman" w:hAnsi="Times New Roman" w:cs="Times New Roman" w:eastAsia="Times New Roman" w:hint="default"/>
                <w:sz w:val="21"/>
                <w:szCs w:val="21"/>
              </w:rPr>
            </w:pPr>
            <w:r>
              <w:rPr>
                <w:rFonts w:ascii="Times New Roman"/>
                <w:sz w:val="21"/>
              </w:rPr>
              <w:t>1,698,666.89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24,881,695.93</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58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46,244.89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10,948.20</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1596" w:right="0"/>
              <w:jc w:val="left"/>
              <w:rPr>
                <w:rFonts w:ascii="Times New Roman" w:hAnsi="Times New Roman" w:cs="Times New Roman" w:eastAsia="Times New Roman" w:hint="default"/>
                <w:sz w:val="21"/>
                <w:szCs w:val="21"/>
              </w:rPr>
            </w:pPr>
            <w:r>
              <w:rPr>
                <w:rFonts w:ascii="Times New Roman"/>
                <w:sz w:val="21"/>
              </w:rPr>
              <w:t>96,724,603.65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75,098,638.00</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58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1702" w:right="0"/>
              <w:jc w:val="left"/>
              <w:rPr>
                <w:rFonts w:ascii="Times New Roman" w:hAnsi="Times New Roman" w:cs="Times New Roman" w:eastAsia="Times New Roman" w:hint="default"/>
                <w:sz w:val="21"/>
                <w:szCs w:val="21"/>
              </w:rPr>
            </w:pPr>
            <w:r>
              <w:rPr>
                <w:rFonts w:ascii="Times New Roman"/>
                <w:sz w:val="21"/>
              </w:rPr>
              <w:t>7,002,879.91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10,093,872.11</w:t>
            </w: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1596" w:right="0"/>
              <w:jc w:val="left"/>
              <w:rPr>
                <w:rFonts w:ascii="Times New Roman" w:hAnsi="Times New Roman" w:cs="Times New Roman" w:eastAsia="Times New Roman" w:hint="default"/>
                <w:sz w:val="21"/>
                <w:szCs w:val="21"/>
              </w:rPr>
            </w:pPr>
            <w:r>
              <w:rPr>
                <w:rFonts w:ascii="Times New Roman"/>
                <w:sz w:val="21"/>
              </w:rPr>
              <w:t>89,721,723.74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65,004,765.89</w:t>
            </w: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12" w:right="0"/>
              <w:jc w:val="left"/>
              <w:rPr>
                <w:rFonts w:ascii="宋体" w:hAnsi="宋体" w:cs="宋体" w:eastAsia="宋体" w:hint="default"/>
                <w:sz w:val="21"/>
                <w:szCs w:val="21"/>
              </w:rPr>
            </w:pPr>
            <w:r>
              <w:rPr>
                <w:rFonts w:ascii="宋体" w:hAnsi="宋体" w:cs="宋体" w:eastAsia="宋体" w:hint="default"/>
                <w:spacing w:val="-6"/>
                <w:sz w:val="21"/>
                <w:szCs w:val="21"/>
              </w:rPr>
              <w:t>（一）持续经营净利润（净亏损以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号填列</w:t>
            </w:r>
          </w:p>
        </w:tc>
        <w:tc>
          <w:tcPr>
            <w:tcW w:w="852" w:type="dxa"/>
            <w:tcBorders>
              <w:top w:val="single" w:sz="4" w:space="0" w:color="000000"/>
              <w:left w:val="single" w:sz="12" w:space="0" w:color="D2D2D2"/>
              <w:bottom w:val="single" w:sz="4" w:space="0" w:color="000000"/>
              <w:right w:val="nil" w:sz="6" w:space="0" w:color="auto"/>
            </w:tcBorders>
          </w:tcPr>
          <w:p>
            <w:pPr>
              <w:pStyle w:val="TableParagraph"/>
              <w:spacing w:line="264"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759" w:right="0"/>
              <w:jc w:val="left"/>
              <w:rPr>
                <w:rFonts w:ascii="Times New Roman" w:hAnsi="Times New Roman" w:cs="Times New Roman" w:eastAsia="Times New Roman" w:hint="default"/>
                <w:sz w:val="21"/>
                <w:szCs w:val="21"/>
              </w:rPr>
            </w:pPr>
            <w:r>
              <w:rPr>
                <w:rFonts w:ascii="Times New Roman"/>
                <w:sz w:val="21"/>
              </w:rPr>
              <w:t>89,721,723.74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65,004,765.89</w:t>
            </w:r>
          </w:p>
        </w:tc>
      </w:tr>
      <w:tr>
        <w:trPr>
          <w:trHeight w:val="63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441" w:right="0"/>
              <w:jc w:val="left"/>
              <w:rPr>
                <w:rFonts w:ascii="宋体" w:hAnsi="宋体" w:cs="宋体" w:eastAsia="宋体" w:hint="default"/>
                <w:sz w:val="21"/>
                <w:szCs w:val="21"/>
              </w:rPr>
            </w:pPr>
            <w:r>
              <w:rPr>
                <w:rFonts w:ascii="宋体" w:hAnsi="宋体" w:cs="宋体" w:eastAsia="宋体" w:hint="default"/>
                <w:sz w:val="21"/>
                <w:szCs w:val="21"/>
              </w:rPr>
              <w:t>（二）终止经营净利润（净亏损以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填列）</w:t>
            </w:r>
          </w:p>
        </w:tc>
        <w:tc>
          <w:tcPr>
            <w:tcW w:w="2846" w:type="dxa"/>
            <w:gridSpan w:val="2"/>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2846" w:type="dxa"/>
            <w:gridSpan w:val="2"/>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（一）以后不能重分类进损益的其他综合收益</w:t>
            </w:r>
          </w:p>
        </w:tc>
        <w:tc>
          <w:tcPr>
            <w:tcW w:w="2846" w:type="dxa"/>
            <w:gridSpan w:val="2"/>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12" w:right="54" w:firstLine="21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重新计量设定受益计划净负债或净资产的</w:t>
            </w:r>
            <w:r>
              <w:rPr>
                <w:rFonts w:ascii="宋体" w:hAnsi="宋体" w:cs="宋体" w:eastAsia="宋体" w:hint="default"/>
                <w:w w:val="100"/>
                <w:sz w:val="21"/>
                <w:szCs w:val="21"/>
              </w:rPr>
              <w:t> </w:t>
            </w:r>
            <w:r>
              <w:rPr>
                <w:rFonts w:ascii="宋体" w:hAnsi="宋体" w:cs="宋体" w:eastAsia="宋体" w:hint="default"/>
                <w:sz w:val="21"/>
                <w:szCs w:val="21"/>
              </w:rPr>
              <w:t>变动</w:t>
            </w:r>
          </w:p>
        </w:tc>
        <w:tc>
          <w:tcPr>
            <w:tcW w:w="2846" w:type="dxa"/>
            <w:gridSpan w:val="2"/>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12" w:right="5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权益法下在被投资单位不能重分类进损益的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其他综合收益中享有的份额</w:t>
            </w:r>
          </w:p>
        </w:tc>
        <w:tc>
          <w:tcPr>
            <w:tcW w:w="2846" w:type="dxa"/>
            <w:gridSpan w:val="2"/>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32" w:right="0"/>
              <w:jc w:val="left"/>
              <w:rPr>
                <w:rFonts w:ascii="宋体" w:hAnsi="宋体" w:cs="宋体" w:eastAsia="宋体" w:hint="default"/>
                <w:sz w:val="21"/>
                <w:szCs w:val="21"/>
              </w:rPr>
            </w:pPr>
            <w:r>
              <w:rPr>
                <w:rFonts w:ascii="宋体" w:hAnsi="宋体" w:cs="宋体" w:eastAsia="宋体" w:hint="default"/>
                <w:spacing w:val="-2"/>
                <w:sz w:val="21"/>
                <w:szCs w:val="21"/>
              </w:rPr>
              <w:t>（二）以后将重分类进损益的其他综合收</w:t>
            </w:r>
          </w:p>
          <w:p>
            <w:pPr>
              <w:pStyle w:val="TableParagraph"/>
              <w:spacing w:line="240" w:lineRule="auto" w:before="37"/>
              <w:ind w:left="-1" w:right="1"/>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2846" w:type="dxa"/>
            <w:gridSpan w:val="2"/>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535" w:right="30" w:hanging="8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权益法下在被投资单位以后将重分类进</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损益的其他综合收益中享有的份额</w:t>
            </w:r>
          </w:p>
        </w:tc>
        <w:tc>
          <w:tcPr>
            <w:tcW w:w="2846" w:type="dxa"/>
            <w:gridSpan w:val="2"/>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5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可供出售金融资产公允价值变动损益</w:t>
            </w:r>
          </w:p>
        </w:tc>
        <w:tc>
          <w:tcPr>
            <w:tcW w:w="2846" w:type="dxa"/>
            <w:gridSpan w:val="2"/>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80" w:header="877"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231"/>
        <w:gridCol w:w="2846"/>
        <w:gridCol w:w="2482"/>
      </w:tblGrid>
      <w:tr>
        <w:trPr>
          <w:trHeight w:val="63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4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持有至到期投资重分类为可供出售金融</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资产损益</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8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8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1596" w:right="0"/>
              <w:jc w:val="left"/>
              <w:rPr>
                <w:rFonts w:ascii="Times New Roman" w:hAnsi="Times New Roman" w:cs="Times New Roman" w:eastAsia="Times New Roman" w:hint="default"/>
                <w:sz w:val="21"/>
                <w:szCs w:val="21"/>
              </w:rPr>
            </w:pPr>
            <w:r>
              <w:rPr>
                <w:rFonts w:ascii="Times New Roman"/>
                <w:sz w:val="21"/>
              </w:rPr>
              <w:t>89,721,723.74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40" w:right="0"/>
              <w:jc w:val="left"/>
              <w:rPr>
                <w:rFonts w:ascii="Times New Roman" w:hAnsi="Times New Roman" w:cs="Times New Roman" w:eastAsia="Times New Roman" w:hint="default"/>
                <w:sz w:val="21"/>
                <w:szCs w:val="21"/>
              </w:rPr>
            </w:pPr>
            <w:r>
              <w:rPr>
                <w:rFonts w:ascii="Times New Roman"/>
                <w:sz w:val="21"/>
              </w:rPr>
              <w:t>65,004,765.89</w:t>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3"/>
          <w:szCs w:val="23"/>
        </w:rPr>
      </w:pPr>
    </w:p>
    <w:p>
      <w:pPr>
        <w:pStyle w:val="Heading2"/>
        <w:spacing w:line="240" w:lineRule="auto" w:before="26"/>
        <w:ind w:left="633" w:right="29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100"/>
        <w:gridCol w:w="2846"/>
        <w:gridCol w:w="2624"/>
      </w:tblGrid>
      <w:tr>
        <w:trPr>
          <w:trHeight w:val="32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3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0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99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1,327,050,013.96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853,583,620.10</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71"/>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的金融资产净增加额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2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24,369,599.78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13,088,313.33</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105,013,261.11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79,402,481.28</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1,456,432,874.85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946,074,414.71</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302,045,870.19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190,819,189.38</w:t>
            </w:r>
          </w:p>
        </w:tc>
      </w:tr>
      <w:tr>
        <w:trPr>
          <w:trHeight w:val="32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458,180,429.08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261,773,933.95</w:t>
            </w:r>
          </w:p>
        </w:tc>
      </w:tr>
      <w:tr>
        <w:trPr>
          <w:trHeight w:val="32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85,108,878.45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53,859,651.21</w:t>
            </w:r>
          </w:p>
        </w:tc>
      </w:tr>
      <w:tr>
        <w:trPr>
          <w:trHeight w:val="32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361,736,864.22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216,451,509.18</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1,207,072,041.94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722,904,283.72</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249,360,832.91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223,170,130.99</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6"/>
          <w:pgSz w:w="11910" w:h="16840"/>
          <w:pgMar w:footer="980" w:header="877" w:top="1100" w:bottom="1160" w:left="980" w:right="980"/>
          <w:pgNumType w:start="101"/>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100"/>
        <w:gridCol w:w="2846"/>
        <w:gridCol w:w="2624"/>
      </w:tblGrid>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315,000,000.00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395,000,000.00</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8,386,188.42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2,577,493.82</w:t>
            </w:r>
          </w:p>
        </w:tc>
      </w:tr>
      <w:tr>
        <w:trPr>
          <w:trHeight w:val="635"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71" w:firstLine="211"/>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w:t>
            </w:r>
            <w:r>
              <w:rPr>
                <w:rFonts w:ascii="宋体" w:hAnsi="宋体" w:cs="宋体" w:eastAsia="宋体" w:hint="default"/>
                <w:w w:val="100"/>
                <w:sz w:val="21"/>
                <w:szCs w:val="21"/>
              </w:rPr>
              <w:t> </w:t>
            </w:r>
            <w:r>
              <w:rPr>
                <w:rFonts w:ascii="宋体" w:hAnsi="宋体" w:cs="宋体" w:eastAsia="宋体" w:hint="default"/>
                <w:sz w:val="21"/>
                <w:szCs w:val="21"/>
              </w:rPr>
              <w:t>收回的现金净额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569,517.89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472,731.50</w:t>
            </w:r>
          </w:p>
        </w:tc>
      </w:tr>
      <w:tr>
        <w:trPr>
          <w:trHeight w:val="32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16,983,093.23</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323,955,706.31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415,033,318.55</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71" w:firstLine="211"/>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购建固定资产、无形资产和其他长期资产</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12,382,087.44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56,131,078.48</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392,000,000.00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697,272,531.06</w:t>
            </w:r>
          </w:p>
        </w:tc>
      </w:tr>
      <w:tr>
        <w:trPr>
          <w:trHeight w:val="32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71" w:firstLine="211"/>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94,189,271.27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141,217,063.81</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1,050,000.00</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498,571,358.71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895,670,673.35</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-174,615,652.40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-480,637,354.80</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360,000.00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465,839,879.52</w:t>
            </w:r>
          </w:p>
        </w:tc>
      </w:tr>
      <w:tr>
        <w:trPr>
          <w:trHeight w:val="635"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71" w:firstLine="420"/>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6,340,000.00</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959,120.00</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187,797,182.75</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360,000.00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654,596,182.27</w:t>
            </w:r>
          </w:p>
        </w:tc>
      </w:tr>
      <w:tr>
        <w:trPr>
          <w:trHeight w:val="32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15,461,927.57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9,519,149.67</w:t>
            </w:r>
          </w:p>
        </w:tc>
      </w:tr>
      <w:tr>
        <w:trPr>
          <w:trHeight w:val="32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30,008,044.12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19,814,539.32</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71" w:firstLine="211"/>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其中：子公司支付给少数股东的股利、利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3,375,634.65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196,254,766.52</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48,845,606.34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225,588,455.51</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-48,485,606.34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429,007,726.76</w:t>
            </w:r>
          </w:p>
        </w:tc>
      </w:tr>
      <w:tr>
        <w:trPr>
          <w:trHeight w:val="32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-559,067.15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739,625.84</w:t>
            </w:r>
          </w:p>
        </w:tc>
      </w:tr>
      <w:tr>
        <w:trPr>
          <w:trHeight w:val="32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25,700,507.02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172,280,128.79</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522,110,563.26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349,830,434.47</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547,811,070.28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522,110,563.26</w:t>
            </w:r>
          </w:p>
        </w:tc>
      </w:tr>
    </w:tbl>
    <w:p>
      <w:pPr>
        <w:spacing w:line="240" w:lineRule="auto" w:before="12"/>
        <w:rPr>
          <w:rFonts w:ascii="宋体" w:hAnsi="宋体" w:cs="宋体" w:eastAsia="宋体" w:hint="default"/>
          <w:sz w:val="23"/>
          <w:szCs w:val="23"/>
        </w:rPr>
      </w:pPr>
    </w:p>
    <w:p>
      <w:pPr>
        <w:pStyle w:val="Heading2"/>
        <w:spacing w:line="240" w:lineRule="auto" w:before="26"/>
        <w:ind w:left="633" w:right="29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4952"/>
        <w:gridCol w:w="2126"/>
        <w:gridCol w:w="2481"/>
      </w:tblGrid>
      <w:tr>
        <w:trPr>
          <w:trHeight w:val="322" w:hRule="exact"/>
        </w:trPr>
        <w:tc>
          <w:tcPr>
            <w:tcW w:w="4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052"/>
              <w:jc w:val="right"/>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3" w:hRule="exact"/>
        </w:trPr>
        <w:tc>
          <w:tcPr>
            <w:tcW w:w="4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983"/>
              <w:jc w:val="righ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4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983"/>
              <w:jc w:val="right"/>
              <w:rPr>
                <w:rFonts w:ascii="宋体" w:hAnsi="宋体" w:cs="宋体" w:eastAsia="宋体" w:hint="default"/>
                <w:sz w:val="21"/>
                <w:szCs w:val="21"/>
              </w:rPr>
            </w:pPr>
            <w:r>
              <w:rPr>
                <w:rFonts w:ascii="宋体" w:hAnsi="宋体" w:cs="宋体" w:eastAsia="宋体" w:hint="default"/>
                <w:spacing w:val="-2"/>
                <w:sz w:val="21"/>
                <w:szCs w:val="21"/>
              </w:rPr>
              <w:t>销售商品、提供劳务收到的现金</w:t>
            </w:r>
          </w:p>
        </w:tc>
        <w:tc>
          <w:tcPr>
            <w:tcW w:w="2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770" w:right="0"/>
              <w:jc w:val="left"/>
              <w:rPr>
                <w:rFonts w:ascii="Times New Roman" w:hAnsi="Times New Roman" w:cs="Times New Roman" w:eastAsia="Times New Roman" w:hint="default"/>
                <w:sz w:val="21"/>
                <w:szCs w:val="21"/>
              </w:rPr>
            </w:pPr>
            <w:r>
              <w:rPr>
                <w:rFonts w:ascii="Times New Roman"/>
                <w:sz w:val="21"/>
              </w:rPr>
              <w:t>674,006,865.37</w:t>
            </w:r>
          </w:p>
        </w:tc>
        <w:tc>
          <w:tcPr>
            <w:tcW w:w="2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134" w:right="0"/>
              <w:jc w:val="left"/>
              <w:rPr>
                <w:rFonts w:ascii="Times New Roman" w:hAnsi="Times New Roman" w:cs="Times New Roman" w:eastAsia="Times New Roman" w:hint="default"/>
                <w:sz w:val="21"/>
                <w:szCs w:val="21"/>
              </w:rPr>
            </w:pPr>
            <w:r>
              <w:rPr>
                <w:rFonts w:ascii="Times New Roman"/>
                <w:sz w:val="21"/>
              </w:rPr>
              <w:t>559,197,150.20</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940"/>
        <w:gridCol w:w="2137"/>
        <w:gridCol w:w="2482"/>
      </w:tblGrid>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20,897,289.51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11,832,481.85</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109,050,495.03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119,216,653.51</w:t>
            </w:r>
          </w:p>
        </w:tc>
      </w:tr>
      <w:tr>
        <w:trPr>
          <w:trHeight w:val="32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803,954,649.91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690,246,285.56</w:t>
            </w:r>
          </w:p>
        </w:tc>
      </w:tr>
      <w:tr>
        <w:trPr>
          <w:trHeight w:val="32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2"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15"/>
              <w:jc w:val="right"/>
              <w:rPr>
                <w:rFonts w:ascii="Times New Roman" w:hAnsi="Times New Roman" w:cs="Times New Roman" w:eastAsia="Times New Roman" w:hint="default"/>
                <w:sz w:val="21"/>
                <w:szCs w:val="21"/>
              </w:rPr>
            </w:pPr>
            <w:r>
              <w:rPr>
                <w:rFonts w:ascii="Times New Roman"/>
                <w:spacing w:val="-1"/>
                <w:sz w:val="21"/>
              </w:rPr>
              <w:t>303,242,013.07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152,303,446.69</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156,326,951.16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154,753,442.18</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45,724,417.76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38,179,310.73</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194,797,866.34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211,002,276.34</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700,091,248.33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556,238,475.94</w:t>
            </w:r>
          </w:p>
        </w:tc>
      </w:tr>
      <w:tr>
        <w:trPr>
          <w:trHeight w:val="32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103,863,401.58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134,007,809.62</w:t>
            </w:r>
          </w:p>
        </w:tc>
      </w:tr>
      <w:tr>
        <w:trPr>
          <w:trHeight w:val="32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290,000,000.00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303,800,000.00</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2"/>
                <w:sz w:val="21"/>
              </w:rPr>
              <w:t>7,946,534.11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2,308,704.52</w:t>
            </w:r>
          </w:p>
        </w:tc>
      </w:tr>
      <w:tr>
        <w:trPr>
          <w:trHeight w:val="634"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82" w:firstLine="211"/>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处置固定资产、无形资产和其他长期资产收回的现</w:t>
            </w:r>
            <w:r>
              <w:rPr>
                <w:rFonts w:ascii="宋体" w:hAnsi="宋体" w:cs="宋体" w:eastAsia="宋体" w:hint="default"/>
                <w:w w:val="100"/>
                <w:sz w:val="21"/>
                <w:szCs w:val="21"/>
              </w:rPr>
              <w:t> </w:t>
            </w:r>
            <w:r>
              <w:rPr>
                <w:rFonts w:ascii="宋体" w:hAnsi="宋体" w:cs="宋体" w:eastAsia="宋体" w:hint="default"/>
                <w:sz w:val="21"/>
                <w:szCs w:val="21"/>
              </w:rPr>
              <w:t>金净额</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pacing w:val="-1"/>
                <w:sz w:val="21"/>
              </w:rPr>
              <w:t>336,362.00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198,617.50</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2137" w:type="dxa"/>
            <w:tcBorders>
              <w:top w:val="single" w:sz="4" w:space="0" w:color="000000"/>
              <w:left w:val="single" w:sz="13"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2137" w:type="dxa"/>
            <w:tcBorders>
              <w:top w:val="single" w:sz="4" w:space="0" w:color="000000"/>
              <w:left w:val="single" w:sz="13"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16,983,093.23</w:t>
            </w:r>
          </w:p>
        </w:tc>
      </w:tr>
      <w:tr>
        <w:trPr>
          <w:trHeight w:val="32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3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15"/>
              <w:jc w:val="right"/>
              <w:rPr>
                <w:rFonts w:ascii="Times New Roman" w:hAnsi="Times New Roman" w:cs="Times New Roman" w:eastAsia="Times New Roman" w:hint="default"/>
                <w:sz w:val="21"/>
                <w:szCs w:val="21"/>
              </w:rPr>
            </w:pPr>
            <w:r>
              <w:rPr>
                <w:rFonts w:ascii="Times New Roman"/>
                <w:spacing w:val="-1"/>
                <w:sz w:val="21"/>
              </w:rPr>
              <w:t>298,282,896.11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323,290,415.25</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5,702,282.94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28,023,935.84</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487,000,000.00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621,827,700.00</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2137" w:type="dxa"/>
            <w:tcBorders>
              <w:top w:val="single" w:sz="4" w:space="0" w:color="000000"/>
              <w:left w:val="single" w:sz="13"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156,056,400.00</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2137" w:type="dxa"/>
            <w:tcBorders>
              <w:top w:val="single" w:sz="4" w:space="0" w:color="000000"/>
              <w:left w:val="single" w:sz="13"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1,050,000.00</w:t>
            </w:r>
          </w:p>
        </w:tc>
      </w:tr>
      <w:tr>
        <w:trPr>
          <w:trHeight w:val="32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492,702,282.94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806,958,035.84</w:t>
            </w:r>
          </w:p>
        </w:tc>
      </w:tr>
      <w:tr>
        <w:trPr>
          <w:trHeight w:val="32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15"/>
              <w:jc w:val="right"/>
              <w:rPr>
                <w:rFonts w:ascii="Times New Roman" w:hAnsi="Times New Roman" w:cs="Times New Roman" w:eastAsia="Times New Roman" w:hint="default"/>
                <w:sz w:val="21"/>
                <w:szCs w:val="21"/>
              </w:rPr>
            </w:pPr>
            <w:r>
              <w:rPr>
                <w:rFonts w:ascii="Times New Roman"/>
                <w:spacing w:val="-1"/>
                <w:sz w:val="21"/>
              </w:rPr>
              <w:t>-194,419,386.83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-483,667,620.59</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2137" w:type="dxa"/>
            <w:tcBorders>
              <w:top w:val="single" w:sz="4" w:space="0" w:color="000000"/>
              <w:left w:val="single" w:sz="13"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459,499,879.52</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137" w:type="dxa"/>
            <w:tcBorders>
              <w:top w:val="single" w:sz="4" w:space="0" w:color="000000"/>
              <w:left w:val="single" w:sz="13"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2137" w:type="dxa"/>
            <w:tcBorders>
              <w:top w:val="single" w:sz="4" w:space="0" w:color="000000"/>
              <w:left w:val="single" w:sz="13"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38,769,270.69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187,797,182.75</w:t>
            </w:r>
          </w:p>
        </w:tc>
      </w:tr>
      <w:tr>
        <w:trPr>
          <w:trHeight w:val="32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3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15"/>
              <w:jc w:val="right"/>
              <w:rPr>
                <w:rFonts w:ascii="Times New Roman" w:hAnsi="Times New Roman" w:cs="Times New Roman" w:eastAsia="Times New Roman" w:hint="default"/>
                <w:sz w:val="21"/>
                <w:szCs w:val="21"/>
              </w:rPr>
            </w:pPr>
            <w:r>
              <w:rPr>
                <w:rFonts w:ascii="Times New Roman"/>
                <w:spacing w:val="-1"/>
                <w:sz w:val="21"/>
              </w:rPr>
              <w:t>38,769,270.69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647,297,062.27</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137" w:type="dxa"/>
            <w:tcBorders>
              <w:top w:val="single" w:sz="4" w:space="0" w:color="000000"/>
              <w:left w:val="single" w:sz="13"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29,563,851.02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18,657,162.64</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3"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40,831,320.01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196,254,766.52</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70,395,171.03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214,911,929.16</w:t>
            </w:r>
          </w:p>
        </w:tc>
      </w:tr>
      <w:tr>
        <w:trPr>
          <w:trHeight w:val="32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-31,625,900.34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432,385,133.11</w:t>
            </w:r>
          </w:p>
        </w:tc>
      </w:tr>
      <w:tr>
        <w:trPr>
          <w:trHeight w:val="32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15"/>
              <w:jc w:val="right"/>
              <w:rPr>
                <w:rFonts w:ascii="Times New Roman" w:hAnsi="Times New Roman" w:cs="Times New Roman" w:eastAsia="Times New Roman" w:hint="default"/>
                <w:sz w:val="21"/>
                <w:szCs w:val="21"/>
              </w:rPr>
            </w:pPr>
            <w:r>
              <w:rPr>
                <w:rFonts w:ascii="Times New Roman"/>
                <w:spacing w:val="-1"/>
                <w:sz w:val="21"/>
              </w:rPr>
              <w:t>3,090.01</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-122,178,795.58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82,725,322.14</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387,014,260.14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304,288,938.00</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264,835,464.56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387,014,260.14</w:t>
            </w:r>
          </w:p>
        </w:tc>
      </w:tr>
    </w:tbl>
    <w:p>
      <w:pPr>
        <w:spacing w:line="240" w:lineRule="auto" w:before="12"/>
        <w:rPr>
          <w:rFonts w:ascii="宋体" w:hAnsi="宋体" w:cs="宋体" w:eastAsia="宋体" w:hint="default"/>
          <w:sz w:val="23"/>
          <w:szCs w:val="23"/>
        </w:rPr>
      </w:pPr>
    </w:p>
    <w:p>
      <w:pPr>
        <w:spacing w:line="554" w:lineRule="auto" w:before="26"/>
        <w:ind w:left="633" w:right="652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、合并所有者权益变动表</w:t>
      </w:r>
      <w:r>
        <w:rPr>
          <w:rFonts w:ascii="宋体" w:hAnsi="宋体" w:cs="宋体" w:eastAsia="宋体" w:hint="default"/>
          <w:b/>
          <w:bCs/>
          <w:w w:val="99"/>
          <w:sz w:val="24"/>
          <w:szCs w:val="24"/>
        </w:rPr>
        <w:t> </w:t>
      </w:r>
      <w:r>
        <w:rPr>
          <w:rFonts w:ascii="宋体" w:hAnsi="宋体" w:cs="宋体" w:eastAsia="宋体" w:hint="default"/>
          <w:sz w:val="24"/>
          <w:szCs w:val="24"/>
        </w:rPr>
        <w:t>本期金额</w:t>
      </w:r>
    </w:p>
    <w:p>
      <w:pPr>
        <w:spacing w:after="0" w:line="554" w:lineRule="auto"/>
        <w:jc w:val="left"/>
        <w:rPr>
          <w:rFonts w:ascii="宋体" w:hAnsi="宋体" w:cs="宋体" w:eastAsia="宋体" w:hint="default"/>
          <w:sz w:val="24"/>
          <w:szCs w:val="24"/>
        </w:rPr>
        <w:sectPr>
          <w:pgSz w:w="11910" w:h="16840"/>
          <w:pgMar w:header="877" w:footer="980" w:top="1100" w:bottom="1160" w:left="980" w:right="980"/>
        </w:sectPr>
      </w:pPr>
    </w:p>
    <w:p>
      <w:pPr>
        <w:spacing w:line="240" w:lineRule="auto" w:before="9"/>
        <w:rPr>
          <w:rFonts w:ascii="宋体" w:hAnsi="宋体" w:cs="宋体" w:eastAsia="宋体" w:hint="default"/>
          <w:sz w:val="26"/>
          <w:szCs w:val="26"/>
        </w:rPr>
      </w:pPr>
    </w:p>
    <w:p>
      <w:pPr>
        <w:spacing w:before="36"/>
        <w:ind w:left="0" w:right="2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427"/>
        <w:gridCol w:w="562"/>
        <w:gridCol w:w="530"/>
        <w:gridCol w:w="531"/>
        <w:gridCol w:w="533"/>
        <w:gridCol w:w="662"/>
        <w:gridCol w:w="665"/>
        <w:gridCol w:w="665"/>
        <w:gridCol w:w="667"/>
        <w:gridCol w:w="662"/>
        <w:gridCol w:w="665"/>
        <w:gridCol w:w="665"/>
        <w:gridCol w:w="665"/>
        <w:gridCol w:w="1296"/>
      </w:tblGrid>
      <w:tr>
        <w:trPr>
          <w:trHeight w:val="32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76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170" w:hRule="exact"/>
        </w:trPr>
        <w:tc>
          <w:tcPr>
            <w:tcW w:w="1427" w:type="dxa"/>
            <w:vMerge/>
            <w:tcBorders>
              <w:left w:val="single" w:sz="4" w:space="0" w:color="000000"/>
              <w:right w:val="single" w:sz="4" w:space="0" w:color="000000"/>
            </w:tcBorders>
            <w:shd w:val="clear" w:color="auto" w:fill="D2D2D2"/>
          </w:tcPr>
          <w:p>
            <w:pPr/>
          </w:p>
        </w:tc>
        <w:tc>
          <w:tcPr>
            <w:tcW w:w="680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224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r>
      <w:tr>
        <w:trPr>
          <w:trHeight w:val="15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0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3" w:right="206"/>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1296"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3" w:right="206"/>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3" w:right="207"/>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3" w:right="206"/>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665" w:type="dxa"/>
            <w:vMerge/>
            <w:tcBorders>
              <w:left w:val="single" w:sz="4"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6" w:right="204"/>
              <w:jc w:val="left"/>
              <w:rPr>
                <w:rFonts w:ascii="宋体" w:hAnsi="宋体" w:cs="宋体" w:eastAsia="宋体" w:hint="default"/>
                <w:sz w:val="21"/>
                <w:szCs w:val="21"/>
              </w:rPr>
            </w:pPr>
            <w:r>
              <w:rPr>
                <w:rFonts w:ascii="宋体" w:hAnsi="宋体" w:cs="宋体" w:eastAsia="宋体" w:hint="default"/>
                <w:sz w:val="21"/>
                <w:szCs w:val="21"/>
              </w:rPr>
              <w:t>所有者权益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合计</w:t>
            </w: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4" w:right="204"/>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4" w:right="17"/>
              <w:jc w:val="left"/>
              <w:rPr>
                <w:rFonts w:ascii="宋体" w:hAnsi="宋体" w:cs="宋体" w:eastAsia="宋体" w:hint="default"/>
                <w:sz w:val="21"/>
                <w:szCs w:val="21"/>
              </w:rPr>
            </w:pPr>
            <w:r>
              <w:rPr>
                <w:rFonts w:ascii="宋体" w:hAnsi="宋体" w:cs="宋体" w:eastAsia="宋体" w:hint="default"/>
                <w:spacing w:val="-8"/>
                <w:sz w:val="21"/>
                <w:szCs w:val="21"/>
              </w:rPr>
              <w:t>减：库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存股</w:t>
            </w:r>
          </w:p>
        </w:tc>
        <w:tc>
          <w:tcPr>
            <w:tcW w:w="665" w:type="dxa"/>
            <w:vMerge/>
            <w:tcBorders>
              <w:left w:val="single" w:sz="4" w:space="0" w:color="000000"/>
              <w:right w:val="single" w:sz="4" w:space="0" w:color="000000"/>
            </w:tcBorders>
            <w:shd w:val="clear" w:color="auto" w:fill="D2D2D2"/>
          </w:tcPr>
          <w:p>
            <w:pP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6" w:right="206"/>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3" w:right="204"/>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296" w:type="dxa"/>
            <w:vMerge/>
            <w:tcBorders>
              <w:left w:val="single" w:sz="4" w:space="0" w:color="000000"/>
              <w:right w:val="single" w:sz="4" w:space="0" w:color="000000"/>
            </w:tcBorders>
            <w:shd w:val="clear" w:color="auto" w:fill="D2D2D2"/>
          </w:tcPr>
          <w:p>
            <w:pPr/>
          </w:p>
        </w:tc>
      </w:tr>
      <w:tr>
        <w:trPr>
          <w:trHeight w:val="166"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67" w:lineRule="exact"/>
              <w:ind w:left="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3" w:right="72"/>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4" w:right="74"/>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296" w:type="dxa"/>
            <w:vMerge/>
            <w:tcBorders>
              <w:left w:val="single" w:sz="4" w:space="0" w:color="000000"/>
              <w:right w:val="single" w:sz="4" w:space="0" w:color="000000"/>
            </w:tcBorders>
            <w:shd w:val="clear" w:color="auto" w:fill="D2D2D2"/>
          </w:tcPr>
          <w:p>
            <w:pPr/>
          </w:p>
        </w:tc>
      </w:tr>
      <w:tr>
        <w:trPr>
          <w:trHeight w:val="14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22" w:space="0" w:color="D2D2D2"/>
              <w:right w:val="single" w:sz="23" w:space="0" w:color="D2D2D2"/>
            </w:tcBorders>
          </w:tcPr>
          <w:p>
            <w:pPr>
              <w:pStyle w:val="TableParagraph"/>
              <w:spacing w:line="262"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其他</w:t>
            </w:r>
            <w:r>
              <w:rPr>
                <w:rFonts w:ascii="宋体" w:hAnsi="宋体" w:cs="宋体" w:eastAsia="宋体" w:hint="default"/>
                <w:sz w:val="21"/>
                <w:szCs w:val="21"/>
              </w:rPr>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r>
      <w:tr>
        <w:trPr>
          <w:trHeight w:val="160"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22" w:space="0" w:color="D2D2D2"/>
              <w:bottom w:val="nil" w:sz="6" w:space="0" w:color="auto"/>
              <w:right w:val="single" w:sz="23" w:space="0" w:color="D2D2D2"/>
            </w:tcBorders>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34"/>
              <w:ind w:left="16" w:right="0"/>
              <w:jc w:val="left"/>
              <w:rPr>
                <w:rFonts w:ascii="Times New Roman" w:hAnsi="Times New Roman" w:cs="Times New Roman" w:eastAsia="Times New Roman" w:hint="default"/>
                <w:sz w:val="21"/>
                <w:szCs w:val="21"/>
              </w:rPr>
            </w:pPr>
            <w:r>
              <w:rPr>
                <w:rFonts w:ascii="Times New Roman"/>
                <w:sz w:val="21"/>
              </w:rPr>
              <w:t>449,5</w:t>
            </w:r>
          </w:p>
          <w:p>
            <w:pPr>
              <w:pStyle w:val="TableParagraph"/>
              <w:spacing w:line="240" w:lineRule="auto" w:before="70"/>
              <w:ind w:left="16" w:right="0"/>
              <w:jc w:val="left"/>
              <w:rPr>
                <w:rFonts w:ascii="Times New Roman" w:hAnsi="Times New Roman" w:cs="Times New Roman" w:eastAsia="Times New Roman" w:hint="default"/>
                <w:sz w:val="21"/>
                <w:szCs w:val="21"/>
              </w:rPr>
            </w:pPr>
            <w:r>
              <w:rPr>
                <w:rFonts w:ascii="Times New Roman"/>
                <w:sz w:val="21"/>
              </w:rPr>
              <w:t>78,96</w:t>
            </w:r>
          </w:p>
          <w:p>
            <w:pPr>
              <w:pStyle w:val="TableParagraph"/>
              <w:spacing w:line="240" w:lineRule="auto" w:before="70"/>
              <w:ind w:left="16" w:right="0"/>
              <w:jc w:val="left"/>
              <w:rPr>
                <w:rFonts w:ascii="Times New Roman" w:hAnsi="Times New Roman" w:cs="Times New Roman" w:eastAsia="Times New Roman" w:hint="default"/>
                <w:sz w:val="21"/>
                <w:szCs w:val="21"/>
              </w:rPr>
            </w:pPr>
            <w:r>
              <w:rPr>
                <w:rFonts w:ascii="Times New Roman"/>
                <w:sz w:val="21"/>
              </w:rPr>
              <w:t>7.00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sz w:val="21"/>
              </w:rPr>
              <w:t>829,45</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2,786.</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sz w:val="21"/>
              </w:rPr>
              <w:t>21,893</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,014.3</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w w:val="100"/>
                <w:sz w:val="21"/>
              </w:rPr>
              <w:t>5</w:t>
            </w:r>
          </w:p>
        </w:tc>
        <w:tc>
          <w:tcPr>
            <w:tcW w:w="665" w:type="dxa"/>
            <w:vMerge w:val="restart"/>
            <w:tcBorders>
              <w:top w:val="single" w:sz="6"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-3,954,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118.60</w:t>
            </w: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34,818</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,145.1</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w w:val="100"/>
                <w:sz w:val="21"/>
              </w:rPr>
              <w:t>7</w:t>
            </w:r>
          </w:p>
        </w:tc>
        <w:tc>
          <w:tcPr>
            <w:tcW w:w="665" w:type="dxa"/>
            <w:vMerge w:val="restart"/>
            <w:tcBorders>
              <w:top w:val="single" w:sz="6" w:space="0" w:color="000000"/>
              <w:left w:val="single" w:sz="4" w:space="0" w:color="000000"/>
              <w:right w:val="single" w:sz="4" w:space="0" w:color="000000"/>
            </w:tcBorders>
          </w:tcPr>
          <w:p>
            <w:pPr/>
          </w:p>
        </w:tc>
        <w:tc>
          <w:tcPr>
            <w:tcW w:w="665" w:type="dxa"/>
            <w:vMerge w:val="restart"/>
            <w:tcBorders>
              <w:top w:val="single" w:sz="6" w:space="0" w:color="000000"/>
              <w:left w:val="single" w:sz="4" w:space="0" w:color="000000"/>
              <w:right w:val="single" w:sz="4" w:space="0" w:color="000000"/>
            </w:tcBorders>
          </w:tcPr>
          <w:p>
            <w:pPr>
              <w:pStyle w:val="TableParagraph"/>
              <w:spacing w:line="240" w:lineRule="auto" w:before="32"/>
              <w:ind w:left="23" w:right="0"/>
              <w:jc w:val="left"/>
              <w:rPr>
                <w:rFonts w:ascii="Times New Roman" w:hAnsi="Times New Roman" w:cs="Times New Roman" w:eastAsia="Times New Roman" w:hint="default"/>
                <w:sz w:val="21"/>
                <w:szCs w:val="21"/>
              </w:rPr>
            </w:pPr>
            <w:r>
              <w:rPr>
                <w:rFonts w:ascii="Times New Roman"/>
                <w:sz w:val="21"/>
              </w:rPr>
              <w:t>327,85</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2,167.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16,282</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,045.7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w w:val="100"/>
                <w:sz w:val="21"/>
              </w:rPr>
              <w:t>5</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1,632,136,978</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.79</w:t>
            </w:r>
          </w:p>
        </w:tc>
      </w:tr>
      <w:tr>
        <w:trPr>
          <w:trHeight w:val="62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13" w:right="17"/>
              <w:jc w:val="left"/>
              <w:rPr>
                <w:rFonts w:ascii="宋体" w:hAnsi="宋体" w:cs="宋体" w:eastAsia="宋体" w:hint="default"/>
                <w:sz w:val="21"/>
                <w:szCs w:val="21"/>
              </w:rPr>
            </w:pPr>
            <w:r>
              <w:rPr>
                <w:rFonts w:ascii="宋体" w:hAnsi="宋体" w:cs="宋体" w:eastAsia="宋体" w:hint="default"/>
                <w:spacing w:val="-14"/>
                <w:w w:val="100"/>
                <w:sz w:val="21"/>
                <w:szCs w:val="21"/>
              </w:rPr>
              <w:t>一、上年期末余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额</w:t>
            </w:r>
          </w:p>
        </w:tc>
        <w:tc>
          <w:tcPr>
            <w:tcW w:w="562" w:type="dxa"/>
            <w:vMerge/>
            <w:tcBorders>
              <w:left w:val="single" w:sz="10"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r>
      <w:tr>
        <w:trPr>
          <w:trHeight w:val="63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3" w:right="17" w:firstLine="631"/>
              <w:jc w:val="left"/>
              <w:rPr>
                <w:rFonts w:ascii="宋体" w:hAnsi="宋体" w:cs="宋体" w:eastAsia="宋体" w:hint="default"/>
                <w:sz w:val="21"/>
                <w:szCs w:val="21"/>
              </w:rPr>
            </w:pPr>
            <w:r>
              <w:rPr>
                <w:rFonts w:ascii="宋体" w:hAnsi="宋体" w:cs="宋体" w:eastAsia="宋体" w:hint="default"/>
                <w:spacing w:val="-23"/>
                <w:w w:val="100"/>
                <w:sz w:val="21"/>
                <w:szCs w:val="21"/>
              </w:rPr>
              <w:t>加：会计</w:t>
            </w:r>
            <w:r>
              <w:rPr>
                <w:rFonts w:ascii="宋体" w:hAnsi="宋体" w:cs="宋体" w:eastAsia="宋体" w:hint="default"/>
                <w:w w:val="100"/>
                <w:sz w:val="21"/>
                <w:szCs w:val="21"/>
              </w:rPr>
              <w:t> </w:t>
            </w:r>
            <w:r>
              <w:rPr>
                <w:rFonts w:ascii="宋体" w:hAnsi="宋体" w:cs="宋体" w:eastAsia="宋体" w:hint="default"/>
                <w:sz w:val="21"/>
                <w:szCs w:val="21"/>
              </w:rPr>
              <w:t>政策变更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3" w:right="139"/>
              <w:jc w:val="left"/>
              <w:rPr>
                <w:rFonts w:ascii="宋体" w:hAnsi="宋体" w:cs="宋体" w:eastAsia="宋体" w:hint="default"/>
                <w:sz w:val="21"/>
                <w:szCs w:val="21"/>
              </w:rPr>
            </w:pPr>
            <w:r>
              <w:rPr>
                <w:rFonts w:ascii="宋体" w:hAnsi="宋体" w:cs="宋体" w:eastAsia="宋体" w:hint="default"/>
                <w:sz w:val="21"/>
                <w:szCs w:val="21"/>
              </w:rPr>
              <w:t>同一控制下企</w:t>
            </w:r>
            <w:r>
              <w:rPr>
                <w:rFonts w:ascii="宋体" w:hAnsi="宋体" w:cs="宋体" w:eastAsia="宋体" w:hint="default"/>
                <w:w w:val="100"/>
                <w:sz w:val="21"/>
                <w:szCs w:val="21"/>
              </w:rPr>
              <w:t> </w:t>
            </w:r>
            <w:r>
              <w:rPr>
                <w:rFonts w:ascii="宋体" w:hAnsi="宋体" w:cs="宋体" w:eastAsia="宋体" w:hint="default"/>
                <w:sz w:val="21"/>
                <w:szCs w:val="21"/>
              </w:rPr>
              <w:t>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36"/>
              <w:ind w:left="16" w:right="0"/>
              <w:jc w:val="left"/>
              <w:rPr>
                <w:rFonts w:ascii="Times New Roman" w:hAnsi="Times New Roman" w:cs="Times New Roman" w:eastAsia="Times New Roman" w:hint="default"/>
                <w:sz w:val="21"/>
                <w:szCs w:val="21"/>
              </w:rPr>
            </w:pPr>
            <w:r>
              <w:rPr>
                <w:rFonts w:ascii="Times New Roman"/>
                <w:sz w:val="21"/>
              </w:rPr>
              <w:t>449,5</w:t>
            </w:r>
          </w:p>
          <w:p>
            <w:pPr>
              <w:pStyle w:val="TableParagraph"/>
              <w:spacing w:line="240" w:lineRule="auto" w:before="70"/>
              <w:ind w:left="16" w:right="0"/>
              <w:jc w:val="left"/>
              <w:rPr>
                <w:rFonts w:ascii="Times New Roman" w:hAnsi="Times New Roman" w:cs="Times New Roman" w:eastAsia="Times New Roman" w:hint="default"/>
                <w:sz w:val="21"/>
                <w:szCs w:val="21"/>
              </w:rPr>
            </w:pPr>
            <w:r>
              <w:rPr>
                <w:rFonts w:ascii="Times New Roman"/>
                <w:sz w:val="21"/>
              </w:rPr>
              <w:t>78,96</w:t>
            </w:r>
          </w:p>
          <w:p>
            <w:pPr>
              <w:pStyle w:val="TableParagraph"/>
              <w:spacing w:line="240" w:lineRule="auto" w:before="70"/>
              <w:ind w:left="16" w:right="0"/>
              <w:jc w:val="left"/>
              <w:rPr>
                <w:rFonts w:ascii="Times New Roman" w:hAnsi="Times New Roman" w:cs="Times New Roman" w:eastAsia="Times New Roman" w:hint="default"/>
                <w:sz w:val="21"/>
                <w:szCs w:val="21"/>
              </w:rPr>
            </w:pPr>
            <w:r>
              <w:rPr>
                <w:rFonts w:ascii="Times New Roman"/>
                <w:sz w:val="21"/>
              </w:rPr>
              <w:t>7.00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21"/>
                <w:szCs w:val="21"/>
              </w:rPr>
            </w:pPr>
            <w:r>
              <w:rPr>
                <w:rFonts w:ascii="Times New Roman"/>
                <w:sz w:val="21"/>
              </w:rPr>
              <w:t>829,45</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2,786.</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21"/>
                <w:szCs w:val="21"/>
              </w:rPr>
            </w:pPr>
            <w:r>
              <w:rPr>
                <w:rFonts w:ascii="Times New Roman"/>
                <w:sz w:val="21"/>
              </w:rPr>
              <w:t>21,893</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,014.3</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w w:val="100"/>
                <w:sz w:val="21"/>
              </w:rPr>
              <w:t>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-3,954,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118.60</w:t>
            </w: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34,818</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,145.1</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w w:val="100"/>
                <w:sz w:val="21"/>
              </w:rPr>
              <w:t>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327,85</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2,167.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16,282</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,045.7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w w:val="100"/>
                <w:sz w:val="21"/>
              </w:rPr>
              <w:t>5</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1,632,136,978</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.79</w:t>
            </w:r>
          </w:p>
        </w:tc>
      </w:tr>
      <w:tr>
        <w:trPr>
          <w:trHeight w:val="62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13" w:right="17"/>
              <w:jc w:val="left"/>
              <w:rPr>
                <w:rFonts w:ascii="宋体" w:hAnsi="宋体" w:cs="宋体" w:eastAsia="宋体" w:hint="default"/>
                <w:sz w:val="21"/>
                <w:szCs w:val="21"/>
              </w:rPr>
            </w:pPr>
            <w:r>
              <w:rPr>
                <w:rFonts w:ascii="宋体" w:hAnsi="宋体" w:cs="宋体" w:eastAsia="宋体" w:hint="default"/>
                <w:spacing w:val="-14"/>
                <w:w w:val="100"/>
                <w:sz w:val="21"/>
                <w:szCs w:val="21"/>
              </w:rPr>
              <w:t>二、本年期初余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额</w:t>
            </w:r>
          </w:p>
        </w:tc>
        <w:tc>
          <w:tcPr>
            <w:tcW w:w="562" w:type="dxa"/>
            <w:vMerge/>
            <w:tcBorders>
              <w:left w:val="single" w:sz="10"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r>
      <w:tr>
        <w:trPr>
          <w:trHeight w:val="94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3" w:right="17"/>
              <w:jc w:val="both"/>
              <w:rPr>
                <w:rFonts w:ascii="宋体" w:hAnsi="宋体" w:cs="宋体" w:eastAsia="宋体" w:hint="default"/>
                <w:sz w:val="21"/>
                <w:szCs w:val="21"/>
              </w:rPr>
            </w:pPr>
            <w:r>
              <w:rPr>
                <w:rFonts w:ascii="宋体" w:hAnsi="宋体" w:cs="宋体" w:eastAsia="宋体" w:hint="default"/>
                <w:spacing w:val="-14"/>
                <w:w w:val="100"/>
                <w:sz w:val="21"/>
                <w:szCs w:val="21"/>
              </w:rPr>
              <w:t>三、本期增减变</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14"/>
                <w:w w:val="100"/>
                <w:sz w:val="21"/>
                <w:szCs w:val="21"/>
              </w:rPr>
              <w:t>动金额（减少以</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309" w:lineRule="auto" w:before="34"/>
              <w:ind w:left="11" w:right="35" w:firstLine="420"/>
              <w:jc w:val="left"/>
              <w:rPr>
                <w:rFonts w:ascii="Times New Roman" w:hAnsi="Times New Roman" w:cs="Times New Roman" w:eastAsia="Times New Roman" w:hint="default"/>
                <w:sz w:val="21"/>
                <w:szCs w:val="21"/>
              </w:rPr>
            </w:pPr>
            <w:r>
              <w:rPr>
                <w:rFonts w:ascii="Times New Roman"/>
                <w:sz w:val="21"/>
              </w:rPr>
              <w:t>-</w:t>
            </w:r>
            <w:r>
              <w:rPr>
                <w:rFonts w:ascii="Times New Roman"/>
                <w:w w:val="100"/>
                <w:sz w:val="21"/>
              </w:rPr>
              <w:t> </w:t>
            </w:r>
            <w:r>
              <w:rPr>
                <w:rFonts w:ascii="Times New Roman"/>
                <w:sz w:val="21"/>
              </w:rPr>
              <w:t>41,60</w:t>
            </w:r>
          </w:p>
          <w:p>
            <w:pPr>
              <w:pStyle w:val="TableParagraph"/>
              <w:spacing w:line="240" w:lineRule="auto" w:before="3"/>
              <w:ind w:left="11" w:right="0"/>
              <w:jc w:val="left"/>
              <w:rPr>
                <w:rFonts w:ascii="Times New Roman" w:hAnsi="Times New Roman" w:cs="Times New Roman" w:eastAsia="Times New Roman" w:hint="default"/>
                <w:sz w:val="21"/>
                <w:szCs w:val="21"/>
              </w:rPr>
            </w:pPr>
            <w:r>
              <w:rPr>
                <w:rFonts w:ascii="Times New Roman"/>
                <w:sz w:val="21"/>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343,72</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1.39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sz w:val="21"/>
              </w:rPr>
              <w:t>-21,40</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7,014.</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-814,5</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67.95</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8,972,</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172.37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160,17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2,494.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-6,804,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175.20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183,235,059.2</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w w:val="100"/>
                <w:sz w:val="21"/>
              </w:rPr>
              <w:t>0</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-814,5</w:t>
            </w:r>
          </w:p>
          <w:p>
            <w:pPr>
              <w:pStyle w:val="TableParagraph"/>
              <w:spacing w:line="240" w:lineRule="auto" w:before="71"/>
              <w:ind w:left="23" w:right="0"/>
              <w:jc w:val="left"/>
              <w:rPr>
                <w:rFonts w:ascii="Times New Roman" w:hAnsi="Times New Roman" w:cs="Times New Roman" w:eastAsia="Times New Roman" w:hint="default"/>
                <w:sz w:val="21"/>
                <w:szCs w:val="21"/>
              </w:rPr>
            </w:pPr>
            <w:r>
              <w:rPr>
                <w:rFonts w:ascii="Times New Roman"/>
                <w:sz w:val="21"/>
              </w:rPr>
              <w:t>67.95</w:t>
            </w: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196,26</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6,033.</w:t>
            </w:r>
          </w:p>
          <w:p>
            <w:pPr>
              <w:pStyle w:val="TableParagraph"/>
              <w:spacing w:line="240" w:lineRule="auto" w:before="71"/>
              <w:ind w:left="23" w:right="0"/>
              <w:jc w:val="left"/>
              <w:rPr>
                <w:rFonts w:ascii="Times New Roman" w:hAnsi="Times New Roman" w:cs="Times New Roman" w:eastAsia="Times New Roman" w:hint="default"/>
                <w:sz w:val="21"/>
                <w:szCs w:val="21"/>
              </w:rPr>
            </w:pPr>
            <w:r>
              <w:rPr>
                <w:rFonts w:ascii="Times New Roman"/>
                <w:sz w:val="21"/>
              </w:rPr>
              <w:t>25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-7,164,</w:t>
            </w:r>
          </w:p>
          <w:p>
            <w:pPr>
              <w:pStyle w:val="TableParagraph"/>
              <w:spacing w:line="240" w:lineRule="auto" w:before="71"/>
              <w:ind w:left="23" w:right="0"/>
              <w:jc w:val="left"/>
              <w:rPr>
                <w:rFonts w:ascii="Times New Roman" w:hAnsi="Times New Roman" w:cs="Times New Roman" w:eastAsia="Times New Roman" w:hint="default"/>
                <w:sz w:val="21"/>
                <w:szCs w:val="21"/>
              </w:rPr>
            </w:pPr>
            <w:r>
              <w:rPr>
                <w:rFonts w:ascii="Times New Roman"/>
                <w:sz w:val="21"/>
              </w:rPr>
              <w:t>175.20</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188,287,290.1</w:t>
            </w:r>
          </w:p>
          <w:p>
            <w:pPr>
              <w:pStyle w:val="TableParagraph"/>
              <w:spacing w:line="240" w:lineRule="auto" w:before="71"/>
              <w:ind w:left="26" w:right="0"/>
              <w:jc w:val="left"/>
              <w:rPr>
                <w:rFonts w:ascii="Times New Roman" w:hAnsi="Times New Roman" w:cs="Times New Roman" w:eastAsia="Times New Roman" w:hint="default"/>
                <w:sz w:val="21"/>
                <w:szCs w:val="21"/>
              </w:rPr>
            </w:pPr>
            <w:r>
              <w:rPr>
                <w:rFonts w:ascii="Times New Roman"/>
                <w:w w:val="100"/>
                <w:sz w:val="21"/>
              </w:rPr>
              <w:t>0</w:t>
            </w:r>
          </w:p>
        </w:tc>
      </w:tr>
      <w:tr>
        <w:trPr>
          <w:trHeight w:val="62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13" w:right="17"/>
              <w:jc w:val="left"/>
              <w:rPr>
                <w:rFonts w:ascii="宋体" w:hAnsi="宋体" w:cs="宋体" w:eastAsia="宋体" w:hint="default"/>
                <w:sz w:val="21"/>
                <w:szCs w:val="21"/>
              </w:rPr>
            </w:pPr>
            <w:r>
              <w:rPr>
                <w:rFonts w:ascii="宋体" w:hAnsi="宋体" w:cs="宋体" w:eastAsia="宋体" w:hint="default"/>
                <w:spacing w:val="-14"/>
                <w:w w:val="100"/>
                <w:sz w:val="21"/>
                <w:szCs w:val="21"/>
              </w:rPr>
              <w:t>（一）综合收益</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总额</w:t>
            </w:r>
          </w:p>
        </w:tc>
        <w:tc>
          <w:tcPr>
            <w:tcW w:w="562" w:type="dxa"/>
            <w:vMerge/>
            <w:tcBorders>
              <w:left w:val="single" w:sz="10"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sz w:val="21"/>
              </w:rPr>
              <w:t>-41,6</w:t>
            </w:r>
          </w:p>
          <w:p>
            <w:pPr>
              <w:pStyle w:val="TableParagraph"/>
              <w:spacing w:line="240" w:lineRule="auto" w:before="70"/>
              <w:ind w:left="16" w:right="0"/>
              <w:jc w:val="left"/>
              <w:rPr>
                <w:rFonts w:ascii="Times New Roman" w:hAnsi="Times New Roman" w:cs="Times New Roman" w:eastAsia="Times New Roman" w:hint="default"/>
                <w:sz w:val="21"/>
                <w:szCs w:val="21"/>
              </w:rPr>
            </w:pPr>
            <w:r>
              <w:rPr>
                <w:rFonts w:ascii="Times New Roman"/>
                <w:sz w:val="21"/>
              </w:rPr>
              <w:t>00.00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196,55</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3.39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sz w:val="21"/>
              </w:rPr>
              <w:t>-21,40</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7,014.</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35</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360,00</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0.00</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21,921,967.74</w:t>
            </w:r>
          </w:p>
        </w:tc>
      </w:tr>
      <w:tr>
        <w:trPr>
          <w:trHeight w:val="62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13" w:right="17"/>
              <w:jc w:val="left"/>
              <w:rPr>
                <w:rFonts w:ascii="宋体" w:hAnsi="宋体" w:cs="宋体" w:eastAsia="宋体" w:hint="default"/>
                <w:sz w:val="21"/>
                <w:szCs w:val="21"/>
              </w:rPr>
            </w:pPr>
            <w:r>
              <w:rPr>
                <w:rFonts w:ascii="宋体" w:hAnsi="宋体" w:cs="宋体" w:eastAsia="宋体" w:hint="default"/>
                <w:spacing w:val="-14"/>
                <w:w w:val="100"/>
                <w:sz w:val="21"/>
                <w:szCs w:val="21"/>
              </w:rPr>
              <w:t>（二）所有者投</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入和减少资本</w:t>
            </w:r>
          </w:p>
        </w:tc>
        <w:tc>
          <w:tcPr>
            <w:tcW w:w="562" w:type="dxa"/>
            <w:vMerge/>
            <w:tcBorders>
              <w:left w:val="single" w:sz="10"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r>
      <w:tr>
        <w:trPr>
          <w:trHeight w:val="63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13"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w:t>
            </w:r>
            <w:r>
              <w:rPr>
                <w:rFonts w:ascii="宋体" w:hAnsi="宋体" w:cs="宋体" w:eastAsia="宋体" w:hint="default"/>
                <w:w w:val="100"/>
                <w:sz w:val="21"/>
                <w:szCs w:val="21"/>
              </w:rPr>
              <w:t> </w:t>
            </w:r>
            <w:r>
              <w:rPr>
                <w:rFonts w:ascii="宋体" w:hAnsi="宋体" w:cs="宋体" w:eastAsia="宋体" w:hint="default"/>
                <w:sz w:val="21"/>
                <w:szCs w:val="21"/>
              </w:rPr>
              <w:t>普通股</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11" w:right="0"/>
              <w:jc w:val="left"/>
              <w:rPr>
                <w:rFonts w:ascii="Times New Roman" w:hAnsi="Times New Roman" w:cs="Times New Roman" w:eastAsia="Times New Roman" w:hint="default"/>
                <w:sz w:val="21"/>
                <w:szCs w:val="21"/>
              </w:rPr>
            </w:pPr>
            <w:r>
              <w:rPr>
                <w:rFonts w:ascii="Times New Roman"/>
                <w:sz w:val="21"/>
              </w:rPr>
              <w:t>-41,6</w:t>
            </w:r>
          </w:p>
          <w:p>
            <w:pPr>
              <w:pStyle w:val="TableParagraph"/>
              <w:spacing w:line="240" w:lineRule="auto" w:before="70"/>
              <w:ind w:left="11" w:right="0"/>
              <w:jc w:val="left"/>
              <w:rPr>
                <w:rFonts w:ascii="Times New Roman" w:hAnsi="Times New Roman" w:cs="Times New Roman" w:eastAsia="Times New Roman" w:hint="default"/>
                <w:sz w:val="21"/>
                <w:szCs w:val="21"/>
              </w:rPr>
            </w:pPr>
            <w:r>
              <w:rPr>
                <w:rFonts w:ascii="Times New Roman"/>
                <w:sz w:val="21"/>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sz w:val="21"/>
              </w:rPr>
              <w:t>-29,07</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8.40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360,00</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289,321.60</w:t>
            </w:r>
          </w:p>
        </w:tc>
      </w:tr>
      <w:tr>
        <w:trPr>
          <w:trHeight w:val="94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ind w:left="13"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r>
              <w:rPr>
                <w:rFonts w:ascii="宋体" w:hAnsi="宋体" w:cs="宋体" w:eastAsia="宋体" w:hint="default"/>
                <w:w w:val="100"/>
                <w:sz w:val="21"/>
                <w:szCs w:val="21"/>
              </w:rPr>
              <w:t> </w:t>
            </w: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949"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ind w:left="13"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225,63</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1.79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21"/>
                <w:szCs w:val="21"/>
              </w:rPr>
            </w:pPr>
            <w:r>
              <w:rPr>
                <w:rFonts w:ascii="Times New Roman"/>
                <w:sz w:val="21"/>
              </w:rPr>
              <w:t>-21,40</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7,014.</w:t>
            </w:r>
          </w:p>
          <w:p>
            <w:pPr>
              <w:pStyle w:val="TableParagraph"/>
              <w:spacing w:line="240" w:lineRule="auto" w:before="71"/>
              <w:ind w:left="24" w:right="0"/>
              <w:jc w:val="left"/>
              <w:rPr>
                <w:rFonts w:ascii="Times New Roman" w:hAnsi="Times New Roman" w:cs="Times New Roman" w:eastAsia="Times New Roman" w:hint="default"/>
                <w:sz w:val="21"/>
                <w:szCs w:val="21"/>
              </w:rPr>
            </w:pPr>
            <w:r>
              <w:rPr>
                <w:rFonts w:ascii="Times New Roman"/>
                <w:sz w:val="21"/>
              </w:rPr>
              <w:t>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21,632,646.14</w:t>
            </w:r>
          </w:p>
        </w:tc>
      </w:tr>
      <w:tr>
        <w:trPr>
          <w:trHeight w:val="32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8,972,</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172.37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-36,14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2,429.</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13</w:t>
            </w:r>
          </w:p>
        </w:tc>
        <w:tc>
          <w:tcPr>
            <w:tcW w:w="665" w:type="dxa"/>
            <w:vMerge w:val="restart"/>
            <w:tcBorders>
              <w:top w:val="single" w:sz="4" w:space="0" w:color="000000"/>
              <w:left w:val="single" w:sz="4" w:space="0" w:color="000000"/>
              <w:right w:val="single" w:sz="4" w:space="0" w:color="000000"/>
            </w:tcBorders>
          </w:tcPr>
          <w:p>
            <w:pP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-27,170,256.7</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w w:val="100"/>
                <w:sz w:val="21"/>
              </w:rPr>
              <w:t>6</w:t>
            </w:r>
          </w:p>
        </w:tc>
      </w:tr>
      <w:tr>
        <w:trPr>
          <w:trHeight w:val="312" w:hRule="exact"/>
        </w:trPr>
        <w:tc>
          <w:tcPr>
            <w:tcW w:w="1427" w:type="dxa"/>
            <w:tcBorders>
              <w:top w:val="nil" w:sz="6" w:space="0" w:color="auto"/>
              <w:left w:val="single" w:sz="14" w:space="0" w:color="D2D2D2"/>
              <w:bottom w:val="nil" w:sz="6" w:space="0" w:color="auto"/>
              <w:right w:val="single" w:sz="13" w:space="0" w:color="D2D2D2"/>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w w:val="100"/>
                <w:sz w:val="21"/>
                <w:szCs w:val="21"/>
                <w:shd w:fill="D2D2D2" w:color="auto" w:val="clear"/>
              </w:rPr>
              <w:t>（三</w:t>
            </w:r>
            <w:r>
              <w:rPr>
                <w:rFonts w:ascii="宋体" w:hAnsi="宋体" w:cs="宋体" w:eastAsia="宋体" w:hint="default"/>
                <w:spacing w:val="-92"/>
                <w:w w:val="100"/>
                <w:sz w:val="21"/>
                <w:szCs w:val="21"/>
                <w:shd w:fill="D2D2D2" w:color="auto" w:val="clear"/>
              </w:rPr>
              <w:t>）</w:t>
            </w:r>
            <w:r>
              <w:rPr>
                <w:rFonts w:ascii="宋体" w:hAnsi="宋体" w:cs="宋体" w:eastAsia="宋体" w:hint="default"/>
                <w:w w:val="100"/>
                <w:sz w:val="21"/>
                <w:szCs w:val="21"/>
                <w:shd w:fill="D2D2D2" w:color="auto" w:val="clear"/>
              </w:rPr>
              <w:t>利</w:t>
            </w:r>
            <w:r>
              <w:rPr>
                <w:rFonts w:ascii="宋体" w:hAnsi="宋体" w:cs="宋体" w:eastAsia="宋体" w:hint="default"/>
                <w:spacing w:val="-3"/>
                <w:w w:val="100"/>
                <w:sz w:val="21"/>
                <w:szCs w:val="21"/>
                <w:shd w:fill="D2D2D2" w:color="auto" w:val="clear"/>
              </w:rPr>
              <w:t>润</w:t>
            </w:r>
            <w:r>
              <w:rPr>
                <w:rFonts w:ascii="宋体" w:hAnsi="宋体" w:cs="宋体" w:eastAsia="宋体" w:hint="default"/>
                <w:w w:val="100"/>
                <w:sz w:val="21"/>
                <w:szCs w:val="21"/>
                <w:shd w:fill="D2D2D2" w:color="auto" w:val="clear"/>
              </w:rPr>
              <w:t>分配</w:t>
            </w:r>
            <w:r>
              <w:rPr>
                <w:rFonts w:ascii="宋体" w:hAnsi="宋体" w:cs="宋体" w:eastAsia="宋体" w:hint="default"/>
                <w:w w:val="100"/>
                <w:sz w:val="21"/>
                <w:szCs w:val="21"/>
              </w:rPr>
            </w:r>
          </w:p>
        </w:tc>
        <w:tc>
          <w:tcPr>
            <w:tcW w:w="562" w:type="dxa"/>
            <w:vMerge/>
            <w:tcBorders>
              <w:left w:val="single" w:sz="10"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r>
      <w:tr>
        <w:trPr>
          <w:trHeight w:val="63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13"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8,972,</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172.37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-8,972,</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172.37</w:t>
            </w: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13"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w:t>
            </w:r>
            <w:r>
              <w:rPr>
                <w:rFonts w:ascii="宋体" w:hAnsi="宋体" w:cs="宋体" w:eastAsia="宋体" w:hint="default"/>
                <w:w w:val="100"/>
                <w:sz w:val="21"/>
                <w:szCs w:val="21"/>
              </w:rPr>
              <w:t> </w:t>
            </w:r>
            <w:r>
              <w:rPr>
                <w:rFonts w:ascii="宋体" w:hAnsi="宋体" w:cs="宋体" w:eastAsia="宋体" w:hint="default"/>
                <w:sz w:val="21"/>
                <w:szCs w:val="21"/>
              </w:rPr>
              <w:t>险准备</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600" w:right="88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439"/>
        <w:gridCol w:w="562"/>
        <w:gridCol w:w="530"/>
        <w:gridCol w:w="531"/>
        <w:gridCol w:w="533"/>
        <w:gridCol w:w="662"/>
        <w:gridCol w:w="665"/>
        <w:gridCol w:w="665"/>
        <w:gridCol w:w="667"/>
        <w:gridCol w:w="662"/>
        <w:gridCol w:w="665"/>
        <w:gridCol w:w="665"/>
        <w:gridCol w:w="665"/>
        <w:gridCol w:w="1296"/>
      </w:tblGrid>
      <w:tr>
        <w:trPr>
          <w:trHeight w:val="94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144"/>
              <w:ind w:left="25" w:right="17"/>
              <w:jc w:val="left"/>
              <w:rPr>
                <w:rFonts w:ascii="宋体" w:hAnsi="宋体" w:cs="宋体" w:eastAsia="宋体" w:hint="default"/>
                <w:sz w:val="21"/>
                <w:szCs w:val="21"/>
              </w:rPr>
            </w:pPr>
            <w:r>
              <w:rPr>
                <w:rFonts w:ascii="Times New Roman" w:hAnsi="Times New Roman" w:cs="Times New Roman" w:eastAsia="Times New Roman" w:hint="default"/>
                <w:spacing w:val="-26"/>
                <w:w w:val="100"/>
                <w:sz w:val="21"/>
                <w:szCs w:val="21"/>
              </w:rPr>
              <w:t>3</w:t>
            </w:r>
            <w:r>
              <w:rPr>
                <w:rFonts w:ascii="宋体" w:hAnsi="宋体" w:cs="宋体" w:eastAsia="宋体" w:hint="default"/>
                <w:spacing w:val="-26"/>
                <w:w w:val="100"/>
                <w:sz w:val="21"/>
                <w:szCs w:val="21"/>
              </w:rPr>
              <w:t>．对所有者（或</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-27,17</w:t>
            </w:r>
          </w:p>
          <w:p>
            <w:pPr>
              <w:pStyle w:val="TableParagraph"/>
              <w:spacing w:line="240" w:lineRule="auto" w:before="71"/>
              <w:ind w:left="23" w:right="0"/>
              <w:jc w:val="left"/>
              <w:rPr>
                <w:rFonts w:ascii="Times New Roman" w:hAnsi="Times New Roman" w:cs="Times New Roman" w:eastAsia="Times New Roman" w:hint="default"/>
                <w:sz w:val="21"/>
                <w:szCs w:val="21"/>
              </w:rPr>
            </w:pPr>
            <w:r>
              <w:rPr>
                <w:rFonts w:ascii="Times New Roman"/>
                <w:sz w:val="21"/>
              </w:rPr>
              <w:t>0,256.</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76</w:t>
            </w: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-27,170,256.7</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w w:val="100"/>
                <w:sz w:val="21"/>
              </w:rPr>
              <w:t>6</w:t>
            </w: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5" w:right="17"/>
              <w:jc w:val="left"/>
              <w:rPr>
                <w:rFonts w:ascii="宋体" w:hAnsi="宋体" w:cs="宋体" w:eastAsia="宋体" w:hint="default"/>
                <w:sz w:val="21"/>
                <w:szCs w:val="21"/>
              </w:rPr>
            </w:pPr>
            <w:r>
              <w:rPr>
                <w:rFonts w:ascii="宋体" w:hAnsi="宋体" w:cs="宋体" w:eastAsia="宋体" w:hint="default"/>
                <w:spacing w:val="-14"/>
                <w:w w:val="100"/>
                <w:sz w:val="21"/>
                <w:szCs w:val="21"/>
              </w:rPr>
              <w:t>（四）所有者权</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ind w:left="25"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ind w:left="25"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25"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r>
              <w:rPr>
                <w:rFonts w:ascii="宋体" w:hAnsi="宋体" w:cs="宋体" w:eastAsia="宋体" w:hint="default"/>
                <w:w w:val="100"/>
                <w:sz w:val="21"/>
                <w:szCs w:val="21"/>
              </w:rPr>
              <w:t> </w:t>
            </w:r>
            <w:r>
              <w:rPr>
                <w:rFonts w:ascii="宋体" w:hAnsi="宋体" w:cs="宋体" w:eastAsia="宋体" w:hint="default"/>
                <w:sz w:val="21"/>
                <w:szCs w:val="21"/>
              </w:rPr>
              <w:t>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5"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92"/>
                <w:w w:val="100"/>
                <w:sz w:val="21"/>
                <w:szCs w:val="21"/>
              </w:rPr>
              <w:t>）</w:t>
            </w:r>
            <w:r>
              <w:rPr>
                <w:rFonts w:ascii="宋体" w:hAnsi="宋体" w:cs="宋体" w:eastAsia="宋体" w:hint="default"/>
                <w:w w:val="100"/>
                <w:sz w:val="21"/>
                <w:szCs w:val="21"/>
              </w:rPr>
              <w:t>专</w:t>
            </w:r>
            <w:r>
              <w:rPr>
                <w:rFonts w:ascii="宋体" w:hAnsi="宋体" w:cs="宋体" w:eastAsia="宋体" w:hint="default"/>
                <w:spacing w:val="-3"/>
                <w:w w:val="100"/>
                <w:sz w:val="21"/>
                <w:szCs w:val="21"/>
              </w:rPr>
              <w:t>项</w:t>
            </w:r>
            <w:r>
              <w:rPr>
                <w:rFonts w:ascii="宋体" w:hAnsi="宋体" w:cs="宋体" w:eastAsia="宋体" w:hint="default"/>
                <w:w w:val="100"/>
                <w:sz w:val="21"/>
                <w:szCs w:val="21"/>
              </w:rPr>
              <w:t>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24"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sz w:val="21"/>
              </w:rPr>
              <w:t>147,16</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48,890</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196,058.12</w:t>
            </w:r>
          </w:p>
        </w:tc>
      </w:tr>
      <w:tr>
        <w:trPr>
          <w:trHeight w:val="94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5" w:right="17"/>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449,5</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37,36</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sz w:val="21"/>
              </w:rPr>
              <w:t>829,79</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6,508.</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486,00</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-4,768,</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686.55</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43,790</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,317.5</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w w:val="100"/>
                <w:sz w:val="21"/>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488,02</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4,661.</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9,477,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870.55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1,815,372,037</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.99</w:t>
            </w:r>
          </w:p>
        </w:tc>
      </w:tr>
    </w:tbl>
    <w:p>
      <w:pPr>
        <w:pStyle w:val="BodyText"/>
        <w:spacing w:line="240" w:lineRule="auto" w:before="39"/>
        <w:ind w:left="1013" w:right="0"/>
        <w:jc w:val="left"/>
      </w:pPr>
      <w:r>
        <w:rPr/>
        <w:t>上期金额</w:t>
      </w:r>
    </w:p>
    <w:p>
      <w:pPr>
        <w:spacing w:before="179"/>
        <w:ind w:left="95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438"/>
        <w:gridCol w:w="833"/>
        <w:gridCol w:w="531"/>
        <w:gridCol w:w="530"/>
        <w:gridCol w:w="533"/>
        <w:gridCol w:w="816"/>
        <w:gridCol w:w="665"/>
        <w:gridCol w:w="665"/>
        <w:gridCol w:w="665"/>
        <w:gridCol w:w="665"/>
        <w:gridCol w:w="600"/>
        <w:gridCol w:w="710"/>
        <w:gridCol w:w="850"/>
        <w:gridCol w:w="852"/>
      </w:tblGrid>
      <w:tr>
        <w:trPr>
          <w:trHeight w:val="32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91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173" w:hRule="exact"/>
        </w:trPr>
        <w:tc>
          <w:tcPr>
            <w:tcW w:w="1438" w:type="dxa"/>
            <w:vMerge/>
            <w:tcBorders>
              <w:left w:val="single" w:sz="4" w:space="0" w:color="000000"/>
              <w:right w:val="single" w:sz="4" w:space="0" w:color="000000"/>
            </w:tcBorders>
            <w:shd w:val="clear" w:color="auto" w:fill="D2D2D2"/>
          </w:tcPr>
          <w:p>
            <w:pPr/>
          </w:p>
        </w:tc>
        <w:tc>
          <w:tcPr>
            <w:tcW w:w="721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9"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7214" w:type="dxa"/>
            <w:gridSpan w:val="11"/>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spacing w:val="-102"/>
                <w:sz w:val="21"/>
                <w:szCs w:val="21"/>
              </w:rPr>
              <w:t> </w:t>
            </w: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168"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left="44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833"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3" w:right="206"/>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0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4" w:right="143"/>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3" w:right="180"/>
              <w:jc w:val="left"/>
              <w:rPr>
                <w:rFonts w:ascii="宋体" w:hAnsi="宋体" w:cs="宋体" w:eastAsia="宋体" w:hint="default"/>
                <w:sz w:val="21"/>
                <w:szCs w:val="21"/>
              </w:rPr>
            </w:pPr>
            <w:r>
              <w:rPr>
                <w:rFonts w:ascii="宋体" w:hAnsi="宋体" w:cs="宋体" w:eastAsia="宋体" w:hint="default"/>
                <w:sz w:val="21"/>
                <w:szCs w:val="21"/>
              </w:rPr>
              <w:t>少数股</w:t>
            </w:r>
            <w:r>
              <w:rPr>
                <w:rFonts w:ascii="宋体" w:hAnsi="宋体" w:cs="宋体" w:eastAsia="宋体" w:hint="default"/>
                <w:spacing w:val="-102"/>
                <w:sz w:val="21"/>
                <w:szCs w:val="21"/>
              </w:rPr>
              <w:t> </w:t>
            </w:r>
            <w:r>
              <w:rPr>
                <w:rFonts w:ascii="宋体" w:hAnsi="宋体" w:cs="宋体" w:eastAsia="宋体" w:hint="default"/>
                <w:sz w:val="21"/>
                <w:szCs w:val="21"/>
              </w:rPr>
              <w:t>东权益</w:t>
            </w:r>
          </w:p>
        </w:tc>
        <w:tc>
          <w:tcPr>
            <w:tcW w:w="852" w:type="dxa"/>
            <w:vMerge/>
            <w:tcBorders>
              <w:left w:val="single" w:sz="4" w:space="0" w:color="000000"/>
              <w:right w:val="single" w:sz="4" w:space="0" w:color="000000"/>
            </w:tcBorders>
            <w:shd w:val="clear" w:color="auto" w:fill="D2D2D2"/>
          </w:tcPr>
          <w:p>
            <w:pPr/>
          </w:p>
        </w:tc>
      </w:tr>
      <w:tr>
        <w:trPr>
          <w:trHeight w:val="146"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833"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3" w:right="146"/>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4" w:right="17"/>
              <w:jc w:val="left"/>
              <w:rPr>
                <w:rFonts w:ascii="宋体" w:hAnsi="宋体" w:cs="宋体" w:eastAsia="宋体" w:hint="default"/>
                <w:sz w:val="21"/>
                <w:szCs w:val="21"/>
              </w:rPr>
            </w:pPr>
            <w:r>
              <w:rPr>
                <w:rFonts w:ascii="宋体" w:hAnsi="宋体" w:cs="宋体" w:eastAsia="宋体" w:hint="default"/>
                <w:spacing w:val="-8"/>
                <w:sz w:val="21"/>
                <w:szCs w:val="21"/>
              </w:rPr>
              <w:t>减：库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存股</w:t>
            </w: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4" w:right="206"/>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3" w:right="207"/>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00"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6" w:right="38"/>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8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r>
      <w:tr>
        <w:trPr>
          <w:trHeight w:val="170"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833" w:type="dxa"/>
            <w:vMerge w:val="restart"/>
            <w:tcBorders>
              <w:top w:val="nil" w:sz="6" w:space="0" w:color="auto"/>
              <w:left w:val="single" w:sz="4" w:space="0" w:color="000000"/>
              <w:right w:val="single" w:sz="4" w:space="0" w:color="000000"/>
            </w:tcBorders>
            <w:shd w:val="clear" w:color="auto" w:fill="D2D2D2"/>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3" w:right="74"/>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3" w:right="72"/>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00"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r>
      <w:tr>
        <w:trPr>
          <w:trHeight w:val="149" w:hRule="exact"/>
        </w:trPr>
        <w:tc>
          <w:tcPr>
            <w:tcW w:w="1438" w:type="dxa"/>
            <w:vMerge/>
            <w:tcBorders>
              <w:left w:val="single" w:sz="4" w:space="0" w:color="000000"/>
              <w:right w:val="single" w:sz="4" w:space="0" w:color="000000"/>
            </w:tcBorders>
            <w:shd w:val="clear" w:color="auto" w:fill="D2D2D2"/>
          </w:tcPr>
          <w:p>
            <w:pPr/>
          </w:p>
        </w:tc>
        <w:tc>
          <w:tcPr>
            <w:tcW w:w="833" w:type="dxa"/>
            <w:vMerge/>
            <w:tcBorders>
              <w:left w:val="single" w:sz="4" w:space="0" w:color="000000"/>
              <w:bottom w:val="nil" w:sz="6" w:space="0" w:color="auto"/>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23" w:space="0" w:color="D2D2D2"/>
              <w:right w:val="single" w:sz="23" w:space="0" w:color="D2D2D2"/>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其他</w:t>
            </w:r>
            <w:r>
              <w:rPr>
                <w:rFonts w:ascii="宋体" w:hAnsi="宋体" w:cs="宋体" w:eastAsia="宋体" w:hint="default"/>
                <w:sz w:val="21"/>
                <w:szCs w:val="21"/>
              </w:rPr>
            </w:r>
          </w:p>
        </w:tc>
        <w:tc>
          <w:tcPr>
            <w:tcW w:w="81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00"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r>
      <w:tr>
        <w:trPr>
          <w:trHeight w:val="158" w:hRule="exact"/>
        </w:trPr>
        <w:tc>
          <w:tcPr>
            <w:tcW w:w="1438" w:type="dxa"/>
            <w:vMerge/>
            <w:tcBorders>
              <w:left w:val="single" w:sz="4" w:space="0" w:color="000000"/>
              <w:right w:val="single" w:sz="4" w:space="0" w:color="000000"/>
            </w:tcBorders>
            <w:shd w:val="clear" w:color="auto" w:fill="D2D2D2"/>
          </w:tcPr>
          <w:p>
            <w:pPr/>
          </w:p>
        </w:tc>
        <w:tc>
          <w:tcPr>
            <w:tcW w:w="833" w:type="dxa"/>
            <w:vMerge w:val="restart"/>
            <w:tcBorders>
              <w:top w:val="nil" w:sz="6" w:space="0" w:color="auto"/>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23" w:space="0" w:color="D2D2D2"/>
              <w:bottom w:val="nil" w:sz="6" w:space="0" w:color="auto"/>
              <w:right w:val="single" w:sz="23" w:space="0" w:color="D2D2D2"/>
            </w:tcBorders>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00"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r>
      <w:tr>
        <w:trPr>
          <w:trHeight w:val="16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8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00"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833" w:type="dxa"/>
            <w:vMerge w:val="restart"/>
            <w:tcBorders>
              <w:top w:val="single" w:sz="4" w:space="0" w:color="000000"/>
              <w:left w:val="single" w:sz="10" w:space="0" w:color="D2D2D2"/>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sz w:val="21"/>
              </w:rPr>
              <w:t>195,821,</w:t>
            </w:r>
          </w:p>
          <w:p>
            <w:pPr>
              <w:pStyle w:val="TableParagraph"/>
              <w:spacing w:line="240" w:lineRule="auto" w:before="70"/>
              <w:ind w:left="16" w:right="0"/>
              <w:jc w:val="left"/>
              <w:rPr>
                <w:rFonts w:ascii="Times New Roman" w:hAnsi="Times New Roman" w:cs="Times New Roman" w:eastAsia="Times New Roman" w:hint="default"/>
                <w:sz w:val="21"/>
                <w:szCs w:val="21"/>
              </w:rPr>
            </w:pPr>
            <w:r>
              <w:rPr>
                <w:rFonts w:ascii="Times New Roman"/>
                <w:sz w:val="21"/>
              </w:rPr>
              <w:t>670.00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267,699,</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785.03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sz w:val="21"/>
              </w:rPr>
              <w:t>19,070</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,999.2</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w w:val="100"/>
                <w:sz w:val="21"/>
              </w:rPr>
              <w:t>4</w:t>
            </w:r>
          </w:p>
        </w:tc>
        <w:tc>
          <w:tcPr>
            <w:tcW w:w="665" w:type="dxa"/>
            <w:vMerge w:val="restart"/>
            <w:tcBorders>
              <w:top w:val="single" w:sz="6"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-7,607,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528.80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28,317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,668.5</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w w:val="100"/>
                <w:sz w:val="21"/>
              </w:rPr>
              <w:t>8</w:t>
            </w:r>
          </w:p>
        </w:tc>
        <w:tc>
          <w:tcPr>
            <w:tcW w:w="600" w:type="dxa"/>
            <w:vMerge w:val="restart"/>
            <w:tcBorders>
              <w:top w:val="single" w:sz="6"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226,28</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1,467.7</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w w:val="100"/>
                <w:sz w:val="21"/>
              </w:rPr>
              <w:t>6</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12,932,1</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46.14</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704,374,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209.47</w:t>
            </w:r>
          </w:p>
        </w:tc>
      </w:tr>
      <w:tr>
        <w:trPr>
          <w:trHeight w:val="624"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26" w:right="17"/>
              <w:jc w:val="left"/>
              <w:rPr>
                <w:rFonts w:ascii="宋体" w:hAnsi="宋体" w:cs="宋体" w:eastAsia="宋体" w:hint="default"/>
                <w:sz w:val="21"/>
                <w:szCs w:val="21"/>
              </w:rPr>
            </w:pPr>
            <w:r>
              <w:rPr>
                <w:rFonts w:ascii="宋体" w:hAnsi="宋体" w:cs="宋体" w:eastAsia="宋体" w:hint="default"/>
                <w:spacing w:val="-14"/>
                <w:w w:val="100"/>
                <w:sz w:val="21"/>
                <w:szCs w:val="21"/>
              </w:rPr>
              <w:t>一、上年期末余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33" w:type="dxa"/>
            <w:vMerge/>
            <w:tcBorders>
              <w:left w:val="single" w:sz="10"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0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161"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833" w:type="dxa"/>
            <w:vMerge/>
            <w:tcBorders>
              <w:left w:val="single" w:sz="10"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00"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6" w:right="16" w:firstLine="631"/>
              <w:jc w:val="left"/>
              <w:rPr>
                <w:rFonts w:ascii="宋体" w:hAnsi="宋体" w:cs="宋体" w:eastAsia="宋体" w:hint="default"/>
                <w:sz w:val="21"/>
                <w:szCs w:val="21"/>
              </w:rPr>
            </w:pPr>
            <w:r>
              <w:rPr>
                <w:rFonts w:ascii="宋体" w:hAnsi="宋体" w:cs="宋体" w:eastAsia="宋体" w:hint="default"/>
                <w:spacing w:val="-24"/>
                <w:w w:val="100"/>
                <w:sz w:val="21"/>
                <w:szCs w:val="21"/>
              </w:rPr>
              <w:t>加：会计</w:t>
            </w:r>
            <w:r>
              <w:rPr>
                <w:rFonts w:ascii="宋体" w:hAnsi="宋体" w:cs="宋体" w:eastAsia="宋体" w:hint="default"/>
                <w:w w:val="100"/>
                <w:sz w:val="21"/>
                <w:szCs w:val="21"/>
              </w:rPr>
              <w:t> </w:t>
            </w:r>
            <w:r>
              <w:rPr>
                <w:rFonts w:ascii="宋体" w:hAnsi="宋体" w:cs="宋体" w:eastAsia="宋体" w:hint="default"/>
                <w:sz w:val="21"/>
                <w:szCs w:val="21"/>
              </w:rPr>
              <w:t>政策变更</w:t>
            </w:r>
          </w:p>
        </w:tc>
        <w:tc>
          <w:tcPr>
            <w:tcW w:w="833" w:type="dxa"/>
            <w:tcBorders>
              <w:top w:val="single" w:sz="4" w:space="0" w:color="000000"/>
              <w:left w:val="single" w:sz="10"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833" w:type="dxa"/>
            <w:tcBorders>
              <w:top w:val="single" w:sz="4" w:space="0" w:color="000000"/>
              <w:left w:val="single" w:sz="10"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6" w:right="137"/>
              <w:jc w:val="left"/>
              <w:rPr>
                <w:rFonts w:ascii="宋体" w:hAnsi="宋体" w:cs="宋体" w:eastAsia="宋体" w:hint="default"/>
                <w:sz w:val="21"/>
                <w:szCs w:val="21"/>
              </w:rPr>
            </w:pPr>
            <w:r>
              <w:rPr>
                <w:rFonts w:ascii="宋体" w:hAnsi="宋体" w:cs="宋体" w:eastAsia="宋体" w:hint="default"/>
                <w:sz w:val="21"/>
                <w:szCs w:val="21"/>
              </w:rPr>
              <w:t>同一控制下企</w:t>
            </w:r>
            <w:r>
              <w:rPr>
                <w:rFonts w:ascii="宋体" w:hAnsi="宋体" w:cs="宋体" w:eastAsia="宋体" w:hint="default"/>
                <w:w w:val="100"/>
                <w:sz w:val="21"/>
                <w:szCs w:val="21"/>
              </w:rPr>
              <w:t> </w:t>
            </w:r>
            <w:r>
              <w:rPr>
                <w:rFonts w:ascii="宋体" w:hAnsi="宋体" w:cs="宋体" w:eastAsia="宋体" w:hint="default"/>
                <w:sz w:val="21"/>
                <w:szCs w:val="21"/>
              </w:rPr>
              <w:t>业合并</w:t>
            </w:r>
          </w:p>
        </w:tc>
        <w:tc>
          <w:tcPr>
            <w:tcW w:w="833" w:type="dxa"/>
            <w:tcBorders>
              <w:top w:val="single" w:sz="4" w:space="0" w:color="000000"/>
              <w:left w:val="single" w:sz="10"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33" w:type="dxa"/>
            <w:tcBorders>
              <w:top w:val="single" w:sz="4" w:space="0" w:color="000000"/>
              <w:left w:val="single" w:sz="10"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833" w:type="dxa"/>
            <w:vMerge w:val="restart"/>
            <w:tcBorders>
              <w:top w:val="single" w:sz="4" w:space="0" w:color="000000"/>
              <w:left w:val="single" w:sz="10" w:space="0" w:color="D2D2D2"/>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sz w:val="21"/>
              </w:rPr>
              <w:t>195,821,</w:t>
            </w:r>
          </w:p>
          <w:p>
            <w:pPr>
              <w:pStyle w:val="TableParagraph"/>
              <w:spacing w:line="240" w:lineRule="auto" w:before="70"/>
              <w:ind w:left="16" w:right="0"/>
              <w:jc w:val="left"/>
              <w:rPr>
                <w:rFonts w:ascii="Times New Roman" w:hAnsi="Times New Roman" w:cs="Times New Roman" w:eastAsia="Times New Roman" w:hint="default"/>
                <w:sz w:val="21"/>
                <w:szCs w:val="21"/>
              </w:rPr>
            </w:pPr>
            <w:r>
              <w:rPr>
                <w:rFonts w:ascii="Times New Roman"/>
                <w:sz w:val="21"/>
              </w:rPr>
              <w:t>670.00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267,699,</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785.03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sz w:val="21"/>
              </w:rPr>
              <w:t>19,070</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,999.2</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w w:val="100"/>
                <w:sz w:val="21"/>
              </w:rPr>
              <w:t>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-7,607,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528.80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28,317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,668.5</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w w:val="100"/>
                <w:sz w:val="21"/>
              </w:rPr>
              <w:t>8</w:t>
            </w:r>
          </w:p>
        </w:tc>
        <w:tc>
          <w:tcPr>
            <w:tcW w:w="600"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226,28</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1,467.7</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w w:val="100"/>
                <w:sz w:val="21"/>
              </w:rPr>
              <w:t>6</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12,932,1</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46.14</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704,374,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209.47</w:t>
            </w:r>
          </w:p>
        </w:tc>
      </w:tr>
      <w:tr>
        <w:trPr>
          <w:trHeight w:val="624"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26" w:right="17"/>
              <w:jc w:val="left"/>
              <w:rPr>
                <w:rFonts w:ascii="宋体" w:hAnsi="宋体" w:cs="宋体" w:eastAsia="宋体" w:hint="default"/>
                <w:sz w:val="21"/>
                <w:szCs w:val="21"/>
              </w:rPr>
            </w:pPr>
            <w:r>
              <w:rPr>
                <w:rFonts w:ascii="宋体" w:hAnsi="宋体" w:cs="宋体" w:eastAsia="宋体" w:hint="default"/>
                <w:spacing w:val="-14"/>
                <w:w w:val="100"/>
                <w:sz w:val="21"/>
                <w:szCs w:val="21"/>
              </w:rPr>
              <w:t>二、本年期初余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33" w:type="dxa"/>
            <w:vMerge/>
            <w:tcBorders>
              <w:left w:val="single" w:sz="10"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0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161"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833" w:type="dxa"/>
            <w:vMerge/>
            <w:tcBorders>
              <w:left w:val="single" w:sz="10"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00"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600" w:right="720"/>
        </w:sectPr>
      </w:pPr>
    </w:p>
    <w:p>
      <w:pPr>
        <w:spacing w:line="240" w:lineRule="auto" w:before="11"/>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437"/>
        <w:gridCol w:w="833"/>
        <w:gridCol w:w="531"/>
        <w:gridCol w:w="530"/>
        <w:gridCol w:w="533"/>
        <w:gridCol w:w="816"/>
        <w:gridCol w:w="665"/>
        <w:gridCol w:w="665"/>
        <w:gridCol w:w="665"/>
        <w:gridCol w:w="665"/>
        <w:gridCol w:w="600"/>
        <w:gridCol w:w="710"/>
        <w:gridCol w:w="850"/>
        <w:gridCol w:w="852"/>
      </w:tblGrid>
      <w:tr>
        <w:trPr>
          <w:trHeight w:val="94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5" w:right="17"/>
              <w:jc w:val="both"/>
              <w:rPr>
                <w:rFonts w:ascii="宋体" w:hAnsi="宋体" w:cs="宋体" w:eastAsia="宋体" w:hint="default"/>
                <w:sz w:val="21"/>
                <w:szCs w:val="21"/>
              </w:rPr>
            </w:pPr>
            <w:r>
              <w:rPr>
                <w:rFonts w:ascii="宋体" w:hAnsi="宋体" w:cs="宋体" w:eastAsia="宋体" w:hint="default"/>
                <w:spacing w:val="-14"/>
                <w:w w:val="100"/>
                <w:sz w:val="21"/>
                <w:szCs w:val="21"/>
              </w:rPr>
              <w:t>三、本期增减变</w:t>
            </w:r>
            <w:r>
              <w:rPr>
                <w:rFonts w:ascii="宋体" w:hAnsi="宋体" w:cs="宋体" w:eastAsia="宋体" w:hint="default"/>
                <w:w w:val="100"/>
                <w:sz w:val="21"/>
                <w:szCs w:val="21"/>
              </w:rPr>
              <w:t> </w:t>
            </w:r>
            <w:r>
              <w:rPr>
                <w:rFonts w:ascii="宋体" w:hAnsi="宋体" w:cs="宋体" w:eastAsia="宋体" w:hint="default"/>
                <w:spacing w:val="-14"/>
                <w:w w:val="100"/>
                <w:sz w:val="21"/>
                <w:szCs w:val="21"/>
              </w:rPr>
              <w:t>动金额（减少以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253,757,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297.00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561,753,</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001.58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2,822,</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015.11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3,653,</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410.20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6,500,</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476.59</w:t>
            </w: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101,57</w:t>
            </w:r>
          </w:p>
          <w:p>
            <w:pPr>
              <w:pStyle w:val="TableParagraph"/>
              <w:spacing w:line="240" w:lineRule="auto" w:before="71"/>
              <w:ind w:left="26" w:right="0"/>
              <w:jc w:val="left"/>
              <w:rPr>
                <w:rFonts w:ascii="Times New Roman" w:hAnsi="Times New Roman" w:cs="Times New Roman" w:eastAsia="Times New Roman" w:hint="default"/>
                <w:sz w:val="21"/>
                <w:szCs w:val="21"/>
              </w:rPr>
            </w:pPr>
            <w:r>
              <w:rPr>
                <w:rFonts w:ascii="Times New Roman"/>
                <w:sz w:val="21"/>
              </w:rPr>
              <w:t>0,699.4</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w w:val="100"/>
                <w:sz w:val="21"/>
              </w:rPr>
              <w:t>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3,349,89</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9.61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927,762,</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769.32</w:t>
            </w:r>
          </w:p>
        </w:tc>
      </w:tr>
      <w:tr>
        <w:trPr>
          <w:trHeight w:val="94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5" w:right="17"/>
              <w:jc w:val="left"/>
              <w:rPr>
                <w:rFonts w:ascii="宋体" w:hAnsi="宋体" w:cs="宋体" w:eastAsia="宋体" w:hint="default"/>
                <w:sz w:val="21"/>
                <w:szCs w:val="21"/>
              </w:rPr>
            </w:pPr>
            <w:r>
              <w:rPr>
                <w:rFonts w:ascii="宋体" w:hAnsi="宋体" w:cs="宋体" w:eastAsia="宋体" w:hint="default"/>
                <w:spacing w:val="-14"/>
                <w:w w:val="100"/>
                <w:sz w:val="21"/>
                <w:szCs w:val="21"/>
              </w:rPr>
              <w:t>（一）综合收益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3,653,</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410.20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127,45</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0,223.2</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w w:val="100"/>
                <w:sz w:val="21"/>
              </w:rPr>
              <w:t>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-1,435,1</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68.47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129,668,</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464.97</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5" w:right="17"/>
              <w:jc w:val="left"/>
              <w:rPr>
                <w:rFonts w:ascii="宋体" w:hAnsi="宋体" w:cs="宋体" w:eastAsia="宋体" w:hint="default"/>
                <w:sz w:val="21"/>
                <w:szCs w:val="21"/>
              </w:rPr>
            </w:pPr>
            <w:r>
              <w:rPr>
                <w:rFonts w:ascii="宋体" w:hAnsi="宋体" w:cs="宋体" w:eastAsia="宋体" w:hint="default"/>
                <w:spacing w:val="-14"/>
                <w:w w:val="100"/>
                <w:sz w:val="21"/>
                <w:szCs w:val="21"/>
              </w:rPr>
              <w:t>（二）所有者投</w:t>
            </w:r>
            <w:r>
              <w:rPr>
                <w:rFonts w:ascii="宋体" w:hAnsi="宋体" w:cs="宋体" w:eastAsia="宋体" w:hint="default"/>
                <w:w w:val="100"/>
                <w:sz w:val="21"/>
                <w:szCs w:val="21"/>
              </w:rPr>
              <w:t> </w:t>
            </w:r>
            <w:r>
              <w:rPr>
                <w:rFonts w:ascii="宋体" w:hAnsi="宋体" w:cs="宋体" w:eastAsia="宋体" w:hint="default"/>
                <w:sz w:val="21"/>
                <w:szCs w:val="21"/>
              </w:rPr>
              <w:t>入和减少资本</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57,935,6</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27.00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757,574,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671.58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sz w:val="21"/>
              </w:rPr>
              <w:t>2,822,</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015.11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4,785,06</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8.08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817,473,</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351.55</w:t>
            </w:r>
          </w:p>
        </w:tc>
      </w:tr>
      <w:tr>
        <w:trPr>
          <w:trHeight w:val="63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25" w:right="3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w:t>
            </w:r>
            <w:r>
              <w:rPr>
                <w:rFonts w:ascii="宋体" w:hAnsi="宋体" w:cs="宋体" w:eastAsia="宋体" w:hint="default"/>
                <w:w w:val="100"/>
                <w:sz w:val="21"/>
                <w:szCs w:val="21"/>
              </w:rPr>
              <w:t> </w:t>
            </w:r>
            <w:r>
              <w:rPr>
                <w:rFonts w:ascii="宋体" w:hAnsi="宋体" w:cs="宋体" w:eastAsia="宋体" w:hint="default"/>
                <w:sz w:val="21"/>
                <w:szCs w:val="21"/>
              </w:rPr>
              <w:t>普通股</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57,935,6</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27.00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757,792,</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542.39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4,383,48</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pacing w:val="-3"/>
                <w:sz w:val="21"/>
              </w:rPr>
              <w:t>820,111,</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649.39</w:t>
            </w:r>
          </w:p>
        </w:tc>
      </w:tr>
      <w:tr>
        <w:trPr>
          <w:trHeight w:val="94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ind w:left="25" w:right="3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r>
              <w:rPr>
                <w:rFonts w:ascii="宋体" w:hAnsi="宋体" w:cs="宋体" w:eastAsia="宋体" w:hint="default"/>
                <w:w w:val="100"/>
                <w:sz w:val="21"/>
                <w:szCs w:val="21"/>
              </w:rPr>
              <w:t> </w:t>
            </w: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ind w:left="25" w:right="3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725,707.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2,822,</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015.11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-2,096,3</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07.51</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-943,578</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401,588.</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-541,990</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.33</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5"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三</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6,500,</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476.59</w:t>
            </w: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-25,879</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,523.79</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-19,379,</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047.20</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25" w:right="3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6,500,</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476.59</w:t>
            </w: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-6,500,</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476.59</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25" w:right="3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w:t>
            </w:r>
            <w:r>
              <w:rPr>
                <w:rFonts w:ascii="宋体" w:hAnsi="宋体" w:cs="宋体" w:eastAsia="宋体" w:hint="default"/>
                <w:w w:val="100"/>
                <w:sz w:val="21"/>
                <w:szCs w:val="21"/>
              </w:rPr>
              <w:t> </w:t>
            </w:r>
            <w:r>
              <w:rPr>
                <w:rFonts w:ascii="宋体" w:hAnsi="宋体" w:cs="宋体" w:eastAsia="宋体" w:hint="default"/>
                <w:sz w:val="21"/>
                <w:szCs w:val="21"/>
              </w:rPr>
              <w:t>险准备</w:t>
            </w: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25" w:right="17"/>
              <w:jc w:val="left"/>
              <w:rPr>
                <w:rFonts w:ascii="宋体" w:hAnsi="宋体" w:cs="宋体" w:eastAsia="宋体" w:hint="default"/>
                <w:sz w:val="21"/>
                <w:szCs w:val="21"/>
              </w:rPr>
            </w:pPr>
            <w:r>
              <w:rPr>
                <w:rFonts w:ascii="Times New Roman" w:hAnsi="Times New Roman" w:cs="Times New Roman" w:eastAsia="Times New Roman" w:hint="default"/>
                <w:spacing w:val="-26"/>
                <w:w w:val="100"/>
                <w:sz w:val="21"/>
                <w:szCs w:val="21"/>
              </w:rPr>
              <w:t>3</w:t>
            </w:r>
            <w:r>
              <w:rPr>
                <w:rFonts w:ascii="宋体" w:hAnsi="宋体" w:cs="宋体" w:eastAsia="宋体" w:hint="default"/>
                <w:spacing w:val="-26"/>
                <w:w w:val="100"/>
                <w:sz w:val="21"/>
                <w:szCs w:val="21"/>
              </w:rPr>
              <w:t>．对所有者（或</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股东）的分配</w:t>
            </w: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-19,379</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,047.20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-19,379,</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047.20</w:t>
            </w: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5" w:right="17"/>
              <w:jc w:val="left"/>
              <w:rPr>
                <w:rFonts w:ascii="宋体" w:hAnsi="宋体" w:cs="宋体" w:eastAsia="宋体" w:hint="default"/>
                <w:sz w:val="21"/>
                <w:szCs w:val="21"/>
              </w:rPr>
            </w:pPr>
            <w:r>
              <w:rPr>
                <w:rFonts w:ascii="宋体" w:hAnsi="宋体" w:cs="宋体" w:eastAsia="宋体" w:hint="default"/>
                <w:spacing w:val="-14"/>
                <w:w w:val="100"/>
                <w:sz w:val="21"/>
                <w:szCs w:val="21"/>
              </w:rPr>
              <w:t>（四）所有者权</w:t>
            </w:r>
            <w:r>
              <w:rPr>
                <w:rFonts w:ascii="宋体" w:hAnsi="宋体" w:cs="宋体" w:eastAsia="宋体" w:hint="default"/>
                <w:w w:val="100"/>
                <w:sz w:val="21"/>
                <w:szCs w:val="21"/>
              </w:rPr>
              <w:t> </w:t>
            </w:r>
            <w:r>
              <w:rPr>
                <w:rFonts w:ascii="宋体" w:hAnsi="宋体" w:cs="宋体" w:eastAsia="宋体" w:hint="default"/>
                <w:sz w:val="21"/>
                <w:szCs w:val="21"/>
              </w:rPr>
              <w:t>益内部结转</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195,821,</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670.00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-195,821</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ind w:left="25" w:right="3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195,821,</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670.00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-195,821</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ind w:left="25" w:right="3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25" w:right="3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r>
              <w:rPr>
                <w:rFonts w:ascii="宋体" w:hAnsi="宋体" w:cs="宋体" w:eastAsia="宋体" w:hint="default"/>
                <w:w w:val="100"/>
                <w:sz w:val="21"/>
                <w:szCs w:val="21"/>
              </w:rPr>
              <w:t> </w:t>
            </w:r>
            <w:r>
              <w:rPr>
                <w:rFonts w:ascii="宋体" w:hAnsi="宋体" w:cs="宋体" w:eastAsia="宋体" w:hint="default"/>
                <w:sz w:val="21"/>
                <w:szCs w:val="21"/>
              </w:rPr>
              <w:t>补亏损</w:t>
            </w: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5"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五</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储</w:t>
            </w:r>
            <w:r>
              <w:rPr>
                <w:rFonts w:ascii="宋体" w:hAnsi="宋体" w:cs="宋体" w:eastAsia="宋体" w:hint="default"/>
                <w:w w:val="100"/>
                <w:sz w:val="21"/>
                <w:szCs w:val="21"/>
              </w:rPr>
              <w:t>备</w:t>
            </w: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5"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六</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5" w:right="17"/>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449,578,</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967.00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829,452,</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786.61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21"/>
                <w:szCs w:val="21"/>
              </w:rPr>
            </w:pPr>
            <w:r>
              <w:rPr>
                <w:rFonts w:ascii="Times New Roman"/>
                <w:sz w:val="21"/>
              </w:rPr>
              <w:t>21,8</w:t>
            </w:r>
          </w:p>
          <w:p>
            <w:pPr>
              <w:pStyle w:val="TableParagraph"/>
              <w:spacing w:line="240" w:lineRule="auto" w:before="70"/>
              <w:ind w:left="24" w:right="0"/>
              <w:jc w:val="left"/>
              <w:rPr>
                <w:rFonts w:ascii="Times New Roman" w:hAnsi="Times New Roman" w:cs="Times New Roman" w:eastAsia="Times New Roman" w:hint="default"/>
                <w:sz w:val="21"/>
                <w:szCs w:val="21"/>
              </w:rPr>
            </w:pPr>
            <w:r>
              <w:rPr>
                <w:rFonts w:ascii="Times New Roman"/>
                <w:sz w:val="21"/>
              </w:rPr>
              <w:t>93,0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-3,954,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118.60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34,818</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,145.1</w:t>
            </w: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6" w:right="0"/>
              <w:jc w:val="left"/>
              <w:rPr>
                <w:rFonts w:ascii="Times New Roman" w:hAnsi="Times New Roman" w:cs="Times New Roman" w:eastAsia="Times New Roman" w:hint="default"/>
                <w:sz w:val="21"/>
                <w:szCs w:val="21"/>
              </w:rPr>
            </w:pPr>
            <w:r>
              <w:rPr>
                <w:rFonts w:ascii="Times New Roman"/>
                <w:sz w:val="21"/>
              </w:rPr>
              <w:t>327,85</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2,167.2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16,282,0</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45.75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1,632,13</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6,978.79</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0" w:top="1100" w:bottom="1160" w:left="600" w:right="720"/>
        </w:sectPr>
      </w:pPr>
    </w:p>
    <w:p>
      <w:pPr>
        <w:spacing w:line="240" w:lineRule="auto" w:before="11"/>
        <w:rPr>
          <w:rFonts w:ascii="Times New Roman" w:hAnsi="Times New Roman" w:cs="Times New Roman" w:eastAsia="Times New Roman" w:hint="default"/>
          <w:sz w:val="27"/>
          <w:szCs w:val="27"/>
        </w:rPr>
      </w:pPr>
    </w:p>
    <w:tbl>
      <w:tblPr>
        <w:tblW w:w="0" w:type="auto"/>
        <w:jc w:val="left"/>
        <w:tblInd w:w="242" w:type="dxa"/>
        <w:tblLayout w:type="fixed"/>
        <w:tblCellMar>
          <w:top w:w="0" w:type="dxa"/>
          <w:left w:w="0" w:type="dxa"/>
          <w:bottom w:w="0" w:type="dxa"/>
          <w:right w:w="0" w:type="dxa"/>
        </w:tblCellMar>
        <w:tblLook w:val="01E0"/>
      </w:tblPr>
      <w:tblGrid>
        <w:gridCol w:w="1437"/>
        <w:gridCol w:w="833"/>
        <w:gridCol w:w="531"/>
        <w:gridCol w:w="530"/>
        <w:gridCol w:w="533"/>
        <w:gridCol w:w="816"/>
        <w:gridCol w:w="665"/>
        <w:gridCol w:w="665"/>
        <w:gridCol w:w="665"/>
        <w:gridCol w:w="665"/>
        <w:gridCol w:w="600"/>
        <w:gridCol w:w="710"/>
        <w:gridCol w:w="850"/>
        <w:gridCol w:w="852"/>
      </w:tblGrid>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sz w:val="21"/>
              </w:rPr>
              <w:t>14.3</w:t>
            </w:r>
          </w:p>
          <w:p>
            <w:pPr>
              <w:pStyle w:val="TableParagraph"/>
              <w:spacing w:line="240" w:lineRule="auto" w:before="71"/>
              <w:ind w:left="24" w:right="0"/>
              <w:jc w:val="left"/>
              <w:rPr>
                <w:rFonts w:ascii="Times New Roman" w:hAnsi="Times New Roman" w:cs="Times New Roman" w:eastAsia="Times New Roman" w:hint="default"/>
                <w:sz w:val="21"/>
                <w:szCs w:val="21"/>
              </w:rPr>
            </w:pPr>
            <w:r>
              <w:rPr>
                <w:rFonts w:ascii="Times New Roman"/>
                <w:w w:val="100"/>
                <w:sz w:val="21"/>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w w:val="100"/>
                <w:sz w:val="21"/>
              </w:rPr>
              <w:t>7</w:t>
            </w:r>
          </w:p>
        </w:tc>
        <w:tc>
          <w:tcPr>
            <w:tcW w:w="6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w w:val="100"/>
                <w:sz w:val="21"/>
              </w:rPr>
              <w:t>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Times New Roman" w:hAnsi="Times New Roman" w:cs="Times New Roman" w:eastAsia="Times New Roman" w:hint="default"/>
          <w:sz w:val="27"/>
          <w:szCs w:val="27"/>
        </w:rPr>
      </w:pPr>
    </w:p>
    <w:p>
      <w:pPr>
        <w:pStyle w:val="Heading2"/>
        <w:spacing w:line="240" w:lineRule="auto" w:before="26"/>
        <w:ind w:left="1153" w:right="397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1153" w:right="3973"/>
        <w:jc w:val="left"/>
      </w:pPr>
      <w:r>
        <w:rPr/>
        <w:t>本期金额</w:t>
      </w:r>
    </w:p>
    <w:p>
      <w:pPr>
        <w:spacing w:line="240" w:lineRule="auto" w:before="12"/>
        <w:rPr>
          <w:rFonts w:ascii="宋体" w:hAnsi="宋体" w:cs="宋体" w:eastAsia="宋体" w:hint="default"/>
          <w:sz w:val="10"/>
          <w:szCs w:val="10"/>
        </w:rPr>
      </w:pPr>
    </w:p>
    <w:p>
      <w:pPr>
        <w:spacing w:before="36"/>
        <w:ind w:left="0" w:right="98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1418"/>
        <w:gridCol w:w="839"/>
        <w:gridCol w:w="665"/>
        <w:gridCol w:w="665"/>
        <w:gridCol w:w="665"/>
        <w:gridCol w:w="977"/>
        <w:gridCol w:w="797"/>
        <w:gridCol w:w="797"/>
        <w:gridCol w:w="800"/>
        <w:gridCol w:w="905"/>
        <w:gridCol w:w="958"/>
        <w:gridCol w:w="1562"/>
      </w:tblGrid>
      <w:tr>
        <w:trPr>
          <w:trHeight w:val="323"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96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3"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16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839" w:type="dxa"/>
            <w:vMerge w:val="restart"/>
            <w:tcBorders>
              <w:top w:val="single" w:sz="4" w:space="0" w:color="000000"/>
              <w:left w:val="single" w:sz="4" w:space="0" w:color="000000"/>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44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77" w:type="dxa"/>
            <w:vMerge w:val="restart"/>
            <w:tcBorders>
              <w:top w:val="single" w:sz="4" w:space="0" w:color="000000"/>
              <w:left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905" w:type="dxa"/>
            <w:vMerge w:val="restart"/>
            <w:tcBorders>
              <w:top w:val="single" w:sz="4" w:space="0" w:color="000000"/>
              <w:left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2" w:type="dxa"/>
            <w:vMerge w:val="restart"/>
            <w:tcBorders>
              <w:top w:val="single" w:sz="4" w:space="0" w:color="000000"/>
              <w:left w:val="single" w:sz="4" w:space="0" w:color="000000"/>
              <w:right w:val="single" w:sz="4" w:space="0" w:color="000000"/>
            </w:tcBorders>
            <w:shd w:val="clear" w:color="auto" w:fill="D2D2D2"/>
          </w:tcPr>
          <w:p>
            <w:pPr/>
          </w:p>
        </w:tc>
      </w:tr>
      <w:tr>
        <w:trPr>
          <w:trHeight w:val="157"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left="43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839" w:type="dxa"/>
            <w:vMerge/>
            <w:tcBorders>
              <w:left w:val="single" w:sz="4" w:space="0" w:color="000000"/>
              <w:bottom w:val="nil" w:sz="6" w:space="0" w:color="auto"/>
              <w:right w:val="single" w:sz="4" w:space="0" w:color="000000"/>
            </w:tcBorders>
            <w:shd w:val="clear" w:color="auto" w:fill="D2D2D2"/>
          </w:tcPr>
          <w:p>
            <w:pP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97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26"/>
                <w:w w:val="100"/>
                <w:sz w:val="21"/>
                <w:szCs w:val="21"/>
              </w:rPr>
              <w:t>减：库存</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股</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3" w:right="127"/>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3" w:right="130"/>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905" w:type="dxa"/>
            <w:vMerge/>
            <w:tcBorders>
              <w:left w:val="single" w:sz="4" w:space="0" w:color="000000"/>
              <w:bottom w:val="nil" w:sz="6" w:space="0" w:color="auto"/>
              <w:right w:val="single" w:sz="4" w:space="0" w:color="000000"/>
            </w:tcBorders>
            <w:shd w:val="clear" w:color="auto" w:fill="D2D2D2"/>
          </w:tcPr>
          <w:p>
            <w:pP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3" w:right="79"/>
              <w:jc w:val="left"/>
              <w:rPr>
                <w:rFonts w:ascii="宋体" w:hAnsi="宋体" w:cs="宋体" w:eastAsia="宋体" w:hint="default"/>
                <w:sz w:val="21"/>
                <w:szCs w:val="21"/>
              </w:rPr>
            </w:pPr>
            <w:r>
              <w:rPr>
                <w:rFonts w:ascii="宋体" w:hAnsi="宋体" w:cs="宋体" w:eastAsia="宋体" w:hint="default"/>
                <w:sz w:val="21"/>
                <w:szCs w:val="21"/>
              </w:rPr>
              <w:t>未分配利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562"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839"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3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3" w:right="207"/>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3" w:right="2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977" w:type="dxa"/>
            <w:vMerge w:val="restart"/>
            <w:tcBorders>
              <w:top w:val="nil" w:sz="6" w:space="0" w:color="auto"/>
              <w:left w:val="single" w:sz="13" w:space="0" w:color="D2D2D2"/>
              <w:right w:val="single" w:sz="23" w:space="0" w:color="D2D2D2"/>
            </w:tcBorders>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资本公积</w:t>
            </w:r>
            <w:r>
              <w:rPr>
                <w:rFonts w:ascii="宋体" w:hAnsi="宋体" w:cs="宋体" w:eastAsia="宋体" w:hint="default"/>
                <w:sz w:val="21"/>
                <w:szCs w:val="21"/>
              </w:rPr>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905" w:type="dxa"/>
            <w:vMerge w:val="restart"/>
            <w:tcBorders>
              <w:top w:val="nil" w:sz="6" w:space="0" w:color="auto"/>
              <w:left w:val="single" w:sz="22" w:space="0" w:color="D2D2D2"/>
              <w:right w:val="single" w:sz="22" w:space="0" w:color="D2D2D2"/>
            </w:tcBorders>
          </w:tcPr>
          <w:p>
            <w:pPr>
              <w:pStyle w:val="TableParagraph"/>
              <w:spacing w:line="262"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盈余公积</w:t>
            </w:r>
            <w:r>
              <w:rPr>
                <w:rFonts w:ascii="宋体" w:hAnsi="宋体" w:cs="宋体" w:eastAsia="宋体" w:hint="default"/>
                <w:sz w:val="21"/>
                <w:szCs w:val="21"/>
              </w:rPr>
            </w:r>
          </w:p>
        </w:tc>
        <w:tc>
          <w:tcPr>
            <w:tcW w:w="958" w:type="dxa"/>
            <w:vMerge/>
            <w:tcBorders>
              <w:left w:val="single" w:sz="4" w:space="0" w:color="000000"/>
              <w:right w:val="single" w:sz="4" w:space="0" w:color="000000"/>
            </w:tcBorders>
            <w:shd w:val="clear" w:color="auto" w:fill="D2D2D2"/>
          </w:tcPr>
          <w:p>
            <w:pPr/>
          </w:p>
        </w:tc>
        <w:tc>
          <w:tcPr>
            <w:tcW w:w="1562" w:type="dxa"/>
            <w:vMerge w:val="restart"/>
            <w:tcBorders>
              <w:top w:val="nil" w:sz="6" w:space="0" w:color="auto"/>
              <w:left w:val="single" w:sz="9" w:space="0" w:color="D2D2D2"/>
              <w:right w:val="single" w:sz="12" w:space="0" w:color="D2D2D2"/>
            </w:tcBorders>
          </w:tcPr>
          <w:p>
            <w:pPr>
              <w:pStyle w:val="TableParagraph"/>
              <w:spacing w:line="262" w:lineRule="exact"/>
              <w:ind w:left="1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所有者权益合计</w:t>
            </w:r>
            <w:r>
              <w:rPr>
                <w:rFonts w:ascii="宋体" w:hAnsi="宋体" w:cs="宋体" w:eastAsia="宋体" w:hint="default"/>
                <w:sz w:val="21"/>
                <w:szCs w:val="21"/>
              </w:rPr>
            </w:r>
          </w:p>
        </w:tc>
      </w:tr>
      <w:tr>
        <w:trPr>
          <w:trHeight w:val="156"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839"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67"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77" w:type="dxa"/>
            <w:vMerge/>
            <w:tcBorders>
              <w:left w:val="single" w:sz="13" w:space="0" w:color="D2D2D2"/>
              <w:bottom w:val="nil" w:sz="6" w:space="0" w:color="auto"/>
              <w:right w:val="single" w:sz="23" w:space="0" w:color="D2D2D2"/>
            </w:tcBorders>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905" w:type="dxa"/>
            <w:vMerge/>
            <w:tcBorders>
              <w:left w:val="single" w:sz="22" w:space="0" w:color="D2D2D2"/>
              <w:bottom w:val="nil" w:sz="6" w:space="0" w:color="auto"/>
              <w:right w:val="single" w:sz="22" w:space="0" w:color="D2D2D2"/>
            </w:tcBorders>
          </w:tcPr>
          <w:p>
            <w:pPr/>
          </w:p>
        </w:tc>
        <w:tc>
          <w:tcPr>
            <w:tcW w:w="958" w:type="dxa"/>
            <w:vMerge/>
            <w:tcBorders>
              <w:left w:val="single" w:sz="4" w:space="0" w:color="000000"/>
              <w:right w:val="single" w:sz="4" w:space="0" w:color="000000"/>
            </w:tcBorders>
            <w:shd w:val="clear" w:color="auto" w:fill="D2D2D2"/>
          </w:tcPr>
          <w:p>
            <w:pPr/>
          </w:p>
        </w:tc>
        <w:tc>
          <w:tcPr>
            <w:tcW w:w="1562" w:type="dxa"/>
            <w:vMerge/>
            <w:tcBorders>
              <w:left w:val="single" w:sz="9" w:space="0" w:color="D2D2D2"/>
              <w:bottom w:val="nil" w:sz="6" w:space="0" w:color="auto"/>
              <w:right w:val="single" w:sz="12" w:space="0" w:color="D2D2D2"/>
            </w:tcBorders>
          </w:tcPr>
          <w:p>
            <w:pPr/>
          </w:p>
        </w:tc>
      </w:tr>
      <w:tr>
        <w:trPr>
          <w:trHeight w:val="158" w:hRule="exact"/>
        </w:trPr>
        <w:tc>
          <w:tcPr>
            <w:tcW w:w="1418" w:type="dxa"/>
            <w:vMerge/>
            <w:tcBorders>
              <w:left w:val="single" w:sz="4" w:space="0" w:color="000000"/>
              <w:right w:val="single" w:sz="4" w:space="0" w:color="000000"/>
            </w:tcBorders>
            <w:shd w:val="clear" w:color="auto" w:fill="D2D2D2"/>
          </w:tcPr>
          <w:p>
            <w:pPr/>
          </w:p>
        </w:tc>
        <w:tc>
          <w:tcPr>
            <w:tcW w:w="839"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977"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905" w:type="dxa"/>
            <w:vMerge w:val="restart"/>
            <w:tcBorders>
              <w:top w:val="nil" w:sz="6" w:space="0" w:color="auto"/>
              <w:left w:val="single" w:sz="4" w:space="0" w:color="000000"/>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1562" w:type="dxa"/>
            <w:vMerge w:val="restart"/>
            <w:tcBorders>
              <w:top w:val="nil" w:sz="6" w:space="0" w:color="auto"/>
              <w:left w:val="single" w:sz="4" w:space="0" w:color="000000"/>
              <w:right w:val="single" w:sz="4" w:space="0" w:color="000000"/>
            </w:tcBorders>
            <w:shd w:val="clear" w:color="auto" w:fill="D2D2D2"/>
          </w:tcPr>
          <w:p>
            <w:pPr/>
          </w:p>
        </w:tc>
      </w:tr>
      <w:tr>
        <w:trPr>
          <w:trHeight w:val="16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39"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97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2"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6"/>
              <w:jc w:val="left"/>
              <w:rPr>
                <w:rFonts w:ascii="宋体" w:hAnsi="宋体" w:cs="宋体" w:eastAsia="宋体" w:hint="default"/>
                <w:sz w:val="21"/>
                <w:szCs w:val="21"/>
              </w:rPr>
            </w:pPr>
            <w:r>
              <w:rPr>
                <w:rFonts w:ascii="宋体" w:hAnsi="宋体" w:cs="宋体" w:eastAsia="宋体" w:hint="default"/>
                <w:spacing w:val="-14"/>
                <w:w w:val="100"/>
                <w:sz w:val="21"/>
                <w:szCs w:val="21"/>
              </w:rPr>
              <w:t>一、上年期末余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8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7" w:right="0"/>
              <w:jc w:val="left"/>
              <w:rPr>
                <w:rFonts w:ascii="Times New Roman" w:hAnsi="Times New Roman" w:cs="Times New Roman" w:eastAsia="Times New Roman" w:hint="default"/>
                <w:sz w:val="21"/>
                <w:szCs w:val="21"/>
              </w:rPr>
            </w:pPr>
            <w:r>
              <w:rPr>
                <w:rFonts w:ascii="Times New Roman"/>
                <w:sz w:val="21"/>
              </w:rPr>
              <w:t>449,578,</w:t>
            </w:r>
          </w:p>
          <w:p>
            <w:pPr>
              <w:pStyle w:val="TableParagraph"/>
              <w:spacing w:line="240" w:lineRule="auto" w:before="70"/>
              <w:ind w:left="27" w:right="0"/>
              <w:jc w:val="left"/>
              <w:rPr>
                <w:rFonts w:ascii="Times New Roman" w:hAnsi="Times New Roman" w:cs="Times New Roman" w:eastAsia="Times New Roman" w:hint="default"/>
                <w:sz w:val="21"/>
                <w:szCs w:val="21"/>
              </w:rPr>
            </w:pPr>
            <w:r>
              <w:rPr>
                <w:rFonts w:ascii="Times New Roman"/>
                <w:sz w:val="21"/>
              </w:rPr>
              <w:t>967.00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836,812,1</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45.02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21,893,0</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14.35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34,818,14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5.17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239,484,4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36.70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1,538,800,679.54</w:t>
            </w: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6" w:firstLine="211"/>
              <w:jc w:val="left"/>
              <w:rPr>
                <w:rFonts w:ascii="宋体" w:hAnsi="宋体" w:cs="宋体" w:eastAsia="宋体" w:hint="default"/>
                <w:sz w:val="21"/>
                <w:szCs w:val="21"/>
              </w:rPr>
            </w:pPr>
            <w:r>
              <w:rPr>
                <w:rFonts w:ascii="宋体" w:hAnsi="宋体" w:cs="宋体" w:eastAsia="宋体" w:hint="default"/>
                <w:spacing w:val="-16"/>
                <w:w w:val="100"/>
                <w:sz w:val="21"/>
                <w:szCs w:val="21"/>
              </w:rPr>
              <w:t>加：会计政策</w:t>
            </w:r>
            <w:r>
              <w:rPr>
                <w:rFonts w:ascii="宋体" w:hAnsi="宋体" w:cs="宋体" w:eastAsia="宋体" w:hint="default"/>
                <w:w w:val="100"/>
                <w:sz w:val="21"/>
                <w:szCs w:val="21"/>
              </w:rPr>
              <w:t> </w:t>
            </w:r>
            <w:r>
              <w:rPr>
                <w:rFonts w:ascii="宋体" w:hAnsi="宋体" w:cs="宋体" w:eastAsia="宋体" w:hint="default"/>
                <w:sz w:val="21"/>
                <w:szCs w:val="21"/>
              </w:rPr>
              <w:t>变更</w:t>
            </w:r>
          </w:p>
        </w:tc>
        <w:tc>
          <w:tcPr>
            <w:tcW w:w="83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83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3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6"/>
              <w:jc w:val="left"/>
              <w:rPr>
                <w:rFonts w:ascii="宋体" w:hAnsi="宋体" w:cs="宋体" w:eastAsia="宋体" w:hint="default"/>
                <w:sz w:val="21"/>
                <w:szCs w:val="21"/>
              </w:rPr>
            </w:pPr>
            <w:r>
              <w:rPr>
                <w:rFonts w:ascii="宋体" w:hAnsi="宋体" w:cs="宋体" w:eastAsia="宋体" w:hint="default"/>
                <w:spacing w:val="-14"/>
                <w:w w:val="100"/>
                <w:sz w:val="21"/>
                <w:szCs w:val="21"/>
              </w:rPr>
              <w:t>二、本年期初余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8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6"/>
              <w:ind w:left="27" w:right="0"/>
              <w:jc w:val="left"/>
              <w:rPr>
                <w:rFonts w:ascii="Times New Roman" w:hAnsi="Times New Roman" w:cs="Times New Roman" w:eastAsia="Times New Roman" w:hint="default"/>
                <w:sz w:val="21"/>
                <w:szCs w:val="21"/>
              </w:rPr>
            </w:pPr>
            <w:r>
              <w:rPr>
                <w:rFonts w:ascii="Times New Roman"/>
                <w:sz w:val="21"/>
              </w:rPr>
              <w:t>449,578,</w:t>
            </w:r>
          </w:p>
          <w:p>
            <w:pPr>
              <w:pStyle w:val="TableParagraph"/>
              <w:spacing w:line="240" w:lineRule="auto" w:before="70"/>
              <w:ind w:left="27" w:right="0"/>
              <w:jc w:val="left"/>
              <w:rPr>
                <w:rFonts w:ascii="Times New Roman" w:hAnsi="Times New Roman" w:cs="Times New Roman" w:eastAsia="Times New Roman" w:hint="default"/>
                <w:sz w:val="21"/>
                <w:szCs w:val="21"/>
              </w:rPr>
            </w:pPr>
            <w:r>
              <w:rPr>
                <w:rFonts w:ascii="Times New Roman"/>
                <w:sz w:val="21"/>
              </w:rPr>
              <w:t>967.00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836,812,1</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45.02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21,893,0</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14.35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34,818,14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5.17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239,484,4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36.70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1,538,800,679.54</w:t>
            </w:r>
          </w:p>
        </w:tc>
      </w:tr>
      <w:tr>
        <w:trPr>
          <w:trHeight w:val="94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6"/>
              <w:jc w:val="both"/>
              <w:rPr>
                <w:rFonts w:ascii="宋体" w:hAnsi="宋体" w:cs="宋体" w:eastAsia="宋体" w:hint="default"/>
                <w:sz w:val="21"/>
                <w:szCs w:val="21"/>
              </w:rPr>
            </w:pPr>
            <w:r>
              <w:rPr>
                <w:rFonts w:ascii="宋体" w:hAnsi="宋体" w:cs="宋体" w:eastAsia="宋体" w:hint="default"/>
                <w:spacing w:val="-14"/>
                <w:w w:val="100"/>
                <w:sz w:val="21"/>
                <w:szCs w:val="21"/>
              </w:rPr>
              <w:t>三、本期增减变</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4"/>
                <w:w w:val="100"/>
                <w:sz w:val="21"/>
                <w:szCs w:val="21"/>
              </w:rPr>
              <w:t>动金额（减少以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 w:right="0"/>
              <w:jc w:val="left"/>
              <w:rPr>
                <w:rFonts w:ascii="Times New Roman" w:hAnsi="Times New Roman" w:cs="Times New Roman" w:eastAsia="Times New Roman" w:hint="default"/>
                <w:sz w:val="21"/>
                <w:szCs w:val="21"/>
              </w:rPr>
            </w:pPr>
            <w:r>
              <w:rPr>
                <w:rFonts w:ascii="Times New Roman"/>
                <w:sz w:val="21"/>
              </w:rPr>
              <w:t>-41,600.</w:t>
            </w:r>
          </w:p>
          <w:p>
            <w:pPr>
              <w:pStyle w:val="TableParagraph"/>
              <w:spacing w:line="240" w:lineRule="auto" w:before="70"/>
              <w:ind w:left="27" w:right="0"/>
              <w:jc w:val="left"/>
              <w:rPr>
                <w:rFonts w:ascii="Times New Roman" w:hAnsi="Times New Roman" w:cs="Times New Roman" w:eastAsia="Times New Roman" w:hint="default"/>
                <w:sz w:val="21"/>
                <w:szCs w:val="21"/>
              </w:rPr>
            </w:pPr>
            <w:r>
              <w:rPr>
                <w:rFonts w:ascii="Times New Roman"/>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343,721.3</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w w:val="100"/>
                <w:sz w:val="21"/>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-21,407,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014.35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8,972,172</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.37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53,579,29</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4.61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84,260,602.72</w:t>
            </w: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6"/>
              <w:jc w:val="left"/>
              <w:rPr>
                <w:rFonts w:ascii="宋体" w:hAnsi="宋体" w:cs="宋体" w:eastAsia="宋体" w:hint="default"/>
                <w:sz w:val="21"/>
                <w:szCs w:val="21"/>
              </w:rPr>
            </w:pPr>
            <w:r>
              <w:rPr>
                <w:rFonts w:ascii="宋体" w:hAnsi="宋体" w:cs="宋体" w:eastAsia="宋体" w:hint="default"/>
                <w:spacing w:val="-14"/>
                <w:w w:val="100"/>
                <w:sz w:val="21"/>
                <w:szCs w:val="21"/>
              </w:rPr>
              <w:t>（一）综合收益</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总额</w:t>
            </w:r>
          </w:p>
        </w:tc>
        <w:tc>
          <w:tcPr>
            <w:tcW w:w="83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89,721,72</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3.74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89,721,723.74</w:t>
            </w: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6"/>
              <w:jc w:val="left"/>
              <w:rPr>
                <w:rFonts w:ascii="宋体" w:hAnsi="宋体" w:cs="宋体" w:eastAsia="宋体" w:hint="default"/>
                <w:sz w:val="21"/>
                <w:szCs w:val="21"/>
              </w:rPr>
            </w:pPr>
            <w:r>
              <w:rPr>
                <w:rFonts w:ascii="宋体" w:hAnsi="宋体" w:cs="宋体" w:eastAsia="宋体" w:hint="default"/>
                <w:spacing w:val="-14"/>
                <w:w w:val="100"/>
                <w:sz w:val="21"/>
                <w:szCs w:val="21"/>
              </w:rPr>
              <w:t>（二）所有者投</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入和减少资本</w:t>
            </w:r>
          </w:p>
        </w:tc>
        <w:tc>
          <w:tcPr>
            <w:tcW w:w="8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7" w:right="0"/>
              <w:jc w:val="left"/>
              <w:rPr>
                <w:rFonts w:ascii="Times New Roman" w:hAnsi="Times New Roman" w:cs="Times New Roman" w:eastAsia="Times New Roman" w:hint="default"/>
                <w:sz w:val="21"/>
                <w:szCs w:val="21"/>
              </w:rPr>
            </w:pPr>
            <w:r>
              <w:rPr>
                <w:rFonts w:ascii="Times New Roman"/>
                <w:sz w:val="21"/>
              </w:rPr>
              <w:t>-41,600.</w:t>
            </w:r>
          </w:p>
          <w:p>
            <w:pPr>
              <w:pStyle w:val="TableParagraph"/>
              <w:spacing w:line="240" w:lineRule="auto" w:before="70"/>
              <w:ind w:left="27" w:right="0"/>
              <w:jc w:val="left"/>
              <w:rPr>
                <w:rFonts w:ascii="Times New Roman" w:hAnsi="Times New Roman" w:cs="Times New Roman" w:eastAsia="Times New Roman" w:hint="default"/>
                <w:sz w:val="21"/>
                <w:szCs w:val="21"/>
              </w:rPr>
            </w:pPr>
            <w:r>
              <w:rPr>
                <w:rFonts w:ascii="Times New Roman"/>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196,553.3</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w w:val="100"/>
                <w:sz w:val="21"/>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-21,407,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014.35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21,561,967.74</w:t>
            </w: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12" w:right="2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w:t>
            </w:r>
            <w:r>
              <w:rPr>
                <w:rFonts w:ascii="宋体" w:hAnsi="宋体" w:cs="宋体" w:eastAsia="宋体" w:hint="default"/>
                <w:w w:val="100"/>
                <w:sz w:val="21"/>
                <w:szCs w:val="21"/>
              </w:rPr>
              <w:t> </w:t>
            </w:r>
            <w:r>
              <w:rPr>
                <w:rFonts w:ascii="宋体" w:hAnsi="宋体" w:cs="宋体" w:eastAsia="宋体" w:hint="default"/>
                <w:sz w:val="21"/>
                <w:szCs w:val="21"/>
              </w:rPr>
              <w:t>普通股</w:t>
            </w:r>
          </w:p>
        </w:tc>
        <w:tc>
          <w:tcPr>
            <w:tcW w:w="8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7" w:right="0"/>
              <w:jc w:val="left"/>
              <w:rPr>
                <w:rFonts w:ascii="Times New Roman" w:hAnsi="Times New Roman" w:cs="Times New Roman" w:eastAsia="Times New Roman" w:hint="default"/>
                <w:sz w:val="21"/>
                <w:szCs w:val="21"/>
              </w:rPr>
            </w:pPr>
            <w:r>
              <w:rPr>
                <w:rFonts w:ascii="Times New Roman"/>
                <w:sz w:val="21"/>
              </w:rPr>
              <w:t>-41,600.</w:t>
            </w:r>
          </w:p>
          <w:p>
            <w:pPr>
              <w:pStyle w:val="TableParagraph"/>
              <w:spacing w:line="240" w:lineRule="auto" w:before="70"/>
              <w:ind w:left="27" w:right="0"/>
              <w:jc w:val="left"/>
              <w:rPr>
                <w:rFonts w:ascii="Times New Roman" w:hAnsi="Times New Roman" w:cs="Times New Roman" w:eastAsia="Times New Roman" w:hint="default"/>
                <w:sz w:val="21"/>
                <w:szCs w:val="21"/>
              </w:rPr>
            </w:pPr>
            <w:r>
              <w:rPr>
                <w:rFonts w:ascii="Times New Roman"/>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-29,078.40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-70,678.40</w:t>
            </w:r>
          </w:p>
        </w:tc>
      </w:tr>
      <w:tr>
        <w:trPr>
          <w:trHeight w:val="94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ind w:left="12" w:right="2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r>
              <w:rPr>
                <w:rFonts w:ascii="宋体" w:hAnsi="宋体" w:cs="宋体" w:eastAsia="宋体" w:hint="default"/>
                <w:w w:val="100"/>
                <w:sz w:val="21"/>
                <w:szCs w:val="21"/>
              </w:rPr>
              <w:t> </w:t>
            </w: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83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949"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ind w:left="12" w:right="25"/>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83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225,631.7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w w:val="100"/>
                <w:sz w:val="21"/>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-21,407,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014.35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21,632,646.14</w:t>
            </w: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3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39"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97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905" w:type="dxa"/>
            <w:vMerge w:val="restart"/>
            <w:tcBorders>
              <w:top w:val="single" w:sz="4" w:space="0" w:color="000000"/>
              <w:left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8,972,172</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.37</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-36,142,4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29.13</w:t>
            </w:r>
          </w:p>
        </w:tc>
        <w:tc>
          <w:tcPr>
            <w:tcW w:w="156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-27,170,256.76</w:t>
            </w:r>
          </w:p>
        </w:tc>
      </w:tr>
      <w:tr>
        <w:trPr>
          <w:trHeight w:val="312" w:hRule="exact"/>
        </w:trPr>
        <w:tc>
          <w:tcPr>
            <w:tcW w:w="1418" w:type="dxa"/>
            <w:tcBorders>
              <w:top w:val="nil" w:sz="6" w:space="0" w:color="auto"/>
              <w:left w:val="single" w:sz="10" w:space="0" w:color="D2D2D2"/>
              <w:bottom w:val="nil" w:sz="6" w:space="0" w:color="auto"/>
              <w:right w:val="single" w:sz="10" w:space="0" w:color="D2D2D2"/>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w w:val="100"/>
                <w:sz w:val="21"/>
                <w:szCs w:val="21"/>
                <w:shd w:fill="D2D2D2" w:color="auto" w:val="clear"/>
              </w:rPr>
              <w:t>（</w:t>
            </w:r>
            <w:r>
              <w:rPr>
                <w:rFonts w:ascii="宋体" w:hAnsi="宋体" w:cs="宋体" w:eastAsia="宋体" w:hint="default"/>
                <w:spacing w:val="-3"/>
                <w:w w:val="100"/>
                <w:sz w:val="21"/>
                <w:szCs w:val="21"/>
                <w:shd w:fill="D2D2D2" w:color="auto" w:val="clear"/>
              </w:rPr>
              <w:t>三</w:t>
            </w:r>
            <w:r>
              <w:rPr>
                <w:rFonts w:ascii="宋体" w:hAnsi="宋体" w:cs="宋体" w:eastAsia="宋体" w:hint="default"/>
                <w:spacing w:val="-85"/>
                <w:w w:val="100"/>
                <w:sz w:val="21"/>
                <w:szCs w:val="21"/>
                <w:shd w:fill="D2D2D2" w:color="auto" w:val="clear"/>
              </w:rPr>
              <w:t>）</w:t>
            </w:r>
            <w:r>
              <w:rPr>
                <w:rFonts w:ascii="宋体" w:hAnsi="宋体" w:cs="宋体" w:eastAsia="宋体" w:hint="default"/>
                <w:spacing w:val="-3"/>
                <w:w w:val="100"/>
                <w:sz w:val="21"/>
                <w:szCs w:val="21"/>
                <w:shd w:fill="D2D2D2" w:color="auto" w:val="clear"/>
              </w:rPr>
              <w:t>利</w:t>
            </w:r>
            <w:r>
              <w:rPr>
                <w:rFonts w:ascii="宋体" w:hAnsi="宋体" w:cs="宋体" w:eastAsia="宋体" w:hint="default"/>
                <w:w w:val="100"/>
                <w:sz w:val="21"/>
                <w:szCs w:val="21"/>
                <w:shd w:fill="D2D2D2" w:color="auto" w:val="clear"/>
              </w:rPr>
              <w:t>润</w:t>
            </w:r>
            <w:r>
              <w:rPr>
                <w:rFonts w:ascii="宋体" w:hAnsi="宋体" w:cs="宋体" w:eastAsia="宋体" w:hint="default"/>
                <w:spacing w:val="-3"/>
                <w:w w:val="100"/>
                <w:sz w:val="21"/>
                <w:szCs w:val="21"/>
                <w:shd w:fill="D2D2D2" w:color="auto" w:val="clear"/>
              </w:rPr>
              <w:t>分</w:t>
            </w:r>
            <w:r>
              <w:rPr>
                <w:rFonts w:ascii="宋体" w:hAnsi="宋体" w:cs="宋体" w:eastAsia="宋体" w:hint="default"/>
                <w:w w:val="100"/>
                <w:sz w:val="21"/>
                <w:szCs w:val="21"/>
                <w:shd w:fill="D2D2D2" w:color="auto" w:val="clear"/>
              </w:rPr>
              <w:t>配</w:t>
            </w:r>
            <w:r>
              <w:rPr>
                <w:rFonts w:ascii="宋体" w:hAnsi="宋体" w:cs="宋体" w:eastAsia="宋体" w:hint="default"/>
                <w:w w:val="100"/>
                <w:sz w:val="21"/>
                <w:szCs w:val="21"/>
              </w:rPr>
            </w:r>
          </w:p>
        </w:tc>
        <w:tc>
          <w:tcPr>
            <w:tcW w:w="839"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90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1562"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39"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905"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1562" w:type="dxa"/>
            <w:vMerge/>
            <w:tcBorders>
              <w:left w:val="single" w:sz="4" w:space="0" w:color="000000"/>
              <w:bottom w:val="single" w:sz="4" w:space="0" w:color="000000"/>
              <w:right w:val="single" w:sz="4" w:space="0" w:color="000000"/>
            </w:tcBorders>
          </w:tcPr>
          <w:p>
            <w:pP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12" w:right="2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83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8,972,172</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.37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-8,972,17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2.37</w:t>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12" w:right="6"/>
              <w:jc w:val="left"/>
              <w:rPr>
                <w:rFonts w:ascii="宋体" w:hAnsi="宋体" w:cs="宋体" w:eastAsia="宋体" w:hint="default"/>
                <w:sz w:val="21"/>
                <w:szCs w:val="21"/>
              </w:rPr>
            </w:pPr>
            <w:r>
              <w:rPr>
                <w:rFonts w:ascii="Times New Roman" w:hAnsi="Times New Roman" w:cs="Times New Roman" w:eastAsia="Times New Roman" w:hint="default"/>
                <w:spacing w:val="-25"/>
                <w:w w:val="100"/>
                <w:sz w:val="21"/>
                <w:szCs w:val="21"/>
              </w:rPr>
              <w:t>2</w:t>
            </w:r>
            <w:r>
              <w:rPr>
                <w:rFonts w:ascii="宋体" w:hAnsi="宋体" w:cs="宋体" w:eastAsia="宋体" w:hint="default"/>
                <w:spacing w:val="-25"/>
                <w:w w:val="100"/>
                <w:sz w:val="21"/>
                <w:szCs w:val="21"/>
              </w:rPr>
              <w:t>．对所有者（或</w:t>
            </w:r>
            <w:r>
              <w:rPr>
                <w:rFonts w:ascii="宋体" w:hAnsi="宋体" w:cs="宋体" w:eastAsia="宋体" w:hint="default"/>
                <w:w w:val="100"/>
                <w:sz w:val="21"/>
                <w:szCs w:val="21"/>
              </w:rPr>
              <w:t> </w:t>
            </w:r>
            <w:r>
              <w:rPr>
                <w:rFonts w:ascii="宋体" w:hAnsi="宋体" w:cs="宋体" w:eastAsia="宋体" w:hint="default"/>
                <w:sz w:val="21"/>
                <w:szCs w:val="21"/>
              </w:rPr>
              <w:t>股东）的分配</w:t>
            </w:r>
          </w:p>
        </w:tc>
        <w:tc>
          <w:tcPr>
            <w:tcW w:w="83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-27,170,2</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56.76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-27,170,256.76</w:t>
            </w:r>
          </w:p>
        </w:tc>
      </w:tr>
      <w:tr>
        <w:trPr>
          <w:trHeight w:val="32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83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460" w:right="14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440"/>
        <w:gridCol w:w="828"/>
        <w:gridCol w:w="665"/>
        <w:gridCol w:w="665"/>
        <w:gridCol w:w="665"/>
        <w:gridCol w:w="977"/>
        <w:gridCol w:w="797"/>
        <w:gridCol w:w="797"/>
        <w:gridCol w:w="800"/>
        <w:gridCol w:w="905"/>
        <w:gridCol w:w="958"/>
        <w:gridCol w:w="1562"/>
      </w:tblGrid>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14"/>
                <w:w w:val="100"/>
                <w:sz w:val="21"/>
                <w:szCs w:val="21"/>
              </w:rPr>
              <w:t>（四）所有者权</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益内部结转</w:t>
            </w:r>
          </w:p>
        </w:tc>
        <w:tc>
          <w:tcPr>
            <w:tcW w:w="8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ind w:left="23"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8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ind w:left="23"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8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23"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r>
              <w:rPr>
                <w:rFonts w:ascii="宋体" w:hAnsi="宋体" w:cs="宋体" w:eastAsia="宋体" w:hint="default"/>
                <w:w w:val="100"/>
                <w:sz w:val="21"/>
                <w:szCs w:val="21"/>
              </w:rPr>
              <w:t> </w:t>
            </w:r>
            <w:r>
              <w:rPr>
                <w:rFonts w:ascii="宋体" w:hAnsi="宋体" w:cs="宋体" w:eastAsia="宋体" w:hint="default"/>
                <w:sz w:val="21"/>
                <w:szCs w:val="21"/>
              </w:rPr>
              <w:t>补亏损</w:t>
            </w:r>
          </w:p>
        </w:tc>
        <w:tc>
          <w:tcPr>
            <w:tcW w:w="8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五</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储</w:t>
            </w:r>
            <w:r>
              <w:rPr>
                <w:rFonts w:ascii="宋体" w:hAnsi="宋体" w:cs="宋体" w:eastAsia="宋体" w:hint="default"/>
                <w:w w:val="100"/>
                <w:sz w:val="21"/>
                <w:szCs w:val="21"/>
              </w:rPr>
              <w:t>备</w:t>
            </w:r>
          </w:p>
        </w:tc>
        <w:tc>
          <w:tcPr>
            <w:tcW w:w="8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8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8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8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147,168.0</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147,168.00</w:t>
            </w:r>
          </w:p>
        </w:tc>
      </w:tr>
      <w:tr>
        <w:trPr>
          <w:trHeight w:val="63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449,537,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367.00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837,155,8</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66.41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486,000.</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43,790,31</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7.54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293,063,7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31.31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1,623,061,282.26</w:t>
            </w:r>
          </w:p>
        </w:tc>
      </w:tr>
    </w:tbl>
    <w:p>
      <w:pPr>
        <w:pStyle w:val="BodyText"/>
        <w:spacing w:line="240" w:lineRule="auto" w:before="39"/>
        <w:ind w:left="1153" w:right="0"/>
        <w:jc w:val="left"/>
      </w:pPr>
      <w:r>
        <w:rPr/>
        <w:t>上期金额</w:t>
      </w:r>
    </w:p>
    <w:p>
      <w:pPr>
        <w:spacing w:line="240" w:lineRule="auto" w:before="12"/>
        <w:rPr>
          <w:rFonts w:ascii="宋体" w:hAnsi="宋体" w:cs="宋体" w:eastAsia="宋体" w:hint="default"/>
          <w:sz w:val="10"/>
          <w:szCs w:val="10"/>
        </w:rPr>
      </w:pPr>
    </w:p>
    <w:p>
      <w:pPr>
        <w:spacing w:before="36"/>
        <w:ind w:left="0" w:right="96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680" w:type="dxa"/>
        <w:tblLayout w:type="fixed"/>
        <w:tblCellMar>
          <w:top w:w="0" w:type="dxa"/>
          <w:left w:w="0" w:type="dxa"/>
          <w:bottom w:w="0" w:type="dxa"/>
          <w:right w:w="0" w:type="dxa"/>
        </w:tblCellMar>
        <w:tblLook w:val="01E0"/>
      </w:tblPr>
      <w:tblGrid>
        <w:gridCol w:w="1417"/>
        <w:gridCol w:w="839"/>
        <w:gridCol w:w="665"/>
        <w:gridCol w:w="665"/>
        <w:gridCol w:w="665"/>
        <w:gridCol w:w="982"/>
        <w:gridCol w:w="799"/>
        <w:gridCol w:w="797"/>
        <w:gridCol w:w="799"/>
        <w:gridCol w:w="797"/>
        <w:gridCol w:w="821"/>
        <w:gridCol w:w="782"/>
      </w:tblGrid>
      <w:tr>
        <w:trPr>
          <w:trHeight w:val="322" w:hRule="exact"/>
        </w:trPr>
        <w:tc>
          <w:tcPr>
            <w:tcW w:w="1417" w:type="dxa"/>
            <w:vMerge w:val="restart"/>
            <w:tcBorders>
              <w:top w:val="single" w:sz="4" w:space="0" w:color="000000"/>
              <w:left w:val="single" w:sz="4" w:space="0" w:color="000000"/>
              <w:right w:val="single" w:sz="4" w:space="0" w:color="000000"/>
            </w:tcBorders>
            <w:shd w:val="clear" w:color="auto" w:fill="D2D2D2"/>
          </w:tcPr>
          <w:p>
            <w:pPr/>
          </w:p>
        </w:tc>
        <w:tc>
          <w:tcPr>
            <w:tcW w:w="861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5"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163" w:hRule="exact"/>
        </w:trPr>
        <w:tc>
          <w:tcPr>
            <w:tcW w:w="1417" w:type="dxa"/>
            <w:vMerge/>
            <w:tcBorders>
              <w:left w:val="single" w:sz="4" w:space="0" w:color="000000"/>
              <w:bottom w:val="nil" w:sz="6" w:space="0" w:color="auto"/>
              <w:right w:val="single" w:sz="4" w:space="0" w:color="000000"/>
            </w:tcBorders>
            <w:shd w:val="clear" w:color="auto" w:fill="D2D2D2"/>
          </w:tcPr>
          <w:p>
            <w:pPr/>
          </w:p>
        </w:tc>
        <w:tc>
          <w:tcPr>
            <w:tcW w:w="839" w:type="dxa"/>
            <w:vMerge w:val="restart"/>
            <w:tcBorders>
              <w:top w:val="single" w:sz="4" w:space="0" w:color="000000"/>
              <w:left w:val="single" w:sz="4" w:space="0" w:color="000000"/>
              <w:right w:val="single" w:sz="4" w:space="0" w:color="000000"/>
            </w:tcBorders>
            <w:shd w:val="clear" w:color="auto" w:fill="D2D2D2"/>
          </w:tcPr>
          <w:p>
            <w:pPr/>
          </w:p>
        </w:tc>
        <w:tc>
          <w:tcPr>
            <w:tcW w:w="19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vMerge w:val="restart"/>
            <w:tcBorders>
              <w:top w:val="single" w:sz="4" w:space="0" w:color="000000"/>
              <w:left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3" w:right="113"/>
              <w:jc w:val="both"/>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spacing w:val="-102"/>
                <w:sz w:val="21"/>
                <w:szCs w:val="21"/>
              </w:rPr>
              <w:t> </w:t>
            </w: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158" w:hRule="exact"/>
        </w:trPr>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left="43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839" w:type="dxa"/>
            <w:vMerge/>
            <w:tcBorders>
              <w:left w:val="single" w:sz="4" w:space="0" w:color="000000"/>
              <w:bottom w:val="nil" w:sz="6" w:space="0" w:color="auto"/>
              <w:right w:val="single" w:sz="4" w:space="0" w:color="000000"/>
            </w:tcBorders>
            <w:shd w:val="clear" w:color="auto" w:fill="D2D2D2"/>
          </w:tcPr>
          <w:p>
            <w:pPr/>
          </w:p>
        </w:tc>
        <w:tc>
          <w:tcPr>
            <w:tcW w:w="1994" w:type="dxa"/>
            <w:gridSpan w:val="3"/>
            <w:vMerge/>
            <w:tcBorders>
              <w:left w:val="single" w:sz="4" w:space="0" w:color="000000"/>
              <w:bottom w:val="single" w:sz="4" w:space="0" w:color="000000"/>
              <w:right w:val="single" w:sz="4" w:space="0" w:color="000000"/>
            </w:tcBorders>
            <w:shd w:val="clear" w:color="auto" w:fill="D2D2D2"/>
          </w:tcPr>
          <w:p>
            <w:pPr/>
          </w:p>
        </w:tc>
        <w:tc>
          <w:tcPr>
            <w:tcW w:w="982" w:type="dxa"/>
            <w:vMerge/>
            <w:tcBorders>
              <w:left w:val="single" w:sz="4" w:space="0" w:color="000000"/>
              <w:bottom w:val="nil" w:sz="6" w:space="0" w:color="auto"/>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6" w:right="17"/>
              <w:jc w:val="left"/>
              <w:rPr>
                <w:rFonts w:ascii="宋体" w:hAnsi="宋体" w:cs="宋体" w:eastAsia="宋体" w:hint="default"/>
                <w:sz w:val="21"/>
                <w:szCs w:val="21"/>
              </w:rPr>
            </w:pPr>
            <w:r>
              <w:rPr>
                <w:rFonts w:ascii="宋体" w:hAnsi="宋体" w:cs="宋体" w:eastAsia="宋体" w:hint="default"/>
                <w:spacing w:val="-26"/>
                <w:w w:val="100"/>
                <w:sz w:val="21"/>
                <w:szCs w:val="21"/>
              </w:rPr>
              <w:t>减：库存</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股</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3" w:right="128"/>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3" w:right="131"/>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3" w:right="127"/>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3" w:right="153"/>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782" w:type="dxa"/>
            <w:vMerge/>
            <w:tcBorders>
              <w:left w:val="single" w:sz="4" w:space="0" w:color="000000"/>
              <w:right w:val="single" w:sz="4" w:space="0" w:color="000000"/>
            </w:tcBorders>
            <w:shd w:val="clear" w:color="auto" w:fill="D2D2D2"/>
          </w:tcPr>
          <w:p>
            <w:pPr/>
          </w:p>
        </w:tc>
      </w:tr>
      <w:tr>
        <w:trPr>
          <w:trHeight w:val="156" w:hRule="exact"/>
        </w:trPr>
        <w:tc>
          <w:tcPr>
            <w:tcW w:w="1417" w:type="dxa"/>
            <w:vMerge/>
            <w:tcBorders>
              <w:left w:val="single" w:sz="4" w:space="0" w:color="000000"/>
              <w:bottom w:val="nil" w:sz="6" w:space="0" w:color="auto"/>
              <w:right w:val="single" w:sz="4" w:space="0" w:color="000000"/>
            </w:tcBorders>
            <w:shd w:val="clear" w:color="auto" w:fill="D2D2D2"/>
          </w:tcPr>
          <w:p>
            <w:pPr/>
          </w:p>
        </w:tc>
        <w:tc>
          <w:tcPr>
            <w:tcW w:w="839" w:type="dxa"/>
            <w:vMerge w:val="restart"/>
            <w:tcBorders>
              <w:top w:val="nil" w:sz="6" w:space="0" w:color="auto"/>
              <w:left w:val="single" w:sz="4" w:space="0" w:color="000000"/>
              <w:right w:val="single" w:sz="4" w:space="0" w:color="000000"/>
            </w:tcBorders>
            <w:shd w:val="clear" w:color="auto" w:fill="D2D2D2"/>
          </w:tcPr>
          <w:p>
            <w:pPr>
              <w:pStyle w:val="TableParagraph"/>
              <w:spacing w:line="263" w:lineRule="exact"/>
              <w:ind w:left="37"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4" w:right="206"/>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3" w:right="2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982" w:type="dxa"/>
            <w:vMerge w:val="restart"/>
            <w:tcBorders>
              <w:top w:val="nil" w:sz="6" w:space="0" w:color="auto"/>
              <w:left w:val="single" w:sz="4" w:space="0" w:color="000000"/>
              <w:right w:val="single" w:sz="4" w:space="0" w:color="000000"/>
            </w:tcBorders>
            <w:shd w:val="clear" w:color="auto" w:fill="D2D2D2"/>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156" w:hRule="exact"/>
        </w:trPr>
        <w:tc>
          <w:tcPr>
            <w:tcW w:w="1417" w:type="dxa"/>
            <w:vMerge w:val="restart"/>
            <w:tcBorders>
              <w:top w:val="nil" w:sz="6" w:space="0" w:color="auto"/>
              <w:left w:val="single" w:sz="4" w:space="0" w:color="000000"/>
              <w:right w:val="single" w:sz="4" w:space="0" w:color="000000"/>
            </w:tcBorders>
            <w:shd w:val="clear" w:color="auto" w:fill="D2D2D2"/>
          </w:tcPr>
          <w:p>
            <w:pPr/>
          </w:p>
        </w:tc>
        <w:tc>
          <w:tcPr>
            <w:tcW w:w="839"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67"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82"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158" w:hRule="exact"/>
        </w:trPr>
        <w:tc>
          <w:tcPr>
            <w:tcW w:w="1417" w:type="dxa"/>
            <w:vMerge/>
            <w:tcBorders>
              <w:left w:val="single" w:sz="4" w:space="0" w:color="000000"/>
              <w:right w:val="single" w:sz="4" w:space="0" w:color="000000"/>
            </w:tcBorders>
            <w:shd w:val="clear" w:color="auto" w:fill="D2D2D2"/>
          </w:tcPr>
          <w:p>
            <w:pPr/>
          </w:p>
        </w:tc>
        <w:tc>
          <w:tcPr>
            <w:tcW w:w="839"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982" w:type="dxa"/>
            <w:vMerge w:val="restart"/>
            <w:tcBorders>
              <w:top w:val="nil" w:sz="6" w:space="0" w:color="auto"/>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163"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839"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982"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6"/>
              <w:jc w:val="left"/>
              <w:rPr>
                <w:rFonts w:ascii="宋体" w:hAnsi="宋体" w:cs="宋体" w:eastAsia="宋体" w:hint="default"/>
                <w:sz w:val="21"/>
                <w:szCs w:val="21"/>
              </w:rPr>
            </w:pPr>
            <w:r>
              <w:rPr>
                <w:rFonts w:ascii="宋体" w:hAnsi="宋体" w:cs="宋体" w:eastAsia="宋体" w:hint="default"/>
                <w:spacing w:val="-14"/>
                <w:w w:val="100"/>
                <w:sz w:val="21"/>
                <w:szCs w:val="21"/>
              </w:rPr>
              <w:t>一、上年期末余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8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9" w:right="0"/>
              <w:jc w:val="left"/>
              <w:rPr>
                <w:rFonts w:ascii="Times New Roman" w:hAnsi="Times New Roman" w:cs="Times New Roman" w:eastAsia="Times New Roman" w:hint="default"/>
                <w:sz w:val="21"/>
                <w:szCs w:val="21"/>
              </w:rPr>
            </w:pPr>
            <w:r>
              <w:rPr>
                <w:rFonts w:ascii="Times New Roman"/>
                <w:sz w:val="21"/>
              </w:rPr>
              <w:t>195,821,</w:t>
            </w:r>
          </w:p>
          <w:p>
            <w:pPr>
              <w:pStyle w:val="TableParagraph"/>
              <w:spacing w:line="240" w:lineRule="auto" w:before="70"/>
              <w:ind w:left="29" w:right="0"/>
              <w:jc w:val="left"/>
              <w:rPr>
                <w:rFonts w:ascii="Times New Roman" w:hAnsi="Times New Roman" w:cs="Times New Roman" w:eastAsia="Times New Roman" w:hint="default"/>
                <w:sz w:val="21"/>
                <w:szCs w:val="21"/>
              </w:rPr>
            </w:pPr>
            <w:r>
              <w:rPr>
                <w:rFonts w:ascii="Times New Roman"/>
                <w:sz w:val="21"/>
              </w:rPr>
              <w:t>670.00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267,699,7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85.03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19,070,9</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99.24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28,317,6</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68.58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200,359,</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194.60</w:t>
            </w:r>
          </w:p>
        </w:tc>
        <w:tc>
          <w:tcPr>
            <w:tcW w:w="78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Times New Roman" w:hAnsi="Times New Roman" w:cs="Times New Roman" w:eastAsia="Times New Roman" w:hint="default"/>
                <w:sz w:val="21"/>
                <w:szCs w:val="21"/>
              </w:rPr>
            </w:pPr>
            <w:r>
              <w:rPr>
                <w:rFonts w:ascii="Times New Roman"/>
                <w:sz w:val="21"/>
              </w:rPr>
              <w:t>673,127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,318.97</w:t>
            </w:r>
          </w:p>
        </w:tc>
      </w:tr>
      <w:tr>
        <w:trPr>
          <w:trHeight w:val="636"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6"/>
              <w:jc w:val="left"/>
              <w:rPr>
                <w:rFonts w:ascii="宋体" w:hAnsi="宋体" w:cs="宋体" w:eastAsia="宋体" w:hint="default"/>
                <w:sz w:val="21"/>
                <w:szCs w:val="21"/>
              </w:rPr>
            </w:pPr>
            <w:r>
              <w:rPr>
                <w:rFonts w:ascii="宋体" w:hAnsi="宋体" w:cs="宋体" w:eastAsia="宋体" w:hint="default"/>
                <w:spacing w:val="-14"/>
                <w:w w:val="100"/>
                <w:sz w:val="21"/>
                <w:szCs w:val="21"/>
              </w:rPr>
              <w:t>加：会计政策变</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更</w:t>
            </w:r>
          </w:p>
        </w:tc>
        <w:tc>
          <w:tcPr>
            <w:tcW w:w="83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83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3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6"/>
              <w:jc w:val="left"/>
              <w:rPr>
                <w:rFonts w:ascii="宋体" w:hAnsi="宋体" w:cs="宋体" w:eastAsia="宋体" w:hint="default"/>
                <w:sz w:val="21"/>
                <w:szCs w:val="21"/>
              </w:rPr>
            </w:pPr>
            <w:r>
              <w:rPr>
                <w:rFonts w:ascii="宋体" w:hAnsi="宋体" w:cs="宋体" w:eastAsia="宋体" w:hint="default"/>
                <w:spacing w:val="-14"/>
                <w:w w:val="100"/>
                <w:sz w:val="21"/>
                <w:szCs w:val="21"/>
              </w:rPr>
              <w:t>二、本年期初余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8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9" w:right="0"/>
              <w:jc w:val="left"/>
              <w:rPr>
                <w:rFonts w:ascii="Times New Roman" w:hAnsi="Times New Roman" w:cs="Times New Roman" w:eastAsia="Times New Roman" w:hint="default"/>
                <w:sz w:val="21"/>
                <w:szCs w:val="21"/>
              </w:rPr>
            </w:pPr>
            <w:r>
              <w:rPr>
                <w:rFonts w:ascii="Times New Roman"/>
                <w:sz w:val="21"/>
              </w:rPr>
              <w:t>195,821,</w:t>
            </w:r>
          </w:p>
          <w:p>
            <w:pPr>
              <w:pStyle w:val="TableParagraph"/>
              <w:spacing w:line="240" w:lineRule="auto" w:before="70"/>
              <w:ind w:left="29" w:right="0"/>
              <w:jc w:val="left"/>
              <w:rPr>
                <w:rFonts w:ascii="Times New Roman" w:hAnsi="Times New Roman" w:cs="Times New Roman" w:eastAsia="Times New Roman" w:hint="default"/>
                <w:sz w:val="21"/>
                <w:szCs w:val="21"/>
              </w:rPr>
            </w:pPr>
            <w:r>
              <w:rPr>
                <w:rFonts w:ascii="Times New Roman"/>
                <w:sz w:val="21"/>
              </w:rPr>
              <w:t>670.00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267,699,7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85.03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19,070,9</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99.24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28,317,6</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68.58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200,359,</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194.60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673,127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,318.97</w:t>
            </w:r>
          </w:p>
        </w:tc>
      </w:tr>
      <w:tr>
        <w:trPr>
          <w:trHeight w:val="946"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6"/>
              <w:jc w:val="both"/>
              <w:rPr>
                <w:rFonts w:ascii="宋体" w:hAnsi="宋体" w:cs="宋体" w:eastAsia="宋体" w:hint="default"/>
                <w:sz w:val="21"/>
                <w:szCs w:val="21"/>
              </w:rPr>
            </w:pPr>
            <w:r>
              <w:rPr>
                <w:rFonts w:ascii="宋体" w:hAnsi="宋体" w:cs="宋体" w:eastAsia="宋体" w:hint="default"/>
                <w:spacing w:val="-14"/>
                <w:w w:val="100"/>
                <w:sz w:val="21"/>
                <w:szCs w:val="21"/>
              </w:rPr>
              <w:t>三、本期增减变</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4"/>
                <w:w w:val="100"/>
                <w:sz w:val="21"/>
                <w:szCs w:val="21"/>
              </w:rPr>
              <w:t>动金额（减少以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 w:right="0"/>
              <w:jc w:val="left"/>
              <w:rPr>
                <w:rFonts w:ascii="Times New Roman" w:hAnsi="Times New Roman" w:cs="Times New Roman" w:eastAsia="Times New Roman" w:hint="default"/>
                <w:sz w:val="21"/>
                <w:szCs w:val="21"/>
              </w:rPr>
            </w:pPr>
            <w:r>
              <w:rPr>
                <w:rFonts w:ascii="Times New Roman"/>
                <w:sz w:val="21"/>
              </w:rPr>
              <w:t>253,757,</w:t>
            </w:r>
          </w:p>
          <w:p>
            <w:pPr>
              <w:pStyle w:val="TableParagraph"/>
              <w:spacing w:line="240" w:lineRule="auto" w:before="71"/>
              <w:ind w:left="29" w:right="0"/>
              <w:jc w:val="left"/>
              <w:rPr>
                <w:rFonts w:ascii="Times New Roman" w:hAnsi="Times New Roman" w:cs="Times New Roman" w:eastAsia="Times New Roman" w:hint="default"/>
                <w:sz w:val="21"/>
                <w:szCs w:val="21"/>
              </w:rPr>
            </w:pPr>
            <w:r>
              <w:rPr>
                <w:rFonts w:ascii="Times New Roman"/>
                <w:sz w:val="21"/>
              </w:rPr>
              <w:t>297.00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569,112,3</w:t>
            </w:r>
          </w:p>
          <w:p>
            <w:pPr>
              <w:pStyle w:val="TableParagraph"/>
              <w:spacing w:line="240" w:lineRule="auto" w:before="71"/>
              <w:ind w:left="23" w:right="0"/>
              <w:jc w:val="left"/>
              <w:rPr>
                <w:rFonts w:ascii="Times New Roman" w:hAnsi="Times New Roman" w:cs="Times New Roman" w:eastAsia="Times New Roman" w:hint="default"/>
                <w:sz w:val="21"/>
                <w:szCs w:val="21"/>
              </w:rPr>
            </w:pPr>
            <w:r>
              <w:rPr>
                <w:rFonts w:ascii="Times New Roman"/>
                <w:sz w:val="21"/>
              </w:rPr>
              <w:t>59.99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2,822,01</w:t>
            </w:r>
          </w:p>
          <w:p>
            <w:pPr>
              <w:pStyle w:val="TableParagraph"/>
              <w:spacing w:line="240" w:lineRule="auto" w:before="71"/>
              <w:ind w:left="26" w:right="0"/>
              <w:jc w:val="left"/>
              <w:rPr>
                <w:rFonts w:ascii="Times New Roman" w:hAnsi="Times New Roman" w:cs="Times New Roman" w:eastAsia="Times New Roman" w:hint="default"/>
                <w:sz w:val="21"/>
                <w:szCs w:val="21"/>
              </w:rPr>
            </w:pPr>
            <w:r>
              <w:rPr>
                <w:rFonts w:ascii="Times New Roman"/>
                <w:sz w:val="21"/>
              </w:rPr>
              <w:t>5.11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6,500,47</w:t>
            </w:r>
          </w:p>
          <w:p>
            <w:pPr>
              <w:pStyle w:val="TableParagraph"/>
              <w:spacing w:line="240" w:lineRule="auto" w:before="71"/>
              <w:ind w:left="23" w:right="0"/>
              <w:jc w:val="left"/>
              <w:rPr>
                <w:rFonts w:ascii="Times New Roman" w:hAnsi="Times New Roman" w:cs="Times New Roman" w:eastAsia="Times New Roman" w:hint="default"/>
                <w:sz w:val="21"/>
                <w:szCs w:val="21"/>
              </w:rPr>
            </w:pPr>
            <w:r>
              <w:rPr>
                <w:rFonts w:ascii="Times New Roman"/>
                <w:sz w:val="21"/>
              </w:rPr>
              <w:t>6.59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39,125,2</w:t>
            </w:r>
          </w:p>
          <w:p>
            <w:pPr>
              <w:pStyle w:val="TableParagraph"/>
              <w:spacing w:line="240" w:lineRule="auto" w:before="71"/>
              <w:ind w:left="23" w:right="0"/>
              <w:jc w:val="left"/>
              <w:rPr>
                <w:rFonts w:ascii="Times New Roman" w:hAnsi="Times New Roman" w:cs="Times New Roman" w:eastAsia="Times New Roman" w:hint="default"/>
                <w:sz w:val="21"/>
                <w:szCs w:val="21"/>
              </w:rPr>
            </w:pPr>
            <w:r>
              <w:rPr>
                <w:rFonts w:ascii="Times New Roman"/>
                <w:sz w:val="21"/>
              </w:rPr>
              <w:t>42.10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865,673</w:t>
            </w:r>
          </w:p>
          <w:p>
            <w:pPr>
              <w:pStyle w:val="TableParagraph"/>
              <w:spacing w:line="240" w:lineRule="auto" w:before="71"/>
              <w:ind w:left="23" w:right="0"/>
              <w:jc w:val="left"/>
              <w:rPr>
                <w:rFonts w:ascii="Times New Roman" w:hAnsi="Times New Roman" w:cs="Times New Roman" w:eastAsia="Times New Roman" w:hint="default"/>
                <w:sz w:val="21"/>
                <w:szCs w:val="21"/>
              </w:rPr>
            </w:pPr>
            <w:r>
              <w:rPr>
                <w:rFonts w:ascii="Times New Roman"/>
                <w:sz w:val="21"/>
              </w:rPr>
              <w:t>,360.57</w:t>
            </w: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39"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982"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65,00</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4,765.</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89</w:t>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65,004,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765.89</w:t>
            </w:r>
          </w:p>
        </w:tc>
      </w:tr>
      <w:tr>
        <w:trPr>
          <w:trHeight w:val="624" w:hRule="exact"/>
        </w:trPr>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12" w:right="6"/>
              <w:jc w:val="left"/>
              <w:rPr>
                <w:rFonts w:ascii="宋体" w:hAnsi="宋体" w:cs="宋体" w:eastAsia="宋体" w:hint="default"/>
                <w:sz w:val="21"/>
                <w:szCs w:val="21"/>
              </w:rPr>
            </w:pPr>
            <w:r>
              <w:rPr>
                <w:rFonts w:ascii="宋体" w:hAnsi="宋体" w:cs="宋体" w:eastAsia="宋体" w:hint="default"/>
                <w:spacing w:val="-14"/>
                <w:w w:val="100"/>
                <w:sz w:val="21"/>
                <w:szCs w:val="21"/>
              </w:rPr>
              <w:t>（一）综合收益</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总额</w:t>
            </w:r>
          </w:p>
        </w:tc>
        <w:tc>
          <w:tcPr>
            <w:tcW w:w="839"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982"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839"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636"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6"/>
              <w:jc w:val="left"/>
              <w:rPr>
                <w:rFonts w:ascii="宋体" w:hAnsi="宋体" w:cs="宋体" w:eastAsia="宋体" w:hint="default"/>
                <w:sz w:val="21"/>
                <w:szCs w:val="21"/>
              </w:rPr>
            </w:pPr>
            <w:r>
              <w:rPr>
                <w:rFonts w:ascii="宋体" w:hAnsi="宋体" w:cs="宋体" w:eastAsia="宋体" w:hint="default"/>
                <w:spacing w:val="-14"/>
                <w:w w:val="100"/>
                <w:sz w:val="21"/>
                <w:szCs w:val="21"/>
              </w:rPr>
              <w:t>（二）所有者投</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入和减少资本</w:t>
            </w:r>
          </w:p>
        </w:tc>
        <w:tc>
          <w:tcPr>
            <w:tcW w:w="8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6"/>
              <w:ind w:left="29" w:right="0"/>
              <w:jc w:val="left"/>
              <w:rPr>
                <w:rFonts w:ascii="Times New Roman" w:hAnsi="Times New Roman" w:cs="Times New Roman" w:eastAsia="Times New Roman" w:hint="default"/>
                <w:sz w:val="21"/>
                <w:szCs w:val="21"/>
              </w:rPr>
            </w:pPr>
            <w:r>
              <w:rPr>
                <w:rFonts w:ascii="Times New Roman"/>
                <w:sz w:val="21"/>
              </w:rPr>
              <w:t>57,935,6</w:t>
            </w:r>
          </w:p>
          <w:p>
            <w:pPr>
              <w:pStyle w:val="TableParagraph"/>
              <w:spacing w:line="240" w:lineRule="auto" w:before="70"/>
              <w:ind w:left="29" w:right="0"/>
              <w:jc w:val="left"/>
              <w:rPr>
                <w:rFonts w:ascii="Times New Roman" w:hAnsi="Times New Roman" w:cs="Times New Roman" w:eastAsia="Times New Roman" w:hint="default"/>
                <w:sz w:val="21"/>
                <w:szCs w:val="21"/>
              </w:rPr>
            </w:pPr>
            <w:r>
              <w:rPr>
                <w:rFonts w:ascii="Times New Roman"/>
                <w:sz w:val="21"/>
              </w:rPr>
              <w:t>27.00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764,934,0</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29.99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6" w:right="0"/>
              <w:jc w:val="left"/>
              <w:rPr>
                <w:rFonts w:ascii="Times New Roman" w:hAnsi="Times New Roman" w:cs="Times New Roman" w:eastAsia="Times New Roman" w:hint="default"/>
                <w:sz w:val="21"/>
                <w:szCs w:val="21"/>
              </w:rPr>
            </w:pPr>
            <w:r>
              <w:rPr>
                <w:rFonts w:ascii="Times New Roman"/>
                <w:sz w:val="21"/>
              </w:rPr>
              <w:t>2,822,01</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5.11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820,047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,641.88</w:t>
            </w:r>
          </w:p>
        </w:tc>
      </w:tr>
      <w:tr>
        <w:trPr>
          <w:trHeight w:val="634"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12" w:right="2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w:t>
            </w:r>
            <w:r>
              <w:rPr>
                <w:rFonts w:ascii="宋体" w:hAnsi="宋体" w:cs="宋体" w:eastAsia="宋体" w:hint="default"/>
                <w:w w:val="100"/>
                <w:sz w:val="21"/>
                <w:szCs w:val="21"/>
              </w:rPr>
              <w:t> </w:t>
            </w:r>
            <w:r>
              <w:rPr>
                <w:rFonts w:ascii="宋体" w:hAnsi="宋体" w:cs="宋体" w:eastAsia="宋体" w:hint="default"/>
                <w:sz w:val="21"/>
                <w:szCs w:val="21"/>
              </w:rPr>
              <w:t>普通股</w:t>
            </w:r>
          </w:p>
        </w:tc>
        <w:tc>
          <w:tcPr>
            <w:tcW w:w="8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9" w:right="0"/>
              <w:jc w:val="left"/>
              <w:rPr>
                <w:rFonts w:ascii="Times New Roman" w:hAnsi="Times New Roman" w:cs="Times New Roman" w:eastAsia="Times New Roman" w:hint="default"/>
                <w:sz w:val="21"/>
                <w:szCs w:val="21"/>
              </w:rPr>
            </w:pPr>
            <w:r>
              <w:rPr>
                <w:rFonts w:ascii="Times New Roman"/>
                <w:sz w:val="21"/>
              </w:rPr>
              <w:t>57,935,6</w:t>
            </w:r>
          </w:p>
          <w:p>
            <w:pPr>
              <w:pStyle w:val="TableParagraph"/>
              <w:spacing w:line="240" w:lineRule="auto" w:before="70"/>
              <w:ind w:left="29" w:right="0"/>
              <w:jc w:val="left"/>
              <w:rPr>
                <w:rFonts w:ascii="Times New Roman" w:hAnsi="Times New Roman" w:cs="Times New Roman" w:eastAsia="Times New Roman" w:hint="default"/>
                <w:sz w:val="21"/>
                <w:szCs w:val="21"/>
              </w:rPr>
            </w:pPr>
            <w:r>
              <w:rPr>
                <w:rFonts w:ascii="Times New Roman"/>
                <w:sz w:val="21"/>
              </w:rPr>
              <w:t>27.00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764,208,3</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22.39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822,143</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,949.39</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0" w:top="1100" w:bottom="1160" w:left="460" w:right="16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9"/>
        <w:gridCol w:w="829"/>
        <w:gridCol w:w="665"/>
        <w:gridCol w:w="665"/>
        <w:gridCol w:w="665"/>
        <w:gridCol w:w="982"/>
        <w:gridCol w:w="799"/>
        <w:gridCol w:w="797"/>
        <w:gridCol w:w="799"/>
        <w:gridCol w:w="797"/>
        <w:gridCol w:w="821"/>
        <w:gridCol w:w="782"/>
      </w:tblGrid>
      <w:tr>
        <w:trPr>
          <w:trHeight w:val="94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r>
              <w:rPr>
                <w:rFonts w:ascii="宋体" w:hAnsi="宋体" w:cs="宋体" w:eastAsia="宋体" w:hint="default"/>
                <w:w w:val="100"/>
                <w:sz w:val="21"/>
                <w:szCs w:val="21"/>
              </w:rPr>
              <w:t> </w:t>
            </w: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8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8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725,707.6</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2,822,01</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5.11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-2,096,3</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07.51</w:t>
            </w: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三</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p>
        </w:tc>
        <w:tc>
          <w:tcPr>
            <w:tcW w:w="8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6,500,47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6.59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-25,879,</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523.79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-19,379,</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047.20</w:t>
            </w:r>
          </w:p>
        </w:tc>
      </w:tr>
      <w:tr>
        <w:trPr>
          <w:trHeight w:val="63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8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6,500,47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6.59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-6,500,4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76.59</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ind w:left="22" w:right="17"/>
              <w:jc w:val="left"/>
              <w:rPr>
                <w:rFonts w:ascii="宋体" w:hAnsi="宋体" w:cs="宋体" w:eastAsia="宋体" w:hint="default"/>
                <w:sz w:val="21"/>
                <w:szCs w:val="21"/>
              </w:rPr>
            </w:pPr>
            <w:r>
              <w:rPr>
                <w:rFonts w:ascii="Times New Roman" w:hAnsi="Times New Roman" w:cs="Times New Roman" w:eastAsia="Times New Roman" w:hint="default"/>
                <w:spacing w:val="-25"/>
                <w:w w:val="100"/>
                <w:sz w:val="21"/>
                <w:szCs w:val="21"/>
              </w:rPr>
              <w:t>2</w:t>
            </w:r>
            <w:r>
              <w:rPr>
                <w:rFonts w:ascii="宋体" w:hAnsi="宋体" w:cs="宋体" w:eastAsia="宋体" w:hint="default"/>
                <w:spacing w:val="-25"/>
                <w:w w:val="100"/>
                <w:sz w:val="21"/>
                <w:szCs w:val="21"/>
              </w:rPr>
              <w:t>．对所有者（或</w:t>
            </w:r>
            <w:r>
              <w:rPr>
                <w:rFonts w:ascii="宋体" w:hAnsi="宋体" w:cs="宋体" w:eastAsia="宋体" w:hint="default"/>
                <w:w w:val="100"/>
                <w:sz w:val="21"/>
                <w:szCs w:val="21"/>
              </w:rPr>
              <w:t> </w:t>
            </w:r>
            <w:r>
              <w:rPr>
                <w:rFonts w:ascii="宋体" w:hAnsi="宋体" w:cs="宋体" w:eastAsia="宋体" w:hint="default"/>
                <w:sz w:val="21"/>
                <w:szCs w:val="21"/>
              </w:rPr>
              <w:t>股东）的分配</w:t>
            </w:r>
          </w:p>
        </w:tc>
        <w:tc>
          <w:tcPr>
            <w:tcW w:w="8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-19,379,</w:t>
            </w:r>
          </w:p>
          <w:p>
            <w:pPr>
              <w:pStyle w:val="TableParagraph"/>
              <w:spacing w:line="240" w:lineRule="auto" w:before="71"/>
              <w:ind w:left="23" w:right="0"/>
              <w:jc w:val="left"/>
              <w:rPr>
                <w:rFonts w:ascii="Times New Roman" w:hAnsi="Times New Roman" w:cs="Times New Roman" w:eastAsia="Times New Roman" w:hint="default"/>
                <w:sz w:val="21"/>
                <w:szCs w:val="21"/>
              </w:rPr>
            </w:pPr>
            <w:r>
              <w:rPr>
                <w:rFonts w:ascii="Times New Roman"/>
                <w:sz w:val="21"/>
              </w:rPr>
              <w:t>047.20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-19,379,</w:t>
            </w:r>
          </w:p>
          <w:p>
            <w:pPr>
              <w:pStyle w:val="TableParagraph"/>
              <w:spacing w:line="240" w:lineRule="auto" w:before="71"/>
              <w:ind w:left="23" w:right="0"/>
              <w:jc w:val="left"/>
              <w:rPr>
                <w:rFonts w:ascii="Times New Roman" w:hAnsi="Times New Roman" w:cs="Times New Roman" w:eastAsia="Times New Roman" w:hint="default"/>
                <w:sz w:val="21"/>
                <w:szCs w:val="21"/>
              </w:rPr>
            </w:pPr>
            <w:r>
              <w:rPr>
                <w:rFonts w:ascii="Times New Roman"/>
                <w:sz w:val="21"/>
              </w:rPr>
              <w:t>047.20</w:t>
            </w: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8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16"/>
              <w:jc w:val="left"/>
              <w:rPr>
                <w:rFonts w:ascii="宋体" w:hAnsi="宋体" w:cs="宋体" w:eastAsia="宋体" w:hint="default"/>
                <w:sz w:val="21"/>
                <w:szCs w:val="21"/>
              </w:rPr>
            </w:pPr>
            <w:r>
              <w:rPr>
                <w:rFonts w:ascii="宋体" w:hAnsi="宋体" w:cs="宋体" w:eastAsia="宋体" w:hint="default"/>
                <w:spacing w:val="-14"/>
                <w:w w:val="100"/>
                <w:sz w:val="21"/>
                <w:szCs w:val="21"/>
              </w:rPr>
              <w:t>（四）所有者权</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益内部结转</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195,821,</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670.00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-195,821,6</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70.00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195,821,</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670.00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-195,821,6</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70.00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8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r>
              <w:rPr>
                <w:rFonts w:ascii="宋体" w:hAnsi="宋体" w:cs="宋体" w:eastAsia="宋体" w:hint="default"/>
                <w:w w:val="100"/>
                <w:sz w:val="21"/>
                <w:szCs w:val="21"/>
              </w:rPr>
              <w:t> </w:t>
            </w:r>
            <w:r>
              <w:rPr>
                <w:rFonts w:ascii="宋体" w:hAnsi="宋体" w:cs="宋体" w:eastAsia="宋体" w:hint="default"/>
                <w:sz w:val="21"/>
                <w:szCs w:val="21"/>
              </w:rPr>
              <w:t>补亏损</w:t>
            </w:r>
          </w:p>
        </w:tc>
        <w:tc>
          <w:tcPr>
            <w:tcW w:w="8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五</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储</w:t>
            </w:r>
            <w:r>
              <w:rPr>
                <w:rFonts w:ascii="宋体" w:hAnsi="宋体" w:cs="宋体" w:eastAsia="宋体" w:hint="default"/>
                <w:w w:val="100"/>
                <w:sz w:val="21"/>
                <w:szCs w:val="21"/>
              </w:rPr>
              <w:t>备</w:t>
            </w:r>
          </w:p>
        </w:tc>
        <w:tc>
          <w:tcPr>
            <w:tcW w:w="8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8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8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1"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8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2" w:right="16"/>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449,57</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8,967.0</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w w:val="100"/>
                <w:sz w:val="21"/>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836,812</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,145.02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21,893,0</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14.35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34,818,1</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45.17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239,484,</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436.70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1,538,8</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00,679.</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54</w:t>
            </w:r>
          </w:p>
        </w:tc>
      </w:tr>
    </w:tbl>
    <w:p>
      <w:pPr>
        <w:spacing w:line="240" w:lineRule="auto" w:before="1"/>
        <w:rPr>
          <w:rFonts w:ascii="宋体" w:hAnsi="宋体" w:cs="宋体" w:eastAsia="宋体" w:hint="default"/>
          <w:sz w:val="18"/>
          <w:szCs w:val="18"/>
        </w:rPr>
      </w:pPr>
    </w:p>
    <w:p>
      <w:pPr>
        <w:pStyle w:val="Heading2"/>
        <w:spacing w:line="240" w:lineRule="auto" w:before="26"/>
        <w:ind w:left="633" w:right="0"/>
        <w:jc w:val="left"/>
        <w:rPr>
          <w:b w:val="0"/>
          <w:bCs w:val="0"/>
        </w:rPr>
      </w:pPr>
      <w:r>
        <w:rPr/>
        <w:t>三、公司基本情况</w:t>
      </w:r>
      <w:r>
        <w:rPr>
          <w:b w:val="0"/>
          <w:bCs w:val="0"/>
        </w:rPr>
      </w:r>
    </w:p>
    <w:p>
      <w:pPr>
        <w:spacing w:line="240" w:lineRule="auto" w:before="11"/>
        <w:rPr>
          <w:rFonts w:ascii="宋体" w:hAnsi="宋体" w:cs="宋体" w:eastAsia="宋体" w:hint="default"/>
          <w:b/>
          <w:bCs/>
          <w:sz w:val="28"/>
          <w:szCs w:val="28"/>
        </w:rPr>
      </w:pPr>
    </w:p>
    <w:p>
      <w:pPr>
        <w:pStyle w:val="BodyText"/>
        <w:spacing w:line="336" w:lineRule="auto" w:before="0"/>
        <w:ind w:left="633" w:right="0" w:firstLine="2"/>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公司概况</w:t>
      </w:r>
      <w:r>
        <w:rPr>
          <w:rFonts w:ascii="宋体" w:hAnsi="宋体" w:cs="宋体" w:eastAsia="宋体" w:hint="default"/>
          <w:b/>
          <w:bCs/>
          <w:w w:val="99"/>
        </w:rPr>
        <w:t> </w:t>
      </w:r>
      <w:r>
        <w:rPr>
          <w:spacing w:val="-1"/>
        </w:rPr>
        <w:t>北京超图软件股份有限公司（以下简称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）前身为</w:t>
      </w:r>
      <w:r>
        <w:rPr>
          <w:rFonts w:ascii="Times New Roman" w:hAnsi="Times New Roman" w:cs="Times New Roman" w:eastAsia="Times New Roman" w:hint="default"/>
          <w:spacing w:val="-1"/>
        </w:rPr>
        <w:t>“</w:t>
      </w:r>
      <w:r>
        <w:rPr>
          <w:spacing w:val="-1"/>
        </w:rPr>
        <w:t>北京超图地理信息技</w:t>
      </w:r>
    </w:p>
    <w:p>
      <w:pPr>
        <w:pStyle w:val="BodyText"/>
        <w:spacing w:line="338" w:lineRule="auto" w:before="29"/>
        <w:ind w:right="508"/>
        <w:jc w:val="both"/>
      </w:pPr>
      <w:r>
        <w:rPr>
          <w:spacing w:val="3"/>
        </w:rPr>
        <w:t>术有限公司</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4</w:t>
      </w:r>
      <w:r>
        <w:rPr>
          <w:spacing w:val="3"/>
        </w:rPr>
        <w:t>日，经北京超图地理信息技术有限公司股东会批准，以</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51"/>
        </w:rPr>
        <w:t> </w:t>
      </w:r>
      <w:r>
        <w:rPr/>
        <w:t>月</w:t>
      </w:r>
      <w:r>
        <w:rPr>
          <w:rFonts w:ascii="Times New Roman" w:hAnsi="Times New Roman" w:cs="Times New Roman" w:eastAsia="Times New Roman" w:hint="default"/>
        </w:rPr>
        <w:t>31</w:t>
      </w:r>
      <w:r>
        <w:rPr/>
        <w:t>日的净资产为基准，以发起设立的方式整体变更为北京超图软件股份有限公司。变更后</w:t>
      </w:r>
      <w:r>
        <w:rPr>
          <w:spacing w:val="-91"/>
        </w:rPr>
        <w:t> </w:t>
      </w:r>
      <w:r>
        <w:rPr>
          <w:spacing w:val="-91"/>
        </w:rPr>
      </w:r>
      <w:r>
        <w:rPr>
          <w:spacing w:val="8"/>
        </w:rPr>
        <w:t>公司注册资本</w:t>
      </w:r>
      <w:r>
        <w:rPr>
          <w:rFonts w:ascii="Times New Roman" w:hAnsi="Times New Roman" w:cs="Times New Roman" w:eastAsia="Times New Roman" w:hint="default"/>
          <w:spacing w:val="8"/>
        </w:rPr>
        <w:t>5,600.00</w:t>
      </w:r>
      <w:r>
        <w:rPr>
          <w:spacing w:val="8"/>
        </w:rPr>
        <w:t>万元，业经北京京都会计师事务所有限责任公司出具北京京都验字</w:t>
      </w:r>
    </w:p>
    <w:p>
      <w:pPr>
        <w:pStyle w:val="BodyText"/>
        <w:spacing w:line="240" w:lineRule="auto" w:before="26"/>
        <w:ind w:right="0"/>
        <w:jc w:val="both"/>
      </w:pPr>
      <w:r>
        <w:rPr/>
        <w:t>（</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007</w:t>
      </w:r>
      <w:r>
        <w:rPr/>
        <w:t>号验资报告予以验证。</w:t>
      </w:r>
    </w:p>
    <w:p>
      <w:pPr>
        <w:spacing w:after="0" w:line="240" w:lineRule="auto"/>
        <w:jc w:val="both"/>
        <w:sectPr>
          <w:pgSz w:w="11910" w:h="16840"/>
          <w:pgMar w:header="877" w:footer="980" w:top="1100" w:bottom="1160" w:left="980" w:right="620"/>
        </w:sectPr>
      </w:pPr>
    </w:p>
    <w:p>
      <w:pPr>
        <w:spacing w:line="240" w:lineRule="auto" w:before="7"/>
        <w:rPr>
          <w:rFonts w:ascii="宋体" w:hAnsi="宋体" w:cs="宋体" w:eastAsia="宋体" w:hint="default"/>
          <w:sz w:val="25"/>
          <w:szCs w:val="25"/>
        </w:rPr>
      </w:pPr>
    </w:p>
    <w:p>
      <w:pPr>
        <w:pStyle w:val="BodyText"/>
        <w:spacing w:line="343" w:lineRule="auto" w:before="26"/>
        <w:ind w:right="348" w:firstLine="480"/>
        <w:jc w:val="both"/>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11</w:t>
      </w:r>
      <w:r>
        <w:rPr>
          <w:spacing w:val="-2"/>
        </w:rPr>
        <w:t>日，经公司</w:t>
      </w:r>
      <w:r>
        <w:rPr>
          <w:rFonts w:ascii="Times New Roman" w:hAnsi="Times New Roman" w:cs="Times New Roman" w:eastAsia="Times New Roman" w:hint="default"/>
          <w:spacing w:val="-2"/>
        </w:rPr>
        <w:t>2009</w:t>
      </w:r>
      <w:r>
        <w:rPr>
          <w:spacing w:val="-2"/>
        </w:rPr>
        <w:t>年度第二次临时股东大会批准，申请首次公开发行</w:t>
      </w:r>
      <w:r>
        <w:rPr>
          <w:rFonts w:ascii="Times New Roman" w:hAnsi="Times New Roman" w:cs="Times New Roman" w:eastAsia="Times New Roman" w:hint="default"/>
          <w:spacing w:val="-2"/>
        </w:rPr>
        <w:t>1,900.00</w:t>
      </w:r>
      <w:r>
        <w:rPr>
          <w:rFonts w:ascii="Times New Roman" w:hAnsi="Times New Roman" w:cs="Times New Roman" w:eastAsia="Times New Roman" w:hint="default"/>
        </w:rPr>
        <w:t> </w:t>
      </w:r>
      <w:r>
        <w:rPr>
          <w:spacing w:val="2"/>
        </w:rPr>
        <w:t>万股人民币普通股股票并在创业板上市。根据中国证券监督管理委员会证监许可</w:t>
      </w:r>
      <w:r>
        <w:rPr>
          <w:rFonts w:ascii="Times New Roman" w:hAnsi="Times New Roman" w:cs="Times New Roman" w:eastAsia="Times New Roman" w:hint="default"/>
          <w:spacing w:val="2"/>
        </w:rPr>
        <w:t>[2009]1313</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号《关于核准北京超图软件股份有限公司首次公开发行股票并在创业板上市的批复》核准，</w:t>
      </w:r>
      <w:r>
        <w:rPr>
          <w:spacing w:val="-91"/>
        </w:rPr>
        <w:t> </w:t>
      </w:r>
      <w:r>
        <w:rPr>
          <w:spacing w:val="-91"/>
        </w:rPr>
      </w:r>
      <w:r>
        <w:rPr>
          <w:spacing w:val="-10"/>
          <w:w w:val="99"/>
        </w:rPr>
        <w:t>公司公开发行人民币普通股（</w:t>
      </w:r>
      <w:r>
        <w:rPr>
          <w:rFonts w:ascii="Times New Roman" w:hAnsi="Times New Roman" w:cs="Times New Roman" w:eastAsia="Times New Roman" w:hint="default"/>
          <w:spacing w:val="-10"/>
          <w:w w:val="99"/>
        </w:rPr>
        <w:t>A</w:t>
      </w:r>
      <w:r>
        <w:rPr>
          <w:spacing w:val="-10"/>
          <w:w w:val="99"/>
        </w:rPr>
        <w:t>股）</w:t>
      </w:r>
      <w:r>
        <w:rPr>
          <w:rFonts w:ascii="Times New Roman" w:hAnsi="Times New Roman" w:cs="Times New Roman" w:eastAsia="Times New Roman" w:hint="default"/>
          <w:spacing w:val="-10"/>
          <w:w w:val="99"/>
        </w:rPr>
        <w:t>1,900.00</w:t>
      </w:r>
      <w:r>
        <w:rPr>
          <w:spacing w:val="-10"/>
          <w:w w:val="99"/>
        </w:rPr>
        <w:t>万股（每股面值</w:t>
      </w:r>
      <w:r>
        <w:rPr>
          <w:rFonts w:ascii="Times New Roman" w:hAnsi="Times New Roman" w:cs="Times New Roman" w:eastAsia="Times New Roman" w:hint="default"/>
          <w:spacing w:val="-10"/>
          <w:w w:val="99"/>
        </w:rPr>
        <w:t>1</w:t>
      </w:r>
      <w:r>
        <w:rPr>
          <w:spacing w:val="-10"/>
          <w:w w:val="99"/>
        </w:rPr>
        <w:t>元）。增发后公司注册资本</w:t>
      </w:r>
      <w:r>
        <w:rPr>
          <w:rFonts w:ascii="Times New Roman" w:hAnsi="Times New Roman" w:cs="Times New Roman" w:eastAsia="Times New Roman" w:hint="default"/>
          <w:spacing w:val="-10"/>
          <w:w w:val="99"/>
        </w:rPr>
        <w:t>7,500.00</w:t>
      </w:r>
      <w:r>
        <w:rPr>
          <w:rFonts w:ascii="Times New Roman" w:hAnsi="Times New Roman" w:cs="Times New Roman" w:eastAsia="Times New Roman" w:hint="default"/>
          <w:spacing w:val="-39"/>
          <w:w w:val="99"/>
        </w:rPr>
        <w:t> </w:t>
      </w:r>
      <w:r>
        <w:rPr>
          <w:spacing w:val="-2"/>
        </w:rPr>
        <w:t>万元，业经京都天华会计师事务所有限公司出具京都天华验字（</w:t>
      </w:r>
      <w:r>
        <w:rPr>
          <w:rFonts w:ascii="Times New Roman" w:hAnsi="Times New Roman" w:cs="Times New Roman" w:eastAsia="Times New Roman" w:hint="default"/>
          <w:spacing w:val="-2"/>
        </w:rPr>
        <w:t>2009</w:t>
      </w:r>
      <w:r>
        <w:rPr>
          <w:spacing w:val="-2"/>
        </w:rPr>
        <w:t>）第</w:t>
      </w:r>
      <w:r>
        <w:rPr>
          <w:rFonts w:ascii="Times New Roman" w:hAnsi="Times New Roman" w:cs="Times New Roman" w:eastAsia="Times New Roman" w:hint="default"/>
          <w:spacing w:val="-2"/>
        </w:rPr>
        <w:t>109</w:t>
      </w:r>
      <w:r>
        <w:rPr>
          <w:spacing w:val="-2"/>
        </w:rPr>
        <w:t>号验资报告予以</w:t>
      </w:r>
      <w:r>
        <w:rPr>
          <w:spacing w:val="-112"/>
        </w:rPr>
        <w:t> </w:t>
      </w:r>
      <w:r>
        <w:rPr/>
        <w:t>验证。</w:t>
      </w:r>
    </w:p>
    <w:p>
      <w:pPr>
        <w:pStyle w:val="BodyText"/>
        <w:spacing w:line="338" w:lineRule="auto" w:before="50"/>
        <w:ind w:right="350" w:firstLine="480"/>
        <w:jc w:val="both"/>
      </w:pP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16</w:t>
      </w:r>
      <w:r>
        <w:rPr>
          <w:spacing w:val="-4"/>
        </w:rPr>
        <w:t>日，经公司</w:t>
      </w:r>
      <w:r>
        <w:rPr>
          <w:rFonts w:ascii="Times New Roman" w:hAnsi="Times New Roman" w:cs="Times New Roman" w:eastAsia="Times New Roman" w:hint="default"/>
          <w:spacing w:val="-4"/>
        </w:rPr>
        <w:t>2010</w:t>
      </w:r>
      <w:r>
        <w:rPr>
          <w:spacing w:val="-4"/>
        </w:rPr>
        <w:t>年度股东大会批准，以</w:t>
      </w:r>
      <w:r>
        <w:rPr>
          <w:rFonts w:ascii="Times New Roman" w:hAnsi="Times New Roman" w:cs="Times New Roman" w:eastAsia="Times New Roman" w:hint="default"/>
          <w:spacing w:val="-4"/>
        </w:rPr>
        <w:t>2010</w:t>
      </w:r>
      <w:r>
        <w:rPr>
          <w:spacing w:val="-4"/>
        </w:rPr>
        <w:t>年末总股本</w:t>
      </w:r>
      <w:r>
        <w:rPr>
          <w:rFonts w:ascii="Times New Roman" w:hAnsi="Times New Roman" w:cs="Times New Roman" w:eastAsia="Times New Roman" w:hint="default"/>
          <w:spacing w:val="-4"/>
        </w:rPr>
        <w:t>7,500.00</w:t>
      </w:r>
      <w:r>
        <w:rPr>
          <w:spacing w:val="-4"/>
        </w:rPr>
        <w:t>万股为基数，</w:t>
      </w:r>
      <w:r>
        <w:rPr/>
        <w:t> 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股，共转增</w:t>
      </w:r>
      <w:r>
        <w:rPr>
          <w:rFonts w:ascii="Times New Roman" w:hAnsi="Times New Roman" w:cs="Times New Roman" w:eastAsia="Times New Roman" w:hint="default"/>
        </w:rPr>
        <w:t>4,500</w:t>
      </w:r>
      <w:r>
        <w:rPr/>
        <w:t>万股。转增后的股本总额为</w:t>
      </w:r>
      <w:r>
        <w:rPr>
          <w:rFonts w:ascii="Times New Roman" w:hAnsi="Times New Roman" w:cs="Times New Roman" w:eastAsia="Times New Roman" w:hint="default"/>
        </w:rPr>
        <w:t>12,000.00</w:t>
      </w:r>
      <w:r>
        <w:rPr/>
        <w:t>万</w:t>
      </w:r>
      <w:r>
        <w:rPr>
          <w:spacing w:val="-33"/>
        </w:rPr>
        <w:t> </w:t>
      </w:r>
      <w:r>
        <w:rPr/>
        <w:t>股，注册资本变更为人民币</w:t>
      </w:r>
      <w:r>
        <w:rPr>
          <w:rFonts w:ascii="Times New Roman" w:hAnsi="Times New Roman" w:cs="Times New Roman" w:eastAsia="Times New Roman" w:hint="default"/>
        </w:rPr>
        <w:t>12,000.00</w:t>
      </w:r>
      <w:r>
        <w:rPr/>
        <w:t>万元，业经京都天华会计师事务所有限公司出具京都天</w:t>
      </w:r>
      <w:r>
        <w:rPr>
          <w:spacing w:val="-92"/>
        </w:rPr>
        <w:t> </w:t>
      </w:r>
      <w:r>
        <w:rPr>
          <w:spacing w:val="-92"/>
        </w:rPr>
      </w:r>
      <w:r>
        <w:rPr/>
        <w:t>华验字（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0112</w:t>
      </w:r>
      <w:r>
        <w:rPr/>
        <w:t>号验资报告予以验证。</w:t>
      </w:r>
    </w:p>
    <w:p>
      <w:pPr>
        <w:pStyle w:val="BodyText"/>
        <w:spacing w:line="338" w:lineRule="auto" w:before="27"/>
        <w:ind w:right="351" w:firstLine="48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日，经公司</w:t>
      </w:r>
      <w:r>
        <w:rPr>
          <w:rFonts w:ascii="Times New Roman" w:hAnsi="Times New Roman" w:cs="Times New Roman" w:eastAsia="Times New Roman" w:hint="default"/>
          <w:spacing w:val="-2"/>
        </w:rPr>
        <w:t>2013</w:t>
      </w:r>
      <w:r>
        <w:rPr>
          <w:spacing w:val="-2"/>
        </w:rPr>
        <w:t>年第三次临时股东大会批准，以</w:t>
      </w:r>
      <w:r>
        <w:rPr>
          <w:rFonts w:ascii="Times New Roman" w:hAnsi="Times New Roman" w:cs="Times New Roman" w:eastAsia="Times New Roman" w:hint="default"/>
          <w:spacing w:val="-2"/>
        </w:rPr>
        <w:t>5.99</w:t>
      </w:r>
      <w:r>
        <w:rPr>
          <w:spacing w:val="-2"/>
        </w:rPr>
        <w:t>元</w:t>
      </w:r>
      <w:r>
        <w:rPr>
          <w:rFonts w:ascii="Times New Roman" w:hAnsi="Times New Roman" w:cs="Times New Roman" w:eastAsia="Times New Roman" w:hint="default"/>
          <w:spacing w:val="-2"/>
        </w:rPr>
        <w:t>/</w:t>
      </w:r>
      <w:r>
        <w:rPr>
          <w:spacing w:val="-2"/>
        </w:rPr>
        <w:t>股向</w:t>
      </w:r>
      <w:r>
        <w:rPr>
          <w:rFonts w:ascii="Times New Roman" w:hAnsi="Times New Roman" w:cs="Times New Roman" w:eastAsia="Times New Roman" w:hint="default"/>
          <w:spacing w:val="-2"/>
        </w:rPr>
        <w:t>101</w:t>
      </w:r>
      <w:r>
        <w:rPr>
          <w:spacing w:val="-2"/>
        </w:rPr>
        <w:t>名激励对象</w:t>
      </w:r>
      <w:r>
        <w:rPr/>
        <w:t> </w:t>
      </w:r>
      <w:r>
        <w:rPr>
          <w:spacing w:val="-4"/>
        </w:rPr>
        <w:t>定向发行限制性股票</w:t>
      </w:r>
      <w:r>
        <w:rPr>
          <w:rFonts w:ascii="Times New Roman" w:hAnsi="Times New Roman" w:cs="Times New Roman" w:eastAsia="Times New Roman" w:hint="default"/>
          <w:spacing w:val="-4"/>
        </w:rPr>
        <w:t>230.968</w:t>
      </w:r>
      <w:r>
        <w:rPr>
          <w:spacing w:val="-4"/>
        </w:rPr>
        <w:t>万股，增加注册资本</w:t>
      </w:r>
      <w:r>
        <w:rPr>
          <w:rFonts w:ascii="Times New Roman" w:hAnsi="Times New Roman" w:cs="Times New Roman" w:eastAsia="Times New Roman" w:hint="default"/>
          <w:spacing w:val="-4"/>
        </w:rPr>
        <w:t>230.968</w:t>
      </w:r>
      <w:r>
        <w:rPr>
          <w:spacing w:val="-4"/>
        </w:rPr>
        <w:t>万元。转增后的股本总额为</w:t>
      </w:r>
      <w:r>
        <w:rPr>
          <w:rFonts w:ascii="Times New Roman" w:hAnsi="Times New Roman" w:cs="Times New Roman" w:eastAsia="Times New Roman" w:hint="default"/>
          <w:spacing w:val="-4"/>
        </w:rPr>
        <w:t>12,230.968</w:t>
      </w:r>
      <w:r>
        <w:rPr>
          <w:rFonts w:ascii="Times New Roman" w:hAnsi="Times New Roman" w:cs="Times New Roman" w:eastAsia="Times New Roman" w:hint="default"/>
          <w:spacing w:val="-47"/>
        </w:rPr>
        <w:t> </w:t>
      </w:r>
      <w:r>
        <w:rPr>
          <w:spacing w:val="-2"/>
        </w:rPr>
        <w:t>万股，注册资本变更为人民币</w:t>
      </w:r>
      <w:r>
        <w:rPr>
          <w:rFonts w:ascii="Times New Roman" w:hAnsi="Times New Roman" w:cs="Times New Roman" w:eastAsia="Times New Roman" w:hint="default"/>
          <w:spacing w:val="-2"/>
        </w:rPr>
        <w:t>12,230.968</w:t>
      </w:r>
      <w:r>
        <w:rPr>
          <w:spacing w:val="-2"/>
        </w:rPr>
        <w:t>万元，业经北京天圆全会计师事务所有限公司出具天</w:t>
      </w:r>
      <w:r>
        <w:rPr>
          <w:spacing w:val="-110"/>
        </w:rPr>
        <w:t> </w:t>
      </w:r>
      <w:r>
        <w:rPr>
          <w:spacing w:val="-110"/>
        </w:rPr>
      </w:r>
      <w:r>
        <w:rPr/>
        <w:t>圆全验字</w:t>
      </w:r>
      <w:r>
        <w:rPr>
          <w:rFonts w:ascii="Times New Roman" w:hAnsi="Times New Roman" w:cs="Times New Roman" w:eastAsia="Times New Roman" w:hint="default"/>
        </w:rPr>
        <w:t>[2013]00120035</w:t>
      </w:r>
      <w:r>
        <w:rPr/>
        <w:t>号验资报告予以验证。</w:t>
      </w:r>
    </w:p>
    <w:p>
      <w:pPr>
        <w:pStyle w:val="BodyText"/>
        <w:spacing w:line="338" w:lineRule="auto" w:before="27"/>
        <w:ind w:right="348" w:firstLine="48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日，经公司第二届董事会第二十六次会议审议通过，以</w:t>
      </w:r>
      <w:r>
        <w:rPr>
          <w:rFonts w:ascii="Times New Roman" w:hAnsi="Times New Roman" w:cs="Times New Roman" w:eastAsia="Times New Roman" w:hint="default"/>
          <w:spacing w:val="-1"/>
        </w:rPr>
        <w:t>9</w:t>
      </w:r>
      <w:r>
        <w:rPr>
          <w:spacing w:val="-1"/>
        </w:rPr>
        <w:t>元</w:t>
      </w:r>
      <w:r>
        <w:rPr>
          <w:rFonts w:ascii="Times New Roman" w:hAnsi="Times New Roman" w:cs="Times New Roman" w:eastAsia="Times New Roman" w:hint="default"/>
          <w:spacing w:val="-1"/>
        </w:rPr>
        <w:t>/</w:t>
      </w:r>
      <w:r>
        <w:rPr>
          <w:spacing w:val="-1"/>
        </w:rPr>
        <w:t>股向激励对象定</w:t>
      </w:r>
      <w:r>
        <w:rPr/>
        <w:t> </w:t>
      </w:r>
      <w:r>
        <w:rPr>
          <w:spacing w:val="-2"/>
        </w:rPr>
        <w:t>向发行限制性股票</w:t>
      </w:r>
      <w:r>
        <w:rPr>
          <w:rFonts w:ascii="Times New Roman" w:hAnsi="Times New Roman" w:cs="Times New Roman" w:eastAsia="Times New Roman" w:hint="default"/>
          <w:spacing w:val="-2"/>
        </w:rPr>
        <w:t>27</w:t>
      </w:r>
      <w:r>
        <w:rPr>
          <w:spacing w:val="-2"/>
        </w:rPr>
        <w:t>万股，增加注册资本</w:t>
      </w:r>
      <w:r>
        <w:rPr>
          <w:rFonts w:ascii="Times New Roman" w:hAnsi="Times New Roman" w:cs="Times New Roman" w:eastAsia="Times New Roman" w:hint="default"/>
          <w:spacing w:val="-2"/>
        </w:rPr>
        <w:t>27</w:t>
      </w:r>
      <w:r>
        <w:rPr>
          <w:spacing w:val="-2"/>
        </w:rPr>
        <w:t>万元，转增后的资本总额为</w:t>
      </w:r>
      <w:r>
        <w:rPr>
          <w:rFonts w:ascii="Times New Roman" w:hAnsi="Times New Roman" w:cs="Times New Roman" w:eastAsia="Times New Roman" w:hint="default"/>
          <w:spacing w:val="-2"/>
        </w:rPr>
        <w:t>12,257.968</w:t>
      </w:r>
      <w:r>
        <w:rPr>
          <w:spacing w:val="-2"/>
        </w:rPr>
        <w:t>万股，注册</w:t>
      </w:r>
      <w:r>
        <w:rPr>
          <w:spacing w:val="-106"/>
        </w:rPr>
        <w:t> </w:t>
      </w:r>
      <w:r>
        <w:rPr>
          <w:spacing w:val="-106"/>
        </w:rPr>
      </w:r>
      <w:r>
        <w:rPr>
          <w:spacing w:val="2"/>
        </w:rPr>
        <w:t>资本变更为人民币</w:t>
      </w:r>
      <w:r>
        <w:rPr>
          <w:rFonts w:ascii="Times New Roman" w:hAnsi="Times New Roman" w:cs="Times New Roman" w:eastAsia="Times New Roman" w:hint="default"/>
          <w:spacing w:val="2"/>
        </w:rPr>
        <w:t>12,257.968</w:t>
      </w:r>
      <w:r>
        <w:rPr>
          <w:spacing w:val="2"/>
        </w:rPr>
        <w:t>万元，业经致同会计师事务所（特殊普通合伙）出具致同验字</w:t>
      </w:r>
    </w:p>
    <w:p>
      <w:pPr>
        <w:pStyle w:val="BodyText"/>
        <w:spacing w:line="240" w:lineRule="auto" w:before="27"/>
        <w:ind w:right="215"/>
        <w:jc w:val="left"/>
      </w:pPr>
      <w:r>
        <w:rPr/>
        <w:t>（</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110ZA0124</w:t>
      </w:r>
      <w:r>
        <w:rPr/>
        <w:t>号验资报告予以验证。</w:t>
      </w:r>
    </w:p>
    <w:p>
      <w:pPr>
        <w:pStyle w:val="BodyText"/>
        <w:spacing w:line="240" w:lineRule="auto" w:before="135"/>
        <w:ind w:left="633" w:right="215"/>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3</w:t>
      </w:r>
      <w:r>
        <w:rPr>
          <w:spacing w:val="3"/>
        </w:rPr>
        <w:t>日，公司第三届董事会第四次会议和第三届监事会第四次会议审议通过了</w:t>
      </w:r>
    </w:p>
    <w:p>
      <w:pPr>
        <w:pStyle w:val="BodyText"/>
        <w:spacing w:line="345" w:lineRule="auto" w:before="135"/>
        <w:ind w:right="106"/>
        <w:jc w:val="left"/>
      </w:pPr>
      <w:r>
        <w:rPr/>
        <w:t>《关于回购注销部分激励对象已获授但尚未解锁的限制性股票的议案》，鉴于公司激励计划</w:t>
      </w:r>
      <w:r>
        <w:rPr>
          <w:spacing w:val="-91"/>
        </w:rPr>
        <w:t> </w:t>
      </w:r>
      <w:r>
        <w:rPr>
          <w:spacing w:val="-91"/>
        </w:rPr>
      </w:r>
      <w:r>
        <w:rPr>
          <w:spacing w:val="-3"/>
        </w:rPr>
        <w:t>原激励对象薛瑜、方亚华、杨建伟、苏志宏、高龙、王皓、刘晓娟、韩红林共计</w:t>
      </w:r>
      <w:r>
        <w:rPr>
          <w:rFonts w:ascii="Times New Roman" w:hAnsi="Times New Roman" w:cs="Times New Roman" w:eastAsia="Times New Roman" w:hint="default"/>
          <w:spacing w:val="-3"/>
        </w:rPr>
        <w:t>8</w:t>
      </w:r>
      <w:r>
        <w:rPr>
          <w:spacing w:val="-3"/>
        </w:rPr>
        <w:t>人，全部因</w:t>
      </w:r>
      <w:r>
        <w:rPr>
          <w:spacing w:val="-80"/>
        </w:rPr>
        <w:t> </w:t>
      </w:r>
      <w:r>
        <w:rPr>
          <w:spacing w:val="-80"/>
        </w:rPr>
      </w:r>
      <w:r>
        <w:rPr/>
        <w:t>个人原因离职，不具备激励对象资格，公司对该等激励对象已获授但尚未解锁的全部限制性</w:t>
      </w:r>
      <w:r>
        <w:rPr>
          <w:spacing w:val="-91"/>
        </w:rPr>
        <w:t> </w:t>
      </w:r>
      <w:r>
        <w:rPr>
          <w:spacing w:val="-91"/>
        </w:rPr>
      </w:r>
      <w:r>
        <w:rPr>
          <w:spacing w:val="-2"/>
        </w:rPr>
        <w:t>股票共计</w:t>
      </w:r>
      <w:r>
        <w:rPr>
          <w:rFonts w:ascii="Times New Roman" w:hAnsi="Times New Roman" w:cs="Times New Roman" w:eastAsia="Times New Roman" w:hint="default"/>
          <w:spacing w:val="-2"/>
        </w:rPr>
        <w:t>14.5</w:t>
      </w:r>
      <w:r>
        <w:rPr>
          <w:spacing w:val="-2"/>
        </w:rPr>
        <w:t>万股进行回购注销，以</w:t>
      </w:r>
      <w:r>
        <w:rPr>
          <w:rFonts w:ascii="Times New Roman" w:hAnsi="Times New Roman" w:cs="Times New Roman" w:eastAsia="Times New Roman" w:hint="default"/>
          <w:spacing w:val="-2"/>
        </w:rPr>
        <w:t>5.99</w:t>
      </w:r>
      <w:r>
        <w:rPr>
          <w:spacing w:val="-2"/>
        </w:rPr>
        <w:t>元</w:t>
      </w:r>
      <w:r>
        <w:rPr>
          <w:rFonts w:ascii="Times New Roman" w:hAnsi="Times New Roman" w:cs="Times New Roman" w:eastAsia="Times New Roman" w:hint="default"/>
          <w:spacing w:val="-2"/>
        </w:rPr>
        <w:t>/</w:t>
      </w:r>
      <w:r>
        <w:rPr>
          <w:spacing w:val="-2"/>
        </w:rPr>
        <w:t>股回购</w:t>
      </w:r>
      <w:r>
        <w:rPr>
          <w:rFonts w:ascii="Times New Roman" w:hAnsi="Times New Roman" w:cs="Times New Roman" w:eastAsia="Times New Roman" w:hint="default"/>
          <w:spacing w:val="-2"/>
        </w:rPr>
        <w:t>8</w:t>
      </w:r>
      <w:r>
        <w:rPr>
          <w:spacing w:val="-2"/>
        </w:rPr>
        <w:t>名股权激励对象所持限制性股票</w:t>
      </w:r>
      <w:r>
        <w:rPr>
          <w:rFonts w:ascii="Times New Roman" w:hAnsi="Times New Roman" w:cs="Times New Roman" w:eastAsia="Times New Roman" w:hint="default"/>
          <w:spacing w:val="-2"/>
        </w:rPr>
        <w:t>14.50</w:t>
      </w:r>
      <w:r>
        <w:rPr>
          <w:spacing w:val="-2"/>
        </w:rPr>
        <w:t>万股，</w:t>
      </w:r>
      <w:r>
        <w:rPr>
          <w:spacing w:val="-110"/>
        </w:rPr>
        <w:t> </w:t>
      </w:r>
      <w:r>
        <w:rPr>
          <w:spacing w:val="21"/>
        </w:rPr>
        <w:t>减少注册资本</w:t>
      </w:r>
      <w:r>
        <w:rPr>
          <w:spacing w:val="-94"/>
        </w:rPr>
        <w:t> </w:t>
      </w:r>
      <w:r>
        <w:rPr>
          <w:rFonts w:ascii="Times New Roman" w:hAnsi="Times New Roman" w:cs="Times New Roman" w:eastAsia="Times New Roman" w:hint="default"/>
        </w:rPr>
        <w:t>14.50</w:t>
      </w:r>
      <w:r>
        <w:rPr>
          <w:rFonts w:ascii="Times New Roman" w:hAnsi="Times New Roman" w:cs="Times New Roman" w:eastAsia="Times New Roman" w:hint="default"/>
          <w:spacing w:val="-34"/>
        </w:rPr>
        <w:t> </w:t>
      </w:r>
      <w:r>
        <w:rPr>
          <w:spacing w:val="23"/>
        </w:rPr>
        <w:t>万元。注销后股本总额为</w:t>
      </w:r>
      <w:r>
        <w:rPr>
          <w:spacing w:val="-93"/>
        </w:rPr>
        <w:t> </w:t>
      </w:r>
      <w:r>
        <w:rPr>
          <w:rFonts w:ascii="Times New Roman" w:hAnsi="Times New Roman" w:cs="Times New Roman" w:eastAsia="Times New Roman" w:hint="default"/>
        </w:rPr>
        <w:t>12,243.468</w:t>
      </w:r>
      <w:r>
        <w:rPr>
          <w:rFonts w:ascii="Times New Roman" w:hAnsi="Times New Roman" w:cs="Times New Roman" w:eastAsia="Times New Roman" w:hint="default"/>
          <w:spacing w:val="-34"/>
        </w:rPr>
        <w:t> </w:t>
      </w:r>
      <w:r>
        <w:rPr>
          <w:spacing w:val="24"/>
        </w:rPr>
        <w:t>万股，注册资本变更为人民币</w:t>
      </w:r>
      <w:r>
        <w:rPr>
          <w:spacing w:val="-113"/>
        </w:rPr>
        <w:t> </w:t>
      </w:r>
      <w:r>
        <w:rPr>
          <w:rFonts w:ascii="Times New Roman" w:hAnsi="Times New Roman" w:cs="Times New Roman" w:eastAsia="Times New Roman" w:hint="default"/>
          <w:spacing w:val="-7"/>
        </w:rPr>
        <w:t>12,243.468</w:t>
      </w:r>
      <w:r>
        <w:rPr>
          <w:spacing w:val="-7"/>
        </w:rPr>
        <w:t>万元，业经致同会计师事务所（特殊普通合伙）出具</w:t>
      </w:r>
      <w:r>
        <w:rPr>
          <w:rFonts w:ascii="Times New Roman" w:hAnsi="Times New Roman" w:cs="Times New Roman" w:eastAsia="Times New Roman" w:hint="default"/>
          <w:spacing w:val="-7"/>
        </w:rPr>
        <w:t>“</w:t>
      </w:r>
      <w:r>
        <w:rPr>
          <w:spacing w:val="-7"/>
        </w:rPr>
        <w:t>致同验字（</w:t>
      </w:r>
      <w:r>
        <w:rPr>
          <w:rFonts w:ascii="Times New Roman" w:hAnsi="Times New Roman" w:cs="Times New Roman" w:eastAsia="Times New Roman" w:hint="default"/>
          <w:spacing w:val="-7"/>
        </w:rPr>
        <w:t>2014</w:t>
      </w:r>
      <w:r>
        <w:rPr>
          <w:spacing w:val="-7"/>
        </w:rPr>
        <w:t>）第</w:t>
      </w:r>
      <w:r>
        <w:rPr>
          <w:rFonts w:ascii="Times New Roman" w:hAnsi="Times New Roman" w:cs="Times New Roman" w:eastAsia="Times New Roman" w:hint="default"/>
          <w:spacing w:val="-7"/>
        </w:rPr>
        <w:t>110ZC0359</w:t>
      </w:r>
      <w:r>
        <w:rPr>
          <w:rFonts w:ascii="Times New Roman" w:hAnsi="Times New Roman" w:cs="Times New Roman" w:eastAsia="Times New Roman" w:hint="default"/>
        </w:rPr>
        <w:t> </w:t>
      </w:r>
      <w:r>
        <w:rPr/>
        <w:t>号</w:t>
      </w:r>
      <w:r>
        <w:rPr>
          <w:rFonts w:ascii="Times New Roman" w:hAnsi="Times New Roman" w:cs="Times New Roman" w:eastAsia="Times New Roman" w:hint="default"/>
        </w:rPr>
        <w:t>”</w:t>
      </w:r>
      <w:r>
        <w:rPr/>
        <w:t>验资报告予以验证。</w:t>
      </w:r>
    </w:p>
    <w:p>
      <w:pPr>
        <w:pStyle w:val="BodyText"/>
        <w:spacing w:line="338" w:lineRule="auto" w:before="19"/>
        <w:ind w:right="351" w:firstLine="480"/>
        <w:jc w:val="both"/>
      </w:pPr>
      <w:r>
        <w:rPr/>
        <w:t>根据公司</w:t>
      </w:r>
      <w:r>
        <w:rPr>
          <w:rFonts w:ascii="Times New Roman" w:hAnsi="Times New Roman" w:cs="Times New Roman" w:eastAsia="Times New Roman" w:hint="default"/>
        </w:rPr>
        <w:t>2014</w:t>
      </w:r>
      <w:r>
        <w:rPr/>
        <w:t>年度股东大会审议通过的《</w:t>
      </w:r>
      <w:r>
        <w:rPr>
          <w:rFonts w:ascii="Times New Roman" w:hAnsi="Times New Roman" w:cs="Times New Roman" w:eastAsia="Times New Roman" w:hint="default"/>
        </w:rPr>
        <w:t>2014</w:t>
      </w:r>
      <w:r>
        <w:rPr/>
        <w:t>年度利润分配预案》，以截止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 </w:t>
      </w:r>
      <w:r>
        <w:rPr/>
        <w:t>日公司总股本</w:t>
      </w:r>
      <w:r>
        <w:rPr>
          <w:rFonts w:ascii="Times New Roman" w:hAnsi="Times New Roman" w:cs="Times New Roman" w:eastAsia="Times New Roman" w:hint="default"/>
        </w:rPr>
        <w:t>122,434,680</w:t>
      </w:r>
      <w:r>
        <w:rPr/>
        <w:t>股为基数，向全体股东以每</w:t>
      </w:r>
      <w:r>
        <w:rPr>
          <w:rFonts w:ascii="Times New Roman" w:hAnsi="Times New Roman" w:cs="Times New Roman" w:eastAsia="Times New Roman" w:hint="default"/>
        </w:rPr>
        <w:t>10</w:t>
      </w:r>
      <w:r>
        <w:rPr/>
        <w:t>股派人民币现金</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5"/>
        </w:rPr>
        <w:t>元（含税），共</w:t>
      </w:r>
      <w:r>
        <w:rPr/>
        <w:t> </w:t>
      </w:r>
      <w:r>
        <w:rPr>
          <w:spacing w:val="-2"/>
        </w:rPr>
        <w:t>计派发现金</w:t>
      </w:r>
      <w:r>
        <w:rPr>
          <w:rFonts w:ascii="Times New Roman" w:hAnsi="Times New Roman" w:cs="Times New Roman" w:eastAsia="Times New Roman" w:hint="default"/>
          <w:spacing w:val="-2"/>
        </w:rPr>
        <w:t>12,243,468.00</w:t>
      </w:r>
      <w:r>
        <w:rPr>
          <w:spacing w:val="-2"/>
        </w:rPr>
        <w:t>元，同时，以资本公积金向全体股东每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37"/>
        </w:rPr>
        <w:t> </w:t>
      </w:r>
      <w:r>
        <w:rPr>
          <w:spacing w:val="-5"/>
        </w:rPr>
        <w:t>股。上述利润分配</w:t>
      </w:r>
    </w:p>
    <w:p>
      <w:pPr>
        <w:spacing w:after="0" w:line="338" w:lineRule="auto"/>
        <w:jc w:val="both"/>
        <w:sectPr>
          <w:footerReference w:type="default" r:id="rId17"/>
          <w:pgSz w:w="11910" w:h="16840"/>
          <w:pgMar w:footer="980" w:header="877" w:top="1100" w:bottom="1160" w:left="980" w:right="780"/>
          <w:pgNumType w:start="110"/>
        </w:sectPr>
      </w:pPr>
    </w:p>
    <w:p>
      <w:pPr>
        <w:spacing w:line="240" w:lineRule="auto" w:before="7"/>
        <w:rPr>
          <w:rFonts w:ascii="宋体" w:hAnsi="宋体" w:cs="宋体" w:eastAsia="宋体" w:hint="default"/>
          <w:sz w:val="25"/>
          <w:szCs w:val="25"/>
        </w:rPr>
      </w:pPr>
    </w:p>
    <w:p>
      <w:pPr>
        <w:pStyle w:val="BodyText"/>
        <w:spacing w:line="240" w:lineRule="auto" w:before="26"/>
        <w:ind w:right="98"/>
        <w:jc w:val="left"/>
      </w:pPr>
      <w:r>
        <w:rPr/>
        <w:t>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日实施完毕，公司总股本增至</w:t>
      </w:r>
      <w:r>
        <w:rPr>
          <w:rFonts w:ascii="Times New Roman" w:hAnsi="Times New Roman" w:cs="Times New Roman" w:eastAsia="Times New Roman" w:hint="default"/>
        </w:rPr>
        <w:t>195,895,488</w:t>
      </w:r>
      <w:r>
        <w:rPr>
          <w:rFonts w:ascii="Times New Roman" w:hAnsi="Times New Roman" w:cs="Times New Roman" w:eastAsia="Times New Roman" w:hint="default"/>
          <w:spacing w:val="35"/>
        </w:rPr>
        <w:t> </w:t>
      </w:r>
      <w:r>
        <w:rPr/>
        <w:t>股。</w:t>
      </w:r>
    </w:p>
    <w:p>
      <w:pPr>
        <w:pStyle w:val="BodyText"/>
        <w:spacing w:line="343" w:lineRule="auto" w:before="136"/>
        <w:ind w:right="231" w:firstLine="48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5</w:t>
      </w:r>
      <w:r>
        <w:rPr>
          <w:spacing w:val="-2"/>
        </w:rPr>
        <w:t>日，公司第三届董事会第十一次会议审议通过了《关于回购注销部分激励对</w:t>
      </w:r>
      <w:r>
        <w:rPr/>
        <w:t> </w:t>
      </w:r>
      <w:r>
        <w:rPr>
          <w:spacing w:val="-5"/>
        </w:rPr>
        <w:t>象已获授但尚未解锁的限制性股票的议案》，鉴于公司激励计划原激励对象邹继媛、史大伟、</w:t>
      </w:r>
      <w:r>
        <w:rPr/>
        <w:t> </w:t>
      </w:r>
      <w:r>
        <w:rPr>
          <w:spacing w:val="-3"/>
        </w:rPr>
        <w:t>范新国和仇巍巍</w:t>
      </w:r>
      <w:r>
        <w:rPr>
          <w:rFonts w:ascii="Times New Roman" w:hAnsi="Times New Roman" w:cs="Times New Roman" w:eastAsia="Times New Roman" w:hint="default"/>
          <w:spacing w:val="-3"/>
        </w:rPr>
        <w:t>4</w:t>
      </w:r>
      <w:r>
        <w:rPr>
          <w:spacing w:val="-3"/>
        </w:rPr>
        <w:t>人全部因个人原因离职，不具备激励对象资格，公司对该等激励对象已获授</w:t>
      </w:r>
      <w:r>
        <w:rPr>
          <w:spacing w:val="-80"/>
        </w:rPr>
        <w:t> </w:t>
      </w:r>
      <w:r>
        <w:rPr>
          <w:spacing w:val="-80"/>
        </w:rPr>
      </w:r>
      <w:r>
        <w:rPr>
          <w:spacing w:val="13"/>
        </w:rPr>
        <w:t>但尚未解锁的全部限制性股票回购注销；本次回购注销股票</w:t>
      </w:r>
      <w:r>
        <w:rPr>
          <w:rFonts w:ascii="Times New Roman" w:hAnsi="Times New Roman" w:cs="Times New Roman" w:eastAsia="Times New Roman" w:hint="default"/>
          <w:spacing w:val="13"/>
        </w:rPr>
        <w:t>73,818</w:t>
      </w:r>
      <w:r>
        <w:rPr>
          <w:spacing w:val="13"/>
        </w:rPr>
        <w:t>股，公司总股本将从</w:t>
      </w:r>
      <w:r>
        <w:rPr>
          <w:spacing w:val="-101"/>
        </w:rPr>
        <w:t> </w:t>
      </w:r>
      <w:r>
        <w:rPr>
          <w:spacing w:val="-101"/>
        </w:rPr>
      </w:r>
      <w:r>
        <w:rPr>
          <w:rFonts w:ascii="Times New Roman" w:hAnsi="Times New Roman" w:cs="Times New Roman" w:eastAsia="Times New Roman" w:hint="default"/>
        </w:rPr>
        <w:t>195,895,488.00  </w:t>
      </w:r>
      <w:r>
        <w:rPr/>
        <w:t>股变更为 </w:t>
      </w:r>
      <w:r>
        <w:rPr>
          <w:rFonts w:ascii="Times New Roman" w:hAnsi="Times New Roman" w:cs="Times New Roman" w:eastAsia="Times New Roman" w:hint="default"/>
        </w:rPr>
        <w:t>195,821,670.00</w:t>
      </w:r>
      <w:r>
        <w:rPr>
          <w:rFonts w:ascii="Times New Roman" w:hAnsi="Times New Roman" w:cs="Times New Roman" w:eastAsia="Times New Roman" w:hint="default"/>
          <w:spacing w:val="-13"/>
        </w:rPr>
        <w:t> </w:t>
      </w:r>
      <w:r>
        <w:rPr/>
        <w:t>股。</w:t>
      </w:r>
    </w:p>
    <w:p>
      <w:pPr>
        <w:pStyle w:val="BodyText"/>
        <w:spacing w:line="343" w:lineRule="auto" w:before="21"/>
        <w:ind w:right="105" w:firstLine="48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月，公司根据中国证券监督管理委员会于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日下发的《关于核准北京 </w:t>
      </w:r>
      <w:r>
        <w:rPr>
          <w:spacing w:val="6"/>
        </w:rPr>
        <w:t>超图软件股份有限公司向孙在宏等发行股份购买资产并募集配套资金的批复》（证监许可</w:t>
      </w:r>
      <w:r>
        <w:rPr>
          <w:spacing w:val="-83"/>
        </w:rPr>
        <w:t> </w:t>
      </w:r>
      <w:r>
        <w:rPr>
          <w:spacing w:val="-83"/>
        </w:rPr>
      </w:r>
      <w:r>
        <w:rPr>
          <w:rFonts w:ascii="Times New Roman" w:hAnsi="Times New Roman" w:cs="Times New Roman" w:eastAsia="Times New Roman" w:hint="default"/>
        </w:rPr>
        <w:t>[2016]824</w:t>
      </w:r>
      <w:r>
        <w:rPr/>
        <w:t>号）文件的批复，进行了重大资产重组。重组方案为公司向南京国图信息产业有限 </w:t>
      </w:r>
      <w:r>
        <w:rPr>
          <w:spacing w:val="-4"/>
        </w:rPr>
        <w:t>公司（以下简称南京国图公司）股东发行股份及支付现金的方式收购南京国图公司</w:t>
      </w:r>
      <w:r>
        <w:rPr>
          <w:rFonts w:ascii="Times New Roman" w:hAnsi="Times New Roman" w:cs="Times New Roman" w:eastAsia="Times New Roman" w:hint="default"/>
          <w:spacing w:val="-4"/>
        </w:rPr>
        <w:t>100%</w:t>
      </w:r>
      <w:r>
        <w:rPr>
          <w:spacing w:val="-4"/>
        </w:rPr>
        <w:t>股权，</w:t>
      </w:r>
      <w:r>
        <w:rPr>
          <w:spacing w:val="-112"/>
        </w:rPr>
        <w:t> </w:t>
      </w:r>
      <w:r>
        <w:rPr/>
        <w:t>同时非公开发行不超过</w:t>
      </w:r>
      <w:r>
        <w:rPr>
          <w:rFonts w:ascii="Times New Roman" w:hAnsi="Times New Roman" w:cs="Times New Roman" w:eastAsia="Times New Roman" w:hint="default"/>
        </w:rPr>
        <w:t>16,756,173</w:t>
      </w:r>
      <w:r>
        <w:rPr/>
        <w:t>股新股募集本次发行股份购买资产的配套资金。</w:t>
      </w:r>
    </w:p>
    <w:p>
      <w:pPr>
        <w:pStyle w:val="BodyText"/>
        <w:spacing w:line="340" w:lineRule="auto" w:before="21"/>
        <w:ind w:right="229" w:firstLine="48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日，经公司股东大会批准，以资本公积金向全体股东每 </w:t>
      </w:r>
      <w:r>
        <w:rPr>
          <w:rFonts w:ascii="Times New Roman" w:hAnsi="Times New Roman" w:cs="Times New Roman" w:eastAsia="Times New Roman" w:hint="default"/>
        </w:rPr>
        <w:t>10 </w:t>
      </w:r>
      <w:r>
        <w:rPr/>
        <w:t>股转增</w:t>
      </w:r>
      <w:r>
        <w:rPr>
          <w:spacing w:val="21"/>
        </w:rPr>
        <w:t> </w:t>
      </w:r>
      <w:r>
        <w:rPr>
          <w:rFonts w:ascii="Times New Roman" w:hAnsi="Times New Roman" w:cs="Times New Roman" w:eastAsia="Times New Roman" w:hint="default"/>
        </w:rPr>
        <w:t>10</w:t>
      </w:r>
      <w:r>
        <w:rPr/>
        <w:t>股。</w:t>
      </w:r>
      <w:r>
        <w:rPr>
          <w:spacing w:val="2"/>
        </w:rPr>
        <w:t> </w:t>
      </w:r>
      <w:r>
        <w:rPr/>
        <w:t>本次权益分派</w:t>
      </w:r>
      <w:r>
        <w:rPr>
          <w:rFonts w:ascii="Times New Roman" w:hAnsi="Times New Roman" w:cs="Times New Roman" w:eastAsia="Times New Roman" w:hint="default"/>
        </w:rPr>
        <w:t>19,582.1670</w:t>
      </w:r>
      <w:r>
        <w:rPr/>
        <w:t>万股，公司增加注册资本</w:t>
      </w:r>
      <w:r>
        <w:rPr>
          <w:rFonts w:ascii="Times New Roman" w:hAnsi="Times New Roman" w:cs="Times New Roman" w:eastAsia="Times New Roman" w:hint="default"/>
        </w:rPr>
        <w:t>19,582.1670</w:t>
      </w:r>
      <w:r>
        <w:rPr/>
        <w:t>万元。公司在上述分红派息方</w:t>
      </w:r>
      <w:r>
        <w:rPr>
          <w:spacing w:val="-84"/>
        </w:rPr>
        <w:t> </w:t>
      </w:r>
      <w:r>
        <w:rPr>
          <w:spacing w:val="-84"/>
        </w:rPr>
      </w:r>
      <w:r>
        <w:rPr/>
        <w:t>案实施完毕后，将本次非公开发行股票购买资产的发行价格和发行数量相应进行调整，调整</w:t>
      </w:r>
      <w:r>
        <w:rPr>
          <w:spacing w:val="-91"/>
        </w:rPr>
        <w:t> </w:t>
      </w:r>
      <w:r>
        <w:rPr>
          <w:spacing w:val="-91"/>
        </w:rPr>
      </w:r>
      <w:r>
        <w:rPr>
          <w:spacing w:val="-2"/>
        </w:rPr>
        <w:t>后实际发行数量为</w:t>
      </w:r>
      <w:r>
        <w:rPr>
          <w:rFonts w:ascii="Times New Roman" w:hAnsi="Times New Roman" w:cs="Times New Roman" w:eastAsia="Times New Roman" w:hint="default"/>
          <w:spacing w:val="-2"/>
        </w:rPr>
        <w:t>2,431.4946</w:t>
      </w:r>
      <w:r>
        <w:rPr>
          <w:spacing w:val="-2"/>
        </w:rPr>
        <w:t>万股，同时非公开发行股票募集配套资金发行的股数调整后实际</w:t>
      </w:r>
      <w:r>
        <w:rPr>
          <w:spacing w:val="-111"/>
        </w:rPr>
        <w:t> </w:t>
      </w:r>
      <w:r>
        <w:rPr>
          <w:spacing w:val="-111"/>
        </w:rPr>
      </w:r>
      <w:r>
        <w:rPr>
          <w:spacing w:val="-4"/>
        </w:rPr>
        <w:t>发行数量为</w:t>
      </w:r>
      <w:r>
        <w:rPr>
          <w:rFonts w:ascii="Times New Roman" w:hAnsi="Times New Roman" w:cs="Times New Roman" w:eastAsia="Times New Roman" w:hint="default"/>
          <w:spacing w:val="-4"/>
        </w:rPr>
        <w:t>3,362.0681</w:t>
      </w:r>
      <w:r>
        <w:rPr>
          <w:spacing w:val="-4"/>
        </w:rPr>
        <w:t>万股，共计</w:t>
      </w:r>
      <w:r>
        <w:rPr>
          <w:rFonts w:ascii="Times New Roman" w:hAnsi="Times New Roman" w:cs="Times New Roman" w:eastAsia="Times New Roman" w:hint="default"/>
          <w:spacing w:val="-4"/>
        </w:rPr>
        <w:t>5,793.5627</w:t>
      </w:r>
      <w:r>
        <w:rPr>
          <w:spacing w:val="-4"/>
        </w:rPr>
        <w:t>万股。本次发行后公司股份数量为</w:t>
      </w:r>
      <w:r>
        <w:rPr>
          <w:rFonts w:ascii="Times New Roman" w:hAnsi="Times New Roman" w:cs="Times New Roman" w:eastAsia="Times New Roman" w:hint="default"/>
          <w:spacing w:val="-4"/>
        </w:rPr>
        <w:t>449,578,967</w:t>
      </w:r>
      <w:r>
        <w:rPr>
          <w:spacing w:val="-4"/>
        </w:rPr>
        <w:t>股。</w:t>
      </w:r>
      <w:r>
        <w:rPr>
          <w:spacing w:val="-91"/>
        </w:rPr>
        <w:t> </w:t>
      </w:r>
      <w:r>
        <w:rPr/>
        <w:t>本次配套融资部分募集资金总额为</w:t>
      </w:r>
      <w:r>
        <w:rPr>
          <w:rFonts w:ascii="Times New Roman" w:hAnsi="Times New Roman" w:cs="Times New Roman" w:eastAsia="Times New Roman" w:hint="default"/>
        </w:rPr>
        <w:t>467,999,879.52</w:t>
      </w:r>
      <w:r>
        <w:rPr/>
        <w:t>元，扣除发行费用</w:t>
      </w:r>
      <w:r>
        <w:rPr>
          <w:rFonts w:ascii="Times New Roman" w:hAnsi="Times New Roman" w:cs="Times New Roman" w:eastAsia="Times New Roman" w:hint="default"/>
        </w:rPr>
        <w:t>10,357,935.63</w:t>
      </w:r>
      <w:r>
        <w:rPr/>
        <w:t>元，募集资</w:t>
      </w:r>
      <w:r>
        <w:rPr>
          <w:spacing w:val="-85"/>
        </w:rPr>
        <w:t> </w:t>
      </w:r>
      <w:r>
        <w:rPr>
          <w:spacing w:val="-85"/>
        </w:rPr>
      </w:r>
      <w:r>
        <w:rPr>
          <w:spacing w:val="-1"/>
        </w:rPr>
        <w:t>金净额为人民币</w:t>
      </w:r>
      <w:r>
        <w:rPr>
          <w:rFonts w:ascii="Times New Roman" w:hAnsi="Times New Roman" w:cs="Times New Roman" w:eastAsia="Times New Roman" w:hint="default"/>
          <w:spacing w:val="-1"/>
        </w:rPr>
        <w:t>457,641,943.89</w:t>
      </w:r>
      <w:r>
        <w:rPr>
          <w:spacing w:val="-1"/>
        </w:rPr>
        <w:t>元。本次重组交易完成后股本总额为</w:t>
      </w:r>
      <w:r>
        <w:rPr>
          <w:rFonts w:ascii="Times New Roman" w:hAnsi="Times New Roman" w:cs="Times New Roman" w:eastAsia="Times New Roman" w:hint="default"/>
          <w:spacing w:val="-1"/>
        </w:rPr>
        <w:t>44,957.8967</w:t>
      </w:r>
      <w:r>
        <w:rPr>
          <w:spacing w:val="-1"/>
        </w:rPr>
        <w:t>万股，注册资</w:t>
      </w:r>
      <w:r>
        <w:rPr>
          <w:spacing w:val="-90"/>
        </w:rPr>
        <w:t> </w:t>
      </w:r>
      <w:r>
        <w:rPr>
          <w:spacing w:val="-90"/>
        </w:rPr>
      </w:r>
      <w:r>
        <w:rPr>
          <w:spacing w:val="3"/>
        </w:rPr>
        <w:t>本变更为人民币</w:t>
      </w:r>
      <w:r>
        <w:rPr>
          <w:rFonts w:ascii="Times New Roman" w:hAnsi="Times New Roman" w:cs="Times New Roman" w:eastAsia="Times New Roman" w:hint="default"/>
          <w:spacing w:val="3"/>
        </w:rPr>
        <w:t>44,957.8967</w:t>
      </w:r>
      <w:r>
        <w:rPr>
          <w:spacing w:val="3"/>
        </w:rPr>
        <w:t>万元，业经致同会计师事务所（特殊普通合伙）出具</w:t>
      </w:r>
      <w:r>
        <w:rPr>
          <w:rFonts w:ascii="Times New Roman" w:hAnsi="Times New Roman" w:cs="Times New Roman" w:eastAsia="Times New Roman" w:hint="default"/>
          <w:spacing w:val="3"/>
        </w:rPr>
        <w:t>“</w:t>
      </w:r>
      <w:r>
        <w:rPr>
          <w:spacing w:val="3"/>
        </w:rPr>
        <w:t>致同验字</w:t>
      </w:r>
      <w:r>
        <w:rPr>
          <w:spacing w:val="-114"/>
        </w:rPr>
        <w:t> </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110ZC0399</w:t>
      </w:r>
      <w:r>
        <w:rPr/>
        <w:t>号</w:t>
      </w:r>
      <w:r>
        <w:rPr>
          <w:rFonts w:ascii="Times New Roman" w:hAnsi="Times New Roman" w:cs="Times New Roman" w:eastAsia="Times New Roman" w:hint="default"/>
        </w:rPr>
        <w:t>”</w:t>
      </w:r>
      <w:r>
        <w:rPr/>
        <w:t>验资报告予以验证。</w:t>
      </w:r>
    </w:p>
    <w:p>
      <w:pPr>
        <w:pStyle w:val="BodyText"/>
        <w:spacing w:line="338" w:lineRule="auto" w:before="24"/>
        <w:ind w:right="229" w:firstLine="480"/>
        <w:jc w:val="both"/>
      </w:pPr>
      <w:r>
        <w:rPr>
          <w:spacing w:val="-2"/>
        </w:rPr>
        <w:t>根据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w:t>
      </w:r>
      <w:r>
        <w:rPr>
          <w:spacing w:val="-2"/>
        </w:rPr>
        <w:t>日第四届董事会第三次会议决议以及修改后的章程规定，鉴于公司激励</w:t>
      </w:r>
      <w:r>
        <w:rPr/>
        <w:t> </w:t>
      </w:r>
      <w:r>
        <w:rPr>
          <w:spacing w:val="-2"/>
        </w:rPr>
        <w:t>对象黄骞、林彬和孙培基</w:t>
      </w:r>
      <w:r>
        <w:rPr>
          <w:rFonts w:ascii="Times New Roman" w:hAnsi="Times New Roman" w:cs="Times New Roman" w:eastAsia="Times New Roman" w:hint="default"/>
          <w:spacing w:val="-2"/>
        </w:rPr>
        <w:t>3</w:t>
      </w:r>
      <w:r>
        <w:rPr>
          <w:spacing w:val="-2"/>
        </w:rPr>
        <w:t>人已不符合激励条件，公司回购注销其已获授尚未解锁的限制性股</w:t>
      </w:r>
      <w:r>
        <w:rPr/>
        <w:t> 票</w:t>
      </w:r>
      <w:r>
        <w:rPr>
          <w:rFonts w:ascii="Times New Roman" w:hAnsi="Times New Roman" w:cs="Times New Roman" w:eastAsia="Times New Roman" w:hint="default"/>
        </w:rPr>
        <w:t>4.16</w:t>
      </w:r>
      <w:r>
        <w:rPr/>
        <w:t>万股，申请减少注册资本人民币</w:t>
      </w:r>
      <w:r>
        <w:rPr>
          <w:rFonts w:ascii="Times New Roman" w:hAnsi="Times New Roman" w:cs="Times New Roman" w:eastAsia="Times New Roman" w:hint="default"/>
        </w:rPr>
        <w:t>4.16</w:t>
      </w:r>
      <w:r>
        <w:rPr/>
        <w:t>万元，实收资本</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4.16</w:t>
      </w:r>
      <w:r>
        <w:rPr/>
        <w:t>万元。变更后公</w:t>
      </w:r>
      <w:r>
        <w:rPr>
          <w:spacing w:val="-67"/>
        </w:rPr>
        <w:t> </w:t>
      </w:r>
      <w:r>
        <w:rPr>
          <w:spacing w:val="-67"/>
        </w:rPr>
      </w:r>
      <w:r>
        <w:rPr/>
        <w:t>司的股本为人民币</w:t>
      </w:r>
      <w:r>
        <w:rPr>
          <w:rFonts w:ascii="Times New Roman" w:hAnsi="Times New Roman" w:cs="Times New Roman" w:eastAsia="Times New Roman" w:hint="default"/>
        </w:rPr>
        <w:t>44,953.7367</w:t>
      </w:r>
      <w:r>
        <w:rPr/>
        <w:t>万元。该次注册资本变更已经中汇会计师事务所（特殊普通合</w:t>
      </w:r>
      <w:r>
        <w:rPr>
          <w:spacing w:val="-87"/>
        </w:rPr>
        <w:t> </w:t>
      </w:r>
      <w:r>
        <w:rPr>
          <w:spacing w:val="-87"/>
        </w:rPr>
      </w:r>
      <w:r>
        <w:rPr/>
        <w:t>伙）审验，并于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日出具中汇会验</w:t>
      </w:r>
      <w:r>
        <w:rPr>
          <w:rFonts w:ascii="Times New Roman" w:hAnsi="Times New Roman" w:cs="Times New Roman" w:eastAsia="Times New Roman" w:hint="default"/>
        </w:rPr>
        <w:t>[2016]4582</w:t>
      </w:r>
      <w:r>
        <w:rPr/>
        <w:t>号验资报告。</w:t>
      </w:r>
    </w:p>
    <w:p>
      <w:pPr>
        <w:pStyle w:val="BodyText"/>
        <w:spacing w:line="338" w:lineRule="auto" w:before="27"/>
        <w:ind w:left="633" w:right="98"/>
        <w:jc w:val="left"/>
      </w:pPr>
      <w:r>
        <w:rPr/>
        <w:t>公司股票代码：</w:t>
      </w:r>
      <w:r>
        <w:rPr>
          <w:rFonts w:ascii="Times New Roman" w:hAnsi="Times New Roman" w:cs="Times New Roman" w:eastAsia="Times New Roman" w:hint="default"/>
        </w:rPr>
        <w:t>300036 </w:t>
      </w:r>
      <w:r>
        <w:rPr/>
        <w:t>公司注册地：北京市朝阳区酒仙桥北路甲</w:t>
      </w:r>
      <w:r>
        <w:rPr>
          <w:rFonts w:ascii="Times New Roman" w:hAnsi="Times New Roman" w:cs="Times New Roman" w:eastAsia="Times New Roman" w:hint="default"/>
        </w:rPr>
        <w:t>10</w:t>
      </w:r>
      <w:r>
        <w:rPr/>
        <w:t>号院电子城</w:t>
      </w:r>
      <w:r>
        <w:rPr>
          <w:rFonts w:ascii="Times New Roman" w:hAnsi="Times New Roman" w:cs="Times New Roman" w:eastAsia="Times New Roman" w:hint="default"/>
        </w:rPr>
        <w:t>IT</w:t>
      </w:r>
      <w:r>
        <w:rPr/>
        <w:t>产业园</w:t>
      </w:r>
      <w:r>
        <w:rPr>
          <w:rFonts w:ascii="Times New Roman" w:hAnsi="Times New Roman" w:cs="Times New Roman" w:eastAsia="Times New Roman" w:hint="default"/>
        </w:rPr>
        <w:t>107</w:t>
      </w:r>
      <w:r>
        <w:rPr/>
        <w:t>楼</w:t>
      </w:r>
      <w:r>
        <w:rPr>
          <w:rFonts w:ascii="Times New Roman" w:hAnsi="Times New Roman" w:cs="Times New Roman" w:eastAsia="Times New Roman" w:hint="default"/>
        </w:rPr>
        <w:t>6</w:t>
      </w:r>
      <w:r>
        <w:rPr/>
        <w:t>层；统一社会信</w:t>
      </w:r>
    </w:p>
    <w:p>
      <w:pPr>
        <w:pStyle w:val="BodyText"/>
        <w:spacing w:line="338" w:lineRule="auto" w:before="27"/>
        <w:ind w:left="633" w:right="98" w:hanging="480"/>
        <w:jc w:val="left"/>
      </w:pPr>
      <w:r>
        <w:rPr/>
        <w:t>用代码：</w:t>
      </w:r>
      <w:r>
        <w:rPr>
          <w:rFonts w:ascii="Times New Roman" w:hAnsi="Times New Roman" w:cs="Times New Roman" w:eastAsia="Times New Roman" w:hint="default"/>
        </w:rPr>
        <w:t>911100006330248381</w:t>
      </w:r>
      <w:r>
        <w:rPr/>
        <w:t>；法定代表人：钟耳顺。 本公司的基本组织架构：根据国家法律法规和公司章程的规定，建立了由股东大会、董</w:t>
      </w:r>
    </w:p>
    <w:p>
      <w:pPr>
        <w:spacing w:after="0" w:line="338" w:lineRule="auto"/>
        <w:jc w:val="left"/>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57" w:lineRule="auto" w:before="26"/>
        <w:ind w:right="152"/>
        <w:jc w:val="both"/>
      </w:pPr>
      <w:r>
        <w:rPr/>
        <w:t>事会、监事会及经营管理层组成的规范的多层次治理结构；董事会下设战略委员会、审计委</w:t>
      </w:r>
      <w:r>
        <w:rPr>
          <w:spacing w:val="-91"/>
        </w:rPr>
        <w:t> </w:t>
      </w:r>
      <w:r>
        <w:rPr>
          <w:spacing w:val="-91"/>
        </w:rPr>
      </w:r>
      <w:r>
        <w:rPr>
          <w:spacing w:val="-5"/>
        </w:rPr>
        <w:t>员会、薪酬与考核委员会、提名委员会等四个专门委员会和董事会办公室。公司下设行政部、</w:t>
      </w:r>
      <w:r>
        <w:rPr/>
        <w:t> </w:t>
      </w:r>
      <w:r>
        <w:rPr>
          <w:spacing w:val="-5"/>
        </w:rPr>
        <w:t>财务部、人力资源部、内控部、证券部、研究院、平台事业群、国际业务群、大数据业务群、</w:t>
      </w:r>
      <w:r>
        <w:rPr>
          <w:spacing w:val="-118"/>
        </w:rPr>
        <w:t> </w:t>
      </w:r>
      <w:r>
        <w:rPr>
          <w:spacing w:val="-118"/>
        </w:rPr>
      </w:r>
      <w:r>
        <w:rPr/>
        <w:t>应用事业群等主要职能部门和业务单元。</w:t>
      </w:r>
    </w:p>
    <w:p>
      <w:pPr>
        <w:pStyle w:val="BodyText"/>
        <w:spacing w:line="357" w:lineRule="auto" w:before="36"/>
        <w:ind w:right="152" w:firstLine="480"/>
        <w:jc w:val="both"/>
      </w:pPr>
      <w:r>
        <w:rPr>
          <w:spacing w:val="-6"/>
        </w:rPr>
        <w:t>本公司属于科学研究和技术服务业。经营范围为：地理信息系统、遥感、全球定位系统、</w:t>
      </w:r>
      <w:r>
        <w:rPr/>
        <w:t> 办公自动化软件技术开发、技术咨询、技术转让、技术服务；电子计算机系统集成；销售开</w:t>
      </w:r>
      <w:r>
        <w:rPr>
          <w:spacing w:val="-91"/>
        </w:rPr>
        <w:t> </w:t>
      </w:r>
      <w:r>
        <w:rPr>
          <w:spacing w:val="-91"/>
        </w:rPr>
      </w:r>
      <w:r>
        <w:rPr/>
        <w:t>发后的产品；经营本企业和成员企业自产产品及技术出口业务；本企业和成员企业所需的原</w:t>
      </w:r>
      <w:r>
        <w:rPr>
          <w:spacing w:val="-91"/>
        </w:rPr>
        <w:t> </w:t>
      </w:r>
      <w:r>
        <w:rPr>
          <w:spacing w:val="-91"/>
        </w:rPr>
      </w:r>
      <w:r>
        <w:rPr/>
        <w:t>辅材料、机械设备、仪器仪表、零配件及技术的进口业务（国家限定公司经营和国家禁止进</w:t>
      </w:r>
      <w:r>
        <w:rPr>
          <w:spacing w:val="-91"/>
        </w:rPr>
        <w:t> </w:t>
      </w:r>
      <w:r>
        <w:rPr>
          <w:spacing w:val="-91"/>
        </w:rPr>
      </w:r>
      <w:r>
        <w:rPr/>
        <w:t>出口的商品除外）；经营进料加工和三来一补业务；技术培训；出租办公用房。</w:t>
      </w:r>
    </w:p>
    <w:p>
      <w:pPr>
        <w:pStyle w:val="BodyText"/>
        <w:spacing w:line="338" w:lineRule="auto" w:before="36"/>
        <w:ind w:left="633" w:right="173"/>
        <w:jc w:val="left"/>
      </w:pPr>
      <w:r>
        <w:rPr/>
        <w:t>本财务报表及财务报表附注已于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日经公司第四届董事会第四次会议批准。 </w:t>
      </w: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合并范围</w:t>
      </w:r>
      <w:r>
        <w:rPr>
          <w:rFonts w:ascii="宋体" w:hAnsi="宋体" w:cs="宋体" w:eastAsia="宋体" w:hint="default"/>
          <w:b/>
          <w:bCs/>
          <w:w w:val="99"/>
        </w:rPr>
        <w:t> </w:t>
      </w:r>
      <w:r>
        <w:rPr/>
        <w:t>本公司</w:t>
      </w:r>
      <w:r>
        <w:rPr>
          <w:rFonts w:ascii="Times New Roman" w:hAnsi="Times New Roman" w:cs="Times New Roman" w:eastAsia="Times New Roman" w:hint="default"/>
        </w:rPr>
        <w:t>2017</w:t>
      </w:r>
      <w:r>
        <w:rPr/>
        <w:t>年度纳入合并范围的子公司共</w:t>
      </w:r>
      <w:r>
        <w:rPr>
          <w:rFonts w:ascii="Times New Roman" w:hAnsi="Times New Roman" w:cs="Times New Roman" w:eastAsia="Times New Roman" w:hint="default"/>
        </w:rPr>
        <w:t>19</w:t>
      </w:r>
      <w:r>
        <w:rPr/>
        <w:t>家，详见附注九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。与</w:t>
      </w:r>
    </w:p>
    <w:p>
      <w:pPr>
        <w:pStyle w:val="BodyText"/>
        <w:spacing w:line="338" w:lineRule="auto" w:before="27"/>
        <w:ind w:left="633" w:right="1520" w:hanging="480"/>
        <w:jc w:val="left"/>
      </w:pPr>
      <w:r>
        <w:rPr/>
        <w:t>上年度相比，本公司本年度合并范围增加</w:t>
      </w:r>
      <w:r>
        <w:rPr>
          <w:rFonts w:ascii="Times New Roman" w:hAnsi="Times New Roman" w:cs="Times New Roman" w:eastAsia="Times New Roman" w:hint="default"/>
        </w:rPr>
        <w:t>3</w:t>
      </w:r>
      <w:r>
        <w:rPr/>
        <w:t>家，详见附注八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tbl>
      <w:tblPr>
        <w:tblW w:w="0" w:type="auto"/>
        <w:jc w:val="left"/>
        <w:tblInd w:w="138" w:type="dxa"/>
        <w:tblLayout w:type="fixed"/>
        <w:tblCellMar>
          <w:top w:w="0" w:type="dxa"/>
          <w:left w:w="0" w:type="dxa"/>
          <w:bottom w:w="0" w:type="dxa"/>
          <w:right w:w="0" w:type="dxa"/>
        </w:tblCellMar>
        <w:tblLook w:val="01E0"/>
      </w:tblPr>
      <w:tblGrid>
        <w:gridCol w:w="1428"/>
        <w:gridCol w:w="4794"/>
        <w:gridCol w:w="3438"/>
      </w:tblGrid>
      <w:tr>
        <w:trPr>
          <w:trHeight w:val="49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7" w:right="0"/>
              <w:jc w:val="center"/>
              <w:rPr>
                <w:rFonts w:ascii="宋体" w:hAnsi="宋体" w:cs="宋体" w:eastAsia="宋体" w:hint="default"/>
                <w:sz w:val="21"/>
                <w:szCs w:val="21"/>
              </w:rPr>
            </w:pPr>
            <w:r>
              <w:rPr>
                <w:rFonts w:ascii="宋体" w:hAnsi="宋体" w:cs="宋体" w:eastAsia="宋体" w:hint="default"/>
                <w:sz w:val="21"/>
                <w:szCs w:val="21"/>
              </w:rPr>
              <w:t>公司全称</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22" w:right="0"/>
              <w:jc w:val="center"/>
              <w:rPr>
                <w:rFonts w:ascii="宋体" w:hAnsi="宋体" w:cs="宋体" w:eastAsia="宋体" w:hint="default"/>
                <w:sz w:val="21"/>
                <w:szCs w:val="21"/>
              </w:rPr>
            </w:pPr>
            <w:r>
              <w:rPr>
                <w:rFonts w:ascii="宋体" w:hAnsi="宋体" w:cs="宋体" w:eastAsia="宋体" w:hint="default"/>
                <w:sz w:val="21"/>
                <w:szCs w:val="21"/>
              </w:rPr>
              <w:t>简称</w:t>
            </w:r>
          </w:p>
        </w:tc>
      </w:tr>
      <w:tr>
        <w:trPr>
          <w:trHeight w:val="500"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1</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8" w:right="0"/>
              <w:jc w:val="center"/>
              <w:rPr>
                <w:rFonts w:ascii="宋体" w:hAnsi="宋体" w:cs="宋体" w:eastAsia="宋体" w:hint="default"/>
                <w:sz w:val="21"/>
                <w:szCs w:val="21"/>
              </w:rPr>
            </w:pPr>
            <w:r>
              <w:rPr>
                <w:rFonts w:ascii="宋体" w:hAnsi="宋体" w:cs="宋体" w:eastAsia="宋体" w:hint="default"/>
                <w:sz w:val="21"/>
                <w:szCs w:val="21"/>
              </w:rPr>
              <w:t>北京超图信息技术有限公司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503" w:right="0"/>
              <w:jc w:val="left"/>
              <w:rPr>
                <w:rFonts w:ascii="宋体" w:hAnsi="宋体" w:cs="宋体" w:eastAsia="宋体" w:hint="default"/>
                <w:sz w:val="21"/>
                <w:szCs w:val="21"/>
              </w:rPr>
            </w:pPr>
            <w:r>
              <w:rPr>
                <w:rFonts w:ascii="宋体" w:hAnsi="宋体" w:cs="宋体" w:eastAsia="宋体" w:hint="default"/>
                <w:sz w:val="21"/>
                <w:szCs w:val="21"/>
              </w:rPr>
              <w:t>超图信息</w:t>
            </w:r>
          </w:p>
        </w:tc>
      </w:tr>
      <w:tr>
        <w:trPr>
          <w:trHeight w:val="49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w w:val="100"/>
                <w:sz w:val="21"/>
              </w:rPr>
              <w:t>2</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8" w:right="0"/>
              <w:jc w:val="center"/>
              <w:rPr>
                <w:rFonts w:ascii="宋体" w:hAnsi="宋体" w:cs="宋体" w:eastAsia="宋体" w:hint="default"/>
                <w:sz w:val="21"/>
                <w:szCs w:val="21"/>
              </w:rPr>
            </w:pPr>
            <w:r>
              <w:rPr>
                <w:rFonts w:ascii="宋体" w:hAnsi="宋体" w:cs="宋体" w:eastAsia="宋体" w:hint="default"/>
                <w:sz w:val="21"/>
                <w:szCs w:val="21"/>
              </w:rPr>
              <w:t>芜湖联智信息技术有限公司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03" w:right="0"/>
              <w:jc w:val="left"/>
              <w:rPr>
                <w:rFonts w:ascii="宋体" w:hAnsi="宋体" w:cs="宋体" w:eastAsia="宋体" w:hint="default"/>
                <w:sz w:val="21"/>
                <w:szCs w:val="21"/>
              </w:rPr>
            </w:pPr>
            <w:r>
              <w:rPr>
                <w:rFonts w:ascii="宋体" w:hAnsi="宋体" w:cs="宋体" w:eastAsia="宋体" w:hint="default"/>
                <w:sz w:val="21"/>
                <w:szCs w:val="21"/>
              </w:rPr>
              <w:t>芜湖联智</w:t>
            </w:r>
          </w:p>
        </w:tc>
      </w:tr>
      <w:tr>
        <w:trPr>
          <w:trHeight w:val="49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3</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8" w:right="0"/>
              <w:jc w:val="center"/>
              <w:rPr>
                <w:rFonts w:ascii="宋体" w:hAnsi="宋体" w:cs="宋体" w:eastAsia="宋体" w:hint="default"/>
                <w:sz w:val="21"/>
                <w:szCs w:val="21"/>
              </w:rPr>
            </w:pPr>
            <w:r>
              <w:rPr>
                <w:rFonts w:ascii="宋体" w:hAnsi="宋体" w:cs="宋体" w:eastAsia="宋体" w:hint="default"/>
                <w:sz w:val="21"/>
                <w:szCs w:val="21"/>
              </w:rPr>
              <w:t>浙江超图信息技术有限公司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503" w:right="0"/>
              <w:jc w:val="left"/>
              <w:rPr>
                <w:rFonts w:ascii="宋体" w:hAnsi="宋体" w:cs="宋体" w:eastAsia="宋体" w:hint="default"/>
                <w:sz w:val="21"/>
                <w:szCs w:val="21"/>
              </w:rPr>
            </w:pPr>
            <w:r>
              <w:rPr>
                <w:rFonts w:ascii="宋体" w:hAnsi="宋体" w:cs="宋体" w:eastAsia="宋体" w:hint="default"/>
                <w:sz w:val="21"/>
                <w:szCs w:val="21"/>
              </w:rPr>
              <w:t>浙江超图</w:t>
            </w:r>
          </w:p>
        </w:tc>
      </w:tr>
      <w:tr>
        <w:trPr>
          <w:trHeight w:val="49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w w:val="100"/>
                <w:sz w:val="21"/>
              </w:rPr>
              <w:t>4</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8" w:right="0"/>
              <w:jc w:val="center"/>
              <w:rPr>
                <w:rFonts w:ascii="宋体" w:hAnsi="宋体" w:cs="宋体" w:eastAsia="宋体" w:hint="default"/>
                <w:sz w:val="21"/>
                <w:szCs w:val="21"/>
              </w:rPr>
            </w:pPr>
            <w:r>
              <w:rPr>
                <w:rFonts w:ascii="宋体" w:hAnsi="宋体" w:cs="宋体" w:eastAsia="宋体" w:hint="default"/>
                <w:sz w:val="21"/>
                <w:szCs w:val="21"/>
              </w:rPr>
              <w:t>河南超图信息技术有限公司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03" w:right="0"/>
              <w:jc w:val="left"/>
              <w:rPr>
                <w:rFonts w:ascii="宋体" w:hAnsi="宋体" w:cs="宋体" w:eastAsia="宋体" w:hint="default"/>
                <w:sz w:val="21"/>
                <w:szCs w:val="21"/>
              </w:rPr>
            </w:pPr>
            <w:r>
              <w:rPr>
                <w:rFonts w:ascii="宋体" w:hAnsi="宋体" w:cs="宋体" w:eastAsia="宋体" w:hint="default"/>
                <w:sz w:val="21"/>
                <w:szCs w:val="21"/>
              </w:rPr>
              <w:t>河南超图</w:t>
            </w:r>
          </w:p>
        </w:tc>
      </w:tr>
      <w:tr>
        <w:trPr>
          <w:trHeight w:val="49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5</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20" w:right="0"/>
              <w:jc w:val="center"/>
              <w:rPr>
                <w:rFonts w:ascii="宋体" w:hAnsi="宋体" w:cs="宋体" w:eastAsia="宋体" w:hint="default"/>
                <w:sz w:val="21"/>
                <w:szCs w:val="21"/>
              </w:rPr>
            </w:pPr>
            <w:r>
              <w:rPr>
                <w:rFonts w:ascii="宋体" w:hAnsi="宋体" w:cs="宋体" w:eastAsia="宋体" w:hint="default"/>
                <w:sz w:val="21"/>
                <w:szCs w:val="21"/>
              </w:rPr>
              <w:t>上海超途软件有限公司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503" w:right="0"/>
              <w:jc w:val="left"/>
              <w:rPr>
                <w:rFonts w:ascii="宋体" w:hAnsi="宋体" w:cs="宋体" w:eastAsia="宋体" w:hint="default"/>
                <w:sz w:val="21"/>
                <w:szCs w:val="21"/>
              </w:rPr>
            </w:pPr>
            <w:r>
              <w:rPr>
                <w:rFonts w:ascii="宋体" w:hAnsi="宋体" w:cs="宋体" w:eastAsia="宋体" w:hint="default"/>
                <w:sz w:val="21"/>
                <w:szCs w:val="21"/>
              </w:rPr>
              <w:t>上海超途</w:t>
            </w:r>
          </w:p>
        </w:tc>
      </w:tr>
      <w:tr>
        <w:trPr>
          <w:trHeight w:val="49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w w:val="100"/>
                <w:sz w:val="21"/>
              </w:rPr>
              <w:t>6</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20" w:right="0"/>
              <w:jc w:val="center"/>
              <w:rPr>
                <w:rFonts w:ascii="宋体" w:hAnsi="宋体" w:cs="宋体" w:eastAsia="宋体" w:hint="default"/>
                <w:sz w:val="21"/>
                <w:szCs w:val="21"/>
              </w:rPr>
            </w:pPr>
            <w:r>
              <w:rPr>
                <w:rFonts w:ascii="宋体" w:hAnsi="宋体" w:cs="宋体" w:eastAsia="宋体" w:hint="default"/>
                <w:sz w:val="21"/>
                <w:szCs w:val="21"/>
              </w:rPr>
              <w:t>山东超图软件有限公司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03" w:right="0"/>
              <w:jc w:val="left"/>
              <w:rPr>
                <w:rFonts w:ascii="宋体" w:hAnsi="宋体" w:cs="宋体" w:eastAsia="宋体" w:hint="default"/>
                <w:sz w:val="21"/>
                <w:szCs w:val="21"/>
              </w:rPr>
            </w:pPr>
            <w:r>
              <w:rPr>
                <w:rFonts w:ascii="宋体" w:hAnsi="宋体" w:cs="宋体" w:eastAsia="宋体" w:hint="default"/>
                <w:sz w:val="21"/>
                <w:szCs w:val="21"/>
              </w:rPr>
              <w:t>山东超图</w:t>
            </w:r>
          </w:p>
        </w:tc>
      </w:tr>
      <w:tr>
        <w:trPr>
          <w:trHeight w:val="49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7</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8" w:right="0"/>
              <w:jc w:val="center"/>
              <w:rPr>
                <w:rFonts w:ascii="宋体" w:hAnsi="宋体" w:cs="宋体" w:eastAsia="宋体" w:hint="default"/>
                <w:sz w:val="21"/>
                <w:szCs w:val="21"/>
              </w:rPr>
            </w:pPr>
            <w:r>
              <w:rPr>
                <w:rFonts w:ascii="宋体" w:hAnsi="宋体" w:cs="宋体" w:eastAsia="宋体" w:hint="default"/>
                <w:sz w:val="21"/>
                <w:szCs w:val="21"/>
              </w:rPr>
              <w:t>克拉玛依超图软件技术有限公司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69"/>
              <w:jc w:val="right"/>
              <w:rPr>
                <w:rFonts w:ascii="宋体" w:hAnsi="宋体" w:cs="宋体" w:eastAsia="宋体" w:hint="default"/>
                <w:sz w:val="21"/>
                <w:szCs w:val="21"/>
              </w:rPr>
            </w:pPr>
            <w:r>
              <w:rPr>
                <w:rFonts w:ascii="宋体" w:hAnsi="宋体" w:cs="宋体" w:eastAsia="宋体" w:hint="default"/>
                <w:spacing w:val="-1"/>
                <w:sz w:val="21"/>
                <w:szCs w:val="21"/>
              </w:rPr>
              <w:t>克拉玛依超图</w:t>
            </w:r>
          </w:p>
        </w:tc>
      </w:tr>
      <w:tr>
        <w:trPr>
          <w:trHeight w:val="49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w w:val="100"/>
                <w:sz w:val="21"/>
              </w:rPr>
              <w:t>8</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8" w:right="0"/>
              <w:jc w:val="center"/>
              <w:rPr>
                <w:rFonts w:ascii="宋体" w:hAnsi="宋体" w:cs="宋体" w:eastAsia="宋体" w:hint="default"/>
                <w:sz w:val="21"/>
                <w:szCs w:val="21"/>
              </w:rPr>
            </w:pPr>
            <w:r>
              <w:rPr>
                <w:rFonts w:ascii="宋体" w:hAnsi="宋体" w:cs="宋体" w:eastAsia="宋体" w:hint="default"/>
                <w:sz w:val="21"/>
                <w:szCs w:val="21"/>
              </w:rPr>
              <w:t>超图国际有限公司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03" w:right="0"/>
              <w:jc w:val="left"/>
              <w:rPr>
                <w:rFonts w:ascii="宋体" w:hAnsi="宋体" w:cs="宋体" w:eastAsia="宋体" w:hint="default"/>
                <w:sz w:val="21"/>
                <w:szCs w:val="21"/>
              </w:rPr>
            </w:pPr>
            <w:r>
              <w:rPr>
                <w:rFonts w:ascii="宋体" w:hAnsi="宋体" w:cs="宋体" w:eastAsia="宋体" w:hint="default"/>
                <w:sz w:val="21"/>
                <w:szCs w:val="21"/>
              </w:rPr>
              <w:t>超图国际</w:t>
            </w:r>
          </w:p>
        </w:tc>
      </w:tr>
      <w:tr>
        <w:trPr>
          <w:trHeight w:val="49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9</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20" w:right="0"/>
              <w:jc w:val="center"/>
              <w:rPr>
                <w:rFonts w:ascii="宋体" w:hAnsi="宋体" w:cs="宋体" w:eastAsia="宋体" w:hint="default"/>
                <w:sz w:val="21"/>
                <w:szCs w:val="21"/>
              </w:rPr>
            </w:pPr>
            <w:r>
              <w:rPr>
                <w:rFonts w:ascii="宋体" w:hAnsi="宋体" w:cs="宋体" w:eastAsia="宋体" w:hint="default"/>
                <w:sz w:val="21"/>
                <w:szCs w:val="21"/>
              </w:rPr>
              <w:t>上海南康科技有限公司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503" w:right="0"/>
              <w:jc w:val="left"/>
              <w:rPr>
                <w:rFonts w:ascii="宋体" w:hAnsi="宋体" w:cs="宋体" w:eastAsia="宋体" w:hint="default"/>
                <w:sz w:val="21"/>
                <w:szCs w:val="21"/>
              </w:rPr>
            </w:pPr>
            <w:r>
              <w:rPr>
                <w:rFonts w:ascii="宋体" w:hAnsi="宋体" w:cs="宋体" w:eastAsia="宋体" w:hint="default"/>
                <w:sz w:val="21"/>
                <w:szCs w:val="21"/>
              </w:rPr>
              <w:t>上海南康</w:t>
            </w:r>
          </w:p>
        </w:tc>
      </w:tr>
      <w:tr>
        <w:trPr>
          <w:trHeight w:val="49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10</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8" w:right="0"/>
              <w:jc w:val="center"/>
              <w:rPr>
                <w:rFonts w:ascii="宋体" w:hAnsi="宋体" w:cs="宋体" w:eastAsia="宋体" w:hint="default"/>
                <w:sz w:val="21"/>
                <w:szCs w:val="21"/>
              </w:rPr>
            </w:pPr>
            <w:r>
              <w:rPr>
                <w:rFonts w:ascii="宋体" w:hAnsi="宋体" w:cs="宋体" w:eastAsia="宋体" w:hint="default"/>
                <w:sz w:val="21"/>
                <w:szCs w:val="21"/>
              </w:rPr>
              <w:t>成都超图数据技术有限公司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03" w:right="0"/>
              <w:jc w:val="left"/>
              <w:rPr>
                <w:rFonts w:ascii="宋体" w:hAnsi="宋体" w:cs="宋体" w:eastAsia="宋体" w:hint="default"/>
                <w:sz w:val="21"/>
                <w:szCs w:val="21"/>
              </w:rPr>
            </w:pPr>
            <w:r>
              <w:rPr>
                <w:rFonts w:ascii="宋体" w:hAnsi="宋体" w:cs="宋体" w:eastAsia="宋体" w:hint="default"/>
                <w:sz w:val="21"/>
                <w:szCs w:val="21"/>
              </w:rPr>
              <w:t>超图数据</w:t>
            </w:r>
          </w:p>
        </w:tc>
      </w:tr>
      <w:tr>
        <w:trPr>
          <w:trHeight w:val="49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11</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20" w:right="0"/>
              <w:jc w:val="center"/>
              <w:rPr>
                <w:rFonts w:ascii="宋体" w:hAnsi="宋体" w:cs="宋体" w:eastAsia="宋体" w:hint="default"/>
                <w:sz w:val="21"/>
                <w:szCs w:val="21"/>
              </w:rPr>
            </w:pPr>
            <w:r>
              <w:rPr>
                <w:rFonts w:ascii="宋体" w:hAnsi="宋体" w:cs="宋体" w:eastAsia="宋体" w:hint="default"/>
                <w:sz w:val="21"/>
                <w:szCs w:val="21"/>
              </w:rPr>
              <w:t>成都地图慧科技有限公司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75"/>
              <w:jc w:val="right"/>
              <w:rPr>
                <w:rFonts w:ascii="宋体" w:hAnsi="宋体" w:cs="宋体" w:eastAsia="宋体" w:hint="default"/>
                <w:sz w:val="21"/>
                <w:szCs w:val="21"/>
              </w:rPr>
            </w:pPr>
            <w:r>
              <w:rPr>
                <w:rFonts w:ascii="宋体" w:hAnsi="宋体" w:cs="宋体" w:eastAsia="宋体" w:hint="default"/>
                <w:spacing w:val="-1"/>
                <w:sz w:val="21"/>
                <w:szCs w:val="21"/>
              </w:rPr>
              <w:t>地图慧科技</w:t>
            </w:r>
          </w:p>
        </w:tc>
      </w:tr>
      <w:tr>
        <w:trPr>
          <w:trHeight w:val="49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12</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8" w:right="0"/>
              <w:jc w:val="center"/>
              <w:rPr>
                <w:rFonts w:ascii="宋体" w:hAnsi="宋体" w:cs="宋体" w:eastAsia="宋体" w:hint="default"/>
                <w:sz w:val="21"/>
                <w:szCs w:val="21"/>
              </w:rPr>
            </w:pPr>
            <w:r>
              <w:rPr>
                <w:rFonts w:ascii="宋体" w:hAnsi="宋体" w:cs="宋体" w:eastAsia="宋体" w:hint="default"/>
                <w:sz w:val="21"/>
                <w:szCs w:val="21"/>
              </w:rPr>
              <w:t>南京国图信息产业有限公司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03" w:right="0"/>
              <w:jc w:val="left"/>
              <w:rPr>
                <w:rFonts w:ascii="宋体" w:hAnsi="宋体" w:cs="宋体" w:eastAsia="宋体" w:hint="default"/>
                <w:sz w:val="21"/>
                <w:szCs w:val="21"/>
              </w:rPr>
            </w:pPr>
            <w:r>
              <w:rPr>
                <w:rFonts w:ascii="宋体" w:hAnsi="宋体" w:cs="宋体" w:eastAsia="宋体" w:hint="default"/>
                <w:sz w:val="21"/>
                <w:szCs w:val="21"/>
              </w:rPr>
              <w:t>南京国图</w:t>
            </w:r>
          </w:p>
        </w:tc>
      </w:tr>
      <w:tr>
        <w:trPr>
          <w:trHeight w:val="49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13</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8" w:right="0"/>
              <w:jc w:val="center"/>
              <w:rPr>
                <w:rFonts w:ascii="宋体" w:hAnsi="宋体" w:cs="宋体" w:eastAsia="宋体" w:hint="default"/>
                <w:sz w:val="21"/>
                <w:szCs w:val="21"/>
              </w:rPr>
            </w:pPr>
            <w:r>
              <w:rPr>
                <w:rFonts w:ascii="宋体" w:hAnsi="宋体" w:cs="宋体" w:eastAsia="宋体" w:hint="default"/>
                <w:sz w:val="21"/>
                <w:szCs w:val="21"/>
              </w:rPr>
              <w:t>南京国图不动产评估咨询服务有限公司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75"/>
              <w:jc w:val="right"/>
              <w:rPr>
                <w:rFonts w:ascii="宋体" w:hAnsi="宋体" w:cs="宋体" w:eastAsia="宋体" w:hint="default"/>
                <w:sz w:val="21"/>
                <w:szCs w:val="21"/>
              </w:rPr>
            </w:pPr>
            <w:r>
              <w:rPr>
                <w:rFonts w:ascii="宋体" w:hAnsi="宋体" w:cs="宋体" w:eastAsia="宋体" w:hint="default"/>
                <w:spacing w:val="-1"/>
                <w:sz w:val="21"/>
                <w:szCs w:val="21"/>
              </w:rPr>
              <w:t>国图不动产</w:t>
            </w:r>
          </w:p>
        </w:tc>
      </w:tr>
    </w:tbl>
    <w:p>
      <w:pPr>
        <w:spacing w:after="0" w:line="240" w:lineRule="auto"/>
        <w:jc w:val="right"/>
        <w:rPr>
          <w:rFonts w:ascii="宋体" w:hAnsi="宋体" w:cs="宋体" w:eastAsia="宋体" w:hint="default"/>
          <w:sz w:val="21"/>
          <w:szCs w:val="21"/>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428"/>
        <w:gridCol w:w="4794"/>
        <w:gridCol w:w="3438"/>
      </w:tblGrid>
      <w:tr>
        <w:trPr>
          <w:trHeight w:val="49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21"/>
                <w:szCs w:val="21"/>
              </w:rPr>
            </w:pPr>
            <w:r>
              <w:rPr>
                <w:rFonts w:ascii="Times New Roman"/>
                <w:sz w:val="21"/>
              </w:rPr>
              <w:t>14</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17" w:right="0"/>
              <w:jc w:val="center"/>
              <w:rPr>
                <w:rFonts w:ascii="宋体" w:hAnsi="宋体" w:cs="宋体" w:eastAsia="宋体" w:hint="default"/>
                <w:sz w:val="21"/>
                <w:szCs w:val="21"/>
              </w:rPr>
            </w:pPr>
            <w:r>
              <w:rPr>
                <w:rFonts w:ascii="宋体" w:hAnsi="宋体" w:cs="宋体" w:eastAsia="宋体" w:hint="default"/>
                <w:sz w:val="21"/>
                <w:szCs w:val="21"/>
              </w:rPr>
              <w:t>北京世纪安图数码科技发展有限责任公司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80"/>
              <w:jc w:val="right"/>
              <w:rPr>
                <w:rFonts w:ascii="宋体" w:hAnsi="宋体" w:cs="宋体" w:eastAsia="宋体" w:hint="default"/>
                <w:sz w:val="21"/>
                <w:szCs w:val="21"/>
              </w:rPr>
            </w:pPr>
            <w:r>
              <w:rPr>
                <w:rFonts w:ascii="宋体" w:hAnsi="宋体" w:cs="宋体" w:eastAsia="宋体" w:hint="default"/>
                <w:spacing w:val="-1"/>
                <w:sz w:val="21"/>
                <w:szCs w:val="21"/>
              </w:rPr>
              <w:t>北京安图</w:t>
            </w:r>
          </w:p>
        </w:tc>
      </w:tr>
      <w:tr>
        <w:trPr>
          <w:trHeight w:val="49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15</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18" w:right="0"/>
              <w:jc w:val="center"/>
              <w:rPr>
                <w:rFonts w:ascii="宋体" w:hAnsi="宋体" w:cs="宋体" w:eastAsia="宋体" w:hint="default"/>
                <w:sz w:val="21"/>
                <w:szCs w:val="21"/>
              </w:rPr>
            </w:pPr>
            <w:r>
              <w:rPr>
                <w:rFonts w:ascii="宋体" w:hAnsi="宋体" w:cs="宋体" w:eastAsia="宋体" w:hint="default"/>
                <w:sz w:val="21"/>
                <w:szCs w:val="21"/>
              </w:rPr>
              <w:t>重庆安图影文科技有限公司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80"/>
              <w:jc w:val="right"/>
              <w:rPr>
                <w:rFonts w:ascii="宋体" w:hAnsi="宋体" w:cs="宋体" w:eastAsia="宋体" w:hint="default"/>
                <w:sz w:val="21"/>
                <w:szCs w:val="21"/>
              </w:rPr>
            </w:pPr>
            <w:r>
              <w:rPr>
                <w:rFonts w:ascii="宋体" w:hAnsi="宋体" w:cs="宋体" w:eastAsia="宋体" w:hint="default"/>
                <w:spacing w:val="-1"/>
                <w:sz w:val="21"/>
                <w:szCs w:val="21"/>
              </w:rPr>
              <w:t>安图影文</w:t>
            </w:r>
          </w:p>
        </w:tc>
      </w:tr>
      <w:tr>
        <w:trPr>
          <w:trHeight w:val="49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21"/>
                <w:szCs w:val="21"/>
              </w:rPr>
            </w:pPr>
            <w:r>
              <w:rPr>
                <w:rFonts w:ascii="Times New Roman"/>
                <w:sz w:val="21"/>
              </w:rPr>
              <w:t>16</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18" w:right="0"/>
              <w:jc w:val="center"/>
              <w:rPr>
                <w:rFonts w:ascii="宋体" w:hAnsi="宋体" w:cs="宋体" w:eastAsia="宋体" w:hint="default"/>
                <w:sz w:val="21"/>
                <w:szCs w:val="21"/>
              </w:rPr>
            </w:pPr>
            <w:r>
              <w:rPr>
                <w:rFonts w:ascii="宋体" w:hAnsi="宋体" w:cs="宋体" w:eastAsia="宋体" w:hint="default"/>
                <w:sz w:val="21"/>
                <w:szCs w:val="21"/>
              </w:rPr>
              <w:t>上海数慧系统技术有限公司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80"/>
              <w:jc w:val="right"/>
              <w:rPr>
                <w:rFonts w:ascii="宋体" w:hAnsi="宋体" w:cs="宋体" w:eastAsia="宋体" w:hint="default"/>
                <w:sz w:val="21"/>
                <w:szCs w:val="21"/>
              </w:rPr>
            </w:pPr>
            <w:r>
              <w:rPr>
                <w:rFonts w:ascii="宋体" w:hAnsi="宋体" w:cs="宋体" w:eastAsia="宋体" w:hint="default"/>
                <w:spacing w:val="-1"/>
                <w:sz w:val="21"/>
                <w:szCs w:val="21"/>
              </w:rPr>
              <w:t>上海数慧</w:t>
            </w:r>
          </w:p>
        </w:tc>
      </w:tr>
      <w:tr>
        <w:trPr>
          <w:trHeight w:val="49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17</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18" w:right="0"/>
              <w:jc w:val="center"/>
              <w:rPr>
                <w:rFonts w:ascii="宋体" w:hAnsi="宋体" w:cs="宋体" w:eastAsia="宋体" w:hint="default"/>
                <w:sz w:val="21"/>
                <w:szCs w:val="21"/>
              </w:rPr>
            </w:pPr>
            <w:r>
              <w:rPr>
                <w:rFonts w:ascii="宋体" w:hAnsi="宋体" w:cs="宋体" w:eastAsia="宋体" w:hint="default"/>
                <w:sz w:val="21"/>
                <w:szCs w:val="21"/>
              </w:rPr>
              <w:t>日本超图株式会社</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80"/>
              <w:jc w:val="right"/>
              <w:rPr>
                <w:rFonts w:ascii="宋体" w:hAnsi="宋体" w:cs="宋体" w:eastAsia="宋体" w:hint="default"/>
                <w:sz w:val="21"/>
                <w:szCs w:val="21"/>
              </w:rPr>
            </w:pPr>
            <w:r>
              <w:rPr>
                <w:rFonts w:ascii="宋体" w:hAnsi="宋体" w:cs="宋体" w:eastAsia="宋体" w:hint="default"/>
                <w:spacing w:val="-1"/>
                <w:sz w:val="21"/>
                <w:szCs w:val="21"/>
              </w:rPr>
              <w:t>日本超图</w:t>
            </w:r>
          </w:p>
        </w:tc>
      </w:tr>
      <w:tr>
        <w:trPr>
          <w:trHeight w:val="49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21"/>
                <w:szCs w:val="21"/>
              </w:rPr>
            </w:pPr>
            <w:r>
              <w:rPr>
                <w:rFonts w:ascii="Times New Roman"/>
                <w:sz w:val="21"/>
              </w:rPr>
              <w:t>18</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18" w:right="0"/>
              <w:jc w:val="center"/>
              <w:rPr>
                <w:rFonts w:ascii="宋体" w:hAnsi="宋体" w:cs="宋体" w:eastAsia="宋体" w:hint="default"/>
                <w:sz w:val="21"/>
                <w:szCs w:val="21"/>
              </w:rPr>
            </w:pPr>
            <w:r>
              <w:rPr>
                <w:rFonts w:ascii="宋体" w:hAnsi="宋体" w:cs="宋体" w:eastAsia="宋体" w:hint="default"/>
                <w:sz w:val="21"/>
                <w:szCs w:val="21"/>
              </w:rPr>
              <w:t>嘉兴兴球信息技术有限公司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80"/>
              <w:jc w:val="right"/>
              <w:rPr>
                <w:rFonts w:ascii="宋体" w:hAnsi="宋体" w:cs="宋体" w:eastAsia="宋体" w:hint="default"/>
                <w:sz w:val="21"/>
                <w:szCs w:val="21"/>
              </w:rPr>
            </w:pPr>
            <w:r>
              <w:rPr>
                <w:rFonts w:ascii="宋体" w:hAnsi="宋体" w:cs="宋体" w:eastAsia="宋体" w:hint="default"/>
                <w:spacing w:val="-1"/>
                <w:sz w:val="21"/>
                <w:szCs w:val="21"/>
              </w:rPr>
              <w:t>嘉兴兴球</w:t>
            </w:r>
          </w:p>
        </w:tc>
      </w:tr>
      <w:tr>
        <w:trPr>
          <w:trHeight w:val="49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19</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20" w:right="0"/>
              <w:jc w:val="center"/>
              <w:rPr>
                <w:rFonts w:ascii="宋体" w:hAnsi="宋体" w:cs="宋体" w:eastAsia="宋体" w:hint="default"/>
                <w:sz w:val="21"/>
                <w:szCs w:val="21"/>
              </w:rPr>
            </w:pPr>
            <w:r>
              <w:rPr>
                <w:rFonts w:ascii="宋体" w:hAnsi="宋体" w:cs="宋体" w:eastAsia="宋体" w:hint="default"/>
                <w:sz w:val="21"/>
                <w:szCs w:val="21"/>
              </w:rPr>
              <w:t>嘉兴兴图软件有限公司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80"/>
              <w:jc w:val="right"/>
              <w:rPr>
                <w:rFonts w:ascii="宋体" w:hAnsi="宋体" w:cs="宋体" w:eastAsia="宋体" w:hint="default"/>
                <w:sz w:val="21"/>
                <w:szCs w:val="21"/>
              </w:rPr>
            </w:pPr>
            <w:r>
              <w:rPr>
                <w:rFonts w:ascii="宋体" w:hAnsi="宋体" w:cs="宋体" w:eastAsia="宋体" w:hint="default"/>
                <w:spacing w:val="-1"/>
                <w:sz w:val="21"/>
                <w:szCs w:val="21"/>
              </w:rPr>
              <w:t>嘉兴兴图</w:t>
            </w:r>
          </w:p>
        </w:tc>
      </w:tr>
    </w:tbl>
    <w:p>
      <w:pPr>
        <w:spacing w:line="240" w:lineRule="auto" w:before="1"/>
        <w:rPr>
          <w:rFonts w:ascii="宋体" w:hAnsi="宋体" w:cs="宋体" w:eastAsia="宋体" w:hint="default"/>
          <w:sz w:val="18"/>
          <w:szCs w:val="18"/>
        </w:rPr>
      </w:pPr>
    </w:p>
    <w:p>
      <w:pPr>
        <w:pStyle w:val="Heading2"/>
        <w:spacing w:line="240" w:lineRule="auto" w:before="26"/>
        <w:ind w:left="633" w:right="98"/>
        <w:jc w:val="left"/>
        <w:rPr>
          <w:b w:val="0"/>
          <w:bCs w:val="0"/>
        </w:rPr>
      </w:pPr>
      <w:r>
        <w:rPr/>
        <w:t>四、财务报表的编制基础</w:t>
      </w:r>
      <w:r>
        <w:rPr>
          <w:b w:val="0"/>
          <w:bCs w:val="0"/>
        </w:rPr>
      </w:r>
    </w:p>
    <w:p>
      <w:pPr>
        <w:spacing w:line="240" w:lineRule="auto" w:before="11"/>
        <w:rPr>
          <w:rFonts w:ascii="宋体" w:hAnsi="宋体" w:cs="宋体" w:eastAsia="宋体" w:hint="default"/>
          <w:b/>
          <w:bCs/>
          <w:sz w:val="28"/>
          <w:szCs w:val="28"/>
        </w:rPr>
      </w:pPr>
    </w:p>
    <w:p>
      <w:pPr>
        <w:pStyle w:val="BodyText"/>
        <w:spacing w:line="338" w:lineRule="auto" w:before="0"/>
        <w:ind w:left="635" w:right="251"/>
        <w:jc w:val="left"/>
      </w:pPr>
      <w:r>
        <w:rPr>
          <w:rFonts w:ascii="Times New Roman" w:hAnsi="Times New Roman" w:cs="Times New Roman" w:eastAsia="Times New Roman" w:hint="default"/>
          <w:b/>
          <w:bCs/>
        </w:rPr>
        <w:t>1</w:t>
      </w:r>
      <w:r>
        <w:rPr>
          <w:rFonts w:ascii="宋体" w:hAnsi="宋体" w:cs="宋体" w:eastAsia="宋体" w:hint="default"/>
          <w:b/>
          <w:bCs/>
        </w:rPr>
        <w:t>、编制基础</w:t>
      </w:r>
      <w:r>
        <w:rPr>
          <w:rFonts w:ascii="宋体" w:hAnsi="宋体" w:cs="宋体" w:eastAsia="宋体" w:hint="default"/>
          <w:b/>
          <w:bCs/>
          <w:w w:val="99"/>
        </w:rPr>
        <w:t> </w:t>
      </w:r>
      <w:r>
        <w:rPr/>
        <w:t>公司以持续经营为基础，根据实际发生的交易和事项，按照财政部颁布的《企业会计准</w:t>
      </w:r>
    </w:p>
    <w:p>
      <w:pPr>
        <w:pStyle w:val="BodyText"/>
        <w:spacing w:line="338" w:lineRule="auto"/>
        <w:ind w:right="232"/>
        <w:jc w:val="both"/>
      </w:pPr>
      <w:r>
        <w:rPr/>
        <w:t>则</w:t>
      </w:r>
      <w:r>
        <w:rPr>
          <w:rFonts w:ascii="Times New Roman" w:hAnsi="Times New Roman" w:cs="Times New Roman" w:eastAsia="Times New Roman" w:hint="default"/>
        </w:rPr>
        <w:t>——</w:t>
      </w:r>
      <w:r>
        <w:rPr/>
        <w:t>基本准则》和各项具体会计准则、企业会计准则应用指南、企业会计准则解释及其他 </w:t>
      </w:r>
      <w:r>
        <w:rPr>
          <w:spacing w:val="-3"/>
        </w:rPr>
        <w:t>相关规定</w:t>
      </w:r>
      <w:r>
        <w:rPr>
          <w:rFonts w:ascii="Times New Roman" w:hAnsi="Times New Roman" w:cs="Times New Roman" w:eastAsia="Times New Roman" w:hint="default"/>
          <w:spacing w:val="-3"/>
        </w:rPr>
        <w:t>(</w:t>
      </w:r>
      <w:r>
        <w:rPr>
          <w:spacing w:val="-3"/>
        </w:rPr>
        <w:t>以下合称</w:t>
      </w:r>
      <w:r>
        <w:rPr>
          <w:rFonts w:ascii="Times New Roman" w:hAnsi="Times New Roman" w:cs="Times New Roman" w:eastAsia="Times New Roman" w:hint="default"/>
          <w:spacing w:val="-3"/>
        </w:rPr>
        <w:t>“</w:t>
      </w:r>
      <w:r>
        <w:rPr>
          <w:spacing w:val="-3"/>
        </w:rPr>
        <w:t>企业会计准则</w:t>
      </w:r>
      <w:r>
        <w:rPr>
          <w:rFonts w:ascii="Times New Roman" w:hAnsi="Times New Roman" w:cs="Times New Roman" w:eastAsia="Times New Roman" w:hint="default"/>
          <w:spacing w:val="-3"/>
        </w:rPr>
        <w:t>”)</w:t>
      </w:r>
      <w:r>
        <w:rPr>
          <w:spacing w:val="-3"/>
        </w:rPr>
        <w:t>，以及中国证券监督管理委员会《公开发行证券的公司信</w:t>
      </w:r>
      <w:r>
        <w:rPr>
          <w:spacing w:val="-88"/>
        </w:rPr>
        <w:t> </w:t>
      </w:r>
      <w:r>
        <w:rPr>
          <w:spacing w:val="-88"/>
        </w:rPr>
      </w:r>
      <w:r>
        <w:rPr/>
        <w:t>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的披露规定编制财务报表。</w:t>
      </w:r>
    </w:p>
    <w:p>
      <w:pPr>
        <w:pStyle w:val="BodyText"/>
        <w:spacing w:line="338" w:lineRule="auto" w:before="27"/>
        <w:ind w:left="635" w:right="251"/>
        <w:jc w:val="left"/>
      </w:pP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w w:val="99"/>
        </w:rPr>
        <w:t> </w:t>
      </w:r>
      <w:r>
        <w:rPr/>
        <w:t>公司不存在可能导致对公司自报告期末起</w:t>
      </w:r>
      <w:r>
        <w:rPr>
          <w:rFonts w:ascii="Times New Roman" w:hAnsi="Times New Roman" w:cs="Times New Roman" w:eastAsia="Times New Roman" w:hint="default"/>
        </w:rPr>
        <w:t>12</w:t>
      </w:r>
      <w:r>
        <w:rPr/>
        <w:t>个月内的持续经营能力产生重大疑虑的事项</w:t>
      </w:r>
    </w:p>
    <w:p>
      <w:pPr>
        <w:pStyle w:val="BodyText"/>
        <w:spacing w:line="240" w:lineRule="auto" w:before="27"/>
        <w:ind w:right="0"/>
        <w:jc w:val="both"/>
      </w:pPr>
      <w:r>
        <w:rPr/>
        <w:t>或情况。</w:t>
      </w:r>
    </w:p>
    <w:p>
      <w:pPr>
        <w:spacing w:line="240" w:lineRule="auto" w:before="9"/>
        <w:rPr>
          <w:rFonts w:ascii="宋体" w:hAnsi="宋体" w:cs="宋体" w:eastAsia="宋体" w:hint="default"/>
          <w:sz w:val="34"/>
          <w:szCs w:val="34"/>
        </w:rPr>
      </w:pPr>
    </w:p>
    <w:p>
      <w:pPr>
        <w:pStyle w:val="Heading2"/>
        <w:spacing w:line="240" w:lineRule="auto"/>
        <w:ind w:left="633" w:right="98"/>
        <w:jc w:val="left"/>
        <w:rPr>
          <w:b w:val="0"/>
          <w:bCs w:val="0"/>
        </w:rPr>
      </w:pPr>
      <w:r>
        <w:rPr/>
        <w:t>五、重要会计政策及会计估计</w:t>
      </w:r>
      <w:r>
        <w:rPr>
          <w:b w:val="0"/>
          <w:bCs w:val="0"/>
        </w:rPr>
      </w:r>
    </w:p>
    <w:p>
      <w:pPr>
        <w:spacing w:line="240" w:lineRule="auto" w:before="9"/>
        <w:rPr>
          <w:rFonts w:ascii="宋体" w:hAnsi="宋体" w:cs="宋体" w:eastAsia="宋体" w:hint="default"/>
          <w:b/>
          <w:bCs/>
          <w:sz w:val="34"/>
          <w:szCs w:val="34"/>
        </w:rPr>
      </w:pPr>
    </w:p>
    <w:p>
      <w:pPr>
        <w:pStyle w:val="BodyText"/>
        <w:spacing w:line="357" w:lineRule="auto" w:before="0"/>
        <w:ind w:left="633" w:right="5293"/>
        <w:jc w:val="left"/>
      </w:pPr>
      <w:r>
        <w:rPr/>
        <w:t>公司是否需要遵守特殊行业的披露要求 否</w:t>
      </w:r>
    </w:p>
    <w:p>
      <w:pPr>
        <w:pStyle w:val="BodyText"/>
        <w:spacing w:line="338" w:lineRule="auto" w:before="36"/>
        <w:ind w:right="253" w:firstLine="480"/>
        <w:jc w:val="left"/>
      </w:pPr>
      <w:r>
        <w:rPr/>
        <w:t>公司需遵守《深圳证券交易所行业信息披露指引第</w:t>
      </w:r>
      <w:r>
        <w:rPr>
          <w:spacing w:val="-60"/>
        </w:rPr>
        <w:t> </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t>上市公司从事固体矿产资源 相关业务》的披露要求</w:t>
      </w:r>
    </w:p>
    <w:p>
      <w:pPr>
        <w:pStyle w:val="BodyText"/>
        <w:spacing w:line="357" w:lineRule="auto"/>
        <w:ind w:left="633" w:right="6013"/>
        <w:jc w:val="left"/>
      </w:pPr>
      <w:r>
        <w:rPr/>
        <w:t>否 具体会计政策和会计估计提示：</w:t>
      </w:r>
    </w:p>
    <w:p>
      <w:pPr>
        <w:pStyle w:val="BodyText"/>
        <w:spacing w:line="350" w:lineRule="auto" w:before="36"/>
        <w:ind w:right="98" w:firstLine="480"/>
        <w:jc w:val="left"/>
      </w:pPr>
      <w:r>
        <w:rPr/>
        <w:t>本公司及各子公司根据实际生产经营特点，依据相关企业会计准则的规定，对应收款项 坏账准备的确认标准和计提方法、固定资产折旧政策、无形资产摊销政策和收入确认原则等 </w:t>
      </w:r>
      <w:r>
        <w:rPr>
          <w:spacing w:val="-4"/>
        </w:rPr>
        <w:t>交易和事项指定了若干具体会计政策和会计估计，具体会计政策参见附注五</w:t>
      </w:r>
      <w:r>
        <w:rPr>
          <w:rFonts w:ascii="Times New Roman" w:hAnsi="Times New Roman" w:cs="Times New Roman" w:eastAsia="Times New Roman" w:hint="default"/>
          <w:spacing w:val="-4"/>
        </w:rPr>
        <w:t>(11)</w:t>
      </w:r>
      <w:r>
        <w:rPr>
          <w:spacing w:val="-4"/>
        </w:rPr>
        <w:t>、附注五</w:t>
      </w:r>
      <w:r>
        <w:rPr>
          <w:rFonts w:ascii="Times New Roman" w:hAnsi="Times New Roman" w:cs="Times New Roman" w:eastAsia="Times New Roman" w:hint="default"/>
          <w:spacing w:val="-4"/>
        </w:rPr>
        <w:t>(16)</w:t>
      </w:r>
      <w:r>
        <w:rPr>
          <w:spacing w:val="-4"/>
        </w:rPr>
        <w:t>、</w:t>
      </w:r>
      <w:r>
        <w:rPr>
          <w:spacing w:val="-99"/>
        </w:rPr>
        <w:t> </w:t>
      </w:r>
      <w:r>
        <w:rPr/>
        <w:t>附注五</w:t>
      </w:r>
      <w:r>
        <w:rPr>
          <w:rFonts w:ascii="Times New Roman" w:hAnsi="Times New Roman" w:cs="Times New Roman" w:eastAsia="Times New Roman" w:hint="default"/>
        </w:rPr>
        <w:t>(19)</w:t>
      </w:r>
      <w:r>
        <w:rPr/>
        <w:t>和附注五</w:t>
      </w:r>
      <w:r>
        <w:rPr>
          <w:rFonts w:ascii="Times New Roman" w:hAnsi="Times New Roman" w:cs="Times New Roman" w:eastAsia="Times New Roman" w:hint="default"/>
        </w:rPr>
        <w:t>(25)</w:t>
      </w:r>
      <w:r>
        <w:rPr/>
        <w:t>等相关说明。</w:t>
      </w:r>
    </w:p>
    <w:p>
      <w:pPr>
        <w:spacing w:after="0" w:line="350" w:lineRule="auto"/>
        <w:jc w:val="left"/>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spacing w:line="338" w:lineRule="auto" w:before="26"/>
        <w:ind w:left="635" w:right="9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、遵循企业会计准则的声明</w:t>
      </w:r>
      <w:r>
        <w:rPr>
          <w:rFonts w:ascii="宋体" w:hAnsi="宋体" w:cs="宋体" w:eastAsia="宋体" w:hint="default"/>
          <w:b/>
          <w:bCs/>
          <w:w w:val="99"/>
          <w:sz w:val="24"/>
          <w:szCs w:val="24"/>
        </w:rPr>
        <w:t> </w:t>
      </w:r>
      <w:r>
        <w:rPr>
          <w:rFonts w:ascii="宋体" w:hAnsi="宋体" w:cs="宋体" w:eastAsia="宋体" w:hint="default"/>
          <w:spacing w:val="-6"/>
          <w:sz w:val="24"/>
          <w:szCs w:val="24"/>
        </w:rPr>
        <w:t>本公司编制的财务报表符合企业会计准则的要求，真实、完整地反映了公司的财务状况、</w:t>
      </w:r>
    </w:p>
    <w:p>
      <w:pPr>
        <w:spacing w:line="345" w:lineRule="auto" w:before="55"/>
        <w:ind w:left="635" w:right="5051" w:hanging="483"/>
        <w:jc w:val="left"/>
        <w:rPr>
          <w:rFonts w:ascii="宋体" w:hAnsi="宋体" w:cs="宋体" w:eastAsia="宋体" w:hint="default"/>
          <w:sz w:val="24"/>
          <w:szCs w:val="24"/>
        </w:rPr>
      </w:pPr>
      <w:r>
        <w:rPr>
          <w:rFonts w:ascii="宋体" w:hAnsi="宋体" w:cs="宋体" w:eastAsia="宋体" w:hint="default"/>
          <w:sz w:val="24"/>
          <w:szCs w:val="24"/>
        </w:rPr>
        <w:t>经营成果和现金流量等有关信息。 </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、会计期间</w:t>
      </w:r>
      <w:r>
        <w:rPr>
          <w:rFonts w:ascii="宋体" w:hAnsi="宋体" w:cs="宋体" w:eastAsia="宋体" w:hint="default"/>
          <w:b/>
          <w:bCs/>
          <w:w w:val="99"/>
          <w:sz w:val="24"/>
          <w:szCs w:val="24"/>
        </w:rPr>
        <w:t> </w:t>
      </w:r>
      <w:r>
        <w:rPr>
          <w:rFonts w:ascii="宋体" w:hAnsi="宋体" w:cs="宋体" w:eastAsia="宋体" w:hint="default"/>
          <w:sz w:val="24"/>
          <w:szCs w:val="24"/>
        </w:rPr>
        <w:t>会计年度自公历</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1</w:t>
      </w:r>
      <w:r>
        <w:rPr>
          <w:rFonts w:ascii="宋体" w:hAnsi="宋体" w:cs="宋体" w:eastAsia="宋体" w:hint="default"/>
          <w:sz w:val="24"/>
          <w:szCs w:val="24"/>
        </w:rPr>
        <w:t>日起至</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日止。 </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、营业周期</w:t>
      </w:r>
      <w:r>
        <w:rPr>
          <w:rFonts w:ascii="宋体" w:hAnsi="宋体" w:cs="宋体" w:eastAsia="宋体" w:hint="default"/>
          <w:sz w:val="24"/>
          <w:szCs w:val="24"/>
        </w:rPr>
      </w:r>
    </w:p>
    <w:p>
      <w:pPr>
        <w:pStyle w:val="BodyText"/>
        <w:spacing w:line="357" w:lineRule="auto" w:before="19"/>
        <w:ind w:right="268" w:firstLine="482"/>
        <w:jc w:val="both"/>
      </w:pPr>
      <w:r>
        <w:rPr/>
        <w:t>正常营业周期是指本公司从购买用于加工的资产起至实现现金或现金等价物的期间。本 公司以</w:t>
      </w:r>
      <w:r>
        <w:rPr>
          <w:rFonts w:ascii="Times New Roman" w:hAnsi="Times New Roman" w:cs="Times New Roman" w:eastAsia="Times New Roman" w:hint="default"/>
        </w:rPr>
        <w:t>12</w:t>
      </w:r>
      <w:r>
        <w:rPr/>
        <w:t>个月作为一个营业周期，并以其作为资产和负债的流动性划分标准。</w:t>
      </w:r>
    </w:p>
    <w:p>
      <w:pPr>
        <w:pStyle w:val="BodyText"/>
        <w:spacing w:line="338" w:lineRule="auto" w:before="6"/>
        <w:ind w:left="635" w:right="251"/>
        <w:jc w:val="left"/>
      </w:pPr>
      <w:r>
        <w:rPr>
          <w:rFonts w:ascii="Times New Roman" w:hAnsi="Times New Roman" w:cs="Times New Roman" w:eastAsia="Times New Roman" w:hint="default"/>
          <w:b/>
          <w:bCs/>
        </w:rPr>
        <w:t>4</w:t>
      </w:r>
      <w:r>
        <w:rPr>
          <w:rFonts w:ascii="宋体" w:hAnsi="宋体" w:cs="宋体" w:eastAsia="宋体" w:hint="default"/>
          <w:b/>
          <w:bCs/>
        </w:rPr>
        <w:t>、记账本位币</w:t>
      </w:r>
      <w:r>
        <w:rPr>
          <w:rFonts w:ascii="宋体" w:hAnsi="宋体" w:cs="宋体" w:eastAsia="宋体" w:hint="default"/>
          <w:b/>
          <w:bCs/>
          <w:w w:val="99"/>
        </w:rPr>
        <w:t> </w:t>
      </w:r>
      <w:r>
        <w:rPr/>
        <w:t>本公司及境内子公司采用人民币为记账本位币。本公司境外子公司根据其经营所处的主</w:t>
      </w:r>
    </w:p>
    <w:p>
      <w:pPr>
        <w:spacing w:line="350" w:lineRule="auto" w:before="55"/>
        <w:ind w:left="635" w:right="251" w:hanging="483"/>
        <w:jc w:val="left"/>
        <w:rPr>
          <w:rFonts w:ascii="宋体" w:hAnsi="宋体" w:cs="宋体" w:eastAsia="宋体" w:hint="default"/>
          <w:sz w:val="24"/>
          <w:szCs w:val="24"/>
        </w:rPr>
      </w:pPr>
      <w:r>
        <w:rPr>
          <w:rFonts w:ascii="宋体" w:hAnsi="宋体" w:cs="宋体" w:eastAsia="宋体" w:hint="default"/>
          <w:sz w:val="24"/>
          <w:szCs w:val="24"/>
        </w:rPr>
        <w:t>要业务中的货币确定为其记账本位币，编制财务报表时折算为人民币。 本公司编制本财务报表时所采用的货币为人民币。 </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、同一控制下和非同一控制下企业合并的会计处理方法</w:t>
      </w:r>
      <w:r>
        <w:rPr>
          <w:rFonts w:ascii="宋体" w:hAnsi="宋体" w:cs="宋体" w:eastAsia="宋体" w:hint="default"/>
          <w:b/>
          <w:bCs/>
          <w:w w:val="99"/>
          <w:sz w:val="24"/>
          <w:szCs w:val="24"/>
        </w:rPr>
        <w:t> </w:t>
      </w:r>
      <w:r>
        <w:rPr>
          <w:rFonts w:ascii="宋体" w:hAnsi="宋体" w:cs="宋体" w:eastAsia="宋体" w:hint="default"/>
          <w:sz w:val="24"/>
          <w:szCs w:val="24"/>
        </w:rPr>
        <w:t>企业合并，是指将两个或两个以上单独的企业合并形成一个报告主体的交易或事项。企</w:t>
      </w:r>
    </w:p>
    <w:p>
      <w:pPr>
        <w:pStyle w:val="BodyText"/>
        <w:spacing w:line="348" w:lineRule="auto" w:before="43"/>
        <w:ind w:left="633" w:right="98" w:hanging="480"/>
        <w:jc w:val="left"/>
      </w:pPr>
      <w:r>
        <w:rPr/>
        <w:t>业合并分为同一控制下企业合并和非同一控制下企业合并。 </w:t>
      </w:r>
      <w:r>
        <w:rPr>
          <w:rFonts w:ascii="Times New Roman" w:hAnsi="Times New Roman" w:cs="Times New Roman" w:eastAsia="Times New Roman" w:hint="default"/>
        </w:rPr>
        <w:t>1</w:t>
      </w:r>
      <w:r>
        <w:rPr/>
        <w:t>．同一控制下企业合并的会计处理 </w:t>
      </w:r>
      <w:r>
        <w:rPr>
          <w:spacing w:val="-3"/>
        </w:rPr>
        <w:t>参与合并的企业在合并前后均受同一方或相同的多方最终控制，且该控制并非暂时性的，</w:t>
      </w:r>
    </w:p>
    <w:p>
      <w:pPr>
        <w:pStyle w:val="BodyText"/>
        <w:spacing w:line="357" w:lineRule="auto" w:before="46"/>
        <w:ind w:left="633" w:right="253" w:hanging="480"/>
        <w:jc w:val="left"/>
      </w:pPr>
      <w:r>
        <w:rPr/>
        <w:t>为同一控制下的企业合并。 公司在企业合并中取得的资产和负债，合并方在合并中取得的被合并方的资产、负债，</w:t>
      </w:r>
    </w:p>
    <w:p>
      <w:pPr>
        <w:pStyle w:val="BodyText"/>
        <w:spacing w:line="350" w:lineRule="auto" w:before="36"/>
        <w:ind w:right="271"/>
        <w:jc w:val="both"/>
      </w:pPr>
      <w:r>
        <w:rPr/>
        <w:t>除因会计政策不同而进行的调整以外，按照合并日被合并方在最终控制方合并财务报表中的 账面价值计量。公司取得的被合并方所有者权益在最终控制方合并财务报表中的账面价值的 份额与支付的合并对价账面价值</w:t>
      </w:r>
      <w:r>
        <w:rPr>
          <w:rFonts w:ascii="Times New Roman" w:hAnsi="Times New Roman" w:cs="Times New Roman" w:eastAsia="Times New Roman" w:hint="default"/>
        </w:rPr>
        <w:t>(</w:t>
      </w:r>
      <w:r>
        <w:rPr/>
        <w:t>或发行股份面值总额</w:t>
      </w:r>
      <w:r>
        <w:rPr>
          <w:rFonts w:ascii="Times New Roman" w:hAnsi="Times New Roman" w:cs="Times New Roman" w:eastAsia="Times New Roman" w:hint="default"/>
        </w:rPr>
        <w:t>)</w:t>
      </w:r>
      <w:r>
        <w:rPr/>
        <w:t>的差额，调整资本公积；资本公积不 足冲减的，调整留存收益。</w:t>
      </w:r>
    </w:p>
    <w:p>
      <w:pPr>
        <w:pStyle w:val="BodyText"/>
        <w:spacing w:line="350" w:lineRule="auto" w:before="44"/>
        <w:ind w:right="231" w:firstLine="480"/>
        <w:jc w:val="both"/>
      </w:pPr>
      <w:r>
        <w:rPr/>
        <w:t>通过多次交易分步实现同一控制下的企业合并，合并前持有投资的账面价值加上合并日 </w:t>
      </w:r>
      <w:r>
        <w:rPr>
          <w:spacing w:val="-2"/>
        </w:rPr>
        <w:t>新支付对价的账面价值之和，与合并中取得的净资产账面价值的差额，调整资本公积</w:t>
      </w:r>
      <w:r>
        <w:rPr>
          <w:rFonts w:ascii="Times New Roman" w:hAnsi="Times New Roman" w:cs="Times New Roman" w:eastAsia="Times New Roman" w:hint="default"/>
          <w:spacing w:val="-2"/>
        </w:rPr>
        <w:t>(</w:t>
      </w:r>
      <w:r>
        <w:rPr>
          <w:spacing w:val="-2"/>
        </w:rPr>
        <w:t>股本溢</w:t>
      </w:r>
      <w:r>
        <w:rPr>
          <w:spacing w:val="-80"/>
        </w:rPr>
        <w:t> </w:t>
      </w:r>
      <w:r>
        <w:rPr>
          <w:spacing w:val="-80"/>
        </w:rPr>
      </w:r>
      <w:r>
        <w:rPr>
          <w:spacing w:val="-2"/>
        </w:rPr>
        <w:t>价</w:t>
      </w:r>
      <w:r>
        <w:rPr>
          <w:rFonts w:ascii="Times New Roman" w:hAnsi="Times New Roman" w:cs="Times New Roman" w:eastAsia="Times New Roman" w:hint="default"/>
          <w:spacing w:val="-2"/>
        </w:rPr>
        <w:t>)</w:t>
      </w:r>
      <w:r>
        <w:rPr>
          <w:spacing w:val="-2"/>
        </w:rPr>
        <w:t>，资本公积不足冲减的，调整留存收益。合并方在取得被合并方控制权之前持有的长期股</w:t>
      </w:r>
      <w:r>
        <w:rPr>
          <w:spacing w:val="-82"/>
        </w:rPr>
        <w:t> </w:t>
      </w:r>
      <w:r>
        <w:rPr>
          <w:spacing w:val="-82"/>
        </w:rPr>
      </w:r>
      <w:r>
        <w:rPr/>
        <w:t>权投资，在取得原股权之日与合并方与被合并方同处于同一方最终控制之日孰晚日起至合并 日之间已确认有关损益、其他综合收益和其他所有者权益变动，应分别冲减比较报表期间的 期初留存收益或当期损益，由于被投资方重新计量设定受益计划净负债或净资产变动而产生</w:t>
      </w:r>
    </w:p>
    <w:p>
      <w:pPr>
        <w:spacing w:after="0" w:line="350" w:lineRule="auto"/>
        <w:jc w:val="both"/>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240" w:lineRule="auto" w:before="26"/>
        <w:ind w:right="353"/>
        <w:jc w:val="left"/>
      </w:pPr>
      <w:r>
        <w:rPr/>
        <w:t>的其他综合收益除外。</w:t>
      </w:r>
    </w:p>
    <w:p>
      <w:pPr>
        <w:pStyle w:val="BodyText"/>
        <w:spacing w:line="338" w:lineRule="auto" w:before="154"/>
        <w:ind w:left="633" w:right="353"/>
        <w:jc w:val="left"/>
      </w:pPr>
      <w:r>
        <w:rPr>
          <w:rFonts w:ascii="Times New Roman" w:hAnsi="Times New Roman" w:cs="Times New Roman" w:eastAsia="Times New Roman" w:hint="default"/>
        </w:rPr>
        <w:t>2</w:t>
      </w:r>
      <w:r>
        <w:rPr/>
        <w:t>．非同一控制下企业合并的会计处理 参与合并的企业在合并前后不受同一方或相同的多方最终控制的，为非同一控制下的企</w:t>
      </w:r>
    </w:p>
    <w:p>
      <w:pPr>
        <w:pStyle w:val="BodyText"/>
        <w:spacing w:line="240" w:lineRule="auto"/>
        <w:ind w:right="353"/>
        <w:jc w:val="left"/>
      </w:pPr>
      <w:r>
        <w:rPr/>
        <w:t>业合并。</w:t>
      </w:r>
    </w:p>
    <w:p>
      <w:pPr>
        <w:pStyle w:val="BodyText"/>
        <w:spacing w:line="357" w:lineRule="auto" w:before="154"/>
        <w:ind w:right="0" w:firstLine="480"/>
        <w:jc w:val="left"/>
      </w:pPr>
      <w:r>
        <w:rPr/>
        <w:t>公司在购买日对合并成本大于合并中取得的被购买方可辨认净资产公允价值份额的差额， 确认为商誉；对于合并成本小于合并中取得的被购买方可辨认净资产公允价值份额，首先对 </w:t>
      </w:r>
      <w:r>
        <w:rPr>
          <w:spacing w:val="-2"/>
        </w:rPr>
        <w:t>取得的被购买方各项可辨认资产、负债及或有负债的公允价值以及合并成本的计量进行复核，</w:t>
      </w:r>
      <w:r>
        <w:rPr/>
        <w:t> 经复核后合并成本仍小于合并中取得的被购买方可辨认净资产公允价值份额的，其差额计入 当期损益。</w:t>
      </w:r>
    </w:p>
    <w:p>
      <w:pPr>
        <w:pStyle w:val="BodyText"/>
        <w:spacing w:line="348" w:lineRule="auto" w:before="36"/>
        <w:ind w:right="332" w:firstLine="480"/>
        <w:jc w:val="both"/>
      </w:pPr>
      <w:r>
        <w:rPr/>
        <w:t>如果在购买日或合并当期期末，因各种因素影响无法合理确定作为合并对价付出的各项 </w:t>
      </w:r>
      <w:r>
        <w:rPr>
          <w:spacing w:val="-5"/>
        </w:rPr>
        <w:t>资产的公允价值，或合并中取得被购买方各项可辨认资产、负债的公允价值，合并当期期末，</w:t>
      </w:r>
      <w:r>
        <w:rPr/>
        <w:t> 公司以暂时确定的价值为基础对企业合并进行核算。自购买日算起</w:t>
      </w:r>
      <w:r>
        <w:rPr>
          <w:rFonts w:ascii="Times New Roman" w:hAnsi="Times New Roman" w:cs="Times New Roman" w:eastAsia="Times New Roman" w:hint="default"/>
        </w:rPr>
        <w:t>12</w:t>
      </w:r>
      <w:r>
        <w:rPr/>
        <w:t>个月内取得进一步的信 息表明需对原暂时确定的价值进行调整的，则视同在购买日发生，进行追溯调整，同时对以 暂时性价值为基础提供的比较报表信息进行相关的调整；自购买日算起</w:t>
      </w:r>
      <w:r>
        <w:rPr>
          <w:rFonts w:ascii="Times New Roman" w:hAnsi="Times New Roman" w:cs="Times New Roman" w:eastAsia="Times New Roman" w:hint="default"/>
        </w:rPr>
        <w:t>12</w:t>
      </w:r>
      <w:r>
        <w:rPr/>
        <w:t>个月以后对企业合 并成本或合并中取得的可辨认资产、负债价值的调整，按照《企业会计准则第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 政策、会计估计变更和会计差错更正》的原则进行处理。</w:t>
      </w:r>
    </w:p>
    <w:p>
      <w:pPr>
        <w:pStyle w:val="BodyText"/>
        <w:spacing w:line="352" w:lineRule="auto" w:before="46"/>
        <w:ind w:right="369" w:firstLine="480"/>
        <w:jc w:val="both"/>
      </w:pPr>
      <w:r>
        <w:rPr/>
        <w:t>公司在企业合并中取得的被购买方的可抵扣暂时性差异，在购买日不符合递延所得税资 产确认条件的，不予以确认。购买日后</w:t>
      </w:r>
      <w:r>
        <w:rPr>
          <w:rFonts w:ascii="Times New Roman" w:hAnsi="Times New Roman" w:cs="Times New Roman" w:eastAsia="Times New Roman" w:hint="default"/>
        </w:rPr>
        <w:t>12</w:t>
      </w:r>
      <w:r>
        <w:rPr/>
        <w:t>个月内，如取得新的或进一步的信息表明购买日的 相关情况已经存在，预期被购买方在购买日可抵扣暂时性差异带来的经济利益能够实现的， 确认相关的递延所得税资产，同时减少商誉，商誉不足冲减的，差额部分确认为当期损益； 除上述情况以外，确认与企业合并相关的递延所得税资产，计入当期损益。</w:t>
      </w:r>
    </w:p>
    <w:p>
      <w:pPr>
        <w:pStyle w:val="BodyText"/>
        <w:spacing w:line="343" w:lineRule="auto" w:before="41"/>
        <w:ind w:right="332" w:firstLine="480"/>
        <w:jc w:val="both"/>
      </w:pPr>
      <w:r>
        <w:rPr/>
        <w:t>通过多次交易分步实现的非同一控制下企业合并，根据企业会计准则判断该多次交易是 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。多次交易的条款、条件以及经济影响符合以下一种或多种情况，通常 表明应将多次交易事项作为一揽子交易进行会计处理：</w:t>
      </w:r>
      <w:r>
        <w:rPr>
          <w:rFonts w:ascii="Times New Roman" w:hAnsi="Times New Roman" w:cs="Times New Roman" w:eastAsia="Times New Roman" w:hint="default"/>
        </w:rPr>
        <w:t>(1)</w:t>
      </w:r>
      <w:r>
        <w:rPr/>
        <w:t>这些交易是同时或者在考虑了彼此 </w:t>
      </w:r>
      <w:r>
        <w:rPr>
          <w:spacing w:val="-2"/>
        </w:rPr>
        <w:t>影响的情况下订立的；</w:t>
      </w:r>
      <w:r>
        <w:rPr>
          <w:rFonts w:ascii="Times New Roman" w:hAnsi="Times New Roman" w:cs="Times New Roman" w:eastAsia="Times New Roman" w:hint="default"/>
          <w:spacing w:val="-2"/>
        </w:rPr>
        <w:t>(2)</w:t>
      </w:r>
      <w:r>
        <w:rPr>
          <w:spacing w:val="-2"/>
        </w:rPr>
        <w:t>这些交易整体才能达成一项完整的商业结果；</w:t>
      </w:r>
      <w:r>
        <w:rPr>
          <w:rFonts w:ascii="Times New Roman" w:hAnsi="Times New Roman" w:cs="Times New Roman" w:eastAsia="Times New Roman" w:hint="default"/>
          <w:spacing w:val="-2"/>
        </w:rPr>
        <w:t>(3)</w:t>
      </w:r>
      <w:r>
        <w:rPr>
          <w:spacing w:val="-2"/>
        </w:rPr>
        <w:t>一项交易的发生取</w:t>
      </w:r>
      <w:r>
        <w:rPr>
          <w:spacing w:val="-77"/>
        </w:rPr>
        <w:t> </w:t>
      </w:r>
      <w:r>
        <w:rPr/>
        <w:t>决于其他至少一项交易的发生；</w:t>
      </w:r>
      <w:r>
        <w:rPr>
          <w:rFonts w:ascii="Times New Roman" w:hAnsi="Times New Roman" w:cs="Times New Roman" w:eastAsia="Times New Roman" w:hint="default"/>
        </w:rPr>
        <w:t>(4)</w:t>
      </w:r>
      <w:r>
        <w:rPr/>
        <w:t>一项交易单独看是不经济的，但是和其他交易一并考虑时 是经济的。</w:t>
      </w:r>
    </w:p>
    <w:p>
      <w:pPr>
        <w:pStyle w:val="BodyText"/>
        <w:spacing w:line="338" w:lineRule="auto" w:before="50"/>
        <w:ind w:right="331" w:firstLine="480"/>
        <w:jc w:val="both"/>
      </w:pP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的，将各项交易作为一项取得控制权的交易进行会计处理。不属于</w:t>
      </w:r>
      <w:r>
        <w:rPr>
          <w:rFonts w:ascii="Times New Roman" w:hAnsi="Times New Roman" w:cs="Times New Roman" w:eastAsia="Times New Roman" w:hint="default"/>
          <w:spacing w:val="-2"/>
        </w:rPr>
        <w:t>“</w:t>
      </w:r>
      <w:r>
        <w:rPr>
          <w:spacing w:val="-2"/>
        </w:rPr>
        <w:t>一</w:t>
      </w:r>
      <w:r>
        <w:rPr/>
        <w:t> </w:t>
      </w:r>
      <w:r>
        <w:rPr>
          <w:spacing w:val="-2"/>
        </w:rPr>
        <w:t>揽子交易</w:t>
      </w:r>
      <w:r>
        <w:rPr>
          <w:rFonts w:ascii="Times New Roman" w:hAnsi="Times New Roman" w:cs="Times New Roman" w:eastAsia="Times New Roman" w:hint="default"/>
          <w:spacing w:val="-2"/>
        </w:rPr>
        <w:t>”</w:t>
      </w:r>
      <w:r>
        <w:rPr>
          <w:spacing w:val="-2"/>
        </w:rPr>
        <w:t>的，在合并财务报表中，对于购买日之前持有的被购买方的股权，按照该股权在购</w:t>
      </w:r>
    </w:p>
    <w:p>
      <w:pPr>
        <w:spacing w:after="0" w:line="338" w:lineRule="auto"/>
        <w:jc w:val="both"/>
        <w:sectPr>
          <w:pgSz w:w="11910" w:h="16840"/>
          <w:pgMar w:header="877" w:footer="980" w:top="1100" w:bottom="1160" w:left="980" w:right="800"/>
        </w:sectPr>
      </w:pPr>
    </w:p>
    <w:p>
      <w:pPr>
        <w:spacing w:line="240" w:lineRule="auto" w:before="7"/>
        <w:rPr>
          <w:rFonts w:ascii="宋体" w:hAnsi="宋体" w:cs="宋体" w:eastAsia="宋体" w:hint="default"/>
          <w:sz w:val="25"/>
          <w:szCs w:val="25"/>
        </w:rPr>
      </w:pPr>
    </w:p>
    <w:p>
      <w:pPr>
        <w:pStyle w:val="BodyText"/>
        <w:spacing w:line="357" w:lineRule="auto" w:before="26"/>
        <w:ind w:right="95"/>
        <w:jc w:val="left"/>
      </w:pPr>
      <w:r>
        <w:rPr/>
        <w:t>买日的公允价值进行重新计量，公允价值与其账面价值的差额计入当期投资收益；购买日之 </w:t>
      </w:r>
      <w:r>
        <w:rPr>
          <w:spacing w:val="-2"/>
        </w:rPr>
        <w:t>前已经持有的被购买方的股权涉及其他综合收益、其他所有者权益变动转为购买日当期收益，</w:t>
      </w:r>
      <w:r>
        <w:rPr/>
        <w:t> 由于被投资方重新计量设定受益计划净负债或净资产变动而产生的其他综合收益除外。</w:t>
      </w:r>
    </w:p>
    <w:p>
      <w:pPr>
        <w:pStyle w:val="BodyText"/>
        <w:spacing w:line="338" w:lineRule="auto" w:before="36"/>
        <w:ind w:left="633" w:right="253"/>
        <w:jc w:val="left"/>
      </w:pPr>
      <w:r>
        <w:rPr>
          <w:rFonts w:ascii="Times New Roman" w:hAnsi="Times New Roman" w:cs="Times New Roman" w:eastAsia="Times New Roman" w:hint="default"/>
        </w:rPr>
        <w:t>3</w:t>
      </w:r>
      <w:r>
        <w:rPr/>
        <w:t>．企业合并中有关交易费用的处理 为进行企业合并发生的审计、法律服务、评估咨询等中介费用以及其他相关管理费用，</w:t>
      </w:r>
    </w:p>
    <w:p>
      <w:pPr>
        <w:pStyle w:val="BodyText"/>
        <w:spacing w:line="357" w:lineRule="auto"/>
        <w:ind w:right="271"/>
        <w:jc w:val="both"/>
      </w:pPr>
      <w:r>
        <w:rPr/>
        <w:t>于发生时计入当期损益。作为合并对价发行的权益性证券或债务性证券的交易费用，计入权 益性证券或债务性证券的初始确认金额。</w:t>
      </w:r>
    </w:p>
    <w:p>
      <w:pPr>
        <w:pStyle w:val="Heading2"/>
        <w:spacing w:line="240" w:lineRule="auto" w:before="36"/>
        <w:ind w:left="635" w:right="98"/>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338" w:lineRule="auto" w:before="136"/>
        <w:ind w:left="635" w:right="251"/>
        <w:jc w:val="left"/>
      </w:pPr>
      <w:r>
        <w:rPr>
          <w:rFonts w:ascii="Times New Roman" w:hAnsi="Times New Roman" w:cs="Times New Roman" w:eastAsia="Times New Roman" w:hint="default"/>
        </w:rPr>
        <w:t>1</w:t>
      </w:r>
      <w:r>
        <w:rPr/>
        <w:t>．合并范围 合并财务报表的合并范围以控制为基础确定。控制是指本公司拥有对被投资方的权力，</w:t>
      </w:r>
    </w:p>
    <w:p>
      <w:pPr>
        <w:pStyle w:val="BodyText"/>
        <w:spacing w:line="348" w:lineRule="auto"/>
        <w:ind w:right="228"/>
        <w:jc w:val="both"/>
      </w:pPr>
      <w:r>
        <w:rPr/>
        <w:t>通过参与被投资方的相关活动而享有可变回报，并且有能力运用对被投资方的权力影响该回 </w:t>
      </w:r>
      <w:r>
        <w:rPr>
          <w:spacing w:val="-1"/>
        </w:rPr>
        <w:t>报金额。合并范围包括本公司及全部子公司。子公司，是指被本公司控制的主体</w:t>
      </w:r>
      <w:r>
        <w:rPr>
          <w:rFonts w:ascii="Times New Roman" w:hAnsi="Times New Roman" w:cs="Times New Roman" w:eastAsia="Times New Roman" w:hint="default"/>
          <w:spacing w:val="-1"/>
        </w:rPr>
        <w:t>(</w:t>
      </w:r>
      <w:r>
        <w:rPr>
          <w:spacing w:val="-1"/>
        </w:rPr>
        <w:t>含企业、被</w:t>
      </w:r>
      <w:r>
        <w:rPr/>
        <w:t> 投资单位中可分割的部分、结构化主体等</w:t>
      </w:r>
      <w:r>
        <w:rPr>
          <w:rFonts w:ascii="Times New Roman" w:hAnsi="Times New Roman" w:cs="Times New Roman" w:eastAsia="Times New Roman" w:hint="default"/>
        </w:rPr>
        <w:t>)</w:t>
      </w:r>
      <w:r>
        <w:rPr/>
        <w:t>。</w:t>
      </w:r>
    </w:p>
    <w:p>
      <w:pPr>
        <w:pStyle w:val="BodyText"/>
        <w:spacing w:line="338" w:lineRule="auto" w:before="16"/>
        <w:ind w:left="633" w:right="253"/>
        <w:jc w:val="left"/>
      </w:pPr>
      <w:r>
        <w:rPr>
          <w:rFonts w:ascii="Times New Roman" w:hAnsi="Times New Roman" w:cs="Times New Roman" w:eastAsia="Times New Roman" w:hint="default"/>
        </w:rPr>
        <w:t>2</w:t>
      </w:r>
      <w:r>
        <w:rPr/>
        <w:t>．合并报表的编制方法 本公司以自身和各子公司的财务报表为基础，根据其他有关资料，编制合并报表。本公</w:t>
      </w:r>
    </w:p>
    <w:p>
      <w:pPr>
        <w:pStyle w:val="BodyText"/>
        <w:spacing w:line="357" w:lineRule="auto"/>
        <w:ind w:left="0" w:right="271"/>
        <w:jc w:val="right"/>
      </w:pPr>
      <w:r>
        <w:rPr/>
        <w:t>司编制合并财务报表，将整个企业集团视为一个会计主体，依据相关企业会计准则的确定、 计量和列报要求，按照统一的会计政策，反映本公司整体财务状况、经营成果和现金流量。 合并财务报表时抵销本公司与各子公司、各子公司相互之间发生的内部交易和往来对合</w:t>
      </w:r>
    </w:p>
    <w:p>
      <w:pPr>
        <w:pStyle w:val="BodyText"/>
        <w:spacing w:line="357" w:lineRule="auto" w:before="36"/>
        <w:ind w:left="633" w:right="253" w:hanging="480"/>
        <w:jc w:val="left"/>
      </w:pPr>
      <w:r>
        <w:rPr/>
        <w:t>并资产负债表、合并利润表、合并现金流量表、合并所有者权益变动表的影响。 在报告期内因同一控制下企业合并增加的子公司以及业务，视同该子公司以及业务自同</w:t>
      </w:r>
    </w:p>
    <w:p>
      <w:pPr>
        <w:pStyle w:val="BodyText"/>
        <w:spacing w:line="357" w:lineRule="auto" w:before="36"/>
        <w:ind w:right="271"/>
        <w:jc w:val="both"/>
      </w:pPr>
      <w:r>
        <w:rPr/>
        <w:t>受最终控制方控制之日起纳入本公司的合并范围，将其自同受最终控制方控制之日起的经营 成果、现金流量分别纳入合并利润表、合并现金流量表中。在报告期内，同时调整合并资产 负债表的期初数，同时对比较报表的相关项目进行调整，视同合并后的报表主体自最终控制 方开始控制时点起一直存在。</w:t>
      </w:r>
    </w:p>
    <w:p>
      <w:pPr>
        <w:pStyle w:val="BodyText"/>
        <w:spacing w:line="357" w:lineRule="auto" w:before="36"/>
        <w:ind w:right="95" w:firstLine="480"/>
        <w:jc w:val="left"/>
      </w:pPr>
      <w:r>
        <w:rPr/>
        <w:t>本期若因非同一控制下企业合并增加子公司的，则不调整合并资产负债表期初数；以购 </w:t>
      </w:r>
      <w:r>
        <w:rPr>
          <w:spacing w:val="-2"/>
        </w:rPr>
        <w:t>买日可辨认净资产公允价值为基础对其财务报表进行调整。将子公司自购买日至期末的收入、</w:t>
      </w:r>
      <w:r>
        <w:rPr/>
        <w:t> 费用、利润纳入合并利润表；该子公司自购买日至期末的现金流量纳入合并现金流量表。</w:t>
      </w:r>
    </w:p>
    <w:p>
      <w:pPr>
        <w:pStyle w:val="BodyText"/>
        <w:spacing w:line="357" w:lineRule="auto" w:before="36"/>
        <w:ind w:right="253" w:firstLine="480"/>
        <w:jc w:val="left"/>
      </w:pPr>
      <w:r>
        <w:rPr/>
        <w:t>子公司少数股东应占的权益、损益和当期综合收益中分别在合并资产负债表中所有者权 益项目下、合并利润表中净利润项目和综合收益总额项下单独列示。子公司少数股东分担的</w:t>
      </w:r>
    </w:p>
    <w:p>
      <w:pPr>
        <w:spacing w:after="0" w:line="357" w:lineRule="auto"/>
        <w:jc w:val="left"/>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57" w:lineRule="auto" w:before="26"/>
        <w:ind w:right="191"/>
        <w:jc w:val="both"/>
      </w:pPr>
      <w:r>
        <w:rPr/>
        <w:t>当期亏损超过了少数股东在该子公司期初所有者权益中所享有份额而形成的余额，冲减少数 股东权益。</w:t>
      </w:r>
    </w:p>
    <w:p>
      <w:pPr>
        <w:pStyle w:val="BodyText"/>
        <w:spacing w:line="338" w:lineRule="auto" w:before="36"/>
        <w:ind w:left="633" w:right="173"/>
        <w:jc w:val="left"/>
      </w:pPr>
      <w:r>
        <w:rPr>
          <w:rFonts w:ascii="Times New Roman" w:hAnsi="Times New Roman" w:cs="Times New Roman" w:eastAsia="Times New Roman" w:hint="default"/>
        </w:rPr>
        <w:t>3</w:t>
      </w:r>
      <w:r>
        <w:rPr/>
        <w:t>．购买少数股东股权及不丧失控制权的部分处置子公司股权 本公司因购买少数股权新取得的长期股权投资成本与按照新增持股比例计算应享有子公</w:t>
      </w:r>
    </w:p>
    <w:p>
      <w:pPr>
        <w:pStyle w:val="BodyText"/>
        <w:spacing w:line="357" w:lineRule="auto"/>
        <w:ind w:right="191"/>
        <w:jc w:val="both"/>
      </w:pPr>
      <w:r>
        <w:rPr/>
        <w:t>司自购买日或合并日开始持续计算的净资产份额之间的差额，以及在不丧失控制权的情况下 因部分处置对子公司的股权投资而取得的处置价款与处置长期股权投资相对应享有子公司自 购买日或合并日开始持续计算的净资产份额之间的差额，均调整合并资产负债表中的资本公 积中的股本溢价，资本公积中的股本溢价不足冲减的，调整留存收益。</w:t>
      </w:r>
    </w:p>
    <w:p>
      <w:pPr>
        <w:pStyle w:val="BodyText"/>
        <w:spacing w:line="338" w:lineRule="auto" w:before="37"/>
        <w:ind w:left="633" w:right="138"/>
        <w:jc w:val="left"/>
      </w:pPr>
      <w:r>
        <w:rPr>
          <w:rFonts w:ascii="Times New Roman" w:hAnsi="Times New Roman" w:cs="Times New Roman" w:eastAsia="Times New Roman" w:hint="default"/>
        </w:rPr>
        <w:t>4</w:t>
      </w:r>
      <w:r>
        <w:rPr/>
        <w:t>．丧失控制权的处置子公司股权 </w:t>
      </w:r>
      <w:r>
        <w:rPr>
          <w:spacing w:val="-6"/>
        </w:rPr>
        <w:t>本期本公司处置子公司，则该子公司期初至处置日的收入、费用、利润纳入合并利润表；</w:t>
      </w:r>
    </w:p>
    <w:p>
      <w:pPr>
        <w:pStyle w:val="BodyText"/>
        <w:spacing w:line="348" w:lineRule="auto"/>
        <w:ind w:right="137"/>
        <w:jc w:val="left"/>
      </w:pPr>
      <w:r>
        <w:rPr/>
        <w:t>该子公司期初至处置日的现金流量纳入合并现金流量表。因处置部分股权投资或其他原因丧 失了对原有子公司控制权时，对于处置后的剩余股权投资，本公司按照其在丧失控制权日的 公允价值进行重新计量。处置股权取得的对价与剩余股权公允价值之和，减去按原持股比例 计算应享有原有子公司自购买日开始持续计算的净资产的份额与商誉之和，形成的差额计入 丧失控制权当期的投资收益。与原有子公司股权投资相关的其他综合收益，在丧失控制权时 采用被购买方直接处置相关资产和负债相同的基础进行会计处理</w:t>
      </w:r>
      <w:r>
        <w:rPr>
          <w:rFonts w:ascii="Times New Roman" w:hAnsi="Times New Roman" w:cs="Times New Roman" w:eastAsia="Times New Roman" w:hint="default"/>
        </w:rPr>
        <w:t>(</w:t>
      </w:r>
      <w:r>
        <w:rPr/>
        <w:t>即除了在该原有子公司重 </w:t>
      </w:r>
      <w:r>
        <w:rPr>
          <w:spacing w:val="-2"/>
        </w:rPr>
        <w:t>新计量设定受益计划外净负债或者净资产导致的变动以外，其余一并转入当期投资收益</w:t>
      </w:r>
      <w:r>
        <w:rPr>
          <w:rFonts w:ascii="Times New Roman" w:hAnsi="Times New Roman" w:cs="Times New Roman" w:eastAsia="Times New Roman" w:hint="default"/>
          <w:spacing w:val="-2"/>
        </w:rPr>
        <w:t>)</w:t>
      </w:r>
      <w:r>
        <w:rPr>
          <w:spacing w:val="-2"/>
        </w:rPr>
        <w:t>。其</w:t>
      </w:r>
      <w:r>
        <w:rPr>
          <w:spacing w:val="-100"/>
        </w:rPr>
        <w:t> </w:t>
      </w:r>
      <w:r>
        <w:rPr>
          <w:spacing w:val="-2"/>
        </w:rPr>
        <w:t>后，对该部分剩余股权按照《企业会计准则第</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长期股权投资》或《企业会计准则第</w:t>
      </w:r>
      <w:r>
        <w:rPr>
          <w:rFonts w:ascii="Times New Roman" w:hAnsi="Times New Roman" w:cs="Times New Roman" w:eastAsia="Times New Roman" w:hint="default"/>
          <w:spacing w:val="-2"/>
        </w:rPr>
        <w:t>22</w:t>
      </w:r>
      <w:r>
        <w:rPr>
          <w:rFonts w:ascii="Times New Roman" w:hAnsi="Times New Roman" w:cs="Times New Roman" w:eastAsia="Times New Roman" w:hint="default"/>
          <w:spacing w:val="-56"/>
        </w:rPr>
        <w:t> </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(14</w:t>
      </w:r>
      <w:r>
        <w:rPr>
          <w:rFonts w:ascii="Times New Roman" w:hAnsi="Times New Roman" w:cs="Times New Roman" w:eastAsia="Times New Roman" w:hint="default"/>
        </w:rPr>
        <w:t>)“</w:t>
      </w:r>
      <w:r>
        <w:rPr/>
        <w:t>长期股权投资的 确认和计量</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rFonts w:ascii="Times New Roman" w:hAnsi="Times New Roman" w:cs="Times New Roman" w:eastAsia="Times New Roman" w:hint="default"/>
        </w:rPr>
        <w:t>)“</w:t>
      </w:r>
      <w:r>
        <w:rPr/>
        <w:t>金融工具的确认和计量</w:t>
      </w:r>
      <w:r>
        <w:rPr>
          <w:rFonts w:ascii="Times New Roman" w:hAnsi="Times New Roman" w:cs="Times New Roman" w:eastAsia="Times New Roman" w:hint="default"/>
        </w:rPr>
        <w:t>”</w:t>
      </w:r>
      <w:r>
        <w:rPr/>
        <w:t>。</w:t>
      </w:r>
    </w:p>
    <w:p>
      <w:pPr>
        <w:pStyle w:val="BodyText"/>
        <w:spacing w:line="338" w:lineRule="auto" w:before="16"/>
        <w:ind w:left="633" w:right="173"/>
        <w:jc w:val="left"/>
      </w:pPr>
      <w:r>
        <w:rPr>
          <w:rFonts w:ascii="Times New Roman" w:hAnsi="Times New Roman" w:cs="Times New Roman" w:eastAsia="Times New Roman" w:hint="default"/>
        </w:rPr>
        <w:t>5</w:t>
      </w:r>
      <w:r>
        <w:rPr/>
        <w:t>．分步处置对子公司股权投资至丧失控制权的处理 本公司通过多次交易分步处置对子公司股权投资直至丧失控制权的，需区分处置对子公</w:t>
      </w:r>
    </w:p>
    <w:p>
      <w:pPr>
        <w:pStyle w:val="BodyText"/>
        <w:spacing w:line="357" w:lineRule="auto"/>
        <w:ind w:left="633" w:right="173" w:hanging="480"/>
        <w:jc w:val="left"/>
      </w:pPr>
      <w:r>
        <w:rPr/>
        <w:t>司股权投资直至丧失控制权的各项交易是否属于一揽子交易。 处置对子公司股权投资直至丧失控制权的各项交易属于一揽子交易的，将各项交易作为</w:t>
      </w:r>
    </w:p>
    <w:p>
      <w:pPr>
        <w:pStyle w:val="BodyText"/>
        <w:spacing w:line="357" w:lineRule="auto" w:before="36"/>
        <w:ind w:right="191"/>
        <w:jc w:val="both"/>
      </w:pPr>
      <w:r>
        <w:rPr/>
        <w:t>一项处置子公司并丧失控制权的交易进行会计处理；但是，在丧失控制权之前每一次处置价 款与处置投资对应的享有该子公司净资产份额的差额，在合并财务报表中确认为其他综合收 益，在丧失控制权时一并转入丧失控制权当期的损益。</w:t>
      </w:r>
    </w:p>
    <w:p>
      <w:pPr>
        <w:pStyle w:val="BodyText"/>
        <w:spacing w:line="338" w:lineRule="auto" w:before="36"/>
        <w:ind w:right="144" w:firstLine="480"/>
        <w:jc w:val="left"/>
      </w:pPr>
      <w:r>
        <w:rPr>
          <w:spacing w:val="-2"/>
        </w:rPr>
        <w:t>不属于一揽子交易的，对其中的每一项交易视情况分别按照</w:t>
      </w:r>
      <w:r>
        <w:rPr>
          <w:rFonts w:ascii="Times New Roman" w:hAnsi="Times New Roman" w:cs="Times New Roman" w:eastAsia="Times New Roman" w:hint="default"/>
          <w:spacing w:val="-2"/>
        </w:rPr>
        <w:t>“</w:t>
      </w:r>
      <w:r>
        <w:rPr>
          <w:spacing w:val="-2"/>
        </w:rPr>
        <w:t>不丧失控制权的情况下部分</w:t>
      </w:r>
      <w:r>
        <w:rPr/>
        <w:t> 处置对子公司的长期股权投资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因处置部分股权投资或其他原因丧失了对原有子公司的控</w:t>
      </w:r>
    </w:p>
    <w:p>
      <w:pPr>
        <w:spacing w:after="0" w:line="338"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48" w:lineRule="auto" w:before="26"/>
        <w:ind w:right="243"/>
        <w:jc w:val="both"/>
      </w:pPr>
      <w:r>
        <w:rPr/>
        <w:t>制权</w:t>
      </w:r>
      <w:r>
        <w:rPr>
          <w:rFonts w:ascii="Times New Roman" w:hAnsi="Times New Roman" w:cs="Times New Roman" w:eastAsia="Times New Roman" w:hint="default"/>
        </w:rPr>
        <w:t>”(</w:t>
      </w:r>
      <w:r>
        <w:rPr/>
        <w:t>详见前段</w:t>
      </w:r>
      <w:r>
        <w:rPr>
          <w:rFonts w:ascii="Times New Roman" w:hAnsi="Times New Roman" w:cs="Times New Roman" w:eastAsia="Times New Roman" w:hint="default"/>
        </w:rPr>
        <w:t>)</w:t>
      </w:r>
      <w:r>
        <w:rPr/>
        <w:t>适用的原则进行会计处理。即在丧失控制权之前每一次处置价款与处置投资 对应的享有该子公司自购买日开始持续计算的净资产账面价值份额之间的差额，作为权益性 交易计入资本公积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。在丧失控制权时不得转入丧失控制权当期的损益。</w:t>
      </w:r>
    </w:p>
    <w:p>
      <w:pPr>
        <w:spacing w:line="338" w:lineRule="auto" w:before="16"/>
        <w:ind w:left="635" w:right="25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、合营安排分类及共同经营会计处理方法</w:t>
      </w:r>
      <w:r>
        <w:rPr>
          <w:rFonts w:ascii="宋体" w:hAnsi="宋体" w:cs="宋体" w:eastAsia="宋体" w:hint="default"/>
          <w:b/>
          <w:bCs/>
          <w:w w:val="99"/>
          <w:sz w:val="24"/>
          <w:szCs w:val="24"/>
        </w:rPr>
        <w:t> </w:t>
      </w:r>
      <w:r>
        <w:rPr>
          <w:rFonts w:ascii="宋体" w:hAnsi="宋体" w:cs="宋体" w:eastAsia="宋体" w:hint="default"/>
          <w:sz w:val="24"/>
          <w:szCs w:val="24"/>
        </w:rPr>
        <w:t>合营安排，是指一项由两个或两个以上的参与方共同控制的安排。本公司根据在合营安</w:t>
      </w:r>
    </w:p>
    <w:p>
      <w:pPr>
        <w:pStyle w:val="BodyText"/>
        <w:spacing w:line="357" w:lineRule="auto"/>
        <w:ind w:left="633" w:right="253" w:hanging="480"/>
        <w:jc w:val="left"/>
      </w:pPr>
      <w:r>
        <w:rPr/>
        <w:t>排中享有的权利和承担的义务，将合营安排分为共同经营和合营企业。 合营企业，是指本公司仅对该安排的净资产享有权利的合营安排。本公司对合营企业的</w:t>
      </w:r>
    </w:p>
    <w:p>
      <w:pPr>
        <w:pStyle w:val="BodyText"/>
        <w:spacing w:line="338" w:lineRule="auto" w:before="36"/>
        <w:ind w:right="231"/>
        <w:jc w:val="both"/>
      </w:pPr>
      <w:r>
        <w:rPr>
          <w:spacing w:val="-1"/>
        </w:rPr>
        <w:t>投资采用权益法核算，按照本附注五</w:t>
      </w:r>
      <w:r>
        <w:rPr>
          <w:rFonts w:ascii="Times New Roman" w:hAnsi="Times New Roman" w:cs="Times New Roman" w:eastAsia="Times New Roman" w:hint="default"/>
          <w:spacing w:val="-1"/>
        </w:rPr>
        <w:t>(14</w:t>
      </w:r>
      <w:r>
        <w:rPr>
          <w:rFonts w:ascii="Times New Roman" w:hAnsi="Times New Roman" w:cs="Times New Roman" w:eastAsia="Times New Roman" w:hint="default"/>
          <w:spacing w:val="-1"/>
        </w:rPr>
        <w:t>)3(2)“</w:t>
      </w:r>
      <w:r>
        <w:rPr>
          <w:spacing w:val="-1"/>
        </w:rPr>
        <w:t>权益法核算的长期股权投资</w:t>
      </w:r>
      <w:r>
        <w:rPr>
          <w:rFonts w:ascii="Times New Roman" w:hAnsi="Times New Roman" w:cs="Times New Roman" w:eastAsia="Times New Roman" w:hint="default"/>
          <w:spacing w:val="-1"/>
        </w:rPr>
        <w:t>”</w:t>
      </w:r>
      <w:r>
        <w:rPr>
          <w:spacing w:val="-1"/>
        </w:rPr>
        <w:t>中所述的会计政策</w:t>
      </w:r>
      <w:r>
        <w:rPr>
          <w:spacing w:val="-90"/>
        </w:rPr>
        <w:t> </w:t>
      </w:r>
      <w:r>
        <w:rPr/>
        <w:t>处理。</w:t>
      </w:r>
    </w:p>
    <w:p>
      <w:pPr>
        <w:pStyle w:val="BodyText"/>
        <w:spacing w:line="357" w:lineRule="auto"/>
        <w:ind w:right="95" w:firstLine="480"/>
        <w:jc w:val="left"/>
      </w:pPr>
      <w:r>
        <w:rPr/>
        <w:t>共同经营，是指本公司享有该安排相关资产且承担该安排相关负债的合营安排。本公司 </w:t>
      </w:r>
      <w:r>
        <w:rPr>
          <w:spacing w:val="-2"/>
        </w:rPr>
        <w:t>确认与共同经营中利益份额相关的下列项目，并按照相关企业会计准则的规定进行会计处理：</w:t>
      </w:r>
    </w:p>
    <w:p>
      <w:pPr>
        <w:pStyle w:val="BodyText"/>
        <w:spacing w:line="240" w:lineRule="auto" w:before="36"/>
        <w:ind w:left="633" w:right="98"/>
        <w:jc w:val="left"/>
      </w:pP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35"/>
        <w:ind w:left="633" w:right="98"/>
        <w:jc w:val="left"/>
      </w:pP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35"/>
        <w:ind w:left="633" w:right="98"/>
        <w:jc w:val="left"/>
      </w:pP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35"/>
        <w:ind w:left="633" w:right="98"/>
        <w:jc w:val="left"/>
      </w:pPr>
      <w:r>
        <w:rPr>
          <w:rFonts w:ascii="Times New Roman" w:hAnsi="Times New Roman" w:cs="Times New Roman" w:eastAsia="Times New Roman" w:hint="default"/>
        </w:rPr>
        <w:t>4</w:t>
      </w:r>
      <w:r>
        <w:rPr/>
        <w:t>．按本公司份额确认共同经营因出售产出所产生的收入；</w:t>
      </w:r>
    </w:p>
    <w:p>
      <w:pPr>
        <w:pStyle w:val="BodyText"/>
        <w:spacing w:line="338" w:lineRule="auto" w:before="135"/>
        <w:ind w:left="633" w:right="333"/>
        <w:jc w:val="left"/>
      </w:pPr>
      <w:r>
        <w:rPr>
          <w:rFonts w:ascii="Times New Roman" w:hAnsi="Times New Roman" w:cs="Times New Roman" w:eastAsia="Times New Roman" w:hint="default"/>
        </w:rPr>
        <w:t>5</w:t>
      </w:r>
      <w:r>
        <w:rPr/>
        <w:t>．确认单独所发生的费用，以及按本公司份额确认共同经营发生的费用。 当本公司作为合营方向共同经营投出或出售资产</w:t>
      </w:r>
      <w:r>
        <w:rPr>
          <w:rFonts w:ascii="Times New Roman" w:hAnsi="Times New Roman" w:cs="Times New Roman" w:eastAsia="Times New Roman" w:hint="default"/>
        </w:rPr>
        <w:t>(</w:t>
      </w:r>
      <w:r>
        <w:rPr/>
        <w:t>该资产不构成业务，下同</w:t>
      </w:r>
      <w:r>
        <w:rPr>
          <w:rFonts w:ascii="Times New Roman" w:hAnsi="Times New Roman" w:cs="Times New Roman" w:eastAsia="Times New Roman" w:hint="default"/>
        </w:rPr>
        <w:t>)</w:t>
      </w:r>
      <w:r>
        <w:rPr/>
        <w:t>或者自共同</w:t>
      </w:r>
    </w:p>
    <w:p>
      <w:pPr>
        <w:pStyle w:val="BodyText"/>
        <w:spacing w:line="350" w:lineRule="auto" w:before="27"/>
        <w:ind w:right="228"/>
        <w:jc w:val="both"/>
      </w:pPr>
      <w:r>
        <w:rPr/>
        <w:t>经营购买资产时，在该等资产出售给第三方之前，本公司仅确认因该项交易产生的损益中属 </w:t>
      </w:r>
      <w:r>
        <w:rPr>
          <w:spacing w:val="-2"/>
        </w:rPr>
        <w:t>于共同经营其他参与方的部分。该等资产发生符合《企业会计准则第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资产减值》等规</w:t>
      </w:r>
      <w:r>
        <w:rPr>
          <w:spacing w:val="-118"/>
        </w:rPr>
        <w:t> </w:t>
      </w:r>
      <w:r>
        <w:rPr>
          <w:spacing w:val="-118"/>
        </w:rPr>
      </w:r>
      <w:r>
        <w:rPr/>
        <w:t>定的资产减值损失的，对于由于本公司向共同经营投出或者出售资产的情况，本公司全额确 认损失；对于本公司自共同经营购买资产的情况，本公司按承担的份额确认该损失。</w:t>
      </w:r>
    </w:p>
    <w:p>
      <w:pPr>
        <w:spacing w:line="338" w:lineRule="auto" w:before="43"/>
        <w:ind w:left="635" w:right="25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在编制现金流量表时，将本公司库存现金及可以随时用于支付的存款确认为现金。现金</w:t>
      </w:r>
    </w:p>
    <w:p>
      <w:pPr>
        <w:pStyle w:val="BodyText"/>
        <w:spacing w:line="338" w:lineRule="auto" w:before="56"/>
        <w:ind w:right="231"/>
        <w:jc w:val="both"/>
      </w:pPr>
      <w:r>
        <w:rPr/>
        <w:t>等价物是指企业持有的期限短</w:t>
      </w:r>
      <w:r>
        <w:rPr>
          <w:rFonts w:ascii="Times New Roman" w:hAnsi="Times New Roman" w:cs="Times New Roman" w:eastAsia="Times New Roman" w:hint="default"/>
        </w:rPr>
        <w:t>(</w:t>
      </w:r>
      <w:r>
        <w:rPr/>
        <w:t>一般是指从购买日起</w:t>
      </w:r>
      <w:r>
        <w:rPr>
          <w:rFonts w:ascii="Times New Roman" w:hAnsi="Times New Roman" w:cs="Times New Roman" w:eastAsia="Times New Roman" w:hint="default"/>
        </w:rPr>
        <w:t>3</w:t>
      </w:r>
      <w:r>
        <w:rPr/>
        <w:t>个月内到期</w:t>
      </w:r>
      <w:r>
        <w:rPr>
          <w:rFonts w:ascii="Times New Roman" w:hAnsi="Times New Roman" w:cs="Times New Roman" w:eastAsia="Times New Roman" w:hint="default"/>
        </w:rPr>
        <w:t>)</w:t>
      </w:r>
      <w:r>
        <w:rPr/>
        <w:t>、流动性强、易于转换为已 知金额现金、价值变动风险很小的投资。</w:t>
      </w:r>
    </w:p>
    <w:p>
      <w:pPr>
        <w:pStyle w:val="Heading2"/>
        <w:spacing w:line="240" w:lineRule="auto" w:before="55"/>
        <w:ind w:left="635" w:right="98"/>
        <w:jc w:val="left"/>
        <w:rPr>
          <w:b w:val="0"/>
          <w:bCs w:val="0"/>
        </w:rPr>
      </w:pPr>
      <w:r>
        <w:rPr>
          <w:rFonts w:ascii="Times New Roman" w:hAnsi="Times New Roman" w:cs="Times New Roman" w:eastAsia="Times New Roman" w:hint="default"/>
        </w:rPr>
        <w:t>9</w:t>
      </w:r>
      <w:r>
        <w:rPr/>
        <w:t>、外币业务和外币报表折算</w:t>
      </w:r>
      <w:r>
        <w:rPr>
          <w:b w:val="0"/>
          <w:bCs w:val="0"/>
        </w:rPr>
      </w:r>
    </w:p>
    <w:p>
      <w:pPr>
        <w:pStyle w:val="BodyText"/>
        <w:spacing w:line="338" w:lineRule="auto" w:before="135"/>
        <w:ind w:left="633" w:right="98" w:firstLine="2"/>
        <w:jc w:val="left"/>
      </w:pPr>
      <w:r>
        <w:rPr>
          <w:rFonts w:ascii="Times New Roman" w:hAnsi="Times New Roman" w:cs="Times New Roman" w:eastAsia="Times New Roman" w:hint="default"/>
        </w:rPr>
        <w:t>1</w:t>
      </w:r>
      <w:r>
        <w:rPr/>
        <w:t>．外币交易业务 </w:t>
      </w:r>
      <w:r>
        <w:rPr>
          <w:spacing w:val="-2"/>
        </w:rPr>
        <w:t>对发生的外币业务，采用交易发生日的即期汇率</w:t>
      </w:r>
      <w:r>
        <w:rPr>
          <w:rFonts w:ascii="Times New Roman" w:hAnsi="Times New Roman" w:cs="Times New Roman" w:eastAsia="Times New Roman" w:hint="default"/>
          <w:spacing w:val="-2"/>
        </w:rPr>
        <w:t>(</w:t>
      </w:r>
      <w:r>
        <w:rPr>
          <w:spacing w:val="-2"/>
        </w:rPr>
        <w:t>通常指中国人民银行公布的当日外汇牌</w:t>
      </w:r>
    </w:p>
    <w:p>
      <w:pPr>
        <w:pStyle w:val="BodyText"/>
        <w:spacing w:line="240" w:lineRule="auto" w:before="26"/>
        <w:ind w:right="0"/>
        <w:jc w:val="both"/>
      </w:pPr>
      <w:r>
        <w:rPr>
          <w:spacing w:val="-4"/>
        </w:rPr>
        <w:t>价的中间价，下同</w:t>
      </w:r>
      <w:r>
        <w:rPr>
          <w:rFonts w:ascii="Times New Roman" w:hAnsi="Times New Roman" w:cs="Times New Roman" w:eastAsia="Times New Roman" w:hint="default"/>
          <w:spacing w:val="-4"/>
        </w:rPr>
        <w:t>)</w:t>
      </w:r>
      <w:r>
        <w:rPr>
          <w:spacing w:val="-4"/>
        </w:rPr>
        <w:t>折合人民币记账。但公司发生的外币兑换业务或涉及外币兑换的交易事项，</w:t>
      </w:r>
    </w:p>
    <w:p>
      <w:pPr>
        <w:spacing w:after="0" w:line="240" w:lineRule="auto"/>
        <w:jc w:val="both"/>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48" w:lineRule="auto" w:before="26"/>
        <w:ind w:left="633" w:right="173" w:hanging="480"/>
        <w:jc w:val="left"/>
      </w:pPr>
      <w:r>
        <w:rPr/>
        <w:t>按照实际采用的汇率折算为记账本位币金额。 </w:t>
      </w:r>
      <w:r>
        <w:rPr>
          <w:rFonts w:ascii="Times New Roman" w:hAnsi="Times New Roman" w:cs="Times New Roman" w:eastAsia="Times New Roman" w:hint="default"/>
        </w:rPr>
        <w:t>2</w:t>
      </w:r>
      <w:r>
        <w:rPr/>
        <w:t>．外币货币性项目和非货币性项目的折算方法 资产负债表日，对于外币货币性项目采用资产负债表日即期汇率折算，由此产生的汇兑</w:t>
      </w:r>
    </w:p>
    <w:p>
      <w:pPr>
        <w:pStyle w:val="BodyText"/>
        <w:spacing w:line="343" w:lineRule="auto" w:before="46"/>
        <w:ind w:right="151"/>
        <w:jc w:val="both"/>
      </w:pPr>
      <w:r>
        <w:rPr/>
        <w:t>差额，除：</w:t>
      </w:r>
      <w:r>
        <w:rPr>
          <w:rFonts w:ascii="Times New Roman" w:hAnsi="Times New Roman" w:cs="Times New Roman" w:eastAsia="Times New Roman" w:hint="default"/>
        </w:rPr>
        <w:t>(1)</w:t>
      </w:r>
      <w:r>
        <w:rPr/>
        <w:t>属于与购建符合资本化条件的资产相关的外币专门借款产生的汇兑差额按照借 </w:t>
      </w:r>
      <w:r>
        <w:rPr>
          <w:spacing w:val="-2"/>
        </w:rPr>
        <w:t>款费用资本化的原则处理；</w:t>
      </w:r>
      <w:r>
        <w:rPr>
          <w:rFonts w:ascii="Times New Roman" w:hAnsi="Times New Roman" w:cs="Times New Roman" w:eastAsia="Times New Roman" w:hint="default"/>
          <w:spacing w:val="-2"/>
        </w:rPr>
        <w:t>(2)</w:t>
      </w:r>
      <w:r>
        <w:rPr>
          <w:spacing w:val="-2"/>
        </w:rPr>
        <w:t>用于境外经营净投资有效套期的套期工具的汇兑差额</w:t>
      </w:r>
      <w:r>
        <w:rPr>
          <w:rFonts w:ascii="Times New Roman" w:hAnsi="Times New Roman" w:cs="Times New Roman" w:eastAsia="Times New Roman" w:hint="default"/>
          <w:spacing w:val="-2"/>
        </w:rPr>
        <w:t>(</w:t>
      </w:r>
      <w:r>
        <w:rPr>
          <w:spacing w:val="-2"/>
        </w:rPr>
        <w:t>该差额计</w:t>
      </w:r>
      <w:r>
        <w:rPr>
          <w:spacing w:val="-116"/>
        </w:rPr>
        <w:t> </w:t>
      </w:r>
      <w:r>
        <w:rPr>
          <w:spacing w:val="-2"/>
        </w:rPr>
        <w:t>入其他综合收益，直至净投资被处置才被确认为当期损益</w:t>
      </w:r>
      <w:r>
        <w:rPr>
          <w:rFonts w:ascii="Times New Roman" w:hAnsi="Times New Roman" w:cs="Times New Roman" w:eastAsia="Times New Roman" w:hint="default"/>
          <w:spacing w:val="-2"/>
        </w:rPr>
        <w:t>)</w:t>
      </w:r>
      <w:r>
        <w:rPr>
          <w:spacing w:val="-2"/>
        </w:rPr>
        <w:t>；以及</w:t>
      </w:r>
      <w:r>
        <w:rPr>
          <w:rFonts w:ascii="Times New Roman" w:hAnsi="Times New Roman" w:cs="Times New Roman" w:eastAsia="Times New Roman" w:hint="default"/>
          <w:spacing w:val="-2"/>
        </w:rPr>
        <w:t>(3)</w:t>
      </w:r>
      <w:r>
        <w:rPr>
          <w:spacing w:val="-2"/>
        </w:rPr>
        <w:t>可供出售的外币货币性项</w:t>
      </w:r>
      <w:r>
        <w:rPr>
          <w:spacing w:val="-117"/>
        </w:rPr>
        <w:t> </w:t>
      </w:r>
      <w:r>
        <w:rPr/>
        <w:t>目除摊余成本之外的其他账面余额变动产生的汇兑差额计入其他综合收益之外，均计入当期 损益。</w:t>
      </w:r>
    </w:p>
    <w:p>
      <w:pPr>
        <w:pStyle w:val="BodyText"/>
        <w:spacing w:line="357" w:lineRule="auto" w:before="51"/>
        <w:ind w:right="191" w:firstLine="480"/>
        <w:jc w:val="both"/>
      </w:pPr>
      <w:r>
        <w:rPr/>
        <w:t>以历史成本计量的外币非货币性项目，仍采用交易发生日的即期汇率折算的记账本位币 金额计量。以公允价值计量的外币非货币性项目，采用公允价值确定日的即期汇率折算，折 算后的记账本位币金额与原记账本位币金额的差额，计入当期损益。</w:t>
      </w:r>
    </w:p>
    <w:p>
      <w:pPr>
        <w:pStyle w:val="BodyText"/>
        <w:spacing w:line="338" w:lineRule="auto" w:before="36"/>
        <w:ind w:left="633" w:right="173"/>
        <w:jc w:val="left"/>
      </w:pPr>
      <w:r>
        <w:rPr>
          <w:rFonts w:ascii="Times New Roman" w:hAnsi="Times New Roman" w:cs="Times New Roman" w:eastAsia="Times New Roman" w:hint="default"/>
        </w:rPr>
        <w:t>3</w:t>
      </w:r>
      <w:r>
        <w:rPr/>
        <w:t>．外币报表折算 资产负债表中的资产和负债项目，采用资产负债表日的即期汇率折算；所有者权益项目</w:t>
      </w:r>
    </w:p>
    <w:p>
      <w:pPr>
        <w:pStyle w:val="BodyText"/>
        <w:spacing w:line="352" w:lineRule="auto"/>
        <w:ind w:right="150"/>
        <w:jc w:val="both"/>
      </w:pPr>
      <w:r>
        <w:rPr>
          <w:spacing w:val="-5"/>
        </w:rPr>
        <w:t>除</w:t>
      </w:r>
      <w:r>
        <w:rPr>
          <w:rFonts w:ascii="Times New Roman" w:hAnsi="Times New Roman" w:cs="Times New Roman" w:eastAsia="Times New Roman" w:hint="default"/>
          <w:spacing w:val="-5"/>
        </w:rPr>
        <w:t>“</w:t>
      </w:r>
      <w:r>
        <w:rPr>
          <w:spacing w:val="-5"/>
        </w:rPr>
        <w:t>未分配利润</w:t>
      </w:r>
      <w:r>
        <w:rPr>
          <w:rFonts w:ascii="Times New Roman" w:hAnsi="Times New Roman" w:cs="Times New Roman" w:eastAsia="Times New Roman" w:hint="default"/>
          <w:spacing w:val="-5"/>
        </w:rPr>
        <w:t>”</w:t>
      </w:r>
      <w:r>
        <w:rPr>
          <w:spacing w:val="-5"/>
        </w:rPr>
        <w:t>项目外，其他项目采用发生时的即期汇率折算；利润表中的收入和费用项目，</w:t>
      </w:r>
      <w:r>
        <w:rPr>
          <w:spacing w:val="-85"/>
        </w:rPr>
        <w:t> </w:t>
      </w:r>
      <w:r>
        <w:rPr>
          <w:spacing w:val="-85"/>
        </w:rPr>
      </w:r>
      <w:r>
        <w:rPr/>
        <w:t>采用交易发生日的即期汇率折算；年初未分配利润为上一年折算后的年末未分配利润；年末 未分配利润按折算后的利润分配各项目计算列示；按照上述折算产生的外币财务报表折算差 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项目反映。处置境外经营并丧失控制权 时，将资产负债表中股东权益项目下列示的、与该境外经营相关的外币报表折算差额，全部 或按处置该境外经营的比例转入处置当期损益。在处置部分股权投资或其他原因导致持有境 外经营权益比例降低但不丧失对境外经营控制权时，与该境外经营处置部分相关的外币报表 折算差额将归属于少数股东权益，不转入当期损益。</w:t>
      </w:r>
    </w:p>
    <w:p>
      <w:pPr>
        <w:pStyle w:val="BodyText"/>
        <w:spacing w:line="357" w:lineRule="auto" w:before="41"/>
        <w:ind w:right="191" w:firstLine="480"/>
        <w:jc w:val="both"/>
      </w:pPr>
      <w:r>
        <w:rPr/>
        <w:t>现金流量表采用现金流量发生日的即期汇率折算。汇率变动对现金的影响额作为调节项 目，在现金流量表中单独列示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t>项目反映。</w:t>
      </w:r>
    </w:p>
    <w:p>
      <w:pPr>
        <w:pStyle w:val="BodyText"/>
        <w:spacing w:line="338" w:lineRule="auto" w:before="6"/>
        <w:ind w:left="633" w:right="173" w:hanging="281"/>
        <w:jc w:val="left"/>
      </w:pPr>
      <w:r>
        <w:rPr>
          <w:rFonts w:ascii="Times New Roman" w:hAnsi="Times New Roman" w:cs="Times New Roman" w:eastAsia="Times New Roman" w:hint="default"/>
          <w:b/>
          <w:bCs/>
        </w:rPr>
        <w:t>10</w:t>
      </w:r>
      <w:r>
        <w:rPr>
          <w:rFonts w:ascii="宋体" w:hAnsi="宋体" w:cs="宋体" w:eastAsia="宋体" w:hint="default"/>
          <w:b/>
          <w:bCs/>
        </w:rPr>
        <w:t>、金融工具</w:t>
      </w:r>
      <w:r>
        <w:rPr>
          <w:rFonts w:ascii="宋体" w:hAnsi="宋体" w:cs="宋体" w:eastAsia="宋体" w:hint="default"/>
          <w:b/>
          <w:bCs/>
          <w:w w:val="99"/>
        </w:rPr>
        <w:t> </w:t>
      </w:r>
      <w:r>
        <w:rPr/>
        <w:t>金融工具是指形成一个企业的金融资产，并形成其他单位的金融负债或者权益工具的合</w:t>
      </w:r>
    </w:p>
    <w:p>
      <w:pPr>
        <w:pStyle w:val="BodyText"/>
        <w:spacing w:line="357" w:lineRule="auto"/>
        <w:ind w:right="191"/>
        <w:jc w:val="both"/>
      </w:pPr>
      <w:r>
        <w:rPr/>
        <w:t>同。金融工具包括金融资产、金融负债和权益工具。金融资产和金融负债在初始确认时以公 允价值计量。对于以公允价值计量且其变动计入当期损益的金融资产和金融负债，相关的交 易费用直接计入损益，对于其他类别的金融资产和金融负债，相关交易费用计入初始确认金 额。</w:t>
      </w:r>
    </w:p>
    <w:p>
      <w:pPr>
        <w:spacing w:after="0" w:line="357" w:lineRule="auto"/>
        <w:jc w:val="both"/>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38" w:lineRule="auto" w:before="26"/>
        <w:ind w:left="633" w:right="173"/>
        <w:jc w:val="left"/>
      </w:pPr>
      <w:r>
        <w:rPr>
          <w:rFonts w:ascii="Times New Roman" w:hAnsi="Times New Roman" w:cs="Times New Roman" w:eastAsia="Times New Roman" w:hint="default"/>
        </w:rPr>
        <w:t>1</w:t>
      </w:r>
      <w:r>
        <w:rPr/>
        <w:t>．金融资产的分类、确认和计量 以常规方式买卖金融资产，按交易日进行会计确认和终止确认。金融资产在初始确认时</w:t>
      </w:r>
    </w:p>
    <w:p>
      <w:pPr>
        <w:pStyle w:val="BodyText"/>
        <w:spacing w:line="357" w:lineRule="auto"/>
        <w:ind w:right="191"/>
        <w:jc w:val="both"/>
      </w:pPr>
      <w:r>
        <w:rPr/>
        <w:t>划分为以公允价值计量且其变动计入当期损益的金融资产、持有至到期投资、贷款和应收款 项以及可供出售金融资产。</w:t>
      </w:r>
    </w:p>
    <w:p>
      <w:pPr>
        <w:pStyle w:val="BodyText"/>
        <w:spacing w:line="348" w:lineRule="auto" w:before="36"/>
        <w:ind w:left="633" w:right="213"/>
        <w:jc w:val="left"/>
      </w:pPr>
      <w:r>
        <w:rPr>
          <w:rFonts w:ascii="Times New Roman" w:hAnsi="Times New Roman" w:cs="Times New Roman" w:eastAsia="Times New Roman" w:hint="default"/>
        </w:rPr>
        <w:t>(1)</w:t>
      </w:r>
      <w:r>
        <w:rPr/>
        <w:t>以公允价值计量且其变动计入当期损益的金融资产</w:t>
      </w:r>
      <w:r>
        <w:rPr>
          <w:w w:val="99"/>
        </w:rPr>
        <w:t> </w:t>
      </w:r>
      <w:r>
        <w:rPr/>
        <w:t>包括交易性金融资产和指定为以公允价值计量且其变动计入当期损益的金融资产。</w:t>
      </w:r>
      <w:r>
        <w:rPr>
          <w:w w:val="99"/>
        </w:rPr>
        <w:t> </w:t>
      </w:r>
      <w:r>
        <w:rPr/>
        <w:t>交易性金融资产是指满足下列条件之一的金融资产：</w:t>
      </w:r>
      <w:r>
        <w:rPr>
          <w:rFonts w:ascii="Times New Roman" w:hAnsi="Times New Roman" w:cs="Times New Roman" w:eastAsia="Times New Roman" w:hint="default"/>
        </w:rPr>
        <w:t>1)</w:t>
      </w:r>
      <w:r>
        <w:rPr/>
        <w:t>取得该金融资产的目的，主要是</w:t>
      </w:r>
    </w:p>
    <w:p>
      <w:pPr>
        <w:pStyle w:val="BodyText"/>
        <w:spacing w:line="345" w:lineRule="auto" w:before="16"/>
        <w:ind w:right="190"/>
        <w:jc w:val="both"/>
      </w:pPr>
      <w:r>
        <w:rPr/>
        <w:t>为了近期内出售；</w:t>
      </w:r>
      <w:r>
        <w:rPr>
          <w:rFonts w:ascii="Times New Roman" w:hAnsi="Times New Roman" w:cs="Times New Roman" w:eastAsia="Times New Roman" w:hint="default"/>
        </w:rPr>
        <w:t>2)</w:t>
      </w:r>
      <w:r>
        <w:rPr/>
        <w:t>属于进行集中管理的可辨认金融工具组合的一部分，且有客观证据表明 本公司近期采用短期获利方式对该组合进行管理；</w:t>
      </w:r>
      <w:r>
        <w:rPr>
          <w:rFonts w:ascii="Times New Roman" w:hAnsi="Times New Roman" w:cs="Times New Roman" w:eastAsia="Times New Roman" w:hint="default"/>
        </w:rPr>
        <w:t>3)</w:t>
      </w:r>
      <w:r>
        <w:rPr/>
        <w:t>属于衍生工具，但是，被指定且为有效 套期工具的衍生工具、属于财务担保合同的衍生工具、与在活跃市场中没有报价且其公允价 值不能可靠计量的权益工具投资挂钩并须通过交付该权益工具结算的衍生工具除外。</w:t>
      </w:r>
    </w:p>
    <w:p>
      <w:pPr>
        <w:pStyle w:val="BodyText"/>
        <w:spacing w:line="348" w:lineRule="auto" w:before="48"/>
        <w:ind w:right="191" w:firstLine="480"/>
        <w:jc w:val="both"/>
      </w:pPr>
      <w:r>
        <w:rPr/>
        <w:t>符合下述条件之一的金融资产，在初始确认时可指定为以公允价值计量且其变动计入当 期损益的金融资产：</w:t>
      </w:r>
      <w:r>
        <w:rPr>
          <w:rFonts w:ascii="Times New Roman" w:hAnsi="Times New Roman" w:cs="Times New Roman" w:eastAsia="Times New Roman" w:hint="default"/>
        </w:rPr>
        <w:t>1)</w:t>
      </w:r>
      <w:r>
        <w:rPr/>
        <w:t>该指定可以消除或明显减少由于该金融资产的计量基础不同所导致的 相关利得或损失在确认或计量方面不一致的情况；</w:t>
      </w:r>
      <w:r>
        <w:rPr>
          <w:rFonts w:ascii="Times New Roman" w:hAnsi="Times New Roman" w:cs="Times New Roman" w:eastAsia="Times New Roman" w:hint="default"/>
        </w:rPr>
        <w:t>2)</w:t>
      </w:r>
      <w:r>
        <w:rPr/>
        <w:t>本公司风险管理或投资策略的正式书面 文件已载明，对该金融资产所在的金融资产组合或金融资产和金融负债组合以公允价值为基 础进行管理、评价并向关键管理人员报告。</w:t>
      </w:r>
    </w:p>
    <w:p>
      <w:pPr>
        <w:pStyle w:val="BodyText"/>
        <w:spacing w:line="345" w:lineRule="auto" w:before="46"/>
        <w:ind w:right="138" w:firstLine="480"/>
        <w:jc w:val="left"/>
      </w:pPr>
      <w:r>
        <w:rPr/>
        <w:t>以公允价值计量且其变动计入当期损益的金融资产取得时以公允价值</w:t>
      </w:r>
      <w:r>
        <w:rPr>
          <w:rFonts w:ascii="Times New Roman" w:hAnsi="Times New Roman" w:cs="Times New Roman" w:eastAsia="Times New Roman" w:hint="default"/>
        </w:rPr>
        <w:t>(</w:t>
      </w:r>
      <w:r>
        <w:rPr/>
        <w:t>扣除已宣告但尚 </w:t>
      </w:r>
      <w:r>
        <w:rPr>
          <w:spacing w:val="-2"/>
        </w:rPr>
        <w:t>未发放的现金股利或已付息期但尚未领取的债券利息</w:t>
      </w:r>
      <w:r>
        <w:rPr>
          <w:rFonts w:ascii="Times New Roman" w:hAnsi="Times New Roman" w:cs="Times New Roman" w:eastAsia="Times New Roman" w:hint="default"/>
          <w:spacing w:val="-2"/>
        </w:rPr>
        <w:t>)</w:t>
      </w:r>
      <w:r>
        <w:rPr>
          <w:spacing w:val="-2"/>
        </w:rPr>
        <w:t>作为初始确认金额，相关的交易费用计</w:t>
      </w:r>
      <w:r>
        <w:rPr>
          <w:spacing w:val="-80"/>
        </w:rPr>
        <w:t> </w:t>
      </w:r>
      <w:r>
        <w:rPr>
          <w:spacing w:val="-80"/>
        </w:rPr>
      </w:r>
      <w:r>
        <w:rPr/>
        <w:t>入当期损益。采用公允价值进行后续计量，公允价值变动形成的利得或损失以及与该等金融 资产相关的股利和利息收入计入当期损益。</w:t>
      </w:r>
    </w:p>
    <w:p>
      <w:pPr>
        <w:pStyle w:val="BodyText"/>
        <w:spacing w:line="338" w:lineRule="auto" w:before="48"/>
        <w:ind w:left="633" w:right="173"/>
        <w:jc w:val="left"/>
      </w:pPr>
      <w:r>
        <w:rPr>
          <w:rFonts w:ascii="Times New Roman" w:hAnsi="Times New Roman" w:cs="Times New Roman" w:eastAsia="Times New Roman" w:hint="default"/>
        </w:rPr>
        <w:t>(2)</w:t>
      </w:r>
      <w:r>
        <w:rPr/>
        <w:t>持有至到期投资</w:t>
      </w:r>
      <w:r>
        <w:rPr>
          <w:w w:val="99"/>
        </w:rPr>
        <w:t> </w:t>
      </w:r>
      <w:r>
        <w:rPr/>
        <w:t>持有至到期投资是指到期日固定、回收金额固定或可确定，且本公司有明确意图和能力</w:t>
      </w:r>
    </w:p>
    <w:p>
      <w:pPr>
        <w:pStyle w:val="BodyText"/>
        <w:spacing w:line="357" w:lineRule="auto"/>
        <w:ind w:left="633" w:right="253" w:hanging="480"/>
        <w:jc w:val="left"/>
      </w:pPr>
      <w:r>
        <w:rPr/>
        <w:t>持有至到期的非衍生金融资产。 持有至到期投资取得时按公允价值</w:t>
      </w:r>
      <w:r>
        <w:rPr>
          <w:rFonts w:ascii="Times New Roman" w:hAnsi="Times New Roman" w:cs="Times New Roman" w:eastAsia="Times New Roman" w:hint="default"/>
        </w:rPr>
        <w:t>(</w:t>
      </w:r>
      <w:r>
        <w:rPr/>
        <w:t>扣除已到付息期但尚未领取的债券利息</w:t>
      </w:r>
      <w:r>
        <w:rPr>
          <w:rFonts w:ascii="Times New Roman" w:hAnsi="Times New Roman" w:cs="Times New Roman" w:eastAsia="Times New Roman" w:hint="default"/>
        </w:rPr>
        <w:t>)</w:t>
      </w:r>
      <w:r>
        <w:rPr/>
        <w:t>和相关交易</w:t>
      </w:r>
    </w:p>
    <w:p>
      <w:pPr>
        <w:pStyle w:val="BodyText"/>
        <w:spacing w:line="357" w:lineRule="auto" w:before="5"/>
        <w:ind w:right="191"/>
        <w:jc w:val="both"/>
      </w:pPr>
      <w:r>
        <w:rPr/>
        <w:t>费用之和作为初始确认金额。采用实际利率法，按摊余成本进行后续计量，在终止确认、发 生减值或摊销时产生的利得或损失，计入当期损益。</w:t>
      </w:r>
    </w:p>
    <w:p>
      <w:pPr>
        <w:pStyle w:val="BodyText"/>
        <w:spacing w:line="348" w:lineRule="auto" w:before="36"/>
        <w:ind w:right="173" w:firstLine="480"/>
        <w:jc w:val="left"/>
      </w:pPr>
      <w:r>
        <w:rPr/>
        <w:t>实际利率法是指按照金融资产或金融负债</w:t>
      </w:r>
      <w:r>
        <w:rPr>
          <w:rFonts w:ascii="Times New Roman" w:hAnsi="Times New Roman" w:cs="Times New Roman" w:eastAsia="Times New Roman" w:hint="default"/>
        </w:rPr>
        <w:t>(</w:t>
      </w:r>
      <w:r>
        <w:rPr/>
        <w:t>含一组金融资产或金融负债</w:t>
      </w:r>
      <w:r>
        <w:rPr>
          <w:rFonts w:ascii="Times New Roman" w:hAnsi="Times New Roman" w:cs="Times New Roman" w:eastAsia="Times New Roman" w:hint="default"/>
        </w:rPr>
        <w:t>)</w:t>
      </w:r>
      <w:r>
        <w:rPr/>
        <w:t>的实际利率计算 其摊余成本及各期利息收入或支出的方法。实际利率是指将金融资产或金融负债在预期存续 期间或适用的更短期间内的未来现金流量，折现为该金融资产或金融负债当前账面价值所使</w:t>
      </w:r>
    </w:p>
    <w:p>
      <w:pPr>
        <w:spacing w:after="0" w:line="348" w:lineRule="auto"/>
        <w:jc w:val="left"/>
        <w:sectPr>
          <w:footerReference w:type="default" r:id="rId18"/>
          <w:pgSz w:w="11910" w:h="16840"/>
          <w:pgMar w:footer="980" w:header="877" w:top="1100" w:bottom="1160" w:left="980" w:right="980"/>
          <w:pgNumType w:start="120"/>
        </w:sectPr>
      </w:pPr>
    </w:p>
    <w:p>
      <w:pPr>
        <w:spacing w:line="240" w:lineRule="auto" w:before="7"/>
        <w:rPr>
          <w:rFonts w:ascii="宋体" w:hAnsi="宋体" w:cs="宋体" w:eastAsia="宋体" w:hint="default"/>
          <w:sz w:val="25"/>
          <w:szCs w:val="25"/>
        </w:rPr>
      </w:pPr>
    </w:p>
    <w:p>
      <w:pPr>
        <w:pStyle w:val="BodyText"/>
        <w:spacing w:line="348" w:lineRule="auto" w:before="26"/>
        <w:ind w:right="271"/>
        <w:jc w:val="both"/>
      </w:pPr>
      <w:r>
        <w:rPr/>
        <w:t>用的利率。在计算实际利率时，本公司将在考虑金融资产或金融负债所有合同条款的基础上 预计未来现金流量</w:t>
      </w:r>
      <w:r>
        <w:rPr>
          <w:rFonts w:ascii="Times New Roman" w:hAnsi="Times New Roman" w:cs="Times New Roman" w:eastAsia="Times New Roman" w:hint="default"/>
        </w:rPr>
        <w:t>(</w:t>
      </w:r>
      <w:r>
        <w:rPr/>
        <w:t>不考虑未来的信用损失</w:t>
      </w:r>
      <w:r>
        <w:rPr>
          <w:rFonts w:ascii="Times New Roman" w:hAnsi="Times New Roman" w:cs="Times New Roman" w:eastAsia="Times New Roman" w:hint="default"/>
        </w:rPr>
        <w:t>)</w:t>
      </w:r>
      <w:r>
        <w:rPr/>
        <w:t>，同时还将考虑金融资产或金融负债合同各方之 间支付或收取的、属于实际利率组成部分的各项收费、交易费用及折价或溢价等。</w:t>
      </w:r>
    </w:p>
    <w:p>
      <w:pPr>
        <w:pStyle w:val="BodyText"/>
        <w:spacing w:line="338" w:lineRule="auto" w:before="46"/>
        <w:ind w:left="633" w:right="98"/>
        <w:jc w:val="left"/>
      </w:pPr>
      <w:r>
        <w:rPr>
          <w:rFonts w:ascii="Times New Roman" w:hAnsi="Times New Roman" w:cs="Times New Roman" w:eastAsia="Times New Roman" w:hint="default"/>
        </w:rPr>
        <w:t>(3)</w:t>
      </w:r>
      <w:r>
        <w:rPr/>
        <w:t>贷款和应收款项</w:t>
      </w:r>
      <w:r>
        <w:rPr>
          <w:w w:val="99"/>
        </w:rPr>
        <w:t> </w:t>
      </w:r>
      <w:r>
        <w:rPr>
          <w:spacing w:val="-3"/>
        </w:rPr>
        <w:t>贷款和应收款项是指在活跃市场中没有报价、回收金额固定或可确定的非衍生金融资产。</w:t>
      </w:r>
    </w:p>
    <w:p>
      <w:pPr>
        <w:pStyle w:val="BodyText"/>
        <w:spacing w:line="357" w:lineRule="auto"/>
        <w:ind w:right="271"/>
        <w:jc w:val="both"/>
      </w:pPr>
      <w:r>
        <w:rPr/>
        <w:t>本公司划分为贷款和应收款的金融资产包括应收票据、应收账款、应收利息、应收股利及其 他应收款等。以向购货方应收的合同或协议价款作为初始确认金额；具有融资性质的，按其 现值进行初始确认。贷款和应收款项采用实际利率法，按摊余成本进行后续计量，在终止确 认、发生减值或摊销时产生的利得或损失，计入当期损益。</w:t>
      </w:r>
    </w:p>
    <w:p>
      <w:pPr>
        <w:pStyle w:val="BodyText"/>
        <w:spacing w:line="338" w:lineRule="auto" w:before="36"/>
        <w:ind w:left="633" w:right="253"/>
        <w:jc w:val="left"/>
      </w:pPr>
      <w:r>
        <w:rPr>
          <w:rFonts w:ascii="Times New Roman" w:hAnsi="Times New Roman" w:cs="Times New Roman" w:eastAsia="Times New Roman" w:hint="default"/>
        </w:rPr>
        <w:t>(4)</w:t>
      </w:r>
      <w:r>
        <w:rPr/>
        <w:t>可供出售金融资产</w:t>
      </w:r>
      <w:r>
        <w:rPr>
          <w:w w:val="99"/>
        </w:rPr>
        <w:t> </w:t>
      </w:r>
      <w:r>
        <w:rPr/>
        <w:t>可供出售金融资产包括初始确认时即被指定为可供出售的非衍生金融资产，以及除了以</w:t>
      </w:r>
    </w:p>
    <w:p>
      <w:pPr>
        <w:pStyle w:val="BodyText"/>
        <w:spacing w:line="357" w:lineRule="auto"/>
        <w:ind w:right="271"/>
        <w:jc w:val="both"/>
      </w:pPr>
      <w:r>
        <w:rPr/>
        <w:t>公允价值计量且其变动计入当期损益的金融资产、贷款和应收款项、持有至到期投资以外的 金融资产。</w:t>
      </w:r>
    </w:p>
    <w:p>
      <w:pPr>
        <w:pStyle w:val="BodyText"/>
        <w:spacing w:line="357" w:lineRule="auto" w:before="36"/>
        <w:ind w:right="271" w:firstLine="480"/>
        <w:jc w:val="both"/>
      </w:pPr>
      <w:r>
        <w:rPr/>
        <w:t>可供出售债务工具投资的期末成本按照摊余成本法确定，即初始确认金额扣除已偿还的 本金，加上或减去采用实际利率法将该初始确认金额与到期日金额之间的差额进行摊销形成 的累计摊销额，并扣除已发生的减值损失后的金额。</w:t>
      </w:r>
    </w:p>
    <w:p>
      <w:pPr>
        <w:pStyle w:val="BodyText"/>
        <w:spacing w:line="352" w:lineRule="auto" w:before="36"/>
        <w:ind w:right="95" w:firstLine="480"/>
        <w:jc w:val="left"/>
      </w:pPr>
      <w:r>
        <w:rPr/>
        <w:t>可供出售权益工具投资的期末成本为其初始取得成本。取得时按照公允价值</w:t>
      </w:r>
      <w:r>
        <w:rPr>
          <w:rFonts w:ascii="Times New Roman" w:hAnsi="Times New Roman" w:cs="Times New Roman" w:eastAsia="Times New Roman" w:hint="default"/>
        </w:rPr>
        <w:t>(</w:t>
      </w:r>
      <w:r>
        <w:rPr/>
        <w:t>扣除已宣告 但尚未发放的现金股利或已到付息期但尚未领取的债券利息</w:t>
      </w:r>
      <w:r>
        <w:rPr>
          <w:rFonts w:ascii="Times New Roman" w:hAnsi="Times New Roman" w:cs="Times New Roman" w:eastAsia="Times New Roman" w:hint="default"/>
        </w:rPr>
        <w:t>)</w:t>
      </w:r>
      <w:r>
        <w:rPr/>
        <w:t>和相关费用之和作为初始确认 金额。持有期间将取得的利息或现金股利确认为投资收益。可供出售金融资产采用公允价值 进行后续计量，其折溢价采用实际利率法摊销并确认为利息收入。期末除减值损失和外币货 币性金融资产与摊余成本相关的汇兑差额确认为当期损益外，可供出售金融资产的公允价值 变动确认为其他综合收益；但是，对于在活跃市场中没有报价且其公允价值不能可靠计量的 权益工具投资，以及与该权益工具挂钩并须通过交付该权益工具结算的衍生金融资产，按成 </w:t>
      </w:r>
      <w:r>
        <w:rPr>
          <w:spacing w:val="-5"/>
        </w:rPr>
        <w:t>本计量。处置时，将取得的价款与该项金融资产账面价值之间的差额，计入投资损益；同时，</w:t>
      </w:r>
      <w:r>
        <w:rPr/>
        <w:t> </w:t>
      </w:r>
      <w:r>
        <w:rPr>
          <w:spacing w:val="-2"/>
        </w:rPr>
        <w:t>将原直接计入其他综合收益的公允价值变动累计额对应处置部分的金额转出，计入当期损益。</w:t>
      </w:r>
    </w:p>
    <w:p>
      <w:pPr>
        <w:pStyle w:val="BodyText"/>
        <w:spacing w:line="338" w:lineRule="auto" w:before="41"/>
        <w:ind w:left="633" w:right="253"/>
        <w:jc w:val="left"/>
      </w:pPr>
      <w:r>
        <w:rPr>
          <w:rFonts w:ascii="Times New Roman" w:hAnsi="Times New Roman" w:cs="Times New Roman" w:eastAsia="Times New Roman" w:hint="default"/>
        </w:rPr>
        <w:t>2</w:t>
      </w:r>
      <w:r>
        <w:rPr/>
        <w:t>．金融资产转移的确认依据及计量方法 金融资产转移，是指将金融资产让与或交付该金融资产发行方以外的另一方。公司将金</w:t>
      </w:r>
    </w:p>
    <w:p>
      <w:pPr>
        <w:pStyle w:val="BodyText"/>
        <w:spacing w:line="357" w:lineRule="auto"/>
        <w:ind w:left="633" w:right="213" w:hanging="480"/>
        <w:jc w:val="left"/>
      </w:pPr>
      <w:r>
        <w:rPr/>
        <w:t>融资产转移区分为金融资产整体转移和部分转移。 满足下列条件之一的金融资产，予以终止确认：</w:t>
      </w:r>
      <w:r>
        <w:rPr>
          <w:rFonts w:ascii="Times New Roman" w:hAnsi="Times New Roman" w:cs="Times New Roman" w:eastAsia="Times New Roman" w:hint="default"/>
        </w:rPr>
        <w:t>(1)</w:t>
      </w:r>
      <w:r>
        <w:rPr/>
        <w:t>收取该金融资产现金流量的合同权利</w:t>
      </w:r>
    </w:p>
    <w:p>
      <w:pPr>
        <w:spacing w:after="0" w:line="357" w:lineRule="auto"/>
        <w:jc w:val="left"/>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38" w:lineRule="auto" w:before="26"/>
        <w:ind w:right="98"/>
        <w:jc w:val="left"/>
      </w:pPr>
      <w:r>
        <w:rPr>
          <w:spacing w:val="2"/>
        </w:rPr>
        <w:t>终止；</w:t>
      </w:r>
      <w:r>
        <w:rPr>
          <w:rFonts w:ascii="Times New Roman" w:hAnsi="Times New Roman" w:cs="Times New Roman" w:eastAsia="Times New Roman" w:hint="default"/>
          <w:spacing w:val="2"/>
        </w:rPr>
        <w:t>(2)</w:t>
      </w:r>
      <w:r>
        <w:rPr>
          <w:spacing w:val="2"/>
        </w:rPr>
        <w:t>该金融资产已转移，且将金融资产所有权上几乎所有的风险和报酬转移给转入方；</w:t>
      </w:r>
      <w:r>
        <w:rPr>
          <w:spacing w:val="-110"/>
        </w:rPr>
        <w:t> </w:t>
      </w:r>
      <w:r>
        <w:rPr>
          <w:spacing w:val="-110"/>
        </w:rPr>
      </w:r>
      <w:r>
        <w:rPr>
          <w:rFonts w:ascii="Times New Roman" w:hAnsi="Times New Roman" w:cs="Times New Roman" w:eastAsia="Times New Roman" w:hint="default"/>
        </w:rPr>
        <w:t>(3)</w:t>
      </w:r>
      <w:r>
        <w:rPr/>
        <w:t>该金融资产已转移，虽然企业既没有转移也没有保留金融资产所有权上几乎所有的风险和 报酬，但是放弃了对该金融资产的控制。</w:t>
      </w:r>
    </w:p>
    <w:p>
      <w:pPr>
        <w:pStyle w:val="BodyText"/>
        <w:spacing w:line="357" w:lineRule="auto"/>
        <w:ind w:right="271" w:firstLine="480"/>
        <w:jc w:val="both"/>
      </w:pPr>
      <w:r>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BodyText"/>
        <w:spacing w:line="350" w:lineRule="auto" w:before="36"/>
        <w:ind w:right="98" w:firstLine="480"/>
        <w:jc w:val="left"/>
      </w:pPr>
      <w:r>
        <w:rPr>
          <w:spacing w:val="-3"/>
        </w:rPr>
        <w:t>在判断金融资产转移是否满足上述金融资产终止确认条件时，采用实质重于形式的原则。</w:t>
      </w:r>
      <w:r>
        <w:rPr/>
        <w:t> 金融资产转移不满足终止确认条件的，继续确认该项金融资产，所收到的对价确认为一项金 融负债。金融资产整体转移满足终止确认条件的，将下列两项金额的差额计入当期损益：</w:t>
      </w:r>
      <w:r>
        <w:rPr>
          <w:rFonts w:ascii="Times New Roman" w:hAnsi="Times New Roman" w:cs="Times New Roman" w:eastAsia="Times New Roman" w:hint="default"/>
        </w:rPr>
        <w:t>(1) </w:t>
      </w:r>
      <w:r>
        <w:rPr/>
        <w:t>因转移而收到的对价，与原直接计入所有者权益的公允价值变动累计额之和；</w:t>
      </w:r>
      <w:r>
        <w:rPr>
          <w:rFonts w:ascii="Times New Roman" w:hAnsi="Times New Roman" w:cs="Times New Roman" w:eastAsia="Times New Roman" w:hint="default"/>
        </w:rPr>
        <w:t>(2)</w:t>
      </w:r>
      <w:r>
        <w:rPr/>
        <w:t>所转移金融 资产的账面价值。金融资产部分转移满足终止确认条件的，将所转移金融资产整体的账面价 值，在终止确认部分和未终止确认部分之间，按照各自的相对公允价值进行分摊，并将下列 两项金额的差额计入当期损益：</w:t>
      </w:r>
      <w:r>
        <w:rPr>
          <w:rFonts w:ascii="Times New Roman" w:hAnsi="Times New Roman" w:cs="Times New Roman" w:eastAsia="Times New Roman" w:hint="default"/>
        </w:rPr>
        <w:t>(1)</w:t>
      </w:r>
      <w:r>
        <w:rPr/>
        <w:t>终止确认部分收到的对价，与原直接计入所有者权益的公 允价值变动累计额中对应终止确认部分的金额之和；</w:t>
      </w:r>
      <w:r>
        <w:rPr>
          <w:rFonts w:ascii="Times New Roman" w:hAnsi="Times New Roman" w:cs="Times New Roman" w:eastAsia="Times New Roman" w:hint="default"/>
        </w:rPr>
        <w:t>(2)</w:t>
      </w:r>
      <w:r>
        <w:rPr/>
        <w:t>终止确认部分的账面价值。</w:t>
      </w:r>
    </w:p>
    <w:p>
      <w:pPr>
        <w:pStyle w:val="BodyText"/>
        <w:spacing w:line="338" w:lineRule="auto" w:before="13"/>
        <w:ind w:left="633" w:right="253"/>
        <w:jc w:val="left"/>
      </w:pPr>
      <w:r>
        <w:rPr>
          <w:rFonts w:ascii="Times New Roman" w:hAnsi="Times New Roman" w:cs="Times New Roman" w:eastAsia="Times New Roman" w:hint="default"/>
        </w:rPr>
        <w:t>3</w:t>
      </w:r>
      <w:r>
        <w:rPr/>
        <w:t>．金融负债的分类、确认和计量 金融负债在初始确认时划分为以公允价值计量且其变动计入当期损益的金融负债和其他</w:t>
      </w:r>
    </w:p>
    <w:p>
      <w:pPr>
        <w:pStyle w:val="BodyText"/>
        <w:spacing w:line="240" w:lineRule="auto"/>
        <w:ind w:right="98"/>
        <w:jc w:val="left"/>
      </w:pPr>
      <w:r>
        <w:rPr/>
        <w:t>金融负债。</w:t>
      </w:r>
    </w:p>
    <w:p>
      <w:pPr>
        <w:pStyle w:val="BodyText"/>
        <w:spacing w:line="338" w:lineRule="auto" w:before="154"/>
        <w:ind w:left="633" w:right="253"/>
        <w:jc w:val="left"/>
      </w:pPr>
      <w:r>
        <w:rPr>
          <w:rFonts w:ascii="Times New Roman" w:hAnsi="Times New Roman" w:cs="Times New Roman" w:eastAsia="Times New Roman" w:hint="default"/>
        </w:rPr>
        <w:t>(1)</w:t>
      </w:r>
      <w:r>
        <w:rPr/>
        <w:t>以公允价值计量且其变动计入当期损益的金融负债</w:t>
      </w:r>
      <w:r>
        <w:rPr>
          <w:w w:val="99"/>
        </w:rPr>
        <w:t> </w:t>
      </w:r>
      <w:r>
        <w:rPr/>
        <w:t>以公允价值计量且其变动计入当期损益的金融负债，包括交易性金融负债和初始确认时</w:t>
      </w:r>
    </w:p>
    <w:p>
      <w:pPr>
        <w:pStyle w:val="BodyText"/>
        <w:spacing w:line="357" w:lineRule="auto"/>
        <w:ind w:right="271"/>
        <w:jc w:val="both"/>
      </w:pPr>
      <w:r>
        <w:rPr/>
        <w:t>指定为以公允价值计量且其变动计入当期损益的金融负债，其分类与前述在初始确认时指定 为以公允价值计量且其变动计入当期损益的金融资产的条件一致。对于此类金融负债，按照 公允价值进行后续计量，公允价值变动形成的利得或损失以及与该等金融负债相关的股利和 利息支出计入当期损益。</w:t>
      </w:r>
    </w:p>
    <w:p>
      <w:pPr>
        <w:pStyle w:val="BodyText"/>
        <w:spacing w:line="338" w:lineRule="auto" w:before="36"/>
        <w:ind w:left="633" w:right="253"/>
        <w:jc w:val="left"/>
      </w:pPr>
      <w:r>
        <w:rPr>
          <w:rFonts w:ascii="Times New Roman" w:hAnsi="Times New Roman" w:cs="Times New Roman" w:eastAsia="Times New Roman" w:hint="default"/>
        </w:rPr>
        <w:t>(2)</w:t>
      </w:r>
      <w:r>
        <w:rPr/>
        <w:t>其他金融负债</w:t>
      </w:r>
      <w:r>
        <w:rPr>
          <w:w w:val="99"/>
        </w:rPr>
        <w:t> </w:t>
      </w:r>
      <w:r>
        <w:rPr/>
        <w:t>与在活跃市场中没有报价、公允价值不能可靠计量的权益工具挂钩并须通过交付该权益</w:t>
      </w:r>
    </w:p>
    <w:p>
      <w:pPr>
        <w:pStyle w:val="BodyText"/>
        <w:spacing w:line="357" w:lineRule="auto"/>
        <w:ind w:right="253"/>
        <w:jc w:val="left"/>
      </w:pPr>
      <w:r>
        <w:rPr/>
        <w:t>工具结算的衍生金融负债，按照成本进行后续计量。其他金融负债采用实际利率法，按摊余 成本进行后续计量，终止确认或摊销产生的利得或损失计入当期损益。</w:t>
      </w:r>
    </w:p>
    <w:p>
      <w:pPr>
        <w:pStyle w:val="BodyText"/>
        <w:spacing w:line="240" w:lineRule="auto" w:before="36"/>
        <w:ind w:left="633" w:right="98"/>
        <w:jc w:val="left"/>
      </w:pPr>
      <w:r>
        <w:rPr>
          <w:rFonts w:ascii="Times New Roman" w:hAnsi="Times New Roman" w:cs="Times New Roman" w:eastAsia="Times New Roman" w:hint="default"/>
        </w:rPr>
        <w:t>(3)</w:t>
      </w:r>
      <w:r>
        <w:rPr/>
        <w:t>财务担保合同</w:t>
      </w:r>
    </w:p>
    <w:p>
      <w:pPr>
        <w:spacing w:after="0" w:line="240" w:lineRule="auto"/>
        <w:jc w:val="left"/>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45" w:lineRule="auto" w:before="26"/>
        <w:ind w:right="189" w:firstLine="480"/>
        <w:jc w:val="both"/>
      </w:pPr>
      <w:r>
        <w:rPr/>
        <w:t>不属于指定为以公允价值计量且其变动计入当期损益的金融负债的财务担保合同，以公 允价值进行初始确认，在初始确认后按照《企业会计准则第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 和初始确认金额扣除按照《企业会计准则第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 额之中的较高者进行后续计量。</w:t>
      </w:r>
    </w:p>
    <w:p>
      <w:pPr>
        <w:pStyle w:val="BodyText"/>
        <w:spacing w:line="338" w:lineRule="auto" w:before="48"/>
        <w:ind w:left="633" w:right="173"/>
        <w:jc w:val="left"/>
      </w:pPr>
      <w:r>
        <w:rPr>
          <w:rFonts w:ascii="Times New Roman" w:hAnsi="Times New Roman" w:cs="Times New Roman" w:eastAsia="Times New Roman" w:hint="default"/>
        </w:rPr>
        <w:t>4</w:t>
      </w:r>
      <w:r>
        <w:rPr/>
        <w:t>．金融负债的终止确认 金融负债的现时义务全部或部分已经解除的，才能终止确认该金融负债或其一部分。本</w:t>
      </w:r>
    </w:p>
    <w:p>
      <w:pPr>
        <w:pStyle w:val="BodyText"/>
        <w:spacing w:line="350" w:lineRule="auto"/>
        <w:ind w:right="173"/>
        <w:jc w:val="left"/>
      </w:pPr>
      <w:r>
        <w:rPr/>
        <w:t>公司</w:t>
      </w:r>
      <w:r>
        <w:rPr>
          <w:rFonts w:ascii="Times New Roman" w:hAnsi="Times New Roman" w:cs="Times New Roman" w:eastAsia="Times New Roman" w:hint="default"/>
        </w:rPr>
        <w:t>(</w:t>
      </w:r>
      <w:r>
        <w:rPr/>
        <w:t>债务人</w:t>
      </w:r>
      <w:r>
        <w:rPr>
          <w:rFonts w:ascii="Times New Roman" w:hAnsi="Times New Roman" w:cs="Times New Roman" w:eastAsia="Times New Roman" w:hint="default"/>
        </w:rPr>
        <w:t>)</w:t>
      </w:r>
      <w:r>
        <w:rPr/>
        <w:t>与债权人之间签订协议，以承担新金融负债方式替换现存金融负债，且新金融 负债与现存金融负债的合同条款实质上不同的，终止确认现存金融负债，并同时确认新金融 负债。对现存金融负债全部或者部分合同条款作出实质性修改的，则终止确认现存金融负债 或其一部分，同时将修改条款后的金融负债确认为一项新金融负债。</w:t>
      </w:r>
    </w:p>
    <w:p>
      <w:pPr>
        <w:pStyle w:val="BodyText"/>
        <w:spacing w:line="343" w:lineRule="auto" w:before="43"/>
        <w:ind w:right="151" w:firstLine="480"/>
        <w:jc w:val="both"/>
      </w:pPr>
      <w:r>
        <w:rPr>
          <w:spacing w:val="-2"/>
        </w:rPr>
        <w:t>金融负债全部或者部分终止确认时，终止确认的金融负债账面价值与支付对价</w:t>
      </w:r>
      <w:r>
        <w:rPr>
          <w:rFonts w:ascii="Times New Roman" w:hAnsi="Times New Roman" w:cs="Times New Roman" w:eastAsia="Times New Roman" w:hint="default"/>
          <w:spacing w:val="-2"/>
        </w:rPr>
        <w:t>(</w:t>
      </w:r>
      <w:r>
        <w:rPr>
          <w:spacing w:val="-2"/>
        </w:rPr>
        <w:t>包括转出</w:t>
      </w:r>
      <w:r>
        <w:rPr/>
        <w:t> </w:t>
      </w:r>
      <w:r>
        <w:rPr>
          <w:spacing w:val="-2"/>
        </w:rPr>
        <w:t>的非现金资产或承担的新金融负债</w:t>
      </w:r>
      <w:r>
        <w:rPr>
          <w:rFonts w:ascii="Times New Roman" w:hAnsi="Times New Roman" w:cs="Times New Roman" w:eastAsia="Times New Roman" w:hint="default"/>
          <w:spacing w:val="-2"/>
        </w:rPr>
        <w:t>)</w:t>
      </w:r>
      <w:r>
        <w:rPr>
          <w:spacing w:val="-2"/>
        </w:rPr>
        <w:t>之间的差额，计入当期损益。本公司若回购部分金融负债</w:t>
      </w:r>
      <w:r>
        <w:rPr>
          <w:spacing w:val="-81"/>
        </w:rPr>
        <w:t> </w:t>
      </w:r>
      <w:r>
        <w:rPr>
          <w:spacing w:val="-81"/>
        </w:rPr>
      </w:r>
      <w:r>
        <w:rPr/>
        <w:t>的，在回购日按照继续确认部分与终止确认部分的相对公允价值，将该金融负债整体的账面 </w:t>
      </w:r>
      <w:r>
        <w:rPr>
          <w:spacing w:val="-2"/>
        </w:rPr>
        <w:t>价值进行分配。分配给终止确认部分的账面价值与支付的对价</w:t>
      </w:r>
      <w:r>
        <w:rPr>
          <w:rFonts w:ascii="Times New Roman" w:hAnsi="Times New Roman" w:cs="Times New Roman" w:eastAsia="Times New Roman" w:hint="default"/>
          <w:spacing w:val="-2"/>
        </w:rPr>
        <w:t>(</w:t>
      </w:r>
      <w:r>
        <w:rPr>
          <w:spacing w:val="-2"/>
        </w:rPr>
        <w:t>包括转出的非现金资产或者承</w:t>
      </w:r>
      <w:r>
        <w:rPr>
          <w:spacing w:val="-80"/>
        </w:rPr>
        <w:t> </w:t>
      </w:r>
      <w:r>
        <w:rPr/>
        <w:t>担的新金融负债</w:t>
      </w:r>
      <w:r>
        <w:rPr>
          <w:rFonts w:ascii="Times New Roman" w:hAnsi="Times New Roman" w:cs="Times New Roman" w:eastAsia="Times New Roman" w:hint="default"/>
        </w:rPr>
        <w:t>)</w:t>
      </w:r>
      <w:r>
        <w:rPr/>
        <w:t>之间的差额，计入当期损益。</w:t>
      </w:r>
    </w:p>
    <w:p>
      <w:pPr>
        <w:pStyle w:val="BodyText"/>
        <w:spacing w:line="338" w:lineRule="auto" w:before="21"/>
        <w:ind w:left="633" w:right="173"/>
        <w:jc w:val="left"/>
      </w:pPr>
      <w:r>
        <w:rPr>
          <w:rFonts w:ascii="Times New Roman" w:hAnsi="Times New Roman" w:cs="Times New Roman" w:eastAsia="Times New Roman" w:hint="default"/>
        </w:rPr>
        <w:t>5</w:t>
      </w:r>
      <w:r>
        <w:rPr/>
        <w:t>．权益工具 权益工具是指能证明拥有本公司在扣除所有负债后的资产中的剩余权益的合同。本公司</w:t>
      </w:r>
    </w:p>
    <w:p>
      <w:pPr>
        <w:pStyle w:val="BodyText"/>
        <w:spacing w:line="338" w:lineRule="auto"/>
        <w:ind w:right="253"/>
        <w:jc w:val="left"/>
      </w:pPr>
      <w:r>
        <w:rPr/>
        <w:t>发行</w:t>
      </w:r>
      <w:r>
        <w:rPr>
          <w:rFonts w:ascii="Times New Roman" w:hAnsi="Times New Roman" w:cs="Times New Roman" w:eastAsia="Times New Roman" w:hint="default"/>
        </w:rPr>
        <w:t>(</w:t>
      </w:r>
      <w:r>
        <w:rPr/>
        <w:t>含再融资</w:t>
      </w:r>
      <w:r>
        <w:rPr>
          <w:rFonts w:ascii="Times New Roman" w:hAnsi="Times New Roman" w:cs="Times New Roman" w:eastAsia="Times New Roman" w:hint="default"/>
        </w:rPr>
        <w:t>)</w:t>
      </w:r>
      <w:r>
        <w:rPr/>
        <w:t>、回购、出售或注销权益工具作为权益的变动处理。本公司不确认权益工具 的公允价值变动。与权益性交易相关的交易费用从权益中扣减。</w:t>
      </w:r>
    </w:p>
    <w:p>
      <w:pPr>
        <w:pStyle w:val="BodyText"/>
        <w:spacing w:line="338" w:lineRule="auto"/>
        <w:ind w:right="253" w:firstLine="480"/>
        <w:jc w:val="left"/>
      </w:pPr>
      <w:r>
        <w:rPr/>
        <w:t>本公司对权益工具持有方的各种分配</w:t>
      </w:r>
      <w:r>
        <w:rPr>
          <w:rFonts w:ascii="Times New Roman" w:hAnsi="Times New Roman" w:cs="Times New Roman" w:eastAsia="Times New Roman" w:hint="default"/>
        </w:rPr>
        <w:t>(</w:t>
      </w:r>
      <w:r>
        <w:rPr/>
        <w:t>不包括股票股利</w:t>
      </w:r>
      <w:r>
        <w:rPr>
          <w:rFonts w:ascii="Times New Roman" w:hAnsi="Times New Roman" w:cs="Times New Roman" w:eastAsia="Times New Roman" w:hint="default"/>
        </w:rPr>
        <w:t>)</w:t>
      </w:r>
      <w:r>
        <w:rPr/>
        <w:t>，减少股东权益。本公司不确认 权益工具的公允价值变动额。</w:t>
      </w:r>
    </w:p>
    <w:p>
      <w:pPr>
        <w:pStyle w:val="BodyText"/>
        <w:spacing w:line="350" w:lineRule="auto"/>
        <w:ind w:left="633" w:right="1813"/>
        <w:jc w:val="left"/>
      </w:pPr>
      <w:r>
        <w:rPr/>
        <w:t>金融负债与权益工具的区分： 金融负债，是指符合下列条件之一的负债： </w:t>
      </w:r>
      <w:r>
        <w:rPr>
          <w:rFonts w:ascii="Times New Roman" w:hAnsi="Times New Roman" w:cs="Times New Roman" w:eastAsia="Times New Roman" w:hint="default"/>
        </w:rPr>
        <w:t>(1)</w:t>
      </w:r>
      <w:r>
        <w:rPr/>
        <w:t>向其他方交付现金或其他金融资产的合同义务。 </w:t>
      </w:r>
      <w:r>
        <w:rPr>
          <w:rFonts w:ascii="Times New Roman" w:hAnsi="Times New Roman" w:cs="Times New Roman" w:eastAsia="Times New Roman" w:hint="default"/>
        </w:rPr>
        <w:t>(2)</w:t>
      </w:r>
      <w:r>
        <w:rPr/>
        <w:t>在潜在不利条件下，与其他方交换金融资产或金融负债的合同义务。</w:t>
      </w:r>
    </w:p>
    <w:p>
      <w:pPr>
        <w:pStyle w:val="BodyText"/>
        <w:spacing w:line="338" w:lineRule="auto" w:before="13"/>
        <w:ind w:right="152" w:firstLine="480"/>
        <w:jc w:val="both"/>
      </w:pPr>
      <w:r>
        <w:rPr>
          <w:rFonts w:ascii="Times New Roman" w:hAnsi="Times New Roman" w:cs="Times New Roman" w:eastAsia="Times New Roman" w:hint="default"/>
        </w:rPr>
        <w:t>(3)</w:t>
      </w:r>
      <w:r>
        <w:rPr/>
        <w:t>将来须用或可用企业自身权益工具进行结算的非衍生工具合同，且企业根据该合同将</w:t>
      </w:r>
      <w:r>
        <w:rPr>
          <w:w w:val="99"/>
        </w:rPr>
        <w:t> </w:t>
      </w:r>
      <w:r>
        <w:rPr/>
        <w:t>交付可变数量的自身权益工具。</w:t>
      </w:r>
    </w:p>
    <w:p>
      <w:pPr>
        <w:pStyle w:val="BodyText"/>
        <w:spacing w:line="338" w:lineRule="auto"/>
        <w:ind w:right="152" w:firstLine="480"/>
        <w:jc w:val="both"/>
      </w:pPr>
      <w:r>
        <w:rPr>
          <w:rFonts w:ascii="Times New Roman" w:hAnsi="Times New Roman" w:cs="Times New Roman" w:eastAsia="Times New Roman" w:hint="default"/>
        </w:rPr>
        <w:t>(4)</w:t>
      </w:r>
      <w:r>
        <w:rPr/>
        <w:t>将来须用或可用企业自身权益工具进行结算的衍生工具合同，但以固定数量的自身权</w:t>
      </w:r>
      <w:r>
        <w:rPr>
          <w:w w:val="99"/>
        </w:rPr>
        <w:t> </w:t>
      </w:r>
      <w:r>
        <w:rPr/>
        <w:t>益工具交换固定金额的现金或其他金融资产的衍生工具合同除外。</w:t>
      </w:r>
    </w:p>
    <w:p>
      <w:pPr>
        <w:spacing w:after="0" w:line="338" w:lineRule="auto"/>
        <w:jc w:val="both"/>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before="26"/>
        <w:ind w:right="191" w:firstLine="480"/>
        <w:jc w:val="both"/>
      </w:pPr>
      <w:r>
        <w:rPr/>
        <w:t>如果本公司不能无条件地避免以交付现金或其他金融资产来履行一项合同义务，则该合 同义务符合金融负债的定义。如果一项金融工具须用或可用本公司自身权益工具进行结算， 需要考虑用于结算该工具的本公司自身权益工具，是作为现金或其他金融资产的替代品，还 是为了使该工具持有方享有在发行方扣除所有负债后的资产中的剩余权益。如果是前者，该 工具是本公司的金融负债；如果是后者，该工具是本公司的权益工具。</w:t>
      </w:r>
    </w:p>
    <w:p>
      <w:pPr>
        <w:pStyle w:val="BodyText"/>
        <w:spacing w:line="338" w:lineRule="auto" w:before="36"/>
        <w:ind w:left="633" w:right="173"/>
        <w:jc w:val="left"/>
      </w:pPr>
      <w:r>
        <w:rPr>
          <w:rFonts w:ascii="Times New Roman" w:hAnsi="Times New Roman" w:cs="Times New Roman" w:eastAsia="Times New Roman" w:hint="default"/>
        </w:rPr>
        <w:t>6</w:t>
      </w:r>
      <w:r>
        <w:rPr/>
        <w:t>．衍生工具及嵌入衍生工具 衍生工具于相关合同签署日以公允价值进行初始计量，并以公允价值进行后续计量。公</w:t>
      </w:r>
    </w:p>
    <w:p>
      <w:pPr>
        <w:pStyle w:val="BodyText"/>
        <w:spacing w:line="357" w:lineRule="auto"/>
        <w:ind w:right="190"/>
        <w:jc w:val="both"/>
      </w:pPr>
      <w:r>
        <w:rPr/>
        <w:t>允价值为正数的衍生金融工具确认为一项资产，公允价值为负数的确认为一项负债。除指定 为套期工具且套期高度有效的衍生工具，其公允价值变动形成的利得或损失将根据套期关系 的性质按照套期会计的要求确定计入损益的期间外，其余衍生工具的公允价值变动计入当期 损益。</w:t>
      </w:r>
    </w:p>
    <w:p>
      <w:pPr>
        <w:pStyle w:val="BodyText"/>
        <w:spacing w:line="357" w:lineRule="auto" w:before="36"/>
        <w:ind w:right="189" w:firstLine="480"/>
        <w:jc w:val="both"/>
      </w:pPr>
      <w:r>
        <w:rPr/>
        <w:t>对包含嵌入衍生工具的混合工具，如未指定为以公允价值计量且其变动计入当期损益的 金融资产或金融负债，嵌入衍生工具与该主合同在经济特征及风险方面不存在紧密关系，且 与嵌入衍生工具条件相同，单独存在的工具符合衍生工具定义的，嵌入衍生工具从混合工具 中分拆，作为单独的衍生金融工具处理。如果无法在取得时或后续的资产负债表日对嵌入衍 生工具进行单独计量，则将混合工具整体指定为以公允价值计量且其变动计入当期损益的金 融资产或金融负债。</w:t>
      </w:r>
    </w:p>
    <w:p>
      <w:pPr>
        <w:pStyle w:val="BodyText"/>
        <w:spacing w:line="338" w:lineRule="auto" w:before="36"/>
        <w:ind w:left="633" w:right="173"/>
        <w:jc w:val="left"/>
      </w:pPr>
      <w:r>
        <w:rPr>
          <w:rFonts w:ascii="Times New Roman" w:hAnsi="Times New Roman" w:cs="Times New Roman" w:eastAsia="Times New Roman" w:hint="default"/>
        </w:rPr>
        <w:t>7</w:t>
      </w:r>
      <w:r>
        <w:rPr/>
        <w:t>．金融工具公允价值的确定 公允价值是指市场参与者在计量日发生的有序交易中，出售一项资产所能收到或者转移</w:t>
      </w:r>
    </w:p>
    <w:p>
      <w:pPr>
        <w:pStyle w:val="BodyText"/>
        <w:spacing w:line="350" w:lineRule="auto"/>
        <w:ind w:right="191"/>
        <w:jc w:val="both"/>
      </w:pPr>
      <w:r>
        <w:rPr/>
        <w:t>一项负债所需支付的价格。本公司以公允价值计量相关资产或负债，假定出售资产或者转移 负债的有序交易在相关资产或负债的主要市场进行；不存在主要市场的，本公司假定该交易 在相关资产或负债的最有利市场进行。主要市场</w:t>
      </w:r>
      <w:r>
        <w:rPr>
          <w:rFonts w:ascii="Times New Roman" w:hAnsi="Times New Roman" w:cs="Times New Roman" w:eastAsia="Times New Roman" w:hint="default"/>
        </w:rPr>
        <w:t>(</w:t>
      </w:r>
      <w:r>
        <w:rPr/>
        <w:t>或最有利市场</w:t>
      </w:r>
      <w:r>
        <w:rPr>
          <w:rFonts w:ascii="Times New Roman" w:hAnsi="Times New Roman" w:cs="Times New Roman" w:eastAsia="Times New Roman" w:hint="default"/>
        </w:rPr>
        <w:t>)</w:t>
      </w:r>
      <w:r>
        <w:rPr/>
        <w:t>是本公司在计量日能够进入 的交易市场。</w:t>
      </w:r>
    </w:p>
    <w:p>
      <w:pPr>
        <w:pStyle w:val="BodyText"/>
        <w:spacing w:line="357" w:lineRule="auto" w:before="44"/>
        <w:ind w:right="190" w:firstLine="480"/>
        <w:jc w:val="both"/>
      </w:pPr>
      <w:r>
        <w:rPr/>
        <w:t>本公司采用在当前情况下适用并且有足够可利用数据和其他信息支持的估值技术，考虑 市场参与者将该资产用于最佳用途产生经济利益的能力，或者将该资产出售给能够用于最佳 用途的其他市场参与者产生经济利益的能力，优先使用相关可观察输入值，只有在可观察输 入值无法取得或取得不切实可行的情况下，才使用不可观察输入值。</w:t>
      </w:r>
    </w:p>
    <w:p>
      <w:pPr>
        <w:pStyle w:val="BodyText"/>
        <w:spacing w:line="357" w:lineRule="auto" w:before="36"/>
        <w:ind w:right="191" w:firstLine="480"/>
        <w:jc w:val="both"/>
      </w:pPr>
      <w:r>
        <w:rPr/>
        <w:t>在财务报表中以公允价值计量或披露的资产和负债，根据对公允价值计量整体而言具有 重要意义的最低层次输入值，确定所属的公允价值层次：第一层次输入值，是在计量日能够</w:t>
      </w:r>
    </w:p>
    <w:p>
      <w:pPr>
        <w:spacing w:after="0" w:line="357" w:lineRule="auto"/>
        <w:jc w:val="both"/>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45" w:lineRule="auto" w:before="26"/>
        <w:ind w:right="97"/>
        <w:jc w:val="left"/>
      </w:pPr>
      <w:r>
        <w:rPr/>
        <w:t>取得的相同资产或负债在活跃市场上未经调整的报价；第二层次输入值，是除第一层次输入 </w:t>
      </w:r>
      <w:r>
        <w:rPr>
          <w:spacing w:val="-2"/>
        </w:rPr>
        <w:t>值外相关资产或负债直接或间接可观察的输入值</w:t>
      </w:r>
      <w:r>
        <w:rPr>
          <w:rFonts w:ascii="Times New Roman" w:hAnsi="Times New Roman" w:cs="Times New Roman" w:eastAsia="Times New Roman" w:hint="default"/>
          <w:spacing w:val="-2"/>
        </w:rPr>
        <w:t>[</w:t>
      </w:r>
      <w:r>
        <w:rPr>
          <w:spacing w:val="-2"/>
        </w:rPr>
        <w:t>包括：活跃市场中有类似资产或负债的报价；</w:t>
      </w:r>
      <w:r>
        <w:rPr>
          <w:spacing w:val="-79"/>
        </w:rPr>
        <w:t> </w:t>
      </w:r>
      <w:r>
        <w:rPr>
          <w:spacing w:val="-79"/>
        </w:rPr>
      </w:r>
      <w:r>
        <w:rPr/>
        <w:t>非活跃市场中相同或类似资产或负债的报价；除报价以外的其他可观察输入值，如在正常报 价间隔期间可观察的利益和收益率曲线等</w:t>
      </w:r>
      <w:r>
        <w:rPr>
          <w:rFonts w:ascii="Times New Roman" w:hAnsi="Times New Roman" w:cs="Times New Roman" w:eastAsia="Times New Roman" w:hint="default"/>
        </w:rPr>
        <w:t>]</w:t>
      </w:r>
      <w:r>
        <w:rPr/>
        <w:t>；第三层次输入值，是相关资产或负债的不可观察 输入值</w:t>
      </w:r>
      <w:r>
        <w:rPr>
          <w:rFonts w:ascii="Times New Roman" w:hAnsi="Times New Roman" w:cs="Times New Roman" w:eastAsia="Times New Roman" w:hint="default"/>
        </w:rPr>
        <w:t>[</w:t>
      </w:r>
      <w:r>
        <w:rPr/>
        <w:t>包括不能直接观察或无法由可观察市场数据验证的利率、股票波动率、企业合并中承 担的弃置义务的未来现金流量、使用自身数据做出的财务预测等</w:t>
      </w:r>
      <w:r>
        <w:rPr>
          <w:rFonts w:ascii="Times New Roman" w:hAnsi="Times New Roman" w:cs="Times New Roman" w:eastAsia="Times New Roman" w:hint="default"/>
        </w:rPr>
        <w:t>]</w:t>
      </w:r>
      <w:r>
        <w:rPr/>
        <w:t>。每个资产负债表日，本公 司对在财务报表中确认的持续以公允价值计量的资产和负债进行重新评估，以确定是否在公 允价值计量层次之间发生转换。</w:t>
      </w:r>
    </w:p>
    <w:p>
      <w:pPr>
        <w:pStyle w:val="BodyText"/>
        <w:spacing w:line="338" w:lineRule="auto" w:before="49"/>
        <w:ind w:left="633" w:right="373"/>
        <w:jc w:val="left"/>
      </w:pPr>
      <w:r>
        <w:rPr>
          <w:rFonts w:ascii="Times New Roman" w:hAnsi="Times New Roman" w:cs="Times New Roman" w:eastAsia="Times New Roman" w:hint="default"/>
        </w:rPr>
        <w:t>8</w:t>
      </w:r>
      <w:r>
        <w:rPr/>
        <w:t>．金融资产的减值准备 除了以公允价值计量且其变动计入当期损益的金融资产外，公司在每个资产负债表日对</w:t>
      </w:r>
    </w:p>
    <w:p>
      <w:pPr>
        <w:pStyle w:val="BodyText"/>
        <w:spacing w:line="352" w:lineRule="auto"/>
        <w:ind w:left="0" w:right="351"/>
        <w:jc w:val="right"/>
      </w:pPr>
      <w:r>
        <w:rPr/>
        <w:t>其他金融资产的账面价值进行检查，有客观证据表明金融资产发生减值的，计提减值准备。 表明金融资产发生减值的客观证据，是指金融资产初始确认后实际发生的、对该金融资 产的预计未来现金流量有影响，且企业能够对该影响进行可靠计量的事项。金融资产发生减 </w:t>
      </w:r>
      <w:r>
        <w:rPr>
          <w:spacing w:val="-2"/>
        </w:rPr>
        <w:t>值的客观证据，包括下列可观察到的情形：</w:t>
      </w:r>
      <w:r>
        <w:rPr>
          <w:rFonts w:ascii="Times New Roman" w:hAnsi="Times New Roman" w:cs="Times New Roman" w:eastAsia="Times New Roman" w:hint="default"/>
          <w:spacing w:val="-2"/>
        </w:rPr>
        <w:t>(1)</w:t>
      </w:r>
      <w:r>
        <w:rPr>
          <w:spacing w:val="-2"/>
        </w:rPr>
        <w:t>发行方或债务人发生严重财务困难；</w:t>
      </w:r>
      <w:r>
        <w:rPr>
          <w:rFonts w:ascii="Times New Roman" w:hAnsi="Times New Roman" w:cs="Times New Roman" w:eastAsia="Times New Roman" w:hint="default"/>
          <w:spacing w:val="-2"/>
        </w:rPr>
        <w:t>(2)</w:t>
      </w:r>
      <w:r>
        <w:rPr>
          <w:spacing w:val="-2"/>
        </w:rPr>
        <w:t>债务人</w:t>
      </w:r>
      <w:r>
        <w:rPr>
          <w:spacing w:val="-89"/>
        </w:rPr>
        <w:t> </w:t>
      </w:r>
      <w:r>
        <w:rPr>
          <w:spacing w:val="-1"/>
        </w:rPr>
        <w:t>违反了合同条款，如偿付利息或本金发生违约或逾期等；</w:t>
      </w:r>
      <w:r>
        <w:rPr>
          <w:rFonts w:ascii="Times New Roman" w:hAnsi="Times New Roman" w:cs="Times New Roman" w:eastAsia="Times New Roman" w:hint="default"/>
          <w:spacing w:val="-1"/>
        </w:rPr>
        <w:t>(3)</w:t>
      </w:r>
      <w:r>
        <w:rPr>
          <w:spacing w:val="-1"/>
        </w:rPr>
        <w:t>本公司出于经济或法律等方面因</w:t>
      </w:r>
    </w:p>
    <w:p>
      <w:pPr>
        <w:pStyle w:val="BodyText"/>
        <w:spacing w:line="345" w:lineRule="auto" w:before="11"/>
        <w:ind w:right="215"/>
        <w:jc w:val="left"/>
      </w:pPr>
      <w:r>
        <w:rPr>
          <w:spacing w:val="-3"/>
        </w:rPr>
        <w:t>素的考虑，对发生财务困难的债务人作出让步；</w:t>
      </w:r>
      <w:r>
        <w:rPr>
          <w:rFonts w:ascii="Times New Roman" w:hAnsi="Times New Roman" w:cs="Times New Roman" w:eastAsia="Times New Roman" w:hint="default"/>
          <w:spacing w:val="-3"/>
        </w:rPr>
        <w:t>(4)</w:t>
      </w:r>
      <w:r>
        <w:rPr>
          <w:spacing w:val="-3"/>
        </w:rPr>
        <w:t>债务人很可能倒闭或者进行其他财务重组；</w:t>
      </w:r>
      <w:r>
        <w:rPr>
          <w:spacing w:val="-113"/>
        </w:rPr>
        <w:t> </w:t>
      </w:r>
      <w:r>
        <w:rPr>
          <w:rFonts w:ascii="Times New Roman" w:hAnsi="Times New Roman" w:cs="Times New Roman" w:eastAsia="Times New Roman" w:hint="default"/>
        </w:rPr>
        <w:t>(5)</w:t>
      </w:r>
      <w:r>
        <w:rPr/>
        <w:t>因发行方发生重大财务困难，导致金融资产无法在活跃市场继续交易；</w:t>
      </w:r>
      <w:r>
        <w:rPr>
          <w:rFonts w:ascii="Times New Roman" w:hAnsi="Times New Roman" w:cs="Times New Roman" w:eastAsia="Times New Roman" w:hint="default"/>
        </w:rPr>
        <w:t>(6)</w:t>
      </w:r>
      <w:r>
        <w:rPr/>
        <w:t>无法辨认一组金 </w:t>
      </w:r>
      <w:r>
        <w:rPr>
          <w:spacing w:val="-2"/>
        </w:rPr>
        <w:t>融资产中的某项资产的现金流量是否已经减少，但根据公开的数据对其进行总体评价后发现，</w:t>
      </w:r>
      <w:r>
        <w:rPr/>
        <w:t> 该组金融资产自初始确认以来的预计未来现金流量确已减少且可计量，包括该组金融资产的 债务人支付能力逐步恶化，或者债务人所在国家或地区经济出现了可能导致该组金融资产无 法支付的状况；</w:t>
      </w:r>
      <w:r>
        <w:rPr>
          <w:rFonts w:ascii="Times New Roman" w:hAnsi="Times New Roman" w:cs="Times New Roman" w:eastAsia="Times New Roman" w:hint="default"/>
        </w:rPr>
        <w:t>(7)</w:t>
      </w:r>
      <w:r>
        <w:rPr/>
        <w:t>债务人经营所处的技术、市场、经济或法律环境等发生重大不利变化，使 权益工具投资人可能无法收回投资成本；</w:t>
      </w:r>
      <w:r>
        <w:rPr>
          <w:rFonts w:ascii="Times New Roman" w:hAnsi="Times New Roman" w:cs="Times New Roman" w:eastAsia="Times New Roman" w:hint="default"/>
        </w:rPr>
        <w:t>(8)</w:t>
      </w:r>
      <w:r>
        <w:rPr/>
        <w:t>权益工具投资的公允价值发生严重或非暂时性下 跌；</w:t>
      </w:r>
      <w:r>
        <w:rPr>
          <w:rFonts w:ascii="Times New Roman" w:hAnsi="Times New Roman" w:cs="Times New Roman" w:eastAsia="Times New Roman" w:hint="default"/>
        </w:rPr>
        <w:t>(9)</w:t>
      </w:r>
      <w:r>
        <w:rPr/>
        <w:t>其他表明金融资产发生减值的客观证据。</w:t>
      </w:r>
    </w:p>
    <w:p>
      <w:pPr>
        <w:pStyle w:val="BodyText"/>
        <w:spacing w:line="338" w:lineRule="auto" w:before="19"/>
        <w:ind w:left="633" w:right="373"/>
        <w:jc w:val="left"/>
      </w:pPr>
      <w:r>
        <w:rPr>
          <w:rFonts w:ascii="Times New Roman" w:hAnsi="Times New Roman" w:cs="Times New Roman" w:eastAsia="Times New Roman" w:hint="default"/>
        </w:rPr>
        <w:t>(1)</w:t>
      </w:r>
      <w:r>
        <w:rPr/>
        <w:t>持有至到期投资、贷款和应收账款减值测试</w:t>
      </w:r>
      <w:r>
        <w:rPr>
          <w:w w:val="99"/>
        </w:rPr>
        <w:t> </w:t>
      </w:r>
      <w:r>
        <w:rPr/>
        <w:t>先将单项金额重大的金融资产区分开来，单独进行减值测试；对单项金额不重大的金融</w:t>
      </w:r>
    </w:p>
    <w:p>
      <w:pPr>
        <w:pStyle w:val="BodyText"/>
        <w:spacing w:line="350" w:lineRule="auto"/>
        <w:ind w:right="391"/>
        <w:jc w:val="both"/>
      </w:pPr>
      <w:r>
        <w:rPr/>
        <w:t>资产，可以单独进行减值测试，或包括在具有类似信用风险特征的金融资产组合中进行减值 测试；单独测试未发生减值的金融资产</w:t>
      </w:r>
      <w:r>
        <w:rPr>
          <w:rFonts w:ascii="Times New Roman" w:hAnsi="Times New Roman" w:cs="Times New Roman" w:eastAsia="Times New Roman" w:hint="default"/>
        </w:rPr>
        <w:t>(</w:t>
      </w:r>
      <w:r>
        <w:rPr/>
        <w:t>包括单项金额重大和不重大的金融资产</w:t>
      </w:r>
      <w:r>
        <w:rPr>
          <w:rFonts w:ascii="Times New Roman" w:hAnsi="Times New Roman" w:cs="Times New Roman" w:eastAsia="Times New Roman" w:hint="default"/>
        </w:rPr>
        <w:t>)</w:t>
      </w:r>
      <w:r>
        <w:rPr/>
        <w:t>，包括在具 有类似信用风险特征的金融资产组合中再进行减值测试。测试结果表明其发生了减值的，以 成本或摊余成本计量的金融资产将其账面价值减记至预计未来现金流量现值，减记金额确认</w:t>
      </w:r>
    </w:p>
    <w:p>
      <w:pPr>
        <w:spacing w:after="0" w:line="350" w:lineRule="auto"/>
        <w:jc w:val="both"/>
        <w:sectPr>
          <w:pgSz w:w="11910" w:h="16840"/>
          <w:pgMar w:header="877" w:footer="980" w:top="1100" w:bottom="1160" w:left="980" w:right="780"/>
        </w:sectPr>
      </w:pPr>
    </w:p>
    <w:p>
      <w:pPr>
        <w:spacing w:line="240" w:lineRule="auto" w:before="7"/>
        <w:rPr>
          <w:rFonts w:ascii="宋体" w:hAnsi="宋体" w:cs="宋体" w:eastAsia="宋体" w:hint="default"/>
          <w:sz w:val="25"/>
          <w:szCs w:val="25"/>
        </w:rPr>
      </w:pPr>
    </w:p>
    <w:p>
      <w:pPr>
        <w:pStyle w:val="BodyText"/>
        <w:spacing w:line="357" w:lineRule="auto" w:before="26"/>
        <w:ind w:right="271"/>
        <w:jc w:val="both"/>
      </w:pPr>
      <w:r>
        <w:rPr/>
        <w:t>为减值损失，计入当期损益；短期应收款项的预计未来现金流量与其现值相差很小的，在确 定相关减值损失时，不对其预计未来现金流量进行折现。在确认减值损失后，如有客观证据 表明该金融资产价值已恢复，且客观上与确认该损失后发生的事项有关，原确认的减值损失 予以转回，转回减值损失后的账面价值不超过假定不计提减值准备情况下该金融资产在转回 日的摊余成本。</w:t>
      </w:r>
    </w:p>
    <w:p>
      <w:pPr>
        <w:pStyle w:val="BodyText"/>
        <w:spacing w:line="338" w:lineRule="auto" w:before="36"/>
        <w:ind w:left="633" w:right="253"/>
        <w:jc w:val="left"/>
      </w:pPr>
      <w:r>
        <w:rPr>
          <w:rFonts w:ascii="Times New Roman" w:hAnsi="Times New Roman" w:cs="Times New Roman" w:eastAsia="Times New Roman" w:hint="default"/>
        </w:rPr>
        <w:t>(2)</w:t>
      </w:r>
      <w:r>
        <w:rPr/>
        <w:t>可供出售金融资产减值</w:t>
      </w:r>
      <w:r>
        <w:rPr>
          <w:w w:val="99"/>
        </w:rPr>
        <w:t> </w:t>
      </w:r>
      <w:r>
        <w:rPr/>
        <w:t>本公司于资产负债表日对各项可供出售权益工具投资单独进行检查。对于以公允价值计</w:t>
      </w:r>
    </w:p>
    <w:p>
      <w:pPr>
        <w:pStyle w:val="BodyText"/>
        <w:spacing w:line="345" w:lineRule="auto"/>
        <w:ind w:right="213"/>
        <w:jc w:val="left"/>
      </w:pPr>
      <w:r>
        <w:rPr/>
        <w:t>量的权益工具投资，当综合相关因素判断可供出售权益工具投资公允价值下跌是严重或非暂 时性下跌时，表明该可供出售权益工具投资发生减值。其中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是指公允价值低于成 本幅度幅度超过 </w:t>
      </w:r>
      <w:r>
        <w:rPr>
          <w:rFonts w:ascii="Times New Roman" w:hAnsi="Times New Roman" w:cs="Times New Roman" w:eastAsia="Times New Roman" w:hint="default"/>
        </w:rPr>
        <w:t>50%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是指公允价值连续下跌时间达到或超过</w:t>
      </w:r>
      <w:r>
        <w:rPr>
          <w:spacing w:val="-86"/>
        </w:rPr>
        <w:t> </w:t>
      </w:r>
      <w:r>
        <w:rPr>
          <w:rFonts w:ascii="Times New Roman" w:hAnsi="Times New Roman" w:cs="Times New Roman" w:eastAsia="Times New Roman" w:hint="default"/>
          <w:spacing w:val="-7"/>
        </w:rPr>
        <w:t>12</w:t>
      </w:r>
      <w:r>
        <w:rPr>
          <w:spacing w:val="-7"/>
        </w:rPr>
        <w:t>个月；若其</w:t>
      </w:r>
      <w:r>
        <w:rPr/>
        <w:t> 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的，或低于其成本持 续时间超过</w:t>
      </w:r>
      <w:r>
        <w:rPr>
          <w:rFonts w:ascii="Times New Roman" w:hAnsi="Times New Roman" w:cs="Times New Roman" w:eastAsia="Times New Roman" w:hint="default"/>
        </w:rPr>
        <w:t>6</w:t>
      </w:r>
      <w:r>
        <w:rPr/>
        <w:t>个月</w:t>
      </w:r>
      <w:r>
        <w:rPr>
          <w:rFonts w:ascii="Times New Roman" w:hAnsi="Times New Roman" w:cs="Times New Roman" w:eastAsia="Times New Roman" w:hint="default"/>
        </w:rPr>
        <w:t>(</w:t>
      </w:r>
      <w:r>
        <w:rPr/>
        <w:t>含</w:t>
      </w:r>
      <w:r>
        <w:rPr>
          <w:rFonts w:ascii="Times New Roman" w:hAnsi="Times New Roman" w:cs="Times New Roman" w:eastAsia="Times New Roman" w:hint="default"/>
        </w:rPr>
        <w:t>6</w:t>
      </w:r>
      <w:r>
        <w:rPr/>
        <w:t>个月</w:t>
      </w:r>
      <w:r>
        <w:rPr>
          <w:rFonts w:ascii="Times New Roman" w:hAnsi="Times New Roman" w:cs="Times New Roman" w:eastAsia="Times New Roman" w:hint="default"/>
        </w:rPr>
        <w:t>)</w:t>
      </w:r>
      <w:r>
        <w:rPr/>
        <w:t>但未超过</w:t>
      </w:r>
      <w:r>
        <w:rPr>
          <w:rFonts w:ascii="Times New Roman" w:hAnsi="Times New Roman" w:cs="Times New Roman" w:eastAsia="Times New Roman" w:hint="default"/>
        </w:rPr>
        <w:t>12</w:t>
      </w:r>
      <w:r>
        <w:rPr/>
        <w:t>个月的，本公司会综合考虑其他相关因素，诸如价格 波动率等，判断该权益工具投资是否发生减值。对于以成本计量的权益工具投资，公司综合 考虑被投资单位经营所处的技术、市场、经济或法律环境等是否发生重大不利变化，判断该 权益工具是否发生减值。</w:t>
      </w:r>
    </w:p>
    <w:p>
      <w:pPr>
        <w:pStyle w:val="BodyText"/>
        <w:spacing w:line="357" w:lineRule="auto" w:before="48"/>
        <w:ind w:right="269" w:firstLine="480"/>
        <w:jc w:val="both"/>
      </w:pPr>
      <w:r>
        <w:rPr/>
        <w:t>以公允价值计量的可供出售金融资产发生减值时，原直接计入其他综合收益的因公允价 值下降形成的累计损失予以转出并计入减值损失。对已确认减值损失的可供出售债务工具投 资，在期后公允价值回升且客观上与确认原减值损失后发生的事项有关的，原确认的减值损 失予以转回并计入当期损益。对已确认减值损失的可供出售权益工具投资，期后公允价值回 升直接计入其他综合收益。</w:t>
      </w:r>
    </w:p>
    <w:p>
      <w:pPr>
        <w:pStyle w:val="BodyText"/>
        <w:spacing w:line="357" w:lineRule="auto" w:before="36"/>
        <w:ind w:right="271" w:firstLine="480"/>
        <w:jc w:val="both"/>
      </w:pPr>
      <w:r>
        <w:rPr/>
        <w:t>以成本计量的可供出售权益工具发生减值时，将该权益工具投资的账面价值，与按照类 似金融资产当时市场收益率对未来现金流量折现确定的现值之间的差额，确认为减值损失， 计入当期损益，发生的减值损失一经确认，不予转回。</w:t>
      </w:r>
    </w:p>
    <w:p>
      <w:pPr>
        <w:pStyle w:val="BodyText"/>
        <w:spacing w:line="338" w:lineRule="auto" w:before="37"/>
        <w:ind w:left="633" w:right="98"/>
        <w:jc w:val="left"/>
      </w:pPr>
      <w:r>
        <w:rPr>
          <w:rFonts w:ascii="Times New Roman" w:hAnsi="Times New Roman" w:cs="Times New Roman" w:eastAsia="Times New Roman" w:hint="default"/>
        </w:rPr>
        <w:t>9</w:t>
      </w:r>
      <w:r>
        <w:rPr/>
        <w:t>．金融资产和金融负债的抵销 </w:t>
      </w:r>
      <w:r>
        <w:rPr>
          <w:spacing w:val="-3"/>
        </w:rPr>
        <w:t>当本公司具有抵销已确认金融资产和金融负债的法定权利，且目前可执行该种法定权利，</w:t>
      </w:r>
    </w:p>
    <w:p>
      <w:pPr>
        <w:pStyle w:val="BodyText"/>
        <w:spacing w:line="357" w:lineRule="auto"/>
        <w:ind w:right="269"/>
        <w:jc w:val="both"/>
      </w:pPr>
      <w:r>
        <w:rPr/>
        <w:t>同时本公司计划以净额结算或同时变现该金融资产和清偿该金融负债时，金融资产和金融负 债以相互抵销后的金额在资产负债表内列示。除此以外，金融资产和金融负债在资产负债表 内分别列示，不予相互抵销。</w:t>
      </w:r>
    </w:p>
    <w:p>
      <w:pPr>
        <w:spacing w:after="0" w:line="357" w:lineRule="auto"/>
        <w:jc w:val="both"/>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Heading2"/>
        <w:spacing w:line="240" w:lineRule="auto" w:before="26"/>
        <w:ind w:left="633" w:right="293"/>
        <w:jc w:val="left"/>
        <w:rPr>
          <w:b w:val="0"/>
          <w:bCs w:val="0"/>
        </w:rPr>
      </w:pPr>
      <w:r>
        <w:rPr>
          <w:rFonts w:ascii="Times New Roman" w:hAnsi="Times New Roman" w:cs="Times New Roman" w:eastAsia="Times New Roman" w:hint="default"/>
        </w:rPr>
        <w:t>11</w:t>
      </w:r>
      <w:r>
        <w:rPr/>
        <w:t>、应收款项</w:t>
      </w:r>
      <w:r>
        <w:rPr>
          <w:b w:val="0"/>
          <w:bCs w:val="0"/>
        </w:rPr>
      </w:r>
    </w:p>
    <w:p>
      <w:pPr>
        <w:pStyle w:val="Heading2"/>
        <w:spacing w:line="240" w:lineRule="auto" w:before="136"/>
        <w:ind w:left="633" w:right="29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2834"/>
        <w:gridCol w:w="6736"/>
      </w:tblGrid>
      <w:tr>
        <w:trPr>
          <w:trHeight w:val="634"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65"/>
              <w:jc w:val="left"/>
              <w:rPr>
                <w:rFonts w:ascii="宋体" w:hAnsi="宋体" w:cs="宋体" w:eastAsia="宋体" w:hint="default"/>
                <w:sz w:val="21"/>
                <w:szCs w:val="21"/>
              </w:rPr>
            </w:pPr>
            <w:r>
              <w:rPr>
                <w:rFonts w:ascii="宋体" w:hAnsi="宋体" w:cs="宋体" w:eastAsia="宋体" w:hint="default"/>
                <w:spacing w:val="-2"/>
                <w:sz w:val="21"/>
                <w:szCs w:val="21"/>
              </w:rPr>
              <w:t>单项金额重大的判断依据或金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额标准</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44"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应收</w:t>
            </w:r>
            <w:r>
              <w:rPr>
                <w:rFonts w:ascii="宋体" w:hAnsi="宋体" w:cs="宋体" w:eastAsia="宋体" w:hint="default"/>
                <w:spacing w:val="-3"/>
                <w:w w:val="100"/>
                <w:sz w:val="21"/>
                <w:szCs w:val="21"/>
              </w:rPr>
              <w:t>账</w:t>
            </w:r>
            <w:r>
              <w:rPr>
                <w:rFonts w:ascii="宋体" w:hAnsi="宋体" w:cs="宋体" w:eastAsia="宋体" w:hint="default"/>
                <w:spacing w:val="-1"/>
                <w:w w:val="100"/>
                <w:sz w:val="21"/>
                <w:szCs w:val="21"/>
              </w:rPr>
              <w:t>款</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500</w:t>
            </w:r>
            <w:r>
              <w:rPr>
                <w:rFonts w:ascii="Times New Roman" w:hAnsi="Times New Roman" w:cs="Times New Roman" w:eastAsia="Times New Roman" w:hint="default"/>
                <w:spacing w:val="-10"/>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元以</w:t>
            </w:r>
            <w:r>
              <w:rPr>
                <w:rFonts w:ascii="宋体" w:hAnsi="宋体" w:cs="宋体" w:eastAsia="宋体" w:hint="default"/>
                <w:spacing w:val="-1"/>
                <w:w w:val="100"/>
                <w:sz w:val="21"/>
                <w:szCs w:val="21"/>
              </w:rPr>
              <w:t>上</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含</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款项</w:t>
            </w:r>
            <w:r>
              <w:rPr>
                <w:rFonts w:ascii="宋体" w:hAnsi="宋体" w:cs="宋体" w:eastAsia="宋体" w:hint="default"/>
                <w:spacing w:val="-108"/>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他应</w:t>
            </w:r>
            <w:r>
              <w:rPr>
                <w:rFonts w:ascii="宋体" w:hAnsi="宋体" w:cs="宋体" w:eastAsia="宋体" w:hint="default"/>
                <w:w w:val="100"/>
                <w:sz w:val="21"/>
                <w:szCs w:val="21"/>
              </w:rPr>
              <w:t>收款</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500</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万元以上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Times New Roman" w:hAnsi="Times New Roman" w:cs="Times New Roman" w:eastAsia="Times New Roman" w:hint="default"/>
                <w:sz w:val="21"/>
                <w:szCs w:val="21"/>
              </w:rPr>
              <w:t>)</w:t>
            </w:r>
            <w:r>
              <w:rPr>
                <w:rFonts w:ascii="宋体" w:hAnsi="宋体" w:cs="宋体" w:eastAsia="宋体" w:hint="default"/>
                <w:sz w:val="21"/>
                <w:szCs w:val="21"/>
              </w:rPr>
              <w:t>的款项。</w:t>
            </w:r>
          </w:p>
        </w:tc>
      </w:tr>
      <w:tr>
        <w:trPr>
          <w:trHeight w:val="946"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2" w:right="65"/>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准备的计提方法</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7" w:firstLine="420"/>
              <w:jc w:val="both"/>
              <w:rPr>
                <w:rFonts w:ascii="宋体" w:hAnsi="宋体" w:cs="宋体" w:eastAsia="宋体" w:hint="default"/>
                <w:sz w:val="21"/>
                <w:szCs w:val="21"/>
              </w:rPr>
            </w:pPr>
            <w:r>
              <w:rPr>
                <w:rFonts w:ascii="宋体" w:hAnsi="宋体" w:cs="宋体" w:eastAsia="宋体" w:hint="default"/>
                <w:spacing w:val="-3"/>
                <w:sz w:val="21"/>
                <w:szCs w:val="21"/>
              </w:rPr>
              <w:t>经单独进行减值测试有客观证据表明发生减值的，根据其未来现金流</w:t>
            </w:r>
            <w:r>
              <w:rPr>
                <w:rFonts w:ascii="宋体" w:hAnsi="宋体" w:cs="宋体" w:eastAsia="宋体" w:hint="default"/>
                <w:w w:val="100"/>
                <w:sz w:val="21"/>
                <w:szCs w:val="21"/>
              </w:rPr>
              <w:t> </w:t>
            </w:r>
            <w:r>
              <w:rPr>
                <w:rFonts w:ascii="宋体" w:hAnsi="宋体" w:cs="宋体" w:eastAsia="宋体" w:hint="default"/>
                <w:spacing w:val="-3"/>
                <w:sz w:val="21"/>
                <w:szCs w:val="21"/>
              </w:rPr>
              <w:t>量现值低于其账面价值的差额计提坏账准备；经单独进行减值测试未发生</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减值的，将其划入具有类似信用风险特征的若干组合计提坏账准备。</w:t>
            </w:r>
          </w:p>
        </w:tc>
      </w:tr>
    </w:tbl>
    <w:p>
      <w:pPr>
        <w:pStyle w:val="Heading2"/>
        <w:spacing w:line="240" w:lineRule="auto" w:before="39"/>
        <w:ind w:left="633" w:right="29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6"/>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23"/>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533" w:right="0"/>
              <w:jc w:val="left"/>
              <w:rPr>
                <w:rFonts w:ascii="宋体" w:hAnsi="宋体" w:cs="宋体" w:eastAsia="宋体" w:hint="default"/>
                <w:sz w:val="21"/>
                <w:szCs w:val="21"/>
              </w:rPr>
            </w:pPr>
            <w:r>
              <w:rPr>
                <w:rFonts w:ascii="宋体" w:hAnsi="宋体" w:cs="宋体" w:eastAsia="宋体" w:hint="default"/>
                <w:sz w:val="21"/>
                <w:szCs w:val="21"/>
              </w:rPr>
              <w:t>坏账准备计提方法</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合并范围内往来组合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其他方法</w:t>
            </w:r>
          </w:p>
        </w:tc>
      </w:tr>
    </w:tbl>
    <w:p>
      <w:pPr>
        <w:pStyle w:val="BodyText"/>
        <w:spacing w:line="240" w:lineRule="auto" w:before="39"/>
        <w:ind w:left="633" w:right="293"/>
        <w:jc w:val="left"/>
      </w:pPr>
      <w:r>
        <w:rPr/>
        <w:t>组合中，采用账龄分析法计提坏账准备的：</w:t>
      </w:r>
    </w:p>
    <w:p>
      <w:pPr>
        <w:pStyle w:val="BodyText"/>
        <w:spacing w:line="240" w:lineRule="auto" w:before="154"/>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32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62"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46"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32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5.00%</w:t>
            </w:r>
          </w:p>
        </w:tc>
      </w:tr>
      <w:tr>
        <w:trPr>
          <w:trHeight w:val="32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6"/>
              <w:ind w:right="16"/>
              <w:jc w:val="right"/>
              <w:rPr>
                <w:rFonts w:ascii="Times New Roman" w:hAnsi="Times New Roman" w:cs="Times New Roman" w:eastAsia="Times New Roman" w:hint="default"/>
                <w:sz w:val="21"/>
                <w:szCs w:val="21"/>
              </w:rPr>
            </w:pPr>
            <w:r>
              <w:rPr>
                <w:rFonts w:ascii="Times New Roman"/>
                <w:sz w:val="21"/>
              </w:rPr>
              <w:t>20.00%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Times New Roman" w:hAnsi="Times New Roman" w:cs="Times New Roman" w:eastAsia="Times New Roman" w:hint="default"/>
                <w:sz w:val="21"/>
                <w:szCs w:val="21"/>
              </w:rPr>
            </w:pPr>
            <w:r>
              <w:rPr>
                <w:rFonts w:ascii="Times New Roman"/>
                <w:sz w:val="21"/>
              </w:rPr>
              <w:t>20.00%</w:t>
            </w:r>
          </w:p>
        </w:tc>
      </w:tr>
      <w:tr>
        <w:trPr>
          <w:trHeight w:val="32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50.00%</w:t>
            </w:r>
          </w:p>
        </w:tc>
      </w:tr>
      <w:tr>
        <w:trPr>
          <w:trHeight w:val="32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39"/>
        <w:ind w:left="633" w:right="293"/>
        <w:jc w:val="left"/>
      </w:pPr>
      <w:r>
        <w:rPr/>
        <w:t>组合中，采用余额百分比法计提坏账准备的：</w:t>
      </w:r>
    </w:p>
    <w:p>
      <w:pPr>
        <w:pStyle w:val="BodyText"/>
        <w:spacing w:line="338" w:lineRule="auto" w:before="154"/>
        <w:ind w:left="633" w:right="4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组合中，采用其他方法计提坏账准备的：</w:t>
      </w:r>
    </w:p>
    <w:p>
      <w:pPr>
        <w:pStyle w:val="BodyText"/>
        <w:spacing w:line="240" w:lineRule="auto"/>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338" w:lineRule="auto" w:before="135"/>
        <w:ind w:left="633" w:right="253" w:hanging="28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）单项金额不重大但单独计提坏账准备的应收款项</w:t>
      </w:r>
      <w:r>
        <w:rPr>
          <w:rFonts w:ascii="宋体" w:hAnsi="宋体" w:cs="宋体" w:eastAsia="宋体" w:hint="default"/>
          <w:b/>
          <w:bCs/>
          <w:w w:val="99"/>
          <w:sz w:val="24"/>
          <w:szCs w:val="24"/>
        </w:rPr>
        <w:t> </w:t>
      </w:r>
      <w:r>
        <w:rPr>
          <w:rFonts w:ascii="宋体" w:hAnsi="宋体" w:cs="宋体" w:eastAsia="宋体" w:hint="default"/>
          <w:sz w:val="24"/>
          <w:szCs w:val="24"/>
        </w:rPr>
        <w:t>公司需遵守《深圳证券交易所行业信息披露指引第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号</w:t>
      </w:r>
      <w:r>
        <w:rPr>
          <w:rFonts w:ascii="Times New Roman" w:hAnsi="Times New Roman" w:cs="Times New Roman" w:eastAsia="Times New Roman" w:hint="default"/>
          <w:sz w:val="24"/>
          <w:szCs w:val="24"/>
        </w:rPr>
        <w:t>--</w:t>
      </w:r>
      <w:r>
        <w:rPr>
          <w:rFonts w:ascii="宋体" w:hAnsi="宋体" w:cs="宋体" w:eastAsia="宋体" w:hint="default"/>
          <w:sz w:val="24"/>
          <w:szCs w:val="24"/>
        </w:rPr>
        <w:t>上市公司从事装修装饰业务》</w:t>
      </w:r>
    </w:p>
    <w:p>
      <w:pPr>
        <w:pStyle w:val="BodyText"/>
        <w:spacing w:line="357" w:lineRule="auto" w:before="27"/>
        <w:ind w:left="134" w:right="8572"/>
        <w:jc w:val="center"/>
      </w:pPr>
      <w:r>
        <w:rPr/>
        <w:t>的披露要求 否</w:t>
      </w:r>
    </w:p>
    <w:p>
      <w:pPr>
        <w:pStyle w:val="BodyText"/>
        <w:spacing w:line="338" w:lineRule="auto" w:before="36"/>
        <w:ind w:right="173" w:firstLine="480"/>
        <w:jc w:val="left"/>
      </w:pPr>
      <w:r>
        <w:rPr/>
        <w:t>公司需遵守《深圳证券交易所行业信息披露指引第</w:t>
      </w:r>
      <w:r>
        <w:rPr>
          <w:spacing w:val="-60"/>
        </w:rPr>
        <w:t> </w:t>
      </w:r>
      <w:r>
        <w:rPr>
          <w:rFonts w:ascii="Times New Roman" w:hAnsi="Times New Roman" w:cs="Times New Roman" w:eastAsia="Times New Roman" w:hint="default"/>
        </w:rPr>
        <w:t>7 </w:t>
      </w:r>
      <w:r>
        <w:rPr/>
        <w:t>号</w:t>
      </w:r>
      <w:r>
        <w:rPr>
          <w:rFonts w:ascii="Times New Roman" w:hAnsi="Times New Roman" w:cs="Times New Roman" w:eastAsia="Times New Roman" w:hint="default"/>
        </w:rPr>
        <w:t>——</w:t>
      </w:r>
      <w:r>
        <w:rPr/>
        <w:t>上市公司从事土木工程建筑 业务》的披露要求</w:t>
      </w:r>
    </w:p>
    <w:p>
      <w:pPr>
        <w:pStyle w:val="BodyText"/>
        <w:spacing w:line="240" w:lineRule="auto"/>
        <w:ind w:left="633" w:right="293"/>
        <w:jc w:val="left"/>
      </w:pPr>
      <w:r>
        <w:rPr/>
        <w:t>否</w:t>
      </w: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6" w:right="0"/>
              <w:jc w:val="left"/>
              <w:rPr>
                <w:rFonts w:ascii="宋体" w:hAnsi="宋体" w:cs="宋体" w:eastAsia="宋体" w:hint="default"/>
                <w:sz w:val="21"/>
                <w:szCs w:val="21"/>
              </w:rPr>
            </w:pPr>
            <w:r>
              <w:rPr>
                <w:rFonts w:ascii="宋体" w:hAnsi="宋体" w:cs="宋体" w:eastAsia="宋体" w:hint="default"/>
                <w:sz w:val="21"/>
                <w:szCs w:val="21"/>
              </w:rPr>
              <w:t>有确凿证据表明可收回性存在明显差异</w:t>
            </w:r>
          </w:p>
        </w:tc>
      </w:tr>
      <w:tr>
        <w:trPr>
          <w:trHeight w:val="63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4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25"/>
              <w:jc w:val="left"/>
              <w:rPr>
                <w:rFonts w:ascii="宋体" w:hAnsi="宋体" w:cs="宋体" w:eastAsia="宋体" w:hint="default"/>
                <w:sz w:val="21"/>
                <w:szCs w:val="21"/>
              </w:rPr>
            </w:pPr>
            <w:r>
              <w:rPr>
                <w:rFonts w:ascii="宋体" w:hAnsi="宋体" w:cs="宋体" w:eastAsia="宋体" w:hint="default"/>
                <w:spacing w:val="-2"/>
                <w:sz w:val="21"/>
                <w:szCs w:val="21"/>
              </w:rPr>
              <w:t>根据其未来现金流量现值低于其账面价值的差额计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提坏账准备</w:t>
            </w:r>
          </w:p>
        </w:tc>
      </w:tr>
    </w:tbl>
    <w:p>
      <w:pPr>
        <w:spacing w:line="338" w:lineRule="auto" w:before="39"/>
        <w:ind w:left="633" w:right="521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12</w:t>
      </w:r>
      <w:r>
        <w:rPr>
          <w:rFonts w:ascii="宋体" w:hAnsi="宋体" w:cs="宋体" w:eastAsia="宋体" w:hint="default"/>
          <w:b/>
          <w:bCs/>
          <w:sz w:val="24"/>
          <w:szCs w:val="24"/>
        </w:rPr>
        <w:t>、存货</w:t>
      </w:r>
      <w:r>
        <w:rPr>
          <w:rFonts w:ascii="宋体" w:hAnsi="宋体" w:cs="宋体" w:eastAsia="宋体" w:hint="default"/>
          <w:b/>
          <w:bCs/>
          <w:w w:val="99"/>
          <w:sz w:val="24"/>
          <w:szCs w:val="24"/>
        </w:rPr>
        <w:t> </w:t>
      </w:r>
      <w:r>
        <w:rPr>
          <w:rFonts w:ascii="宋体" w:hAnsi="宋体" w:cs="宋体" w:eastAsia="宋体" w:hint="default"/>
          <w:sz w:val="24"/>
          <w:szCs w:val="24"/>
        </w:rPr>
        <w:t>公司是否需要遵守特殊行业的披露要求</w:t>
      </w:r>
    </w:p>
    <w:p>
      <w:pPr>
        <w:spacing w:after="0" w:line="338" w:lineRule="auto"/>
        <w:jc w:val="left"/>
        <w:rPr>
          <w:rFonts w:ascii="宋体" w:hAnsi="宋体" w:cs="宋体" w:eastAsia="宋体" w:hint="default"/>
          <w:sz w:val="24"/>
          <w:szCs w:val="24"/>
        </w:rPr>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240" w:lineRule="auto" w:before="26"/>
        <w:ind w:left="633" w:right="98"/>
        <w:jc w:val="left"/>
      </w:pPr>
      <w:r>
        <w:rPr/>
        <w:t>否</w:t>
      </w:r>
    </w:p>
    <w:p>
      <w:pPr>
        <w:pStyle w:val="BodyText"/>
        <w:spacing w:line="338" w:lineRule="auto" w:before="154"/>
        <w:ind w:right="253" w:firstLine="480"/>
        <w:jc w:val="left"/>
      </w:pPr>
      <w:r>
        <w:rPr/>
        <w:t>公司需遵守《深圳证券交易所行业信息披露指引第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上市公司从事畜禽、水产养 殖业务》的披露要求</w:t>
      </w:r>
    </w:p>
    <w:p>
      <w:pPr>
        <w:pStyle w:val="BodyText"/>
        <w:spacing w:line="240" w:lineRule="auto"/>
        <w:ind w:left="633" w:right="98"/>
        <w:jc w:val="left"/>
      </w:pPr>
      <w:r>
        <w:rPr/>
        <w:t>否</w:t>
      </w:r>
    </w:p>
    <w:p>
      <w:pPr>
        <w:pStyle w:val="BodyText"/>
        <w:spacing w:line="338" w:lineRule="auto" w:before="154"/>
        <w:ind w:right="253" w:firstLine="480"/>
        <w:jc w:val="left"/>
      </w:pPr>
      <w:r>
        <w:rPr/>
        <w:t>公司需遵守《深圳证券交易所创业板行业信息披露指引第</w:t>
      </w:r>
      <w:r>
        <w:rPr>
          <w:spacing w:val="-60"/>
        </w:rPr>
        <w:t> </w:t>
      </w:r>
      <w:r>
        <w:rPr>
          <w:rFonts w:ascii="Times New Roman" w:hAnsi="Times New Roman" w:cs="Times New Roman" w:eastAsia="Times New Roman" w:hint="default"/>
        </w:rPr>
        <w:t>6 </w:t>
      </w:r>
      <w:r>
        <w:rPr/>
        <w:t>号</w:t>
      </w:r>
      <w:r>
        <w:rPr>
          <w:rFonts w:ascii="Times New Roman" w:hAnsi="Times New Roman" w:cs="Times New Roman" w:eastAsia="Times New Roman" w:hint="default"/>
        </w:rPr>
        <w:t>——</w:t>
      </w:r>
      <w:r>
        <w:rPr/>
        <w:t>上市公司从事互联网 视频业务》的披露要求：</w:t>
      </w:r>
    </w:p>
    <w:p>
      <w:pPr>
        <w:pStyle w:val="BodyText"/>
        <w:spacing w:line="240" w:lineRule="auto"/>
        <w:ind w:left="633" w:right="98"/>
        <w:jc w:val="left"/>
      </w:pPr>
      <w:r>
        <w:rPr/>
        <w:t>否</w:t>
      </w:r>
    </w:p>
    <w:p>
      <w:pPr>
        <w:pStyle w:val="BodyText"/>
        <w:spacing w:line="338" w:lineRule="auto" w:before="154"/>
        <w:ind w:right="97" w:firstLine="480"/>
        <w:jc w:val="left"/>
      </w:pPr>
      <w:r>
        <w:rPr>
          <w:spacing w:val="-4"/>
        </w:rPr>
        <w:t>公司需遵守《深圳证券交易所行业信息披露指引第</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上市公司从事零售相关业务》 的披露要求</w:t>
      </w:r>
    </w:p>
    <w:p>
      <w:pPr>
        <w:pStyle w:val="BodyText"/>
        <w:spacing w:line="240" w:lineRule="auto"/>
        <w:ind w:left="633" w:right="98"/>
        <w:jc w:val="left"/>
      </w:pPr>
      <w:r>
        <w:rPr/>
        <w:t>否</w:t>
      </w:r>
    </w:p>
    <w:p>
      <w:pPr>
        <w:pStyle w:val="BodyText"/>
        <w:spacing w:line="338" w:lineRule="auto" w:before="154"/>
        <w:ind w:right="98" w:firstLine="480"/>
        <w:jc w:val="left"/>
      </w:pPr>
      <w:r>
        <w:rPr>
          <w:rFonts w:ascii="Times New Roman" w:hAnsi="Times New Roman" w:cs="Times New Roman" w:eastAsia="Times New Roman" w:hint="default"/>
          <w:spacing w:val="-3"/>
        </w:rPr>
        <w:t>1</w:t>
      </w:r>
      <w:r>
        <w:rPr>
          <w:spacing w:val="-3"/>
        </w:rPr>
        <w:t>．存货包括在日常活动中持有以备出售的产成品或商品、处在生产过程中的在产品、在</w:t>
      </w:r>
      <w:r>
        <w:rPr/>
        <w:t> 生产过程或提供劳务过程中耗用的材料和物料、在途物资和委托加工物资等。</w:t>
      </w:r>
    </w:p>
    <w:p>
      <w:pPr>
        <w:pStyle w:val="BodyText"/>
        <w:spacing w:line="345" w:lineRule="auto"/>
        <w:ind w:right="213" w:firstLine="480"/>
        <w:jc w:val="left"/>
      </w:pPr>
      <w:r>
        <w:rPr>
          <w:rFonts w:ascii="Times New Roman" w:hAnsi="Times New Roman" w:cs="Times New Roman" w:eastAsia="Times New Roman" w:hint="default"/>
          <w:spacing w:val="-3"/>
        </w:rPr>
        <w:t>2</w:t>
      </w:r>
      <w:r>
        <w:rPr>
          <w:spacing w:val="-3"/>
        </w:rPr>
        <w:t>．企业取得存货按实际成本计量。</w:t>
      </w:r>
      <w:r>
        <w:rPr>
          <w:rFonts w:ascii="Times New Roman" w:hAnsi="Times New Roman" w:cs="Times New Roman" w:eastAsia="Times New Roman" w:hint="default"/>
          <w:spacing w:val="-3"/>
        </w:rPr>
        <w:t>(1)</w:t>
      </w:r>
      <w:r>
        <w:rPr>
          <w:spacing w:val="-3"/>
        </w:rPr>
        <w:t>外购存货</w:t>
      </w:r>
      <w:r>
        <w:rPr>
          <w:rFonts w:ascii="Times New Roman" w:hAnsi="Times New Roman" w:cs="Times New Roman" w:eastAsia="Times New Roman" w:hint="default"/>
          <w:spacing w:val="-3"/>
        </w:rPr>
        <w:t>[</w:t>
      </w:r>
      <w:r>
        <w:rPr>
          <w:spacing w:val="-3"/>
        </w:rPr>
        <w:t>原材料</w:t>
      </w:r>
      <w:r>
        <w:rPr>
          <w:rFonts w:ascii="Times New Roman" w:hAnsi="Times New Roman" w:cs="Times New Roman" w:eastAsia="Times New Roman" w:hint="default"/>
          <w:spacing w:val="-3"/>
        </w:rPr>
        <w:t>/</w:t>
      </w:r>
      <w:r>
        <w:rPr>
          <w:spacing w:val="-3"/>
        </w:rPr>
        <w:t>库存商品</w:t>
      </w:r>
      <w:r>
        <w:rPr>
          <w:rFonts w:ascii="Times New Roman" w:hAnsi="Times New Roman" w:cs="Times New Roman" w:eastAsia="Times New Roman" w:hint="default"/>
          <w:spacing w:val="-3"/>
        </w:rPr>
        <w:t>]</w:t>
      </w:r>
      <w:r>
        <w:rPr>
          <w:spacing w:val="-3"/>
        </w:rPr>
        <w:t>的成本即为该存货的采</w:t>
      </w:r>
      <w:r>
        <w:rPr/>
        <w:t> 购成本，通过进一步加工取得的存货</w:t>
      </w:r>
      <w:r>
        <w:rPr>
          <w:rFonts w:ascii="Times New Roman" w:hAnsi="Times New Roman" w:cs="Times New Roman" w:eastAsia="Times New Roman" w:hint="default"/>
        </w:rPr>
        <w:t>[</w:t>
      </w:r>
      <w:r>
        <w:rPr/>
        <w:t>在产品、半成品、产成品、委托加工物资</w:t>
      </w:r>
      <w:r>
        <w:rPr>
          <w:rFonts w:ascii="Times New Roman" w:hAnsi="Times New Roman" w:cs="Times New Roman" w:eastAsia="Times New Roman" w:hint="default"/>
        </w:rPr>
        <w:t>]</w:t>
      </w:r>
      <w:r>
        <w:rPr/>
        <w:t>成本由采购 成本和加工成本构成。</w:t>
      </w:r>
      <w:r>
        <w:rPr>
          <w:rFonts w:ascii="Times New Roman" w:hAnsi="Times New Roman" w:cs="Times New Roman" w:eastAsia="Times New Roman" w:hint="default"/>
        </w:rPr>
        <w:t>(2)</w:t>
      </w:r>
      <w:r>
        <w:rPr/>
        <w:t>债务重组取得债务人用以抵债的存货，以该存货的公允价值为基础 确定其入账价值。</w:t>
      </w:r>
      <w:r>
        <w:rPr>
          <w:rFonts w:ascii="Times New Roman" w:hAnsi="Times New Roman" w:cs="Times New Roman" w:eastAsia="Times New Roman" w:hint="default"/>
        </w:rPr>
        <w:t>(3)</w:t>
      </w:r>
      <w:r>
        <w:rPr/>
        <w:t>在非货币性资产交换具备商业实质和换入资产或换出资产的公允价值能 够可靠计量的前提下，非货币性资产交换换入的存货通常以换出资产的公允价值为基础确定 其入账价值，除非有确凿证据表明换入资产公允价值更加可靠；不满足上述前提的非货币性 资产交换，以换出资产的账面价值和应支付的相关税费作为换入存货的成本。</w:t>
      </w:r>
      <w:r>
        <w:rPr>
          <w:rFonts w:ascii="Times New Roman" w:hAnsi="Times New Roman" w:cs="Times New Roman" w:eastAsia="Times New Roman" w:hint="default"/>
        </w:rPr>
        <w:t>(4)</w:t>
      </w:r>
      <w:r>
        <w:rPr/>
        <w:t>以同一控制 下的企业吸收合并方式取得的存货按被合并方的账面价值确定其入账价值；以非同一控制下 的企业吸收合并方式取得的存货按公允价值确定其入账价值。</w:t>
      </w:r>
    </w:p>
    <w:p>
      <w:pPr>
        <w:pStyle w:val="BodyText"/>
        <w:spacing w:line="240" w:lineRule="auto" w:before="48"/>
        <w:ind w:left="633" w:right="98"/>
        <w:jc w:val="left"/>
      </w:pPr>
      <w:r>
        <w:rPr>
          <w:rFonts w:ascii="Times New Roman" w:hAnsi="Times New Roman" w:cs="Times New Roman" w:eastAsia="Times New Roman" w:hint="default"/>
        </w:rPr>
        <w:t>3</w:t>
      </w:r>
      <w:r>
        <w:rPr/>
        <w:t>．企业发出存货的成本计量采用加权平均法计价</w:t>
      </w:r>
      <w:r>
        <w:rPr>
          <w:color w:val="0000FF"/>
        </w:rPr>
        <w:t>。</w:t>
      </w:r>
      <w:r>
        <w:rPr/>
      </w:r>
    </w:p>
    <w:p>
      <w:pPr>
        <w:pStyle w:val="BodyText"/>
        <w:spacing w:line="338" w:lineRule="auto" w:before="135"/>
        <w:ind w:left="633" w:right="4333"/>
        <w:jc w:val="left"/>
      </w:pPr>
      <w:r>
        <w:rPr>
          <w:rFonts w:ascii="Times New Roman" w:hAnsi="Times New Roman" w:cs="Times New Roman" w:eastAsia="Times New Roman" w:hint="default"/>
        </w:rPr>
        <w:t>4</w:t>
      </w:r>
      <w:r>
        <w:rPr/>
        <w:t>．低值易耗品和包装物的摊销方法 低值易耗品和包装物按照一次转销法进行摊销。</w:t>
      </w:r>
    </w:p>
    <w:p>
      <w:pPr>
        <w:pStyle w:val="BodyText"/>
        <w:spacing w:line="352" w:lineRule="auto"/>
        <w:ind w:right="232" w:firstLine="480"/>
        <w:jc w:val="both"/>
      </w:pPr>
      <w:r>
        <w:rPr>
          <w:rFonts w:ascii="Times New Roman" w:hAnsi="Times New Roman" w:cs="Times New Roman" w:eastAsia="Times New Roman" w:hint="default"/>
          <w:spacing w:val="-3"/>
        </w:rPr>
        <w:t>5</w:t>
      </w:r>
      <w:r>
        <w:rPr>
          <w:spacing w:val="-3"/>
        </w:rPr>
        <w:t>．资产负债表日，存货采用成本与可变现净值孰低计量。存货可变现净值是按存货的估</w:t>
      </w:r>
      <w:r>
        <w:rPr/>
        <w:t> 计售价减去至完工时估计将要发生的成本、估计的销售费用以及相关税费后的金额。在确定 存货的可变现净值时，以取得的确凿证据为基础，同时考虑持有存货的目的以及资产负债表 日后事项的影响，除有明确证据表明资产负债表日市场价格异常外，本期期末存货项目的可 变现净值以资产负债表日市场价格为基础确定，其中：</w:t>
      </w:r>
    </w:p>
    <w:p>
      <w:pPr>
        <w:spacing w:after="0" w:line="352" w:lineRule="auto"/>
        <w:jc w:val="both"/>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38" w:lineRule="auto" w:before="26"/>
        <w:ind w:right="172" w:firstLine="480"/>
        <w:jc w:val="both"/>
      </w:pPr>
      <w:r>
        <w:rPr>
          <w:rFonts w:ascii="Times New Roman" w:hAnsi="Times New Roman" w:cs="Times New Roman" w:eastAsia="Times New Roman" w:hint="default"/>
        </w:rPr>
        <w:t>(1)</w:t>
      </w:r>
      <w:r>
        <w:rPr/>
        <w:t>产成品、商品和用于出售的材料等直接用于出售的商品存货，在正常生产经营过程中</w:t>
      </w:r>
      <w:r>
        <w:rPr>
          <w:w w:val="99"/>
        </w:rPr>
        <w:t> </w:t>
      </w:r>
      <w:r>
        <w:rPr/>
        <w:t>以该存货的估计售价减去估计的销售费用和相关税费后的金额确定其可变现净值；</w:t>
      </w:r>
    </w:p>
    <w:p>
      <w:pPr>
        <w:pStyle w:val="BodyText"/>
        <w:spacing w:line="350" w:lineRule="auto"/>
        <w:ind w:right="103" w:firstLine="480"/>
        <w:jc w:val="both"/>
      </w:pPr>
      <w:r>
        <w:rPr>
          <w:rFonts w:ascii="Times New Roman" w:hAnsi="Times New Roman" w:cs="Times New Roman" w:eastAsia="Times New Roman" w:hint="default"/>
        </w:rPr>
        <w:t>(2)</w:t>
      </w:r>
      <w:r>
        <w:rPr/>
        <w:t>需要经过加工的材料存货，在正常生产经营过程中以所生产的产成品的估计售价减去</w:t>
      </w:r>
      <w:r>
        <w:rPr>
          <w:w w:val="99"/>
        </w:rPr>
        <w:t> </w:t>
      </w:r>
      <w:r>
        <w:rPr/>
        <w:t>至完工时估计将要发生的成本、估计的销售费用和相关税费后的金额确定其可变现净值；资</w:t>
      </w:r>
      <w:r>
        <w:rPr>
          <w:w w:val="99"/>
        </w:rPr>
        <w:t> </w:t>
      </w:r>
      <w:r>
        <w:rPr/>
        <w:t>产负债表日，同一项存货中一部分有合同价格约定、其他部分不存在合同价格的，分别确定</w:t>
      </w:r>
      <w:r>
        <w:rPr>
          <w:w w:val="99"/>
        </w:rPr>
        <w:t> </w:t>
      </w:r>
      <w:r>
        <w:rPr>
          <w:spacing w:val="2"/>
        </w:rPr>
        <w:t>其可变现净值，并与其对应的成本进行比较，分别确定存货跌价准备的计提或转回的金额。</w:t>
      </w:r>
    </w:p>
    <w:p>
      <w:pPr>
        <w:pStyle w:val="BodyText"/>
        <w:spacing w:line="357" w:lineRule="auto" w:before="43"/>
        <w:ind w:right="211" w:firstLine="480"/>
        <w:jc w:val="both"/>
      </w:pPr>
      <w:r>
        <w:rPr/>
        <w:t>期末按照单个存货项目计提存货跌价准备；但对于数量繁多、单价较低的存货，按照存 货类别计提存货跌价准备；与在同一地区生产和销售的产品系列相关、具有相同或者类似最 终用途或目的，且难以与其他项目分开计量的存货，则合并计提存货跌价准备。</w:t>
      </w:r>
    </w:p>
    <w:p>
      <w:pPr>
        <w:pStyle w:val="BodyText"/>
        <w:spacing w:line="357" w:lineRule="auto" w:before="36"/>
        <w:ind w:right="211" w:firstLine="480"/>
        <w:jc w:val="both"/>
      </w:pPr>
      <w:r>
        <w:rPr/>
        <w:t>计提存货跌价准备后，如果以前减记存货价值的影响因素已经消失，导致存货的可变现 净值高于其账面价值的，在原已计提的存货跌价准备金额内予以转回，转回的金额计入当期 损益。</w:t>
      </w:r>
    </w:p>
    <w:p>
      <w:pPr>
        <w:pStyle w:val="BodyText"/>
        <w:spacing w:line="240" w:lineRule="auto" w:before="36"/>
        <w:ind w:left="633" w:right="271"/>
        <w:jc w:val="left"/>
      </w:pPr>
      <w:r>
        <w:rPr>
          <w:rFonts w:ascii="Times New Roman" w:hAnsi="Times New Roman" w:cs="Times New Roman" w:eastAsia="Times New Roman" w:hint="default"/>
        </w:rPr>
        <w:t>6</w:t>
      </w:r>
      <w:r>
        <w:rPr/>
        <w:t>．存货的盘存制度为永续盘存制。</w:t>
      </w:r>
    </w:p>
    <w:p>
      <w:pPr>
        <w:pStyle w:val="Heading2"/>
        <w:spacing w:line="240" w:lineRule="auto" w:before="135"/>
        <w:ind w:left="635" w:right="271"/>
        <w:jc w:val="left"/>
        <w:rPr>
          <w:b w:val="0"/>
          <w:bCs w:val="0"/>
        </w:rPr>
      </w:pPr>
      <w:r>
        <w:rPr>
          <w:rFonts w:ascii="Times New Roman" w:hAnsi="Times New Roman" w:cs="Times New Roman" w:eastAsia="Times New Roman" w:hint="default"/>
        </w:rPr>
        <w:t>13</w:t>
      </w:r>
      <w:r>
        <w:rPr/>
        <w:t>、持有待售资产</w:t>
      </w:r>
      <w:r>
        <w:rPr>
          <w:b w:val="0"/>
          <w:bCs w:val="0"/>
        </w:rPr>
      </w:r>
    </w:p>
    <w:p>
      <w:pPr>
        <w:pStyle w:val="BodyText"/>
        <w:spacing w:line="338" w:lineRule="auto" w:before="135"/>
        <w:ind w:left="635" w:right="271"/>
        <w:jc w:val="left"/>
      </w:pPr>
      <w:r>
        <w:rPr>
          <w:rFonts w:ascii="Times New Roman" w:hAnsi="Times New Roman" w:cs="Times New Roman" w:eastAsia="Times New Roman" w:hint="default"/>
        </w:rPr>
        <w:t>1</w:t>
      </w:r>
      <w:r>
        <w:rPr/>
        <w:t>．划分为持有待售类别的条件 公司主要通过出售</w:t>
      </w:r>
      <w:r>
        <w:rPr>
          <w:rFonts w:ascii="Times New Roman" w:hAnsi="Times New Roman" w:cs="Times New Roman" w:eastAsia="Times New Roman" w:hint="default"/>
        </w:rPr>
        <w:t>(</w:t>
      </w:r>
      <w:r>
        <w:rPr/>
        <w:t>包括具有商业实质的非货币性资产交换，下同</w:t>
      </w:r>
      <w:r>
        <w:rPr>
          <w:rFonts w:ascii="Times New Roman" w:hAnsi="Times New Roman" w:cs="Times New Roman" w:eastAsia="Times New Roman" w:hint="default"/>
        </w:rPr>
        <w:t>)</w:t>
      </w:r>
      <w:r>
        <w:rPr/>
        <w:t>而非持续使用一项非</w:t>
      </w:r>
    </w:p>
    <w:p>
      <w:pPr>
        <w:pStyle w:val="BodyText"/>
        <w:spacing w:line="348" w:lineRule="auto" w:before="27"/>
        <w:ind w:left="633" w:right="153" w:hanging="480"/>
        <w:jc w:val="left"/>
      </w:pPr>
      <w:r>
        <w:rPr/>
        <w:t>流动资产或处置组收回其账面价值的，在满足下列条件时，将其划分为持有待售类别： </w:t>
      </w:r>
      <w:r>
        <w:rPr>
          <w:rFonts w:ascii="Times New Roman" w:hAnsi="Times New Roman" w:cs="Times New Roman" w:eastAsia="Times New Roman" w:hint="default"/>
        </w:rPr>
        <w:t>(1)</w:t>
      </w:r>
      <w:r>
        <w:rPr/>
        <w:t>根据类似交易中出售此类资产或处置组的惯例，在当前状况下即可立即出售； </w:t>
      </w:r>
      <w:r>
        <w:rPr>
          <w:rFonts w:ascii="Times New Roman" w:hAnsi="Times New Roman" w:cs="Times New Roman" w:eastAsia="Times New Roman" w:hint="default"/>
        </w:rPr>
        <w:t>(2)</w:t>
      </w:r>
      <w:r>
        <w:rPr/>
        <w:t>出售极可能发生，即公司已经就一项出售计划作出决议且获得确定的购买承诺，预计</w:t>
      </w:r>
    </w:p>
    <w:p>
      <w:pPr>
        <w:pStyle w:val="BodyText"/>
        <w:spacing w:line="357" w:lineRule="auto" w:before="16"/>
        <w:ind w:right="211"/>
        <w:jc w:val="both"/>
      </w:pPr>
      <w:r>
        <w:rPr/>
        <w:t>出售将在一年内完成。有关规定要求相关权力机构或者监督部门批准后方可出售的，公司已 经获得批准。确定的购买承诺，是指公司与其他方签订的具有法律约束力的购买协议，该协 议包含交易价格、时间和足够严厉的违约惩罚等重要条款，使协议出现重大调整或者撤销的 可能性极小。</w:t>
      </w:r>
    </w:p>
    <w:p>
      <w:pPr>
        <w:pStyle w:val="BodyText"/>
        <w:spacing w:line="357" w:lineRule="auto" w:before="37"/>
        <w:ind w:right="211" w:firstLine="480"/>
        <w:jc w:val="both"/>
      </w:pPr>
      <w:r>
        <w:rPr/>
        <w:t>公司因出售对子公司的投资等原因导致其丧失对子公司控制权的，当拟出售的子公司投 资满足持有待售类别划分条件时，在母公司个别财务报表中将对子公司投资整体划分为持有 待售类别，在合并报表中将子公司所有资产和负债划分为持有待售类别。</w:t>
      </w:r>
    </w:p>
    <w:p>
      <w:pPr>
        <w:pStyle w:val="BodyText"/>
        <w:spacing w:line="357" w:lineRule="auto" w:before="36"/>
        <w:ind w:right="211" w:firstLine="480"/>
        <w:jc w:val="both"/>
      </w:pPr>
      <w:r>
        <w:rPr/>
        <w:t>持有待售的非流动资产或处置组不再满足持有待售类别划分条件的，公司停止将其划分 为持有待售类别。部分资产或负债从持有待售的处置组中移除的，处置组中剩余资产或负债 新组成的处置组仍满足持有待售划分条件的，公司将新组成的处置组划分为持有待售类别，</w:t>
      </w:r>
    </w:p>
    <w:p>
      <w:pPr>
        <w:spacing w:after="0" w:line="357" w:lineRule="auto"/>
        <w:jc w:val="both"/>
        <w:sectPr>
          <w:pgSz w:w="11910" w:h="16840"/>
          <w:pgMar w:header="877" w:footer="980" w:top="1100" w:bottom="1160" w:left="980" w:right="960"/>
        </w:sectPr>
      </w:pPr>
    </w:p>
    <w:p>
      <w:pPr>
        <w:spacing w:line="240" w:lineRule="auto" w:before="7"/>
        <w:rPr>
          <w:rFonts w:ascii="宋体" w:hAnsi="宋体" w:cs="宋体" w:eastAsia="宋体" w:hint="default"/>
          <w:sz w:val="25"/>
          <w:szCs w:val="25"/>
        </w:rPr>
      </w:pPr>
    </w:p>
    <w:p>
      <w:pPr>
        <w:pStyle w:val="BodyText"/>
        <w:spacing w:line="357" w:lineRule="auto" w:before="26"/>
        <w:ind w:left="633" w:right="253" w:hanging="480"/>
        <w:jc w:val="left"/>
      </w:pPr>
      <w:r>
        <w:rPr/>
        <w:t>否则将满足持有待售类别划分条件的非流动资产单独划分为持有待售类别。 对于当期首次满足持有待售类别划分条件的非流动资产或处置组，不调整可比会计期间</w:t>
      </w:r>
    </w:p>
    <w:p>
      <w:pPr>
        <w:pStyle w:val="BodyText"/>
        <w:spacing w:line="240" w:lineRule="auto" w:before="36"/>
        <w:ind w:right="0"/>
        <w:jc w:val="both"/>
      </w:pPr>
      <w:r>
        <w:rPr/>
        <w:t>的资产负债表。</w:t>
      </w:r>
    </w:p>
    <w:p>
      <w:pPr>
        <w:pStyle w:val="BodyText"/>
        <w:spacing w:line="338" w:lineRule="auto" w:before="154"/>
        <w:ind w:left="633" w:right="253"/>
        <w:jc w:val="left"/>
      </w:pPr>
      <w:r>
        <w:rPr>
          <w:rFonts w:ascii="Times New Roman" w:hAnsi="Times New Roman" w:cs="Times New Roman" w:eastAsia="Times New Roman" w:hint="default"/>
        </w:rPr>
        <w:t>2</w:t>
      </w:r>
      <w:r>
        <w:rPr/>
        <w:t>．持有待售类的非流动资产或处置组的初始计量及后续计量 对于取得日划分为持有待售类别的非流动资产或处置组，公司在初始计量时比较假定其</w:t>
      </w:r>
    </w:p>
    <w:p>
      <w:pPr>
        <w:pStyle w:val="BodyText"/>
        <w:spacing w:line="357" w:lineRule="auto"/>
        <w:ind w:right="271"/>
        <w:jc w:val="both"/>
      </w:pPr>
      <w:r>
        <w:rPr/>
        <w:t>不划分为持有待售类别情况下的初始计量金额和公允价值减去出售费用后的净额，以两者孰 低计量。除公司合并中取得的非流动资产或处置组外，由非流动资产或处置组以公允价值减 去出售费用后的净额作为初始计量金额而产生的差额，计入当期损益。</w:t>
      </w:r>
    </w:p>
    <w:p>
      <w:pPr>
        <w:pStyle w:val="BodyText"/>
        <w:spacing w:line="357" w:lineRule="auto" w:before="37"/>
        <w:ind w:right="269" w:firstLine="480"/>
        <w:jc w:val="both"/>
      </w:pPr>
      <w:r>
        <w:rPr/>
        <w:t>公司将非流动资产或处置组首次划分为持有待售类别前，按照相关会计准则规定计量非 流动资产或处置组中各项资产和负债的账面价值。在初始计量或资产负债表日重新计量持有 待售的非流动资产或处置组时，其账面价值高于公允价值减去出售费用后的净额的，将账面 价值减记至公允价值减去出售费用后的净额，减记的金额确认为资产减值损失，计入当期损 益，同时计提持有待售资产减值准备。持有待售的非流动资产或处置组中的非流动资产不计 提折旧或摊销，持有待售的处置组中的负债的利息和其他费用应继续予以确认。</w:t>
      </w:r>
    </w:p>
    <w:p>
      <w:pPr>
        <w:pStyle w:val="BodyText"/>
        <w:spacing w:line="348" w:lineRule="auto" w:before="36"/>
        <w:ind w:right="97" w:firstLine="480"/>
        <w:jc w:val="left"/>
      </w:pPr>
      <w:r>
        <w:rPr/>
        <w:t>公司对持有待售的处置组确认资产减值损失金额时，先抵减处置组商誉的账面价值，再 </w:t>
      </w:r>
      <w:r>
        <w:rPr>
          <w:spacing w:val="-7"/>
        </w:rPr>
        <w:t>根据处置组中适用《企业会计准则第</w:t>
      </w:r>
      <w:r>
        <w:rPr>
          <w:rFonts w:ascii="Times New Roman" w:hAnsi="Times New Roman" w:cs="Times New Roman" w:eastAsia="Times New Roman" w:hint="default"/>
          <w:spacing w:val="-7"/>
        </w:rPr>
        <w:t>42</w:t>
      </w:r>
      <w:r>
        <w:rPr>
          <w:spacing w:val="-7"/>
        </w:rPr>
        <w:t>号</w:t>
      </w:r>
      <w:r>
        <w:rPr>
          <w:rFonts w:ascii="Times New Roman" w:hAnsi="Times New Roman" w:cs="Times New Roman" w:eastAsia="Times New Roman" w:hint="default"/>
          <w:spacing w:val="-7"/>
        </w:rPr>
        <w:t>——</w:t>
      </w:r>
      <w:r>
        <w:rPr>
          <w:spacing w:val="-7"/>
        </w:rPr>
        <w:t>持有待售的非流动资产、处置组和终止经营》</w:t>
      </w:r>
      <w:r>
        <w:rPr>
          <w:rFonts w:ascii="Times New Roman" w:hAnsi="Times New Roman" w:cs="Times New Roman" w:eastAsia="Times New Roman" w:hint="default"/>
          <w:spacing w:val="-7"/>
        </w:rPr>
        <w:t>(</w:t>
      </w:r>
      <w:r>
        <w:rPr>
          <w:spacing w:val="-7"/>
        </w:rPr>
        <w:t>以</w:t>
      </w:r>
      <w:r>
        <w:rPr>
          <w:spacing w:val="-101"/>
        </w:rPr>
        <w:t> </w:t>
      </w:r>
      <w:r>
        <w:rPr/>
        <w:t>下简称第</w:t>
      </w:r>
      <w:r>
        <w:rPr>
          <w:rFonts w:ascii="Times New Roman" w:hAnsi="Times New Roman" w:cs="Times New Roman" w:eastAsia="Times New Roman" w:hint="default"/>
        </w:rPr>
        <w:t>42</w:t>
      </w:r>
      <w:r>
        <w:rPr/>
        <w:t>号准则</w:t>
      </w:r>
      <w:r>
        <w:rPr>
          <w:rFonts w:ascii="Times New Roman" w:hAnsi="Times New Roman" w:cs="Times New Roman" w:eastAsia="Times New Roman" w:hint="default"/>
        </w:rPr>
        <w:t>)</w:t>
      </w:r>
      <w:r>
        <w:rPr/>
        <w:t>计量规定的各项非流动资产账面价值所占比重，按比例抵减其账面价值。</w:t>
      </w:r>
      <w:r>
        <w:rPr>
          <w:spacing w:val="-57"/>
        </w:rPr>
        <w:t> </w:t>
      </w:r>
      <w:r>
        <w:rPr/>
        <w:t>公司在资产负债表日重新计量持有待售的处置组时，首先按照相关会计准则规定计量处置组</w:t>
      </w:r>
      <w:r>
        <w:rPr/>
        <w:t> </w:t>
      </w:r>
      <w:r>
        <w:rPr>
          <w:spacing w:val="-2"/>
        </w:rPr>
        <w:t>中不适用第</w:t>
      </w:r>
      <w:r>
        <w:rPr>
          <w:rFonts w:ascii="Times New Roman" w:hAnsi="Times New Roman" w:cs="Times New Roman" w:eastAsia="Times New Roman" w:hint="default"/>
          <w:spacing w:val="-2"/>
        </w:rPr>
        <w:t>42</w:t>
      </w:r>
      <w:r>
        <w:rPr>
          <w:spacing w:val="-2"/>
        </w:rPr>
        <w:t>号准则计量规定的资产和负债的账面价值，再按照上述相关规定进行会计处理。</w:t>
      </w:r>
    </w:p>
    <w:p>
      <w:pPr>
        <w:pStyle w:val="BodyText"/>
        <w:spacing w:line="357" w:lineRule="auto" w:before="16"/>
        <w:ind w:right="271" w:firstLine="480"/>
        <w:jc w:val="both"/>
      </w:pPr>
      <w:r>
        <w:rPr/>
        <w:t>后续资产负债表日持有待售的非流动资产公允价值减去出售费用后的净额增加的，以前 减记的金额应当予以恢复，并在划分为持有待售类别后确认的资产减值损失金额内转回，转 回金额计入当期损益；划分为持有待售类别前确认的资产减值损失不得转回。</w:t>
      </w:r>
    </w:p>
    <w:p>
      <w:pPr>
        <w:pStyle w:val="BodyText"/>
        <w:spacing w:line="348" w:lineRule="auto" w:before="36"/>
        <w:ind w:right="269" w:firstLine="480"/>
        <w:jc w:val="both"/>
      </w:pPr>
      <w:r>
        <w:rPr/>
        <w:t>后续资产负债表日持有待售的处置组公允价值减去出售费用后的净额增加的，以前减记 的金额应当予以恢复，并在划分为持有待售类别后适用第</w:t>
      </w:r>
      <w:r>
        <w:rPr>
          <w:rFonts w:ascii="Times New Roman" w:hAnsi="Times New Roman" w:cs="Times New Roman" w:eastAsia="Times New Roman" w:hint="default"/>
        </w:rPr>
        <w:t>42</w:t>
      </w:r>
      <w:r>
        <w:rPr/>
        <w:t>号准则计量规定的非流动资产确 认的资产减值损失金额内转回，转回金额依据处置组中除商誉外的适用第</w:t>
      </w:r>
      <w:r>
        <w:rPr>
          <w:rFonts w:ascii="Times New Roman" w:hAnsi="Times New Roman" w:cs="Times New Roman" w:eastAsia="Times New Roman" w:hint="default"/>
        </w:rPr>
        <w:t>42</w:t>
      </w:r>
      <w:r>
        <w:rPr/>
        <w:t>号准则计量规定 的各项非流动资产账面价值所占比重，按比例增加其账面价值，同时将转回金额计入当期损 益。已抵减的商誉账面价值以及划分为持有待售类别前确认的资产减值损失不得转回。</w:t>
      </w:r>
    </w:p>
    <w:p>
      <w:pPr>
        <w:pStyle w:val="BodyText"/>
        <w:spacing w:line="338" w:lineRule="auto" w:before="46"/>
        <w:ind w:left="633" w:right="253"/>
        <w:jc w:val="left"/>
      </w:pPr>
      <w:r>
        <w:rPr>
          <w:rFonts w:ascii="Times New Roman" w:hAnsi="Times New Roman" w:cs="Times New Roman" w:eastAsia="Times New Roman" w:hint="default"/>
        </w:rPr>
        <w:t>3</w:t>
      </w:r>
      <w:r>
        <w:rPr/>
        <w:t>．划分为持有待售类别的终止确认和计量 非流动资产或处置组不再满足持有待售类别的划分条件而不再继续划分为持有待售类别</w:t>
      </w:r>
    </w:p>
    <w:p>
      <w:pPr>
        <w:spacing w:after="0" w:line="338" w:lineRule="auto"/>
        <w:jc w:val="left"/>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48" w:lineRule="auto" w:before="26"/>
        <w:ind w:right="156"/>
        <w:jc w:val="both"/>
      </w:pPr>
      <w:r>
        <w:rPr>
          <w:spacing w:val="-1"/>
        </w:rPr>
        <w:t>或非流动资产从持有待售的处置组中移除时，按照以下两者孰低计量：</w:t>
      </w:r>
      <w:r>
        <w:rPr>
          <w:rFonts w:ascii="Times New Roman" w:hAnsi="Times New Roman" w:cs="Times New Roman" w:eastAsia="Times New Roman" w:hint="default"/>
          <w:spacing w:val="-1"/>
        </w:rPr>
        <w:t>(1)</w:t>
      </w:r>
      <w:r>
        <w:rPr>
          <w:spacing w:val="-1"/>
        </w:rPr>
        <w:t>划分为持有待售类</w:t>
      </w:r>
      <w:r>
        <w:rPr>
          <w:spacing w:val="-84"/>
        </w:rPr>
        <w:t> </w:t>
      </w:r>
      <w:r>
        <w:rPr/>
        <w:t>别前的账面价值，按照假定不划分为持有待售类别情况下本应确认的折旧、摊销或减值等进</w:t>
      </w:r>
      <w:r>
        <w:rPr/>
        <w:t> 行调整后的金额；</w:t>
      </w:r>
      <w:r>
        <w:rPr>
          <w:rFonts w:ascii="Times New Roman" w:hAnsi="Times New Roman" w:cs="Times New Roman" w:eastAsia="Times New Roman" w:hint="default"/>
        </w:rPr>
        <w:t>(2)</w:t>
      </w:r>
      <w:r>
        <w:rPr/>
        <w:t>可收回金额。</w:t>
      </w:r>
    </w:p>
    <w:p>
      <w:pPr>
        <w:pStyle w:val="BodyText"/>
        <w:spacing w:line="357" w:lineRule="auto" w:before="16"/>
        <w:ind w:right="191" w:firstLine="480"/>
        <w:jc w:val="both"/>
      </w:pPr>
      <w:r>
        <w:rPr/>
        <w:t>公司终止确认持有待售的非流动资产或处置组时，将尚未确认的利得或损失计入当期损 益。</w:t>
      </w:r>
    </w:p>
    <w:p>
      <w:pPr>
        <w:spacing w:line="338" w:lineRule="auto" w:before="36"/>
        <w:ind w:left="633" w:right="17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14</w:t>
      </w:r>
      <w:r>
        <w:rPr>
          <w:rFonts w:ascii="宋体" w:hAnsi="宋体" w:cs="宋体" w:eastAsia="宋体" w:hint="default"/>
          <w:b/>
          <w:bCs/>
          <w:sz w:val="24"/>
          <w:szCs w:val="24"/>
        </w:rPr>
        <w:t>、长期股权投资</w:t>
      </w:r>
      <w:r>
        <w:rPr>
          <w:rFonts w:ascii="宋体" w:hAnsi="宋体" w:cs="宋体" w:eastAsia="宋体" w:hint="default"/>
          <w:b/>
          <w:bCs/>
          <w:w w:val="99"/>
          <w:sz w:val="24"/>
          <w:szCs w:val="24"/>
        </w:rPr>
        <w:t> </w:t>
      </w:r>
      <w:r>
        <w:rPr>
          <w:rFonts w:ascii="宋体" w:hAnsi="宋体" w:cs="宋体" w:eastAsia="宋体" w:hint="default"/>
          <w:sz w:val="24"/>
          <w:szCs w:val="24"/>
        </w:rPr>
        <w:t>本部分所指的长期股权投资是指本公司对被投资单位具有控制、共同控制或重大影响的</w:t>
      </w:r>
    </w:p>
    <w:p>
      <w:pPr>
        <w:pStyle w:val="BodyText"/>
        <w:spacing w:line="350" w:lineRule="auto"/>
        <w:ind w:right="163"/>
        <w:jc w:val="both"/>
      </w:pPr>
      <w:r>
        <w:rPr/>
        <w:t>长期股权投资，包括对子公司、合营企业和联营企业的权益性投资。本公司对被投资单位不 具有控制、共同控制或重大影响的长期股权投资，作为可供出售金融资产或以公允价值计量 且其变动计入当期损益的金融资产核算，其会计政策详见本附注五</w:t>
      </w:r>
      <w:r>
        <w:rPr>
          <w:rFonts w:ascii="Times New Roman" w:hAnsi="Times New Roman" w:cs="Times New Roman" w:eastAsia="Times New Roman" w:hint="default"/>
        </w:rPr>
        <w:t>(10</w:t>
      </w:r>
      <w:r>
        <w:rPr>
          <w:rFonts w:ascii="Times New Roman" w:hAnsi="Times New Roman" w:cs="Times New Roman" w:eastAsia="Times New Roman" w:hint="default"/>
        </w:rPr>
        <w:t>)“</w:t>
      </w:r>
      <w:r>
        <w:rPr/>
        <w:t>金融工具的确认和计 量</w:t>
      </w:r>
      <w:r>
        <w:rPr>
          <w:rFonts w:ascii="Times New Roman" w:hAnsi="Times New Roman" w:cs="Times New Roman" w:eastAsia="Times New Roman" w:hint="default"/>
        </w:rPr>
        <w:t>”</w:t>
      </w:r>
      <w:r>
        <w:rPr/>
        <w:t>。</w:t>
      </w:r>
    </w:p>
    <w:p>
      <w:pPr>
        <w:pStyle w:val="BodyText"/>
        <w:spacing w:line="338" w:lineRule="auto" w:before="13"/>
        <w:ind w:left="633" w:right="173"/>
        <w:jc w:val="left"/>
      </w:pPr>
      <w:r>
        <w:rPr>
          <w:rFonts w:ascii="Times New Roman" w:hAnsi="Times New Roman" w:cs="Times New Roman" w:eastAsia="Times New Roman" w:hint="default"/>
        </w:rPr>
        <w:t>1</w:t>
      </w:r>
      <w:r>
        <w:rPr/>
        <w:t>．共同控制和重大影响的判断标准 共同控制，是指按照相关约定对某项安排所共有的控制，并且该安排的相关活动必须经</w:t>
      </w:r>
    </w:p>
    <w:p>
      <w:pPr>
        <w:pStyle w:val="BodyText"/>
        <w:spacing w:line="357" w:lineRule="auto"/>
        <w:ind w:right="191"/>
        <w:jc w:val="both"/>
      </w:pPr>
      <w:r>
        <w:rPr/>
        <w:t>过分享控制权的参与方一致同意后才能决策。本公司与其他合营方一同对被投资单位实施共 同控制且对被投资单位实施共同控制且对被投资单位净资产享有权利的，被投资单位为本公 司的合营企业。判断是否存在共同控制时，不考虑享有的保护性权利。</w:t>
      </w:r>
    </w:p>
    <w:p>
      <w:pPr>
        <w:pStyle w:val="BodyText"/>
        <w:spacing w:line="357" w:lineRule="auto" w:before="36"/>
        <w:ind w:right="191" w:firstLine="480"/>
        <w:jc w:val="both"/>
      </w:pPr>
      <w:r>
        <w:rPr/>
        <w:t>重大影响，是指对一个企业的财务和经营决策有参与决策的权力，但并不能够控制或者 与其他方一起共同控制这些政策的制定。本公司能够对被投资单位施加重大影响的，被投资 单位为本公司联营企业。在确定能否对被投资单位施加重大影响时，考虑投资方直接或间接 持有被投资单位的表决权股份以及投资方及其他方持有的当期可执行潜在表决权在假定转换 为对被投资方单位的股权后产生的影响，包括被投资单位发行的当期可转换的认股权证、股 份期权及可转换公司债券等的影响。</w:t>
      </w:r>
    </w:p>
    <w:p>
      <w:pPr>
        <w:pStyle w:val="BodyText"/>
        <w:spacing w:line="338" w:lineRule="auto" w:before="36"/>
        <w:ind w:left="633" w:right="133"/>
        <w:jc w:val="left"/>
      </w:pPr>
      <w:r>
        <w:rPr>
          <w:rFonts w:ascii="Times New Roman" w:hAnsi="Times New Roman" w:cs="Times New Roman" w:eastAsia="Times New Roman" w:hint="default"/>
        </w:rPr>
        <w:t>2</w:t>
      </w:r>
      <w:r>
        <w:rPr/>
        <w:t>．长期股权投资的投资成本的确定 </w:t>
      </w:r>
      <w:r>
        <w:rPr>
          <w:rFonts w:ascii="Times New Roman" w:hAnsi="Times New Roman" w:cs="Times New Roman" w:eastAsia="Times New Roman" w:hint="default"/>
        </w:rPr>
        <w:t>(1)</w:t>
      </w:r>
      <w:r>
        <w:rPr/>
        <w:t>同一控制下的合并形成的，合并方以支付现金、转让非现金资产、承担债务或发行权</w:t>
      </w:r>
    </w:p>
    <w:p>
      <w:pPr>
        <w:pStyle w:val="BodyText"/>
        <w:spacing w:line="357" w:lineRule="auto" w:before="27"/>
        <w:ind w:right="150"/>
        <w:jc w:val="both"/>
      </w:pPr>
      <w:r>
        <w:rPr/>
        <w:t>益性证券作为合并对价的，在合并日按取得被合并方所有者权益在最终控制方合并财务报表 中的账面价值的份额作为其初始投资成本。长期股权投资初始投资成本与支付的现金、转让 的非现金资产、所承担债务账面价值或发行股份的面值总额之间的差额调整资本公积；资本 公积不足冲减的，调整留存收益。通过多次交易分步取得同一控制下被合并方的股权，最终 </w:t>
      </w:r>
      <w:r>
        <w:rPr>
          <w:spacing w:val="-4"/>
        </w:rPr>
        <w:t>形成同一控制下企业合并的，应分别是否属于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进行处理：属于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w:t>
      </w:r>
    </w:p>
    <w:p>
      <w:pPr>
        <w:spacing w:after="0" w:line="357" w:lineRule="auto"/>
        <w:jc w:val="both"/>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2" w:lineRule="auto" w:before="26"/>
        <w:ind w:right="191"/>
        <w:jc w:val="both"/>
      </w:pPr>
      <w:r>
        <w:rPr/>
        <w:t>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 照应享有被合并方股东权益在最终控制方合并财务报表中的账面价值的份额作为长期股权投 资的初始投资成本，长期股权投资初始投资成本与达到合并前的长期股权投资账面价值加上 合并日进一步取得股份新支付对价的账面价值之和的差额，调整资本公积；资本公积不足冲 减的，调整留存收益。合并日之前持有的股权投资因采用权益法核算或为可供出售金融资产 而确认的其他综合收益，暂不进行会计处理。</w:t>
      </w:r>
    </w:p>
    <w:p>
      <w:pPr>
        <w:pStyle w:val="BodyText"/>
        <w:spacing w:line="352" w:lineRule="auto" w:before="41"/>
        <w:ind w:right="133" w:firstLine="480"/>
        <w:jc w:val="left"/>
      </w:pPr>
      <w:r>
        <w:rPr>
          <w:rFonts w:ascii="Times New Roman" w:hAnsi="Times New Roman" w:cs="Times New Roman" w:eastAsia="Times New Roman" w:hint="default"/>
        </w:rPr>
        <w:t>(2)</w:t>
      </w:r>
      <w:r>
        <w:rPr/>
        <w:t>非同一控制下的企业合并形成的，公司按照购买日确定的合并成本作为长期股权投资</w:t>
      </w:r>
      <w:r>
        <w:rPr>
          <w:w w:val="99"/>
        </w:rPr>
        <w:t> </w:t>
      </w:r>
      <w:r>
        <w:rPr/>
        <w:t>的初始投资成本。合并成本为购买日购买方为取得对被购买方的控制权而付出的资产、发生</w:t>
      </w:r>
      <w:r>
        <w:rPr>
          <w:w w:val="99"/>
        </w:rPr>
        <w:t> </w:t>
      </w:r>
      <w:r>
        <w:rPr/>
        <w:t>或承担的负债以及发行的权益性证券的公允价值。购买方为企业合并而发生的审计、法律服</w:t>
      </w:r>
      <w:r>
        <w:rPr>
          <w:w w:val="99"/>
        </w:rPr>
        <w:t> </w:t>
      </w:r>
      <w:r>
        <w:rPr/>
        <w:t>务、评估咨询等中介费用以及其他相关管理费用于发生时计入当期损益；购买方作为合并对</w:t>
      </w:r>
      <w:r>
        <w:rPr>
          <w:w w:val="99"/>
        </w:rPr>
        <w:t> </w:t>
      </w:r>
      <w:r>
        <w:rPr/>
        <w:t>价发行的权益性证券或债务性证券的交易费用，计入权益性证券或债务性证券的初始确认金</w:t>
      </w:r>
      <w:r>
        <w:rPr>
          <w:w w:val="99"/>
        </w:rPr>
        <w:t> </w:t>
      </w:r>
      <w:r>
        <w:rPr/>
        <w:t>额。本公司将合并协议约定的或有对价作为企业合并转移对价的一部分，按照其在购买日的</w:t>
      </w:r>
      <w:r>
        <w:rPr>
          <w:w w:val="99"/>
        </w:rPr>
        <w:t> </w:t>
      </w:r>
      <w:r>
        <w:rPr/>
        <w:t>公允价值计入企业合并成本。通过多次交易分步实现的非同一控制下企业合并，根据企业会</w:t>
      </w:r>
      <w:r>
        <w:rPr>
          <w:w w:val="99"/>
        </w:rPr>
        <w:t> </w:t>
      </w:r>
      <w:r>
        <w:rPr/>
        <w:t>计准则判断该多次交易是否属于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 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的，按照原持有被购买方的股权投资 账面价值加上新增投资成本之和，作为改按成本法核算的长期股权投资的初始投资成本；原 持有的股权采用权益法核算的，相关其他综合收益暂不进行会计处理；原持有股权投资为可 供出售金融资产的，其公允价值与账面价值之间的差额，以及原计入其他综合收益的累计公 允价值变动转入当期损益。</w:t>
      </w:r>
    </w:p>
    <w:p>
      <w:pPr>
        <w:pStyle w:val="BodyText"/>
        <w:spacing w:line="348" w:lineRule="auto" w:before="41"/>
        <w:ind w:right="150" w:firstLine="480"/>
        <w:jc w:val="both"/>
      </w:pPr>
      <w:r>
        <w:rPr>
          <w:rFonts w:ascii="Times New Roman" w:hAnsi="Times New Roman" w:cs="Times New Roman" w:eastAsia="Times New Roman" w:hint="default"/>
        </w:rPr>
        <w:t>(3)</w:t>
      </w:r>
      <w:r>
        <w:rPr/>
        <w:t>除企业合并形成的长期股权投资外的其他股权投资，按成本进行初始计量：以支付现</w:t>
      </w:r>
      <w:r>
        <w:rPr>
          <w:w w:val="99"/>
        </w:rPr>
        <w:t> </w:t>
      </w:r>
      <w:r>
        <w:rPr/>
        <w:t>金取得的，按照实际支付的购买价款作为其初始投资成本；以发行权益性证券取得的，按照</w:t>
      </w:r>
      <w:r>
        <w:rPr>
          <w:w w:val="99"/>
        </w:rPr>
        <w:t> </w:t>
      </w:r>
      <w:r>
        <w:rPr/>
        <w:t>发行权益性证券的公允价值作为其初始投资成本，与发行权益性证券直接相关的费用，按照</w:t>
      </w:r>
    </w:p>
    <w:p>
      <w:pPr>
        <w:pStyle w:val="BodyText"/>
        <w:spacing w:line="355" w:lineRule="auto" w:before="46"/>
        <w:ind w:right="190"/>
        <w:jc w:val="both"/>
      </w:pP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金融工具列报》的有关规定确定；在非货币性资产交换具有商业 实质和换入资产或换出资产的公允价值能够可靠计量的前提下，非货币性资产交换换入的长 期股权投资以换出资产的公允价值和应支付的相关税费确定其初始投资成本，除非有确凿证 据表明换入资产的公允价值更加可靠；不满足上述前提的非货币性资产交换，以换出资产的 账面价值和应支付的相关税费作为换入长期股权投资的初始投资成本。通过债务重组取得的 长期股权投资，其初始投资成本按照公允价值为基础确定。与取得长期股权投资直接相关的 费用、税金及其他必要支出也计入投资成本。</w:t>
      </w:r>
    </w:p>
    <w:p>
      <w:pPr>
        <w:spacing w:after="0" w:line="355" w:lineRule="auto"/>
        <w:jc w:val="both"/>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2" w:lineRule="auto" w:before="26"/>
        <w:ind w:right="270" w:firstLine="480"/>
        <w:jc w:val="both"/>
      </w:pPr>
      <w:r>
        <w:rPr/>
        <w:t>对于因追加投资能够对被投资单位实施重大影响或实施共同控制但不构成控制的，长期 股权投资成本为按照《企业会计准则第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金融工具确认和计量》确定的原持有股权投 资的公允价值加上新增投资成本之和，作为改按权益法核算的初始投资成本。原持有的股权 投资分类为可供出售金融资产的，其公允价值与账面价值之间的差额，以及原计入其他综合 收益的累计公允价值变动应当转入改按权益法核算的当期损益。</w:t>
      </w:r>
    </w:p>
    <w:p>
      <w:pPr>
        <w:pStyle w:val="BodyText"/>
        <w:spacing w:line="338" w:lineRule="auto" w:before="41"/>
        <w:ind w:left="633" w:right="4693"/>
        <w:jc w:val="left"/>
      </w:pPr>
      <w:r>
        <w:rPr>
          <w:rFonts w:ascii="Times New Roman" w:hAnsi="Times New Roman" w:cs="Times New Roman" w:eastAsia="Times New Roman" w:hint="default"/>
        </w:rPr>
        <w:t>3</w:t>
      </w:r>
      <w:r>
        <w:rPr/>
        <w:t>．长期股权投资的后续计量及损益确认方法 </w:t>
      </w:r>
      <w:r>
        <w:rPr>
          <w:rFonts w:ascii="Times New Roman" w:hAnsi="Times New Roman" w:cs="Times New Roman" w:eastAsia="Times New Roman" w:hint="default"/>
        </w:rPr>
        <w:t>(1)</w:t>
      </w:r>
      <w:r>
        <w:rPr/>
        <w:t>成本法核算的长期股权投资</w:t>
      </w:r>
    </w:p>
    <w:p>
      <w:pPr>
        <w:pStyle w:val="BodyText"/>
        <w:spacing w:line="357" w:lineRule="auto" w:before="27"/>
        <w:ind w:right="271" w:firstLine="480"/>
        <w:jc w:val="both"/>
      </w:pPr>
      <w:r>
        <w:rPr/>
        <w:t>公司对子公司的长期股权投资，采用成本法核算。除取得投资时实际支付的价款或对价 中包含的已宣告但尚未发放的现金股利或利润外，公司按照享有被投资单位宣告发放的现金 股利或利润确认当期投资收益。</w:t>
      </w:r>
    </w:p>
    <w:p>
      <w:pPr>
        <w:pStyle w:val="BodyText"/>
        <w:spacing w:line="348" w:lineRule="auto" w:before="36"/>
        <w:ind w:left="633" w:right="253"/>
        <w:jc w:val="left"/>
      </w:pPr>
      <w:r>
        <w:rPr>
          <w:rFonts w:ascii="Times New Roman" w:hAnsi="Times New Roman" w:cs="Times New Roman" w:eastAsia="Times New Roman" w:hint="default"/>
        </w:rPr>
        <w:t>(2)</w:t>
      </w:r>
      <w:r>
        <w:rPr/>
        <w:t>权益法核算的长期股权投资</w:t>
      </w:r>
      <w:r>
        <w:rPr>
          <w:w w:val="99"/>
        </w:rPr>
        <w:t> </w:t>
      </w:r>
      <w:r>
        <w:rPr/>
        <w:t>对联营企业和合营企业的长期股权投资，采用权益法核算。</w:t>
      </w:r>
      <w:r>
        <w:rPr>
          <w:w w:val="99"/>
        </w:rPr>
        <w:t> </w:t>
      </w:r>
      <w:r>
        <w:rPr/>
        <w:t>采用权益法核算的长期股权投资的初始投资成本大于投资时应享有被投资单位可辨认净</w:t>
      </w:r>
    </w:p>
    <w:p>
      <w:pPr>
        <w:pStyle w:val="BodyText"/>
        <w:spacing w:line="357" w:lineRule="auto" w:before="46"/>
        <w:ind w:right="232"/>
        <w:jc w:val="both"/>
      </w:pPr>
      <w:r>
        <w:rPr/>
        <w:t>资产公允价值份额的，不调整长期股权投资的初始投资成本；长期股权投资的初始投资成本 小于投资时应享有被投资单位可辨认净资产公允价值份额的，其差额应当计入当期损益，同 时调整长期股权投资的成本。取得长期股权投资后，被投资单位采用的会计政策及会计期间 与公司不一致的，按照公司的会计政策及会计期间对被投资单位的财务报表进行调整，并据 以确认投资损益和其他综合收益等。按照应享有或应分担的被投资单位实现的净损益和其他 综合收益的份额，分别确认投资收益和其他综合收益，同时调整长期股权投资的账面价值； 在确认应享有被投资单位净损益的份额时，以取得投资时被投资单位各项可辨认资产等的公 允价值为基础，对被投资单位的净利润进行调整后确认。按照被投资单位宣告分派的利润或 </w:t>
      </w:r>
      <w:r>
        <w:rPr>
          <w:spacing w:val="-5"/>
        </w:rPr>
        <w:t>现金股利计算应享有的部分，相应减少长期股权投资的账面价值；对于被投资单位除净损益、</w:t>
      </w:r>
      <w:r>
        <w:rPr>
          <w:spacing w:val="-118"/>
        </w:rPr>
        <w:t> </w:t>
      </w:r>
      <w:r>
        <w:rPr>
          <w:spacing w:val="-118"/>
        </w:rPr>
      </w:r>
      <w:r>
        <w:rPr/>
        <w:t>其他综合收益和利润分配以外所有者权益的其他变动，调整长期股权投资的账面价值并计入 所有者权益。公司与联营企业、合营企业之间发生的未实现内部交易损益按照享有的比例计 算归属于公司的部分，予以抵销，在此基础上确认投资收益。与被投资单位发生的未实现内 部交易损失，属于资产减值损失的，全额确认。</w:t>
      </w:r>
    </w:p>
    <w:p>
      <w:pPr>
        <w:pStyle w:val="BodyText"/>
        <w:spacing w:line="357" w:lineRule="auto" w:before="36"/>
        <w:ind w:right="95" w:firstLine="480"/>
        <w:jc w:val="left"/>
      </w:pPr>
      <w:r>
        <w:rPr/>
        <w:t>在公司确认应分担被投资单位发生亏损时，按照以下顺序进行处理：首先，冲减长期股 权投资的账面价值。其次，长期股权投资的账面价值不足以冲减的，以其他实质上构成对被 </w:t>
      </w:r>
      <w:r>
        <w:rPr>
          <w:spacing w:val="-2"/>
        </w:rPr>
        <w:t>投资单位净投资的长期权益账面价值为限继续确认投资损失、冲减长期应收项目的账面价值。</w:t>
      </w:r>
    </w:p>
    <w:p>
      <w:pPr>
        <w:spacing w:after="0" w:line="357" w:lineRule="auto"/>
        <w:jc w:val="left"/>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57" w:lineRule="auto" w:before="26"/>
        <w:ind w:right="191"/>
        <w:jc w:val="both"/>
      </w:pPr>
      <w:r>
        <w:rPr/>
        <w:t>经过上述处理，按照投资合同或协议约定企业仍承担额外义务的，按预计承担的义务确认预 计负债，计入当期投资损失。被投资单位以后期间实现净利润的，本公司在收益弥补未确认 的亏损分担额后，恢复确认收益分享额。</w:t>
      </w:r>
    </w:p>
    <w:p>
      <w:pPr>
        <w:pStyle w:val="BodyText"/>
        <w:spacing w:line="357" w:lineRule="auto" w:before="36"/>
        <w:ind w:right="191" w:firstLine="480"/>
        <w:jc w:val="both"/>
      </w:pPr>
      <w:r>
        <w:rPr/>
        <w:t>在持有投资期间，被投资单位编制合并财务报表的，以合并财务报表中的净利润、其他 综合收益和其他所有者权益变动中归属于被投资单位的金额为基础进行核算。</w:t>
      </w:r>
    </w:p>
    <w:p>
      <w:pPr>
        <w:pStyle w:val="BodyText"/>
        <w:spacing w:line="352" w:lineRule="auto" w:before="36"/>
        <w:ind w:right="189" w:firstLine="480"/>
        <w:jc w:val="both"/>
      </w:pPr>
      <w:r>
        <w:rPr/>
        <w:t>对于本公司向合营企业与联营企业投出的资产构成业务的，投资方因此取得长期股权投 资但未取得控制权的，以投出业务的公允价值作为新增长期股权投资的初始投资成本，初始 投资成本与投出业务的账面价值之差，全额计入当期损益。本公司向合营企业或者联营企业 出售的资产构成业务的，取得的对价与业务的账面价值之差，全额计入当期损益。本公司自 联营及合营企业购入的资产构成业务的，按《企业会计准则第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企业合并》的规定进 行会计处理，全额确认与交易相关的利得或损失。</w:t>
      </w:r>
    </w:p>
    <w:p>
      <w:pPr>
        <w:pStyle w:val="BodyText"/>
        <w:spacing w:line="345" w:lineRule="auto" w:before="41"/>
        <w:ind w:left="633" w:right="173"/>
        <w:jc w:val="left"/>
      </w:pPr>
      <w:r>
        <w:rPr>
          <w:rFonts w:ascii="Times New Roman" w:hAnsi="Times New Roman" w:cs="Times New Roman" w:eastAsia="Times New Roman" w:hint="default"/>
        </w:rPr>
        <w:t>4</w:t>
      </w:r>
      <w:r>
        <w:rPr/>
        <w:t>．长期股权投资的处置 处置长期股权投资，其账面价值与实际取得价款的差额，计入当期损益。 </w:t>
      </w:r>
      <w:r>
        <w:rPr>
          <w:rFonts w:ascii="Times New Roman" w:hAnsi="Times New Roman" w:cs="Times New Roman" w:eastAsia="Times New Roman" w:hint="default"/>
        </w:rPr>
        <w:t>(1)</w:t>
      </w:r>
      <w:r>
        <w:rPr/>
        <w:t>权益法核算下的长期股权投资的处置 采用权益法核算的长期股权投资，处置后的剩余股权仍采用权益法核算的，在处置该项</w:t>
      </w:r>
    </w:p>
    <w:p>
      <w:pPr>
        <w:pStyle w:val="BodyText"/>
        <w:spacing w:line="357" w:lineRule="auto" w:before="48"/>
        <w:ind w:right="191"/>
        <w:jc w:val="both"/>
      </w:pPr>
      <w:r>
        <w:rPr/>
        <w:t>投资时，采用与被投资单位直接处置相关资产或者负债相同的基础，按相应比例对原计入其 他综合收益的部分进行会计处理。因被投资单位除净损益、其他综合收益和利润分配以外的 其他所有者权益变动而确认的所有者权益，按比例结转入当期损益。</w:t>
      </w:r>
    </w:p>
    <w:p>
      <w:pPr>
        <w:pStyle w:val="BodyText"/>
        <w:spacing w:line="357" w:lineRule="auto" w:before="36"/>
        <w:ind w:right="191" w:firstLine="480"/>
        <w:jc w:val="both"/>
      </w:pPr>
      <w:r>
        <w:rPr/>
        <w:t>因处置部分股权投资等原因丧失了对投资单位的共同控制或者重大影响的，处置后的剩 余股权改按金融工具确认和计量准则核算，其在丧失共同控制或重大影响之日的公允价值与 账面价值之间的差额计入当期损益。原股权投资因采用权益法核算而确认的其他综合收益， 在终止确认权益法核算时采用与被投资单位直接处置相关资产或负债相同的基础进行会计处 理。因被投资方除净损益、其他综合收益和利润分配以外的其他所有者权益变动而确认的所 有者权益，在终止采用权益法核算时全部转入当期损益。</w:t>
      </w:r>
    </w:p>
    <w:p>
      <w:pPr>
        <w:pStyle w:val="BodyText"/>
        <w:spacing w:line="338" w:lineRule="auto" w:before="36"/>
        <w:ind w:left="633" w:right="173"/>
        <w:jc w:val="left"/>
      </w:pPr>
      <w:r>
        <w:rPr>
          <w:rFonts w:ascii="Times New Roman" w:hAnsi="Times New Roman" w:cs="Times New Roman" w:eastAsia="Times New Roman" w:hint="default"/>
        </w:rPr>
        <w:t>(2)</w:t>
      </w:r>
      <w:r>
        <w:rPr/>
        <w:t>成本法核算下的长期股权投资的处置</w:t>
      </w:r>
      <w:r>
        <w:rPr>
          <w:w w:val="99"/>
        </w:rPr>
        <w:t> </w:t>
      </w:r>
      <w:r>
        <w:rPr/>
        <w:t>采用成本法核算的长期股权投资，处置后剩余股权仍采用成本法核算的，其在取得对被</w:t>
      </w:r>
    </w:p>
    <w:p>
      <w:pPr>
        <w:pStyle w:val="BodyText"/>
        <w:spacing w:line="357" w:lineRule="auto"/>
        <w:ind w:right="190"/>
        <w:jc w:val="both"/>
      </w:pPr>
      <w:r>
        <w:rPr/>
        <w:t>投资单位的控制之前因采用权益法核算或者金融工具确认和计量准则核算而确认的其他综合 收益，采用与被投资单位直接处置相关资产或者负债相同的基础进行处理，并按比例结转当 期损益；因采用权益法核算而确认的被投资单位净资产中除净损益、其他综合收益和净利润</w:t>
      </w:r>
    </w:p>
    <w:p>
      <w:pPr>
        <w:spacing w:after="0" w:line="357" w:lineRule="auto"/>
        <w:jc w:val="both"/>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before="26"/>
        <w:ind w:left="633" w:right="373" w:hanging="480"/>
        <w:jc w:val="left"/>
      </w:pPr>
      <w:r>
        <w:rPr/>
        <w:t>分配以外的其他所有者权益变动按比例结转当期损益。 因其他投资方增资而导致本公司持股比例下降、从而丧失控制权但能对被投资单位实施</w:t>
      </w:r>
    </w:p>
    <w:p>
      <w:pPr>
        <w:pStyle w:val="BodyText"/>
        <w:spacing w:line="355" w:lineRule="auto" w:before="36"/>
        <w:ind w:left="0" w:right="352"/>
        <w:jc w:val="right"/>
      </w:pPr>
      <w:r>
        <w:rPr/>
        <w:t>共同控制或施加重大影响的，按照新的持股比例确认本公司应享有的被投资单位因增资扩股 而增加净资产的份额，与应结转持股比例下降部分所对应的长期股权投资原账面价值之间的 </w:t>
      </w:r>
      <w:r>
        <w:rPr>
          <w:spacing w:val="-5"/>
        </w:rPr>
        <w:t>差额计入当期损益；然后，按照新的持股比例视同自取得投资时即采用权益法核算进行调整。</w:t>
      </w:r>
      <w:r>
        <w:rPr/>
        <w:t> 公司因处置部分股权投资或其他原因丧失了对原有子公司控制权的，处置后的剩余股权 </w:t>
      </w:r>
      <w:r>
        <w:rPr>
          <w:spacing w:val="-1"/>
        </w:rPr>
        <w:t>能够对被投资单位实施共同控制或施加重大影响的，改按权益法核算，并对该剩余股权视同</w:t>
      </w:r>
      <w:r>
        <w:rPr/>
        <w:t> 自取得时即采用权益法核算进行调整，购买日之前持有的股权投资因采用权益法核算而确认 的其他综合收益和其他所有者权益按比例结转；处置后的剩余股权不能对被投资单位实施共 同控制或施加重大影响的，改按《企业会计准则第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 定进行会计处理，其在丧失控制之日的公允价值与账面价值间的差额计入当期损益，其他综</w:t>
      </w:r>
    </w:p>
    <w:p>
      <w:pPr>
        <w:pStyle w:val="BodyText"/>
        <w:spacing w:line="357" w:lineRule="auto" w:before="38"/>
        <w:ind w:left="633" w:right="373" w:hanging="480"/>
        <w:jc w:val="left"/>
      </w:pPr>
      <w:r>
        <w:rPr/>
        <w:t>合收益和其他所有者权益全部结转为当期损益。 本公司通过多次交易分步处置对子公司股权投资直至丧失控制权，如果上述交易属于一</w:t>
      </w:r>
    </w:p>
    <w:p>
      <w:pPr>
        <w:pStyle w:val="BodyText"/>
        <w:spacing w:line="357" w:lineRule="auto" w:before="36"/>
        <w:ind w:right="97"/>
        <w:jc w:val="left"/>
      </w:pPr>
      <w:r>
        <w:rPr/>
        <w:t>揽子交易的，将各项交易作为一项处置子公司股权投资并丧失控制权的交易进行会计处理， 在丧失控制权之前每一次处置价款与所处置的股权对应的长期股权投资账面价值之间的差额，</w:t>
      </w:r>
      <w:r>
        <w:rPr>
          <w:spacing w:val="-89"/>
        </w:rPr>
        <w:t> </w:t>
      </w:r>
      <w:r>
        <w:rPr>
          <w:spacing w:val="-89"/>
        </w:rPr>
      </w:r>
      <w:r>
        <w:rPr/>
        <w:t>先确认为其他综合收益，到丧失控制权时再一并转入丧失控制权的当期损益。</w:t>
      </w:r>
    </w:p>
    <w:p>
      <w:pPr>
        <w:spacing w:line="350" w:lineRule="auto" w:before="36"/>
        <w:ind w:left="633" w:right="709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15</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z w:val="24"/>
          <w:szCs w:val="24"/>
        </w:rPr>
        <w:t>投资性房地产计量模式 成本法计量 折旧或摊销方法</w:t>
      </w:r>
    </w:p>
    <w:p>
      <w:pPr>
        <w:pStyle w:val="BodyText"/>
        <w:spacing w:line="338" w:lineRule="auto" w:before="43"/>
        <w:ind w:right="350" w:firstLine="480"/>
        <w:jc w:val="both"/>
      </w:pPr>
      <w:r>
        <w:rPr>
          <w:rFonts w:ascii="Times New Roman" w:hAnsi="Times New Roman" w:cs="Times New Roman" w:eastAsia="Times New Roman" w:hint="default"/>
          <w:spacing w:val="-3"/>
        </w:rPr>
        <w:t>1</w:t>
      </w:r>
      <w:r>
        <w:rPr>
          <w:spacing w:val="-3"/>
        </w:rPr>
        <w:t>．投资性房地产是指为赚取租金或资本增值、或者两者兼有而持有的房地产。包括已出</w:t>
      </w:r>
      <w:r>
        <w:rPr/>
        <w:t> </w:t>
      </w:r>
      <w:r>
        <w:rPr>
          <w:spacing w:val="-2"/>
        </w:rPr>
        <w:t>租的土地使用权、持有并准备增值后转让的土地使用权、已出租的建筑物</w:t>
      </w:r>
      <w:r>
        <w:rPr>
          <w:rFonts w:ascii="Times New Roman" w:hAnsi="Times New Roman" w:cs="Times New Roman" w:eastAsia="Times New Roman" w:hint="default"/>
          <w:spacing w:val="-2"/>
        </w:rPr>
        <w:t>(</w:t>
      </w:r>
      <w:r>
        <w:rPr>
          <w:spacing w:val="-2"/>
        </w:rPr>
        <w:t>含自行建造或开发</w:t>
      </w:r>
      <w:r>
        <w:rPr>
          <w:spacing w:val="-82"/>
        </w:rPr>
        <w:t> </w:t>
      </w:r>
      <w:r>
        <w:rPr/>
        <w:t>活动完成后用于出租的建筑物以及正在建造或开发过程中将来用于出租的建筑物</w:t>
      </w:r>
      <w:r>
        <w:rPr>
          <w:rFonts w:ascii="Times New Roman" w:hAnsi="Times New Roman" w:cs="Times New Roman" w:eastAsia="Times New Roman" w:hint="default"/>
        </w:rPr>
        <w:t>)</w:t>
      </w:r>
      <w:r>
        <w:rPr/>
        <w:t>。</w:t>
      </w:r>
    </w:p>
    <w:p>
      <w:pPr>
        <w:pStyle w:val="BodyText"/>
        <w:spacing w:line="348" w:lineRule="auto" w:before="27"/>
        <w:ind w:right="350" w:firstLine="480"/>
        <w:jc w:val="both"/>
      </w:pPr>
      <w:r>
        <w:rPr>
          <w:rFonts w:ascii="Times New Roman" w:hAnsi="Times New Roman" w:cs="Times New Roman" w:eastAsia="Times New Roman" w:hint="default"/>
          <w:spacing w:val="-3"/>
        </w:rPr>
        <w:t>2</w:t>
      </w:r>
      <w:r>
        <w:rPr>
          <w:spacing w:val="-3"/>
        </w:rPr>
        <w:t>．投资性房地产按照成本进行初始计量，采用成本模式进行后续计量。如与投资性房地</w:t>
      </w:r>
      <w:r>
        <w:rPr/>
        <w:t> 产有关的后续支出，如果与该资产有关的经济利益很可能流入且其成本能可靠地计量，则计 入投资性房地产成本。其他后续支出，在发生时计入当期损益。</w:t>
      </w:r>
    </w:p>
    <w:p>
      <w:pPr>
        <w:pStyle w:val="BodyText"/>
        <w:spacing w:line="338" w:lineRule="auto" w:before="46"/>
        <w:ind w:right="352" w:firstLine="480"/>
        <w:jc w:val="both"/>
      </w:pPr>
      <w:r>
        <w:rPr>
          <w:rFonts w:ascii="Times New Roman" w:hAnsi="Times New Roman" w:cs="Times New Roman" w:eastAsia="Times New Roman" w:hint="default"/>
          <w:spacing w:val="-3"/>
        </w:rPr>
        <w:t>3</w:t>
      </w:r>
      <w:r>
        <w:rPr>
          <w:spacing w:val="-3"/>
        </w:rPr>
        <w:t>．对成本模式计量的投资性房地产，采用与固定资产和无形资产相同的方法计提折旧或</w:t>
      </w:r>
      <w:r>
        <w:rPr/>
        <w:t> 进行摊销。</w:t>
      </w:r>
    </w:p>
    <w:p>
      <w:pPr>
        <w:pStyle w:val="BodyText"/>
        <w:spacing w:line="240" w:lineRule="auto"/>
        <w:ind w:left="633" w:right="21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6"/>
        </w:rPr>
        <w:t> </w:t>
      </w:r>
      <w:r>
        <w:rPr/>
        <w:t>投资性房地产的用途改变为自用时，自改变之日起，将该投资性房地产转换为固定资</w:t>
      </w:r>
    </w:p>
    <w:p>
      <w:pPr>
        <w:spacing w:after="0" w:line="240" w:lineRule="auto"/>
        <w:jc w:val="left"/>
        <w:sectPr>
          <w:pgSz w:w="11910" w:h="16840"/>
          <w:pgMar w:header="877" w:footer="980" w:top="1100" w:bottom="1160" w:left="980" w:right="780"/>
        </w:sectPr>
      </w:pPr>
    </w:p>
    <w:p>
      <w:pPr>
        <w:spacing w:line="240" w:lineRule="auto" w:before="7"/>
        <w:rPr>
          <w:rFonts w:ascii="宋体" w:hAnsi="宋体" w:cs="宋体" w:eastAsia="宋体" w:hint="default"/>
          <w:sz w:val="25"/>
          <w:szCs w:val="25"/>
        </w:rPr>
      </w:pPr>
    </w:p>
    <w:p>
      <w:pPr>
        <w:pStyle w:val="BodyText"/>
        <w:spacing w:line="357" w:lineRule="auto" w:before="26"/>
        <w:ind w:right="95"/>
        <w:jc w:val="left"/>
      </w:pPr>
      <w:r>
        <w:rPr/>
        <w:t>产或无形资产，按转换前的账面价值作为转换后的入账价值。自用房地产的用途或者存货改 变为赚取租金或资本增值时，自改变之日起，将固定资产或无形资产转换为投资性房地产， 转换为采用成本模式计量的投资性房地产的，以转换前的账面价值作为转换后的入账价值； </w:t>
      </w:r>
      <w:r>
        <w:rPr>
          <w:spacing w:val="-2"/>
        </w:rPr>
        <w:t>转换为以公允价值模式计量的投资性房地产的，以转换日的公允价值作为转换后的入账价值。</w:t>
      </w:r>
    </w:p>
    <w:p>
      <w:pPr>
        <w:pStyle w:val="BodyText"/>
        <w:spacing w:line="348" w:lineRule="auto" w:before="36"/>
        <w:ind w:right="98" w:firstLine="480"/>
        <w:jc w:val="left"/>
      </w:pPr>
      <w:r>
        <w:rPr>
          <w:rFonts w:ascii="Times New Roman" w:hAnsi="Times New Roman" w:cs="Times New Roman" w:eastAsia="Times New Roman" w:hint="default"/>
        </w:rPr>
        <w:t>5</w:t>
      </w:r>
      <w:r>
        <w:rPr/>
        <w:t>．当投资性房地产被处置、或者永久退出使用且预计不能从其处置中取得经济利益时， 终止确认该项投资性房地产。投资性房地产出售、转让、报废或毁损的处置收入扣除其账面 价值和相关税费后计入当期损益。</w:t>
      </w:r>
    </w:p>
    <w:p>
      <w:pPr>
        <w:pStyle w:val="Heading2"/>
        <w:spacing w:line="240" w:lineRule="auto" w:before="46"/>
        <w:ind w:left="352" w:right="98"/>
        <w:jc w:val="left"/>
        <w:rPr>
          <w:b w:val="0"/>
          <w:bCs w:val="0"/>
        </w:rPr>
      </w:pPr>
      <w:r>
        <w:rPr>
          <w:rFonts w:ascii="Times New Roman" w:hAnsi="Times New Roman" w:cs="Times New Roman" w:eastAsia="Times New Roman" w:hint="default"/>
        </w:rPr>
        <w:t>16</w:t>
      </w:r>
      <w:r>
        <w:rPr/>
        <w:t>、固定资产</w:t>
      </w:r>
      <w:r>
        <w:rPr>
          <w:b w:val="0"/>
          <w:bCs w:val="0"/>
        </w:rPr>
      </w:r>
    </w:p>
    <w:p>
      <w:pPr>
        <w:pStyle w:val="BodyText"/>
        <w:spacing w:line="338" w:lineRule="auto" w:before="136"/>
        <w:ind w:left="633" w:right="213" w:hanging="28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）确认条件</w:t>
      </w:r>
      <w:r>
        <w:rPr>
          <w:rFonts w:ascii="宋体" w:hAnsi="宋体" w:cs="宋体" w:eastAsia="宋体" w:hint="default"/>
          <w:b/>
          <w:bCs/>
          <w:w w:val="99"/>
        </w:rPr>
        <w:t> </w:t>
      </w:r>
      <w:r>
        <w:rPr/>
        <w:t>固定资产是指同时具有下列特征的有形资产：</w:t>
      </w:r>
      <w:r>
        <w:rPr>
          <w:rFonts w:ascii="Times New Roman" w:hAnsi="Times New Roman" w:cs="Times New Roman" w:eastAsia="Times New Roman" w:hint="default"/>
        </w:rPr>
        <w:t>(1)</w:t>
      </w:r>
      <w:r>
        <w:rPr/>
        <w:t>为生产商品、提供劳务、出租或经营管</w:t>
      </w:r>
    </w:p>
    <w:p>
      <w:pPr>
        <w:pStyle w:val="BodyText"/>
        <w:spacing w:line="345" w:lineRule="auto" w:before="27"/>
        <w:ind w:right="231"/>
        <w:jc w:val="both"/>
      </w:pPr>
      <w:r>
        <w:rPr>
          <w:spacing w:val="-2"/>
        </w:rPr>
        <w:t>理持有的；</w:t>
      </w:r>
      <w:r>
        <w:rPr>
          <w:rFonts w:ascii="Times New Roman" w:hAnsi="Times New Roman" w:cs="Times New Roman" w:eastAsia="Times New Roman" w:hint="default"/>
          <w:spacing w:val="-2"/>
        </w:rPr>
        <w:t>(2)</w:t>
      </w:r>
      <w:r>
        <w:rPr>
          <w:spacing w:val="-2"/>
        </w:rPr>
        <w:t>使用寿命超过一个会计年度。固定资产同时满足下列条件的予以确认：</w:t>
      </w:r>
      <w:r>
        <w:rPr>
          <w:rFonts w:ascii="Times New Roman" w:hAnsi="Times New Roman" w:cs="Times New Roman" w:eastAsia="Times New Roman" w:hint="default"/>
          <w:spacing w:val="-2"/>
        </w:rPr>
        <w:t>(1)</w:t>
      </w:r>
      <w:r>
        <w:rPr>
          <w:spacing w:val="-2"/>
        </w:rPr>
        <w:t>与该</w:t>
      </w:r>
      <w:r>
        <w:rPr>
          <w:spacing w:val="-77"/>
        </w:rPr>
        <w:t> </w:t>
      </w:r>
      <w:r>
        <w:rPr/>
        <w:t>固定资产有关的经济利益很可能流入企业；</w:t>
      </w:r>
      <w:r>
        <w:rPr>
          <w:rFonts w:ascii="Times New Roman" w:hAnsi="Times New Roman" w:cs="Times New Roman" w:eastAsia="Times New Roman" w:hint="default"/>
        </w:rPr>
        <w:t>(2)</w:t>
      </w:r>
      <w:r>
        <w:rPr/>
        <w:t>该固定资产的成本能够可靠地计量。与固定资 产有关的后续支出，符合上述确认条件的，计入固定资产成本；不符合上述确认条件的，发 生时计入当期损益。</w:t>
      </w:r>
    </w:p>
    <w:p>
      <w:pPr>
        <w:pStyle w:val="Heading2"/>
        <w:spacing w:line="240" w:lineRule="auto" w:before="48"/>
        <w:ind w:left="352" w:right="98"/>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5"/>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78"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1"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58"/>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47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w w:val="100"/>
                <w:sz w:val="21"/>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60"/>
              <w:jc w:val="center"/>
              <w:rPr>
                <w:rFonts w:ascii="Times New Roman" w:hAnsi="Times New Roman" w:cs="Times New Roman" w:eastAsia="Times New Roman" w:hint="default"/>
                <w:sz w:val="21"/>
                <w:szCs w:val="21"/>
              </w:rPr>
            </w:pPr>
            <w:r>
              <w:rPr>
                <w:rFonts w:ascii="Times New Roman"/>
                <w:sz w:val="21"/>
              </w:rPr>
              <w:t>2.38</w:t>
            </w:r>
          </w:p>
        </w:tc>
      </w:tr>
      <w:tr>
        <w:trPr>
          <w:trHeight w:val="47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w w:val="100"/>
                <w:sz w:val="21"/>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60"/>
              <w:jc w:val="center"/>
              <w:rPr>
                <w:rFonts w:ascii="Times New Roman" w:hAnsi="Times New Roman" w:cs="Times New Roman" w:eastAsia="Times New Roman" w:hint="default"/>
                <w:sz w:val="21"/>
                <w:szCs w:val="21"/>
              </w:rPr>
            </w:pPr>
            <w:r>
              <w:rPr>
                <w:rFonts w:ascii="Times New Roman"/>
                <w:sz w:val="21"/>
              </w:rPr>
              <w:t>31.67-19.00</w:t>
            </w:r>
          </w:p>
        </w:tc>
      </w:tr>
      <w:tr>
        <w:trPr>
          <w:trHeight w:val="48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 w:right="0"/>
              <w:jc w:val="center"/>
              <w:rPr>
                <w:rFonts w:ascii="Times New Roman" w:hAnsi="Times New Roman" w:cs="Times New Roman" w:eastAsia="Times New Roman" w:hint="default"/>
                <w:sz w:val="21"/>
                <w:szCs w:val="21"/>
              </w:rPr>
            </w:pPr>
            <w:r>
              <w:rPr>
                <w:rFonts w:ascii="Times New Roman"/>
                <w:w w:val="100"/>
                <w:sz w:val="21"/>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60"/>
              <w:jc w:val="center"/>
              <w:rPr>
                <w:rFonts w:ascii="Times New Roman" w:hAnsi="Times New Roman" w:cs="Times New Roman" w:eastAsia="Times New Roman" w:hint="default"/>
                <w:sz w:val="21"/>
                <w:szCs w:val="21"/>
              </w:rPr>
            </w:pPr>
            <w:r>
              <w:rPr>
                <w:rFonts w:ascii="Times New Roman"/>
                <w:sz w:val="21"/>
              </w:rPr>
              <w:t>31.67-19.00</w:t>
            </w:r>
          </w:p>
        </w:tc>
      </w:tr>
    </w:tbl>
    <w:p>
      <w:pPr>
        <w:pStyle w:val="BodyText"/>
        <w:spacing w:line="338" w:lineRule="auto" w:before="39"/>
        <w:ind w:right="253" w:firstLine="480"/>
        <w:jc w:val="left"/>
      </w:pPr>
      <w:r>
        <w:rPr/>
        <w:t>公司需要遵守《深圳证券交易所行业信息披露指引第</w:t>
      </w:r>
      <w:r>
        <w:rPr>
          <w:spacing w:val="-60"/>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上市公司从事快递服务业 务》的披露要求</w:t>
      </w:r>
    </w:p>
    <w:p>
      <w:pPr>
        <w:pStyle w:val="BodyText"/>
        <w:spacing w:line="240" w:lineRule="auto"/>
        <w:ind w:left="633" w:right="98"/>
        <w:jc w:val="left"/>
      </w:pPr>
      <w:r>
        <w:rPr/>
        <w:t>否</w:t>
      </w:r>
    </w:p>
    <w:p>
      <w:pPr>
        <w:spacing w:line="338" w:lineRule="auto" w:before="154"/>
        <w:ind w:left="633" w:right="213" w:hanging="28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）融资租入固定资产的认定依据、计价和折旧方法</w:t>
      </w:r>
      <w:r>
        <w:rPr>
          <w:rFonts w:ascii="宋体" w:hAnsi="宋体" w:cs="宋体" w:eastAsia="宋体" w:hint="default"/>
          <w:b/>
          <w:bCs/>
          <w:w w:val="99"/>
          <w:sz w:val="24"/>
          <w:szCs w:val="24"/>
        </w:rPr>
        <w:t> </w:t>
      </w:r>
      <w:r>
        <w:rPr>
          <w:rFonts w:ascii="宋体" w:hAnsi="宋体" w:cs="宋体" w:eastAsia="宋体" w:hint="default"/>
          <w:sz w:val="24"/>
          <w:szCs w:val="24"/>
        </w:rPr>
        <w:t>当本公司租入的固定资产符合下列一项或数项标准时，确认为融资租入固定资产：</w:t>
      </w:r>
      <w:r>
        <w:rPr>
          <w:rFonts w:ascii="Times New Roman" w:hAnsi="Times New Roman" w:cs="Times New Roman" w:eastAsia="Times New Roman" w:hint="default"/>
          <w:sz w:val="24"/>
          <w:szCs w:val="24"/>
        </w:rPr>
        <w:t>(1)</w:t>
      </w:r>
      <w:r>
        <w:rPr>
          <w:rFonts w:ascii="宋体" w:hAnsi="宋体" w:cs="宋体" w:eastAsia="宋体" w:hint="default"/>
          <w:sz w:val="24"/>
          <w:szCs w:val="24"/>
        </w:rPr>
        <w:t>在</w:t>
      </w:r>
    </w:p>
    <w:p>
      <w:pPr>
        <w:pStyle w:val="BodyText"/>
        <w:spacing w:line="343" w:lineRule="auto" w:before="27"/>
        <w:ind w:right="213"/>
        <w:jc w:val="left"/>
      </w:pPr>
      <w:r>
        <w:rPr/>
        <w:t>租赁期届满时，租赁资产的所有权转移给本公司；</w:t>
      </w:r>
      <w:r>
        <w:rPr>
          <w:rFonts w:ascii="Times New Roman" w:hAnsi="Times New Roman" w:cs="Times New Roman" w:eastAsia="Times New Roman" w:hint="default"/>
        </w:rPr>
        <w:t>(2)</w:t>
      </w:r>
      <w:r>
        <w:rPr/>
        <w:t>本公司有购买租赁资产的选择权，所订 立的购买价款预计将远低于行使选择权时租赁资产的公允价值，因而在租赁开始日就可以合 理确定本公司将会行使这种选择权；</w:t>
      </w:r>
      <w:r>
        <w:rPr>
          <w:rFonts w:ascii="Times New Roman" w:hAnsi="Times New Roman" w:cs="Times New Roman" w:eastAsia="Times New Roman" w:hint="default"/>
        </w:rPr>
        <w:t>(3)</w:t>
      </w:r>
      <w:r>
        <w:rPr/>
        <w:t>即使资产的所有权不转移，但租赁期占租赁资产使用 寿命的大部分</w:t>
      </w:r>
      <w:r>
        <w:rPr>
          <w:rFonts w:ascii="Times New Roman" w:hAnsi="Times New Roman" w:cs="Times New Roman" w:eastAsia="Times New Roman" w:hint="default"/>
        </w:rPr>
        <w:t>[</w:t>
      </w:r>
      <w:r>
        <w:rPr/>
        <w:t>通常占租赁资产使用寿命的</w:t>
      </w:r>
      <w:r>
        <w:rPr>
          <w:spacing w:val="-61"/>
        </w:rPr>
        <w:t> </w:t>
      </w:r>
      <w:r>
        <w:rPr>
          <w:rFonts w:ascii="Times New Roman" w:hAnsi="Times New Roman" w:cs="Times New Roman" w:eastAsia="Times New Roman" w:hint="default"/>
        </w:rPr>
        <w:t>75%</w:t>
      </w:r>
      <w:r>
        <w:rPr/>
        <w:t>以上</w:t>
      </w:r>
      <w:r>
        <w:rPr>
          <w:rFonts w:ascii="Times New Roman" w:hAnsi="Times New Roman" w:cs="Times New Roman" w:eastAsia="Times New Roman" w:hint="default"/>
        </w:rPr>
        <w:t>(</w:t>
      </w:r>
      <w:r>
        <w:rPr/>
        <w:t>含</w:t>
      </w:r>
      <w:r>
        <w:rPr>
          <w:spacing w:val="-62"/>
        </w:rPr>
        <w:t> </w:t>
      </w:r>
      <w:r>
        <w:rPr>
          <w:rFonts w:ascii="Times New Roman" w:hAnsi="Times New Roman" w:cs="Times New Roman" w:eastAsia="Times New Roman" w:hint="default"/>
        </w:rPr>
        <w:t>75%)]</w:t>
      </w:r>
      <w:r>
        <w:rPr/>
        <w:t>；</w:t>
      </w:r>
      <w:r>
        <w:rPr>
          <w:rFonts w:ascii="Times New Roman" w:hAnsi="Times New Roman" w:cs="Times New Roman" w:eastAsia="Times New Roman" w:hint="default"/>
        </w:rPr>
        <w:t>(4)</w:t>
      </w:r>
      <w:r>
        <w:rPr/>
        <w:t>本公司在租赁开始日的最 低租赁付款额现值，几乎相当于租赁开始日租赁资产公允价值</w:t>
      </w:r>
      <w:r>
        <w:rPr>
          <w:rFonts w:ascii="Times New Roman" w:hAnsi="Times New Roman" w:cs="Times New Roman" w:eastAsia="Times New Roman" w:hint="default"/>
        </w:rPr>
        <w:t>[90%</w:t>
      </w:r>
      <w:r>
        <w:rPr/>
        <w:t>以上</w:t>
      </w:r>
      <w:r>
        <w:rPr>
          <w:rFonts w:ascii="Times New Roman" w:hAnsi="Times New Roman" w:cs="Times New Roman" w:eastAsia="Times New Roman" w:hint="default"/>
        </w:rPr>
        <w:t>(</w:t>
      </w:r>
      <w:r>
        <w:rPr/>
        <w:t>含</w:t>
      </w:r>
      <w:r>
        <w:rPr>
          <w:spacing w:val="-81"/>
        </w:rPr>
        <w:t> </w:t>
      </w:r>
      <w:r>
        <w:rPr>
          <w:rFonts w:ascii="Times New Roman" w:hAnsi="Times New Roman" w:cs="Times New Roman" w:eastAsia="Times New Roman" w:hint="default"/>
        </w:rPr>
        <w:t>90%)]</w:t>
      </w:r>
      <w:r>
        <w:rPr/>
        <w:t>；出租人在</w:t>
      </w:r>
    </w:p>
    <w:p>
      <w:pPr>
        <w:spacing w:after="0" w:line="343" w:lineRule="auto"/>
        <w:jc w:val="left"/>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52" w:lineRule="auto" w:before="26"/>
        <w:ind w:right="189"/>
        <w:jc w:val="both"/>
      </w:pPr>
      <w:r>
        <w:rPr/>
        <w:t>租赁开始日的最低租赁收款额现值，几乎相当于租赁开始日租赁资产公允价值</w:t>
      </w:r>
      <w:r>
        <w:rPr>
          <w:rFonts w:ascii="Times New Roman" w:hAnsi="Times New Roman" w:cs="Times New Roman" w:eastAsia="Times New Roman" w:hint="default"/>
        </w:rPr>
        <w:t>[90%</w:t>
      </w:r>
      <w:r>
        <w:rPr/>
        <w:t>以上</w:t>
      </w:r>
      <w:r>
        <w:rPr>
          <w:rFonts w:ascii="Times New Roman" w:hAnsi="Times New Roman" w:cs="Times New Roman" w:eastAsia="Times New Roman" w:hint="default"/>
        </w:rPr>
        <w:t>(</w:t>
      </w:r>
      <w:r>
        <w:rPr/>
        <w:t>含 </w:t>
      </w:r>
      <w:r>
        <w:rPr>
          <w:rFonts w:ascii="Times New Roman" w:hAnsi="Times New Roman" w:cs="Times New Roman" w:eastAsia="Times New Roman" w:hint="default"/>
        </w:rPr>
        <w:t>90%)]</w:t>
      </w:r>
      <w:r>
        <w:rPr/>
        <w:t>；</w:t>
      </w:r>
      <w:r>
        <w:rPr>
          <w:rFonts w:ascii="Times New Roman" w:hAnsi="Times New Roman" w:cs="Times New Roman" w:eastAsia="Times New Roman" w:hint="default"/>
        </w:rPr>
        <w:t>(5)</w:t>
      </w:r>
      <w:r>
        <w:rPr/>
        <w:t>租赁资产性质特殊，如果不作较大改造，只有本公司才能使用。融资租赁租入的 固定资产，按租赁开始日租赁资产公允价值与最低租赁付款额的现值两者中较低者，作为入 账价值。最低租赁付款额作为长期应付款的入账价值，其差额作为未确认融资费用。在租赁 谈判和签订租赁合同过程中发生的，可归属于租赁项目的手续费、律师费、差旅费、印花税 等初始直接费用，计入租入资产价值。未确认融资费用在租赁期内各个期间采用实际利率法 进行分摊。融资租入的固定资产采用与自有固定资产一致的政策计提租赁资产折旧。能够合 理确定租赁期届满时将会取得租赁资产所有权的，在租赁资产尚可使用年限内计提折旧；无 法合理确定租赁期届满时能够取得租赁资产所有权的，在租赁期与租赁资产尚可使用年限两 者中较短的期间内计提折旧。</w:t>
      </w:r>
    </w:p>
    <w:p>
      <w:pPr>
        <w:spacing w:line="348" w:lineRule="auto" w:before="41"/>
        <w:ind w:left="633" w:right="5213" w:hanging="2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17</w:t>
      </w:r>
      <w:r>
        <w:rPr>
          <w:rFonts w:ascii="宋体" w:hAnsi="宋体" w:cs="宋体" w:eastAsia="宋体" w:hint="default"/>
          <w:b/>
          <w:bCs/>
          <w:sz w:val="24"/>
          <w:szCs w:val="24"/>
        </w:rPr>
        <w:t>、在建工程</w:t>
      </w:r>
      <w:r>
        <w:rPr>
          <w:rFonts w:ascii="宋体" w:hAnsi="宋体" w:cs="宋体" w:eastAsia="宋体" w:hint="default"/>
          <w:b/>
          <w:bCs/>
          <w:w w:val="99"/>
          <w:sz w:val="24"/>
          <w:szCs w:val="24"/>
        </w:rPr>
        <w:t> </w:t>
      </w:r>
      <w:r>
        <w:rPr>
          <w:rFonts w:ascii="宋体" w:hAnsi="宋体" w:cs="宋体" w:eastAsia="宋体" w:hint="default"/>
          <w:sz w:val="24"/>
          <w:szCs w:val="24"/>
        </w:rPr>
        <w:t>公司是否需要遵守特殊行业的披露要求 否</w:t>
      </w:r>
    </w:p>
    <w:p>
      <w:pPr>
        <w:pStyle w:val="BodyText"/>
        <w:spacing w:line="338" w:lineRule="auto" w:before="46"/>
        <w:ind w:right="189" w:firstLine="480"/>
        <w:jc w:val="both"/>
      </w:pPr>
      <w:r>
        <w:rPr/>
        <w:t>公司需遵守《深圳证券交易所行业信息披露指引第</w:t>
      </w:r>
      <w:r>
        <w:rPr>
          <w:spacing w:val="-60"/>
        </w:rPr>
        <w:t> </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t>上市公司从事固体矿产资源 相关业务》的披露要求</w:t>
      </w:r>
    </w:p>
    <w:p>
      <w:pPr>
        <w:pStyle w:val="BodyText"/>
        <w:spacing w:line="240" w:lineRule="auto"/>
        <w:ind w:left="633" w:right="293"/>
        <w:jc w:val="left"/>
      </w:pPr>
      <w:r>
        <w:rPr/>
        <w:t>否</w:t>
      </w:r>
    </w:p>
    <w:p>
      <w:pPr>
        <w:pStyle w:val="BodyText"/>
        <w:spacing w:line="338" w:lineRule="auto" w:before="154"/>
        <w:ind w:right="150" w:firstLine="480"/>
        <w:jc w:val="both"/>
      </w:pPr>
      <w:r>
        <w:rPr>
          <w:rFonts w:ascii="Times New Roman" w:hAnsi="Times New Roman" w:cs="Times New Roman" w:eastAsia="Times New Roman" w:hint="default"/>
          <w:spacing w:val="-3"/>
        </w:rPr>
        <w:t>1</w:t>
      </w:r>
      <w:r>
        <w:rPr>
          <w:spacing w:val="-3"/>
        </w:rPr>
        <w:t>．在建工程同时满足经济利益很可能流入、成本能够可靠地计量则予以确认。在建工程</w:t>
      </w:r>
      <w:r>
        <w:rPr/>
        <w:t> 按建造该项资产达到预定可使用状态前所发生的实际成本计量。</w:t>
      </w:r>
    </w:p>
    <w:p>
      <w:pPr>
        <w:pStyle w:val="BodyText"/>
        <w:spacing w:line="348" w:lineRule="auto"/>
        <w:ind w:right="150" w:firstLine="480"/>
        <w:jc w:val="both"/>
      </w:pPr>
      <w:r>
        <w:rPr>
          <w:rFonts w:ascii="Times New Roman" w:hAnsi="Times New Roman" w:cs="Times New Roman" w:eastAsia="Times New Roman" w:hint="default"/>
          <w:spacing w:val="-3"/>
        </w:rPr>
        <w:t>2</w:t>
      </w:r>
      <w:r>
        <w:rPr>
          <w:spacing w:val="-3"/>
        </w:rPr>
        <w:t>．在建工程达到预定可使用状态时，按工程实际成本转入固定资产。已达到预定可使用</w:t>
      </w:r>
      <w:r>
        <w:rPr/>
        <w:t> 状态但尚未办理竣工结算的，先按估计价值转入固定资产，待办理竣工决算后再按实际成本 调整原暂估价值，但不再调整原已计提的折旧。</w:t>
      </w:r>
    </w:p>
    <w:p>
      <w:pPr>
        <w:pStyle w:val="BodyText"/>
        <w:spacing w:line="338" w:lineRule="auto" w:before="46"/>
        <w:ind w:right="150" w:firstLine="480"/>
        <w:jc w:val="both"/>
      </w:pPr>
      <w:r>
        <w:rPr>
          <w:rFonts w:ascii="Times New Roman" w:hAnsi="Times New Roman" w:cs="Times New Roman" w:eastAsia="Times New Roman" w:hint="default"/>
          <w:spacing w:val="-3"/>
        </w:rPr>
        <w:t>1</w:t>
      </w:r>
      <w:r>
        <w:rPr>
          <w:spacing w:val="-3"/>
        </w:rPr>
        <w:t>．在建工程同时满足经济利益很可能流入、成本能够可靠地计量则予以确认。在建工程</w:t>
      </w:r>
      <w:r>
        <w:rPr/>
        <w:t> 按建造该项资产达到预定可使用状态前所发生的实际成本计量。</w:t>
      </w:r>
    </w:p>
    <w:p>
      <w:pPr>
        <w:pStyle w:val="BodyText"/>
        <w:spacing w:line="348" w:lineRule="auto" w:before="56"/>
        <w:ind w:right="150" w:firstLine="480"/>
        <w:jc w:val="both"/>
      </w:pPr>
      <w:r>
        <w:rPr>
          <w:rFonts w:ascii="Times New Roman" w:hAnsi="Times New Roman" w:cs="Times New Roman" w:eastAsia="Times New Roman" w:hint="default"/>
          <w:spacing w:val="-3"/>
        </w:rPr>
        <w:t>2</w:t>
      </w:r>
      <w:r>
        <w:rPr>
          <w:spacing w:val="-3"/>
        </w:rPr>
        <w:t>．在建工程达到预定可使用状态时，按工程实际成本转入固定资产。已达到预定可使用</w:t>
      </w:r>
      <w:r>
        <w:rPr/>
        <w:t> 状态但尚未办理竣工结算的，先按估计价值转入固定资产，待办理竣工决算后再按实际成本 调整原暂估价值，但不再调整原已计提的折旧。</w:t>
      </w:r>
    </w:p>
    <w:p>
      <w:pPr>
        <w:pStyle w:val="BodyText"/>
        <w:spacing w:line="338" w:lineRule="auto" w:before="46"/>
        <w:ind w:left="633" w:right="173"/>
        <w:jc w:val="left"/>
      </w:pPr>
      <w:r>
        <w:rPr>
          <w:rFonts w:ascii="Times New Roman" w:hAnsi="Times New Roman" w:cs="Times New Roman" w:eastAsia="Times New Roman" w:hint="default"/>
          <w:b/>
          <w:bCs/>
        </w:rPr>
        <w:t>18</w:t>
      </w:r>
      <w:r>
        <w:rPr>
          <w:rFonts w:ascii="宋体" w:hAnsi="宋体" w:cs="宋体" w:eastAsia="宋体" w:hint="default"/>
          <w:b/>
          <w:bCs/>
        </w:rPr>
        <w:t>、借款费用</w:t>
      </w:r>
      <w:r>
        <w:rPr>
          <w:rFonts w:ascii="宋体" w:hAnsi="宋体" w:cs="宋体" w:eastAsia="宋体" w:hint="default"/>
          <w:b/>
          <w:bCs/>
          <w:w w:val="99"/>
        </w:rPr>
        <w:t> </w:t>
      </w:r>
      <w:r>
        <w:rPr/>
        <w:t>借款费用，包括借款利息、折价或者溢价的摊销、辅助费用以及因外币借款而发生的汇</w:t>
      </w:r>
    </w:p>
    <w:p>
      <w:pPr>
        <w:pStyle w:val="BodyText"/>
        <w:spacing w:line="240" w:lineRule="auto"/>
        <w:ind w:right="0"/>
        <w:jc w:val="both"/>
      </w:pPr>
      <w:r>
        <w:rPr/>
        <w:t>兑差额等。</w:t>
      </w:r>
    </w:p>
    <w:p>
      <w:pPr>
        <w:spacing w:after="0" w:line="240" w:lineRule="auto"/>
        <w:jc w:val="both"/>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38" w:lineRule="auto" w:before="26"/>
        <w:ind w:left="633" w:right="253"/>
        <w:jc w:val="left"/>
      </w:pPr>
      <w:r>
        <w:rPr>
          <w:rFonts w:ascii="Times New Roman" w:hAnsi="Times New Roman" w:cs="Times New Roman" w:eastAsia="Times New Roman" w:hint="default"/>
        </w:rPr>
        <w:t>1</w:t>
      </w:r>
      <w:r>
        <w:rPr/>
        <w:t>．借款费用资本化的确认原则 公司发生的借款费用，可直接归属于符合资本化条件的资产的购建或者生产的，予以资</w:t>
      </w:r>
    </w:p>
    <w:p>
      <w:pPr>
        <w:pStyle w:val="BodyText"/>
        <w:spacing w:line="357" w:lineRule="auto"/>
        <w:ind w:right="253"/>
        <w:jc w:val="left"/>
      </w:pPr>
      <w:r>
        <w:rPr/>
        <w:t>本化，计入相关资产成本；其他借款费用，在发生时根据其发生额确认为费用，计入当期损 益。</w:t>
      </w:r>
    </w:p>
    <w:p>
      <w:pPr>
        <w:pStyle w:val="BodyText"/>
        <w:spacing w:line="338" w:lineRule="auto" w:before="36"/>
        <w:ind w:left="633" w:right="293"/>
        <w:jc w:val="left"/>
      </w:pPr>
      <w:r>
        <w:rPr>
          <w:rFonts w:ascii="Times New Roman" w:hAnsi="Times New Roman" w:cs="Times New Roman" w:eastAsia="Times New Roman" w:hint="default"/>
        </w:rPr>
        <w:t>2</w:t>
      </w:r>
      <w:r>
        <w:rPr/>
        <w:t>．借款费用资本化期间 </w:t>
      </w:r>
      <w:r>
        <w:rPr>
          <w:rFonts w:ascii="Times New Roman" w:hAnsi="Times New Roman" w:cs="Times New Roman" w:eastAsia="Times New Roman" w:hint="default"/>
        </w:rPr>
        <w:t>(1)</w:t>
      </w:r>
      <w:r>
        <w:rPr/>
        <w:t>当同时满足下列条件时，开始资本化：</w:t>
      </w:r>
      <w:r>
        <w:rPr>
          <w:rFonts w:ascii="Times New Roman" w:hAnsi="Times New Roman" w:cs="Times New Roman" w:eastAsia="Times New Roman" w:hint="default"/>
        </w:rPr>
        <w:t>1)</w:t>
      </w:r>
      <w:r>
        <w:rPr/>
        <w:t>资产支出已经发生；</w:t>
      </w:r>
      <w:r>
        <w:rPr>
          <w:rFonts w:ascii="Times New Roman" w:hAnsi="Times New Roman" w:cs="Times New Roman" w:eastAsia="Times New Roman" w:hint="default"/>
        </w:rPr>
        <w:t>2)</w:t>
      </w:r>
      <w:r>
        <w:rPr/>
        <w:t>借款费用已经发生；</w:t>
      </w:r>
    </w:p>
    <w:p>
      <w:pPr>
        <w:pStyle w:val="BodyText"/>
        <w:spacing w:line="338" w:lineRule="auto" w:before="27"/>
        <w:ind w:left="633" w:right="213" w:hanging="480"/>
        <w:jc w:val="left"/>
      </w:pPr>
      <w:r>
        <w:rPr>
          <w:rFonts w:ascii="Times New Roman" w:hAnsi="Times New Roman" w:cs="Times New Roman" w:eastAsia="Times New Roman" w:hint="default"/>
        </w:rPr>
        <w:t>3)</w:t>
      </w:r>
      <w:r>
        <w:rPr/>
        <w:t>为使资产达到预定可使用或可销售状态所必要的购建或者生产活动已经开始。</w:t>
      </w:r>
      <w:r>
        <w:rPr>
          <w:w w:val="99"/>
        </w:rPr>
        <w:t> </w:t>
      </w:r>
      <w:r>
        <w:rPr>
          <w:rFonts w:ascii="Times New Roman" w:hAnsi="Times New Roman" w:cs="Times New Roman" w:eastAsia="Times New Roman" w:hint="default"/>
        </w:rPr>
        <w:t>(2)</w:t>
      </w:r>
      <w:r>
        <w:rPr/>
        <w:t>暂停资本化：若符合资本化条件的资产在购建或者生产过程中发生非正常中断，并且</w:t>
      </w:r>
    </w:p>
    <w:p>
      <w:pPr>
        <w:pStyle w:val="BodyText"/>
        <w:spacing w:line="348" w:lineRule="auto" w:before="27"/>
        <w:ind w:right="103"/>
        <w:jc w:val="left"/>
      </w:pPr>
      <w:r>
        <w:rPr>
          <w:spacing w:val="-5"/>
        </w:rPr>
        <w:t>中断时间连续超过</w:t>
      </w:r>
      <w:r>
        <w:rPr>
          <w:rFonts w:ascii="Times New Roman" w:hAnsi="Times New Roman" w:cs="Times New Roman" w:eastAsia="Times New Roman" w:hint="default"/>
          <w:spacing w:val="-5"/>
        </w:rPr>
        <w:t>3</w:t>
      </w:r>
      <w:r>
        <w:rPr>
          <w:spacing w:val="-5"/>
        </w:rPr>
        <w:t>个月，暂停借款费用的资本化；中断期间发生的借款费用确认为当期费用，</w:t>
      </w:r>
      <w:r>
        <w:rPr>
          <w:spacing w:val="-113"/>
        </w:rPr>
        <w:t> </w:t>
      </w:r>
      <w:r>
        <w:rPr>
          <w:spacing w:val="-113"/>
        </w:rPr>
      </w:r>
      <w:r>
        <w:rPr/>
        <w:t>直至资产的购建或者生产活动重新开始。该项中断如是所购建或生产的符合资本化条件的资 产达到预定可使用状态或者可销售状态必要的程序，则借款费用继续资本化。</w:t>
      </w:r>
    </w:p>
    <w:p>
      <w:pPr>
        <w:pStyle w:val="BodyText"/>
        <w:spacing w:line="350" w:lineRule="auto" w:before="46"/>
        <w:ind w:right="232" w:firstLine="480"/>
        <w:jc w:val="both"/>
      </w:pPr>
      <w:r>
        <w:rPr>
          <w:rFonts w:ascii="Times New Roman" w:hAnsi="Times New Roman" w:cs="Times New Roman" w:eastAsia="Times New Roman" w:hint="default"/>
        </w:rPr>
        <w:t>(3)</w:t>
      </w:r>
      <w:r>
        <w:rPr/>
        <w:t>停止资本化：当所购建或者生产符合资本化条件的资产达到预定可使用或者可销售状</w:t>
      </w:r>
      <w:r>
        <w:rPr>
          <w:w w:val="99"/>
        </w:rPr>
        <w:t> </w:t>
      </w:r>
      <w:r>
        <w:rPr/>
        <w:t>态时，借款费用停止资本化。当购建或者生产符合资本化的资产中部分项目分别完工且可单</w:t>
      </w:r>
      <w:r>
        <w:rPr>
          <w:w w:val="99"/>
        </w:rPr>
        <w:t> </w:t>
      </w:r>
      <w:r>
        <w:rPr/>
        <w:t>独使用时，该部分资产借款费用停止资本化。购建或者生产的资产的各部分分别完工，但必</w:t>
      </w:r>
      <w:r>
        <w:rPr>
          <w:w w:val="99"/>
        </w:rPr>
        <w:t> </w:t>
      </w:r>
      <w:r>
        <w:rPr/>
        <w:t>须等到整体完工后才可使用或者对外销售的，在该资产整体完工时停止借款费用资本化。</w:t>
      </w:r>
    </w:p>
    <w:p>
      <w:pPr>
        <w:pStyle w:val="BodyText"/>
        <w:spacing w:line="338" w:lineRule="auto" w:before="43"/>
        <w:ind w:left="633" w:right="253"/>
        <w:jc w:val="left"/>
      </w:pPr>
      <w:r>
        <w:rPr>
          <w:rFonts w:ascii="Times New Roman" w:hAnsi="Times New Roman" w:cs="Times New Roman" w:eastAsia="Times New Roman" w:hint="default"/>
        </w:rPr>
        <w:t>3</w:t>
      </w:r>
      <w:r>
        <w:rPr/>
        <w:t>．借款费用资本化率及资本化金额的计算方法 为购建或者生产符合资本化条件的资产而借入专门借款的，以专门借款当期实际发生的</w:t>
      </w:r>
    </w:p>
    <w:p>
      <w:pPr>
        <w:pStyle w:val="BodyText"/>
        <w:spacing w:line="352" w:lineRule="auto"/>
        <w:ind w:right="253"/>
        <w:jc w:val="left"/>
      </w:pPr>
      <w:r>
        <w:rPr/>
        <w:t>利息费用</w:t>
      </w:r>
      <w:r>
        <w:rPr>
          <w:rFonts w:ascii="Times New Roman" w:hAnsi="Times New Roman" w:cs="Times New Roman" w:eastAsia="Times New Roman" w:hint="default"/>
        </w:rPr>
        <w:t>(</w:t>
      </w:r>
      <w:r>
        <w:rPr/>
        <w:t>包括按照实际利率法确定的折价或溢价的摊销</w:t>
      </w:r>
      <w:r>
        <w:rPr>
          <w:rFonts w:ascii="Times New Roman" w:hAnsi="Times New Roman" w:cs="Times New Roman" w:eastAsia="Times New Roman" w:hint="default"/>
        </w:rPr>
        <w:t>)</w:t>
      </w:r>
      <w:r>
        <w:rPr/>
        <w:t>，减去将尚未动用的借款资金存入 银行取得的利息收入或进行暂时性投资取得的投资收益后的金额，确定应予资本化的利息金 额；为购建或者生产符合资本化条件的资产占用了一般借款的，根据累计资产支出超过专门 借款的资产支出加权平均数乘以占用一般借款的资本化率</w:t>
      </w:r>
      <w:r>
        <w:rPr>
          <w:rFonts w:ascii="Times New Roman" w:hAnsi="Times New Roman" w:cs="Times New Roman" w:eastAsia="Times New Roman" w:hint="default"/>
        </w:rPr>
        <w:t>(</w:t>
      </w:r>
      <w:r>
        <w:rPr/>
        <w:t>加权平均利率</w:t>
      </w:r>
      <w:r>
        <w:rPr>
          <w:rFonts w:ascii="Times New Roman" w:hAnsi="Times New Roman" w:cs="Times New Roman" w:eastAsia="Times New Roman" w:hint="default"/>
        </w:rPr>
        <w:t>)</w:t>
      </w:r>
      <w:r>
        <w:rPr/>
        <w:t>，计算确定一般借 款应予资本化的利息金额。在资本化期间内，每一会计期间的利息资本化金额不超过当期相 关借款实际发生的利息金额。外币专门借款本金及利息的汇兑差额，在资本化期间内予以资 本化。专门借款发生的辅助费用，在所购建或生产的符合资本化条件的资产达到预定可使用 或者可销售状态之前发生的，予以资本化；在达到预定可使用或者可销售状态之后发生的， 计入当期损益。一般借款发生的辅助费用，在发生时计入当期损益。借款存在折价或者溢价 的，按照实际利率法确定每一会计期间应摊销的折价或者溢价金额，调整每期利息金额。</w:t>
      </w:r>
    </w:p>
    <w:p>
      <w:pPr>
        <w:spacing w:after="0" w:line="352" w:lineRule="auto"/>
        <w:jc w:val="left"/>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Heading2"/>
        <w:spacing w:line="240" w:lineRule="auto" w:before="26"/>
        <w:ind w:left="352" w:right="293"/>
        <w:jc w:val="left"/>
        <w:rPr>
          <w:b w:val="0"/>
          <w:bCs w:val="0"/>
        </w:rPr>
      </w:pPr>
      <w:r>
        <w:rPr>
          <w:rFonts w:ascii="Times New Roman" w:hAnsi="Times New Roman" w:cs="Times New Roman" w:eastAsia="Times New Roman" w:hint="default"/>
        </w:rPr>
        <w:t>19</w:t>
      </w:r>
      <w:r>
        <w:rPr/>
        <w:t>、无形资产</w:t>
      </w:r>
      <w:r>
        <w:rPr>
          <w:b w:val="0"/>
          <w:bCs w:val="0"/>
        </w:rPr>
      </w:r>
    </w:p>
    <w:p>
      <w:pPr>
        <w:spacing w:line="348" w:lineRule="auto" w:before="136"/>
        <w:ind w:left="633" w:right="5213" w:hanging="28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）计价方法、使用寿命、减值测试</w:t>
      </w:r>
      <w:r>
        <w:rPr>
          <w:rFonts w:ascii="宋体" w:hAnsi="宋体" w:cs="宋体" w:eastAsia="宋体" w:hint="default"/>
          <w:b/>
          <w:bCs/>
          <w:w w:val="99"/>
          <w:sz w:val="24"/>
          <w:szCs w:val="24"/>
        </w:rPr>
        <w:t> </w:t>
      </w:r>
      <w:r>
        <w:rPr>
          <w:rFonts w:ascii="宋体" w:hAnsi="宋体" w:cs="宋体" w:eastAsia="宋体" w:hint="default"/>
          <w:sz w:val="24"/>
          <w:szCs w:val="24"/>
        </w:rPr>
        <w:t>公司是否需要遵守特殊行业的披露要求 否</w:t>
      </w:r>
    </w:p>
    <w:p>
      <w:pPr>
        <w:pStyle w:val="BodyText"/>
        <w:spacing w:line="338" w:lineRule="auto" w:before="46"/>
        <w:ind w:right="189" w:firstLine="480"/>
        <w:jc w:val="both"/>
      </w:pPr>
      <w:r>
        <w:rPr/>
        <w:t>公司需遵守《深圳证券交易所创业板行业信息披露指引第</w:t>
      </w:r>
      <w:r>
        <w:rPr>
          <w:spacing w:val="-60"/>
        </w:rPr>
        <w:t> </w:t>
      </w:r>
      <w:r>
        <w:rPr>
          <w:rFonts w:ascii="Times New Roman" w:hAnsi="Times New Roman" w:cs="Times New Roman" w:eastAsia="Times New Roman" w:hint="default"/>
        </w:rPr>
        <w:t>6 </w:t>
      </w:r>
      <w:r>
        <w:rPr/>
        <w:t>号</w:t>
      </w:r>
      <w:r>
        <w:rPr>
          <w:rFonts w:ascii="Times New Roman" w:hAnsi="Times New Roman" w:cs="Times New Roman" w:eastAsia="Times New Roman" w:hint="default"/>
        </w:rPr>
        <w:t>——</w:t>
      </w:r>
      <w:r>
        <w:rPr/>
        <w:t>上市公司从事互联网 视频业务》的披露要求：</w:t>
      </w:r>
    </w:p>
    <w:p>
      <w:pPr>
        <w:pStyle w:val="BodyText"/>
        <w:spacing w:line="240" w:lineRule="auto"/>
        <w:ind w:left="633" w:right="293"/>
        <w:jc w:val="left"/>
      </w:pPr>
      <w:r>
        <w:rPr/>
        <w:t>否</w:t>
      </w:r>
    </w:p>
    <w:p>
      <w:pPr>
        <w:pStyle w:val="BodyText"/>
        <w:spacing w:line="338" w:lineRule="auto" w:before="154"/>
        <w:ind w:left="633" w:right="173"/>
        <w:jc w:val="left"/>
      </w:pPr>
      <w:r>
        <w:rPr>
          <w:rFonts w:ascii="Times New Roman" w:hAnsi="Times New Roman" w:cs="Times New Roman" w:eastAsia="Times New Roman" w:hint="default"/>
        </w:rPr>
        <w:t>1</w:t>
      </w:r>
      <w:r>
        <w:rPr/>
        <w:t>．无形资产的初始计量 无形资产按成本进行初始计量。外购无形资产的成本，包括购买价、相关税费以及直接</w:t>
      </w:r>
    </w:p>
    <w:p>
      <w:pPr>
        <w:pStyle w:val="BodyText"/>
        <w:spacing w:line="357" w:lineRule="auto"/>
        <w:ind w:right="190"/>
        <w:jc w:val="both"/>
      </w:pPr>
      <w:r>
        <w:rPr/>
        <w:t>归属于该项资产达到预定用途所发生的其他支出。购买无形资产的价款超过正常信用条件延 期支付，实质上具有融资性质的，无形资产的成本以购买价款的现值为基础确定。债务重组 取得债务人用以抵债的无形资产，以该无形资产的公允价值为基础确定其入账价值，并将重 组债务的账面价值与该用以抵债的无形资产公允价值之间的差额，计入当期损益。在非货币 性资产交换具备商业实质且换入或换出资产的公允价值能够可靠计量的前提下，非货币性资 产交换换入的无形资产以换出资产的公允价值为基础确定其入账价值，除非有确凿证据表明 换入资产的公允价值更可靠；不满足上述前提的非货币性资产交换，以换出资产的账面价值 和应支付的相关税费作为换入无形资产的成本，不确认损益。</w:t>
      </w:r>
    </w:p>
    <w:p>
      <w:pPr>
        <w:pStyle w:val="BodyText"/>
        <w:spacing w:line="357" w:lineRule="auto" w:before="36"/>
        <w:ind w:right="191" w:firstLine="480"/>
        <w:jc w:val="both"/>
      </w:pPr>
      <w:r>
        <w:rPr/>
        <w:t>与无形资产有关的支出，如果相关的经济利益很可能流入本公司且成本能可靠地计量， 则计入无形资产成本。除此之外的其他项目的支出，在发生时计入当期损益。</w:t>
      </w:r>
    </w:p>
    <w:p>
      <w:pPr>
        <w:pStyle w:val="BodyText"/>
        <w:spacing w:line="357" w:lineRule="auto" w:before="36"/>
        <w:ind w:right="190" w:firstLine="480"/>
        <w:jc w:val="both"/>
      </w:pPr>
      <w:r>
        <w:rPr/>
        <w:t>取得的土地使用权通常作为无形资产核算。自行开发构建厂房等建筑物，相关的土地使 用权支出和建筑物建造成本分别作为无形资产和固定资产核算。如为外购的房屋及建筑物， 则将有关价款在土地使用权和建筑物之间分配，难以合理分配的，全部作为固定资产处理。</w:t>
      </w:r>
    </w:p>
    <w:p>
      <w:pPr>
        <w:pStyle w:val="BodyText"/>
        <w:spacing w:line="338" w:lineRule="auto" w:before="36"/>
        <w:ind w:left="633" w:right="173"/>
        <w:jc w:val="left"/>
      </w:pPr>
      <w:r>
        <w:rPr>
          <w:rFonts w:ascii="Times New Roman" w:hAnsi="Times New Roman" w:cs="Times New Roman" w:eastAsia="Times New Roman" w:hint="default"/>
        </w:rPr>
        <w:t>2</w:t>
      </w:r>
      <w:r>
        <w:rPr/>
        <w:t>．无形资产使用寿命及摊销 根据无形资产的合同性权利或其他法定权利、同行业情况、历史经验、相关专家论证等</w:t>
      </w:r>
    </w:p>
    <w:p>
      <w:pPr>
        <w:pStyle w:val="BodyText"/>
        <w:spacing w:line="348" w:lineRule="auto"/>
        <w:ind w:left="0" w:right="151"/>
        <w:jc w:val="right"/>
      </w:pPr>
      <w:r>
        <w:rPr/>
        <w:t>综合因素判断，能合理确定无形资产为公司带来经济利益期限的，作为使用寿命有限的无形 </w:t>
      </w:r>
      <w:r>
        <w:rPr>
          <w:spacing w:val="-5"/>
        </w:rPr>
        <w:t>资产；无法合理确定无形资产为公司带来经济利益期限的，视为使用寿命不确定的无形资产。</w:t>
      </w:r>
      <w:r>
        <w:rPr/>
        <w:t> </w:t>
      </w:r>
      <w:r>
        <w:rPr>
          <w:spacing w:val="-1"/>
        </w:rPr>
        <w:t>对使用寿命有限的无形资产，估计其使用寿命时通常考虑以下因素：</w:t>
      </w:r>
      <w:r>
        <w:rPr>
          <w:rFonts w:ascii="Times New Roman" w:hAnsi="Times New Roman" w:cs="Times New Roman" w:eastAsia="Times New Roman" w:hint="default"/>
          <w:spacing w:val="-1"/>
        </w:rPr>
        <w:t>(1)</w:t>
      </w:r>
      <w:r>
        <w:rPr>
          <w:spacing w:val="-1"/>
        </w:rPr>
        <w:t>运用该资产生产</w:t>
      </w:r>
      <w:r>
        <w:rPr/>
        <w:t> </w:t>
      </w:r>
      <w:r>
        <w:rPr>
          <w:spacing w:val="-1"/>
        </w:rPr>
        <w:t>的产品通常的寿命周期、可获得的类似资产使用寿命的信息；</w:t>
      </w:r>
      <w:r>
        <w:rPr>
          <w:rFonts w:ascii="Times New Roman" w:hAnsi="Times New Roman" w:cs="Times New Roman" w:eastAsia="Times New Roman" w:hint="default"/>
          <w:spacing w:val="-1"/>
        </w:rPr>
        <w:t>(2)</w:t>
      </w:r>
      <w:r>
        <w:rPr>
          <w:spacing w:val="-1"/>
        </w:rPr>
        <w:t>技术、工艺等方面的现阶段</w:t>
      </w:r>
      <w:r>
        <w:rPr>
          <w:spacing w:val="-87"/>
        </w:rPr>
        <w:t> </w:t>
      </w:r>
      <w:r>
        <w:rPr>
          <w:spacing w:val="-1"/>
          <w:w w:val="95"/>
        </w:rPr>
        <w:t>情况及对未来发展趋势的估计；</w:t>
      </w:r>
      <w:r>
        <w:rPr>
          <w:rFonts w:ascii="Times New Roman" w:hAnsi="Times New Roman" w:cs="Times New Roman" w:eastAsia="Times New Roman" w:hint="default"/>
          <w:spacing w:val="-1"/>
          <w:w w:val="95"/>
        </w:rPr>
        <w:t>(3)</w:t>
      </w:r>
      <w:r>
        <w:rPr>
          <w:spacing w:val="-1"/>
          <w:w w:val="95"/>
        </w:rPr>
        <w:t>以该资产生产的产品或提供劳务的市场需求情况；</w:t>
      </w:r>
      <w:r>
        <w:rPr>
          <w:rFonts w:ascii="Times New Roman" w:hAnsi="Times New Roman" w:cs="Times New Roman" w:eastAsia="Times New Roman" w:hint="default"/>
          <w:spacing w:val="-1"/>
          <w:w w:val="95"/>
        </w:rPr>
        <w:t>(4)</w:t>
      </w:r>
      <w:r>
        <w:rPr>
          <w:spacing w:val="-1"/>
          <w:w w:val="95"/>
        </w:rPr>
        <w:t>现在</w:t>
      </w:r>
    </w:p>
    <w:p>
      <w:pPr>
        <w:spacing w:after="0" w:line="348" w:lineRule="auto"/>
        <w:jc w:val="righ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38" w:lineRule="auto" w:before="26"/>
        <w:ind w:right="212"/>
        <w:jc w:val="both"/>
        <w:rPr>
          <w:rFonts w:ascii="Times New Roman" w:hAnsi="Times New Roman" w:cs="Times New Roman" w:eastAsia="Times New Roman" w:hint="default"/>
        </w:rPr>
      </w:pPr>
      <w:r>
        <w:rPr/>
        <w:t>或潜在的竞争者预期采取的行动；</w:t>
      </w:r>
      <w:r>
        <w:rPr>
          <w:rFonts w:ascii="Times New Roman" w:hAnsi="Times New Roman" w:cs="Times New Roman" w:eastAsia="Times New Roman" w:hint="default"/>
        </w:rPr>
        <w:t>(5)</w:t>
      </w:r>
      <w:r>
        <w:rPr/>
        <w:t>为维持该资产带来经济利益能力的预期维护支出，以及 公司预计支付有关支出的能力；</w:t>
      </w:r>
      <w:r>
        <w:rPr>
          <w:rFonts w:ascii="Times New Roman" w:hAnsi="Times New Roman" w:cs="Times New Roman" w:eastAsia="Times New Roman" w:hint="default"/>
        </w:rPr>
        <w:t>(6)</w:t>
      </w:r>
      <w:r>
        <w:rPr/>
        <w:t>对该资产控制期限的相关法律规定或类似限制，如特许使 用期、租赁期等；</w:t>
      </w:r>
      <w:r>
        <w:rPr>
          <w:rFonts w:ascii="Times New Roman" w:hAnsi="Times New Roman" w:cs="Times New Roman" w:eastAsia="Times New Roman" w:hint="default"/>
        </w:rPr>
        <w:t>(7)</w:t>
      </w:r>
      <w:r>
        <w:rPr/>
        <w:t>与公司持有其他资产使用寿命的关联性等。使用寿命有限的无形资产的 使用寿命估计情况</w:t>
      </w:r>
      <w:r>
        <w:rPr>
          <w:rFonts w:ascii="Times New Roman" w:hAnsi="Times New Roman" w:cs="Times New Roman" w:eastAsia="Times New Roman" w:hint="default"/>
        </w:rPr>
        <w:t>:</w:t>
      </w:r>
    </w:p>
    <w:tbl>
      <w:tblPr>
        <w:tblW w:w="0" w:type="auto"/>
        <w:jc w:val="left"/>
        <w:tblInd w:w="138" w:type="dxa"/>
        <w:tblLayout w:type="fixed"/>
        <w:tblCellMar>
          <w:top w:w="0" w:type="dxa"/>
          <w:left w:w="0" w:type="dxa"/>
          <w:bottom w:w="0" w:type="dxa"/>
          <w:right w:w="0" w:type="dxa"/>
        </w:tblCellMar>
        <w:tblLook w:val="01E0"/>
      </w:tblPr>
      <w:tblGrid>
        <w:gridCol w:w="3183"/>
        <w:gridCol w:w="2784"/>
        <w:gridCol w:w="3692"/>
      </w:tblGrid>
      <w:tr>
        <w:trPr>
          <w:trHeight w:val="341" w:hRule="exact"/>
        </w:trPr>
        <w:tc>
          <w:tcPr>
            <w:tcW w:w="3183"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预计使用寿命依据</w:t>
            </w:r>
          </w:p>
        </w:tc>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期限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3" w:hRule="exact"/>
        </w:trPr>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
              <w:jc w:val="center"/>
              <w:rPr>
                <w:rFonts w:ascii="宋体" w:hAnsi="宋体" w:cs="宋体" w:eastAsia="宋体" w:hint="default"/>
                <w:sz w:val="21"/>
                <w:szCs w:val="21"/>
              </w:rPr>
            </w:pPr>
            <w:r>
              <w:rPr>
                <w:rFonts w:ascii="宋体" w:hAnsi="宋体" w:cs="宋体" w:eastAsia="宋体" w:hint="default"/>
                <w:sz w:val="21"/>
                <w:szCs w:val="21"/>
              </w:rPr>
              <w:t>预计受益期限</w:t>
            </w:r>
          </w:p>
        </w:tc>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
              <w:jc w:val="center"/>
              <w:rPr>
                <w:rFonts w:ascii="Times New Roman" w:hAnsi="Times New Roman" w:cs="Times New Roman" w:eastAsia="Times New Roman" w:hint="default"/>
                <w:sz w:val="21"/>
                <w:szCs w:val="21"/>
              </w:rPr>
            </w:pPr>
            <w:r>
              <w:rPr>
                <w:rFonts w:ascii="Times New Roman"/>
                <w:sz w:val="21"/>
              </w:rPr>
              <w:t>2-10</w:t>
            </w:r>
          </w:p>
        </w:tc>
      </w:tr>
      <w:tr>
        <w:trPr>
          <w:trHeight w:val="341" w:hRule="exact"/>
        </w:trPr>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60"/>
              <w:jc w:val="center"/>
              <w:rPr>
                <w:rFonts w:ascii="宋体" w:hAnsi="宋体" w:cs="宋体" w:eastAsia="宋体" w:hint="default"/>
                <w:sz w:val="21"/>
                <w:szCs w:val="21"/>
              </w:rPr>
            </w:pPr>
            <w:r>
              <w:rPr>
                <w:rFonts w:ascii="宋体" w:hAnsi="宋体" w:cs="宋体" w:eastAsia="宋体" w:hint="default"/>
                <w:sz w:val="21"/>
                <w:szCs w:val="21"/>
              </w:rPr>
              <w:t>预计受益期限</w:t>
            </w:r>
          </w:p>
        </w:tc>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7"/>
              <w:jc w:val="center"/>
              <w:rPr>
                <w:rFonts w:ascii="Times New Roman" w:hAnsi="Times New Roman" w:cs="Times New Roman" w:eastAsia="Times New Roman" w:hint="default"/>
                <w:sz w:val="21"/>
                <w:szCs w:val="21"/>
              </w:rPr>
            </w:pPr>
            <w:r>
              <w:rPr>
                <w:rFonts w:ascii="Times New Roman"/>
                <w:sz w:val="21"/>
              </w:rPr>
              <w:t>2-5</w:t>
            </w:r>
          </w:p>
        </w:tc>
      </w:tr>
      <w:tr>
        <w:trPr>
          <w:trHeight w:val="343" w:hRule="exact"/>
        </w:trPr>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hAnsi="宋体" w:cs="宋体" w:eastAsia="宋体" w:hint="default"/>
                <w:sz w:val="21"/>
                <w:szCs w:val="21"/>
              </w:rPr>
              <w:t>土地使用权证登记使用年限</w:t>
            </w:r>
          </w:p>
        </w:tc>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
              <w:jc w:val="center"/>
              <w:rPr>
                <w:rFonts w:ascii="Times New Roman" w:hAnsi="Times New Roman" w:cs="Times New Roman" w:eastAsia="Times New Roman" w:hint="default"/>
                <w:sz w:val="21"/>
                <w:szCs w:val="21"/>
              </w:rPr>
            </w:pPr>
            <w:r>
              <w:rPr>
                <w:rFonts w:ascii="Times New Roman"/>
                <w:sz w:val="21"/>
              </w:rPr>
              <w:t>40</w:t>
            </w:r>
          </w:p>
        </w:tc>
      </w:tr>
    </w:tbl>
    <w:p>
      <w:pPr>
        <w:pStyle w:val="BodyText"/>
        <w:spacing w:line="357" w:lineRule="auto" w:before="27"/>
        <w:ind w:left="633" w:right="233"/>
        <w:jc w:val="left"/>
      </w:pPr>
      <w:r>
        <w:rPr/>
        <w:t>对使用寿命不确定的无形资产，使用寿命不确定的判断依据是： 使用寿命有限的无形资产，在使用寿命内按照与该项无形资产有关的经济利益的预期实</w:t>
      </w:r>
    </w:p>
    <w:p>
      <w:pPr>
        <w:pStyle w:val="BodyText"/>
        <w:spacing w:line="357" w:lineRule="auto" w:before="36"/>
        <w:ind w:right="251"/>
        <w:jc w:val="both"/>
      </w:pPr>
      <w:r>
        <w:rPr/>
        <w:t>现方式系统合理地摊销，无法可靠确定预期实现方式的，采用直线法摊销。使用寿命不确定 的无形资产不予摊销，但每年均对该无形资产的使用寿命进行复核，并进行减值测试。</w:t>
      </w:r>
    </w:p>
    <w:p>
      <w:pPr>
        <w:pStyle w:val="BodyText"/>
        <w:spacing w:line="357" w:lineRule="auto" w:before="36"/>
        <w:ind w:right="251" w:firstLine="480"/>
        <w:jc w:val="both"/>
      </w:pPr>
      <w:r>
        <w:rPr/>
        <w:t>本公司于每年年度终了，对使用寿命有限的无形资产的使用寿命及摊销方法进行复核， 与以前估计不同的，调整原先估计数，并按会计估计变更处理；预计某项无形资产已经不能 给企业带来未来经济利益的，将该项无形资产的账面价值全部转入当期损益。</w:t>
      </w:r>
    </w:p>
    <w:p>
      <w:pPr>
        <w:spacing w:line="338" w:lineRule="auto" w:before="36"/>
        <w:ind w:left="753" w:right="200" w:hanging="12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）内部研究开发支出会计政策</w:t>
      </w:r>
      <w:r>
        <w:rPr>
          <w:rFonts w:ascii="宋体" w:hAnsi="宋体" w:cs="宋体" w:eastAsia="宋体" w:hint="default"/>
          <w:b/>
          <w:bCs/>
          <w:w w:val="99"/>
          <w:sz w:val="24"/>
          <w:szCs w:val="24"/>
        </w:rPr>
        <w:t> </w:t>
      </w:r>
      <w:r>
        <w:rPr>
          <w:rFonts w:ascii="宋体" w:hAnsi="宋体" w:cs="宋体" w:eastAsia="宋体" w:hint="default"/>
          <w:spacing w:val="-3"/>
          <w:sz w:val="24"/>
          <w:szCs w:val="24"/>
        </w:rPr>
        <w:t>内部研究开发项目的支出，区分为研究阶段支出和开发阶段支出。划分研究阶段和开发</w:t>
      </w:r>
    </w:p>
    <w:p>
      <w:pPr>
        <w:pStyle w:val="BodyText"/>
        <w:spacing w:line="357" w:lineRule="auto" w:before="56"/>
        <w:ind w:right="251"/>
        <w:jc w:val="both"/>
      </w:pPr>
      <w:r>
        <w:rPr/>
        <w:t>阶段的标准：为获取新的技术和知识等进行的有计划的调查阶段，应确定为研究阶段，该阶 段具有计划性和探索性等特点；在进行商业性生产或使用前，将研究成果或其他知识应用于 某项计划或设计，以生产出新的或具有实质性改进的材料、装置、产品等阶段，应确定为开 发阶段，该阶段具有针对性和形成成果的可能性较大等特点。</w:t>
      </w:r>
    </w:p>
    <w:p>
      <w:pPr>
        <w:pStyle w:val="BodyText"/>
        <w:spacing w:line="345" w:lineRule="auto" w:before="36"/>
        <w:ind w:right="0" w:firstLine="480"/>
        <w:jc w:val="left"/>
      </w:pPr>
      <w:r>
        <w:rPr/>
        <w:t>内部研究开发项目研究阶段的支出，于发生时计入当期损益。内部研究开发项目开发阶 段的支出，同时满足下列条件的，确认为无形资产：</w:t>
      </w:r>
      <w:r>
        <w:rPr>
          <w:rFonts w:ascii="Times New Roman" w:hAnsi="Times New Roman" w:cs="Times New Roman" w:eastAsia="Times New Roman" w:hint="default"/>
        </w:rPr>
        <w:t>(1)</w:t>
      </w:r>
      <w:r>
        <w:rPr/>
        <w:t>完成该无形资产以使其能够使用或出 售在技术上具有可行性；</w:t>
      </w:r>
      <w:r>
        <w:rPr>
          <w:rFonts w:ascii="Times New Roman" w:hAnsi="Times New Roman" w:cs="Times New Roman" w:eastAsia="Times New Roman" w:hint="default"/>
        </w:rPr>
        <w:t>(2)</w:t>
      </w:r>
      <w:r>
        <w:rPr/>
        <w:t>具有完成该无形资产并使用或出售的意图；</w:t>
      </w:r>
      <w:r>
        <w:rPr>
          <w:rFonts w:ascii="Times New Roman" w:hAnsi="Times New Roman" w:cs="Times New Roman" w:eastAsia="Times New Roman" w:hint="default"/>
        </w:rPr>
        <w:t>(3)</w:t>
      </w:r>
      <w:r>
        <w:rPr/>
        <w:t>无形资产产生经济 利益的方式，包括能够证明运用该无形资产生产的产品存在市场或无形资产自身存在市场， </w:t>
      </w:r>
      <w:r>
        <w:rPr>
          <w:spacing w:val="2"/>
        </w:rPr>
        <w:t>无形资产将在内部使用的，可证明其有用性；</w:t>
      </w:r>
      <w:r>
        <w:rPr>
          <w:rFonts w:ascii="Times New Roman" w:hAnsi="Times New Roman" w:cs="Times New Roman" w:eastAsia="Times New Roman" w:hint="default"/>
          <w:spacing w:val="2"/>
        </w:rPr>
        <w:t>(4)</w:t>
      </w:r>
      <w:r>
        <w:rPr>
          <w:spacing w:val="2"/>
        </w:rPr>
        <w:t>有足够的技术、财务资源和其他资源支持，</w:t>
      </w:r>
      <w:r>
        <w:rPr>
          <w:spacing w:val="-108"/>
        </w:rPr>
        <w:t> </w:t>
      </w:r>
      <w:r>
        <w:rPr>
          <w:spacing w:val="-108"/>
        </w:rPr>
      </w:r>
      <w:r>
        <w:rPr/>
        <w:t>以完成该无形资产的开发，并有能力使用或出售该无形资产；</w:t>
      </w:r>
      <w:r>
        <w:rPr>
          <w:rFonts w:ascii="Times New Roman" w:hAnsi="Times New Roman" w:cs="Times New Roman" w:eastAsia="Times New Roman" w:hint="default"/>
        </w:rPr>
        <w:t>(5)</w:t>
      </w:r>
      <w:r>
        <w:rPr/>
        <w:t>归属于该无形资产开发阶段 的支出能够可靠地计量。如不满足上述条件的，于发生时计入当期损益；无法区分研究阶段 支出和开发阶段支出的，将发生的研发支出全部计入当期损益。</w:t>
      </w:r>
    </w:p>
    <w:p>
      <w:pPr>
        <w:pStyle w:val="BodyText"/>
        <w:spacing w:line="338" w:lineRule="auto" w:before="48"/>
        <w:ind w:right="233" w:firstLine="480"/>
        <w:jc w:val="left"/>
      </w:pPr>
      <w:r>
        <w:rPr/>
        <w:t>公司需要遵守《深圳证券交易所行业信息披露指引第</w:t>
      </w:r>
      <w:r>
        <w:rPr>
          <w:spacing w:val="-60"/>
        </w:rPr>
        <w:t> </w:t>
      </w:r>
      <w:r>
        <w:rPr>
          <w:rFonts w:ascii="Times New Roman" w:hAnsi="Times New Roman" w:cs="Times New Roman" w:eastAsia="Times New Roman" w:hint="default"/>
        </w:rPr>
        <w:t>4 </w:t>
      </w:r>
      <w:r>
        <w:rPr/>
        <w:t>号</w:t>
      </w:r>
      <w:r>
        <w:rPr>
          <w:rFonts w:ascii="Times New Roman" w:hAnsi="Times New Roman" w:cs="Times New Roman" w:eastAsia="Times New Roman" w:hint="default"/>
        </w:rPr>
        <w:t>——</w:t>
      </w:r>
      <w:r>
        <w:rPr/>
        <w:t>上市公司从事种业、种植 业务》的披露要求</w:t>
      </w:r>
    </w:p>
    <w:p>
      <w:pPr>
        <w:spacing w:after="0" w:line="338" w:lineRule="auto"/>
        <w:jc w:val="left"/>
        <w:sectPr>
          <w:pgSz w:w="11910" w:h="16840"/>
          <w:pgMar w:header="877" w:footer="980" w:top="1100" w:bottom="1160" w:left="980" w:right="920"/>
        </w:sectPr>
      </w:pPr>
    </w:p>
    <w:p>
      <w:pPr>
        <w:spacing w:line="240" w:lineRule="auto" w:before="7"/>
        <w:rPr>
          <w:rFonts w:ascii="宋体" w:hAnsi="宋体" w:cs="宋体" w:eastAsia="宋体" w:hint="default"/>
          <w:sz w:val="25"/>
          <w:szCs w:val="25"/>
        </w:rPr>
      </w:pPr>
    </w:p>
    <w:p>
      <w:pPr>
        <w:pStyle w:val="BodyText"/>
        <w:spacing w:line="240" w:lineRule="auto" w:before="26"/>
        <w:ind w:left="633" w:right="293"/>
        <w:jc w:val="left"/>
      </w:pPr>
      <w:r>
        <w:rPr/>
        <w:t>否</w:t>
      </w:r>
    </w:p>
    <w:p>
      <w:pPr>
        <w:pStyle w:val="BodyText"/>
        <w:spacing w:line="338" w:lineRule="auto" w:before="154"/>
        <w:ind w:right="137" w:firstLine="480"/>
        <w:jc w:val="left"/>
      </w:pPr>
      <w:r>
        <w:rPr/>
        <w:t>公司需遵守《深圳证券交易所创业板行业信息披露指引第</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上市公司从事医疗器械 业务》的披露要求</w:t>
      </w:r>
    </w:p>
    <w:p>
      <w:pPr>
        <w:pStyle w:val="BodyText"/>
        <w:spacing w:line="240" w:lineRule="auto"/>
        <w:ind w:left="633" w:right="293"/>
        <w:jc w:val="left"/>
      </w:pPr>
      <w:r>
        <w:rPr/>
        <w:t>否</w:t>
      </w:r>
    </w:p>
    <w:p>
      <w:pPr>
        <w:spacing w:line="338" w:lineRule="auto" w:before="154"/>
        <w:ind w:left="633" w:right="17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w:t>
      </w:r>
      <w:r>
        <w:rPr>
          <w:rFonts w:ascii="宋体" w:hAnsi="宋体" w:cs="宋体" w:eastAsia="宋体" w:hint="default"/>
          <w:b/>
          <w:bCs/>
          <w:sz w:val="24"/>
          <w:szCs w:val="24"/>
        </w:rPr>
        <w:t>、长期资产减值</w:t>
      </w:r>
      <w:r>
        <w:rPr>
          <w:rFonts w:ascii="宋体" w:hAnsi="宋体" w:cs="宋体" w:eastAsia="宋体" w:hint="default"/>
          <w:b/>
          <w:bCs/>
          <w:w w:val="99"/>
          <w:sz w:val="24"/>
          <w:szCs w:val="24"/>
        </w:rPr>
        <w:t> </w:t>
      </w:r>
      <w:r>
        <w:rPr>
          <w:rFonts w:ascii="宋体" w:hAnsi="宋体" w:cs="宋体" w:eastAsia="宋体" w:hint="default"/>
          <w:sz w:val="24"/>
          <w:szCs w:val="24"/>
        </w:rPr>
        <w:t>长期股权投资、采用成本模式计量的投资性房地产、固定资产、在建工程、无形资产、</w:t>
      </w:r>
    </w:p>
    <w:p>
      <w:pPr>
        <w:pStyle w:val="BodyText"/>
        <w:spacing w:line="240" w:lineRule="auto"/>
        <w:ind w:right="0"/>
        <w:jc w:val="both"/>
      </w:pPr>
      <w:r>
        <w:rPr/>
        <w:t>商誉等长期资产，存在下列迹象的，表明资产可能发生了减值：</w:t>
      </w:r>
    </w:p>
    <w:p>
      <w:pPr>
        <w:pStyle w:val="BodyText"/>
        <w:spacing w:line="338" w:lineRule="auto" w:before="154"/>
        <w:ind w:right="138" w:firstLine="480"/>
        <w:jc w:val="left"/>
      </w:pPr>
      <w:r>
        <w:rPr>
          <w:rFonts w:ascii="Times New Roman" w:hAnsi="Times New Roman" w:cs="Times New Roman" w:eastAsia="Times New Roman" w:hint="default"/>
          <w:spacing w:val="-3"/>
        </w:rPr>
        <w:t>1</w:t>
      </w:r>
      <w:r>
        <w:rPr>
          <w:spacing w:val="-3"/>
        </w:rPr>
        <w:t>．资产的市价当期大幅度下跌，其跌幅明显高于因时间的推移或者正常使用而预计的下</w:t>
      </w:r>
      <w:r>
        <w:rPr/>
        <w:t> 跌；</w:t>
      </w:r>
    </w:p>
    <w:p>
      <w:pPr>
        <w:pStyle w:val="BodyText"/>
        <w:spacing w:line="338" w:lineRule="auto"/>
        <w:ind w:right="138" w:firstLine="480"/>
        <w:jc w:val="left"/>
      </w:pPr>
      <w:r>
        <w:rPr>
          <w:rFonts w:ascii="Times New Roman" w:hAnsi="Times New Roman" w:cs="Times New Roman" w:eastAsia="Times New Roman" w:hint="default"/>
          <w:spacing w:val="-3"/>
        </w:rPr>
        <w:t>2</w:t>
      </w:r>
      <w:r>
        <w:rPr>
          <w:spacing w:val="-3"/>
        </w:rPr>
        <w:t>．企业经营所处的经济、技术或者法律等环境以及资产所处的市场在当期或者将在近期</w:t>
      </w:r>
      <w:r>
        <w:rPr/>
        <w:t> 发生重大变化，从而对企业产生不利影响；</w:t>
      </w:r>
    </w:p>
    <w:p>
      <w:pPr>
        <w:pStyle w:val="BodyText"/>
        <w:spacing w:line="338" w:lineRule="auto"/>
        <w:ind w:right="138" w:firstLine="480"/>
        <w:jc w:val="left"/>
      </w:pPr>
      <w:r>
        <w:rPr>
          <w:rFonts w:ascii="Times New Roman" w:hAnsi="Times New Roman" w:cs="Times New Roman" w:eastAsia="Times New Roman" w:hint="default"/>
          <w:spacing w:val="-3"/>
        </w:rPr>
        <w:t>3</w:t>
      </w:r>
      <w:r>
        <w:rPr>
          <w:spacing w:val="-3"/>
        </w:rPr>
        <w:t>．市场利率或者其他市场投资报酬率在当期已经提高，从而影响企业计算资产预计未来</w:t>
      </w:r>
      <w:r>
        <w:rPr/>
        <w:t> 现金流量现值的折现率，导致资产可收回金额大幅度降低；</w:t>
      </w:r>
    </w:p>
    <w:p>
      <w:pPr>
        <w:pStyle w:val="BodyText"/>
        <w:spacing w:line="240" w:lineRule="auto"/>
        <w:ind w:left="633" w:right="293"/>
        <w:jc w:val="left"/>
      </w:pP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135"/>
        <w:ind w:left="633" w:right="293"/>
        <w:jc w:val="left"/>
      </w:pPr>
      <w:r>
        <w:rPr>
          <w:rFonts w:ascii="Times New Roman" w:hAnsi="Times New Roman" w:cs="Times New Roman" w:eastAsia="Times New Roman" w:hint="default"/>
        </w:rPr>
        <w:t>5</w:t>
      </w:r>
      <w:r>
        <w:rPr/>
        <w:t>．资产已经或者将被闲置、终止使用或者计划提前处置；</w:t>
      </w:r>
    </w:p>
    <w:p>
      <w:pPr>
        <w:pStyle w:val="BodyText"/>
        <w:spacing w:line="338" w:lineRule="auto" w:before="135"/>
        <w:ind w:right="138" w:firstLine="480"/>
        <w:jc w:val="left"/>
      </w:pPr>
      <w:r>
        <w:rPr>
          <w:rFonts w:ascii="Times New Roman" w:hAnsi="Times New Roman" w:cs="Times New Roman" w:eastAsia="Times New Roman" w:hint="default"/>
          <w:spacing w:val="-3"/>
        </w:rPr>
        <w:t>6</w:t>
      </w:r>
      <w:r>
        <w:rPr>
          <w:spacing w:val="-3"/>
        </w:rPr>
        <w:t>．企业内部报告的证据表明资产的经济绩效已经低于或者将低于预期，如资产所创造的</w:t>
      </w:r>
      <w:r>
        <w:rPr/>
        <w:t> 净现金流量或者实现的营业利润</w:t>
      </w:r>
      <w:r>
        <w:rPr>
          <w:rFonts w:ascii="Times New Roman" w:hAnsi="Times New Roman" w:cs="Times New Roman" w:eastAsia="Times New Roman" w:hint="default"/>
        </w:rPr>
        <w:t>(</w:t>
      </w:r>
      <w:r>
        <w:rPr/>
        <w:t>或者亏损</w:t>
      </w:r>
      <w:r>
        <w:rPr>
          <w:rFonts w:ascii="Times New Roman" w:hAnsi="Times New Roman" w:cs="Times New Roman" w:eastAsia="Times New Roman" w:hint="default"/>
        </w:rPr>
        <w:t>)</w:t>
      </w:r>
      <w:r>
        <w:rPr/>
        <w:t>远远低于</w:t>
      </w:r>
      <w:r>
        <w:rPr>
          <w:rFonts w:ascii="Times New Roman" w:hAnsi="Times New Roman" w:cs="Times New Roman" w:eastAsia="Times New Roman" w:hint="default"/>
        </w:rPr>
        <w:t>(</w:t>
      </w:r>
      <w:r>
        <w:rPr/>
        <w:t>或者高于</w:t>
      </w:r>
      <w:r>
        <w:rPr>
          <w:rFonts w:ascii="Times New Roman" w:hAnsi="Times New Roman" w:cs="Times New Roman" w:eastAsia="Times New Roman" w:hint="default"/>
        </w:rPr>
        <w:t>)</w:t>
      </w:r>
      <w:r>
        <w:rPr/>
        <w:t>预计金额等；</w:t>
      </w:r>
    </w:p>
    <w:p>
      <w:pPr>
        <w:pStyle w:val="BodyText"/>
        <w:spacing w:line="338" w:lineRule="auto" w:before="27"/>
        <w:ind w:left="633" w:right="173"/>
        <w:jc w:val="left"/>
      </w:pPr>
      <w:r>
        <w:rPr>
          <w:rFonts w:ascii="Times New Roman" w:hAnsi="Times New Roman" w:cs="Times New Roman" w:eastAsia="Times New Roman" w:hint="default"/>
        </w:rPr>
        <w:t>7</w:t>
      </w:r>
      <w:r>
        <w:rPr/>
        <w:t>．其他表明资产可能已经发生减值的迹象。 上述长期资产于资产负债日存在减值迹象的，应当进行减值测试。减值测试结果表明资</w:t>
      </w:r>
    </w:p>
    <w:p>
      <w:pPr>
        <w:pStyle w:val="BodyText"/>
        <w:spacing w:line="352" w:lineRule="auto"/>
        <w:ind w:right="152"/>
        <w:jc w:val="both"/>
      </w:pPr>
      <w:r>
        <w:rPr/>
        <w:t>产的可收回金额低于其账面价值的，按其差额计提减值准备并计入减值损失。可收回金额为 资产的公允价值减去处置费用后的净额与资产预计未来现金流量的现值两者之间的较高者。 公允价值的确定方法详见本附注五</w:t>
      </w:r>
      <w:r>
        <w:rPr>
          <w:rFonts w:ascii="Times New Roman" w:hAnsi="Times New Roman" w:cs="Times New Roman" w:eastAsia="Times New Roman" w:hint="default"/>
        </w:rPr>
        <w:t>(10)</w:t>
      </w:r>
      <w:r>
        <w:rPr/>
        <w:t>；处置费用包括与资产处置有关的法律费用、相关税 </w:t>
      </w:r>
      <w:r>
        <w:rPr>
          <w:spacing w:val="-5"/>
        </w:rPr>
        <w:t>费、搬运费以及为使资产达到可销售状态所发生的直接费用；资产预计未来现金流量的现值，</w:t>
      </w:r>
      <w:r>
        <w:rPr>
          <w:spacing w:val="-117"/>
        </w:rPr>
        <w:t> </w:t>
      </w:r>
      <w:r>
        <w:rPr>
          <w:spacing w:val="-117"/>
        </w:rPr>
      </w:r>
      <w:r>
        <w:rPr/>
        <w:t>按照资产在持续使用过程中和最终处置时所产生的预计未来现金流量，选择恰当的折现率对 其进行折现后的金额加以确定。</w:t>
      </w:r>
    </w:p>
    <w:p>
      <w:pPr>
        <w:pStyle w:val="BodyText"/>
        <w:spacing w:line="357" w:lineRule="auto" w:before="41"/>
        <w:ind w:right="191" w:firstLine="480"/>
        <w:jc w:val="both"/>
      </w:pPr>
      <w:r>
        <w:rPr/>
        <w:t>资产减值准备按单项资产为基础计算并确认，如果难以对单项资产的可收回金额进行估 计的，以资产组所属的资产组确定资产组的可收回金额。资产组是能够独立产生现金流入的 最小资产组合。</w:t>
      </w:r>
    </w:p>
    <w:p>
      <w:pPr>
        <w:pStyle w:val="BodyText"/>
        <w:spacing w:line="240" w:lineRule="auto" w:before="36"/>
        <w:ind w:left="633" w:right="138"/>
        <w:jc w:val="left"/>
      </w:pPr>
      <w:r>
        <w:rPr/>
        <w:t>在财务报表中单独列示的商誉，在进行减值测试时，将商誉的账面价值分摊至预期从企</w:t>
      </w:r>
    </w:p>
    <w:p>
      <w:pPr>
        <w:spacing w:after="0" w:line="240"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before="26"/>
        <w:ind w:right="190"/>
        <w:jc w:val="both"/>
      </w:pPr>
      <w:r>
        <w:rPr/>
        <w:t>业合并的协同效应收益中收益的资产组或资产组组合。测试结果表明包含分摊的商誉的资产 组或者资产组组合的可收回金额低于其账面价值的，确认相应的减值损失。减值损失金额先 抵减分摊至该资产组或者资产组组合的商誉的账面价值，再根据资产组或者资产组组合中除 商誉以外的其他各项资产的账面价值所占比重，按比例抵减其他各项资产的账面价值。</w:t>
      </w:r>
    </w:p>
    <w:p>
      <w:pPr>
        <w:pStyle w:val="BodyText"/>
        <w:spacing w:line="357" w:lineRule="auto" w:before="36"/>
        <w:ind w:left="633" w:right="1866"/>
        <w:jc w:val="left"/>
        <w:rPr>
          <w:rFonts w:ascii="宋体" w:hAnsi="宋体" w:cs="宋体" w:eastAsia="宋体" w:hint="default"/>
        </w:rPr>
      </w:pPr>
      <w:r>
        <w:rPr/>
        <w:t>商誉和使用寿命不确定的无形资产至少在每年年终终了进行减值测试。 上述资产减值损失一经确认，在以后期间不予转回。 </w:t>
      </w:r>
      <w:r>
        <w:rPr>
          <w:rFonts w:ascii="Times New Roman" w:hAnsi="Times New Roman" w:cs="Times New Roman" w:eastAsia="Times New Roman" w:hint="default"/>
          <w:b/>
          <w:bCs/>
        </w:rPr>
        <w:t>21</w:t>
      </w:r>
      <w:r>
        <w:rPr>
          <w:rFonts w:ascii="宋体" w:hAnsi="宋体" w:cs="宋体" w:eastAsia="宋体" w:hint="default"/>
          <w:b/>
          <w:bCs/>
        </w:rPr>
        <w:t>、长期待摊费用</w:t>
      </w:r>
      <w:r>
        <w:rPr>
          <w:rFonts w:ascii="宋体" w:hAnsi="宋体" w:cs="宋体" w:eastAsia="宋体" w:hint="default"/>
        </w:rPr>
      </w:r>
    </w:p>
    <w:p>
      <w:pPr>
        <w:pStyle w:val="BodyText"/>
        <w:spacing w:line="357" w:lineRule="auto" w:before="5"/>
        <w:ind w:right="173" w:firstLine="480"/>
        <w:jc w:val="left"/>
      </w:pPr>
      <w:r>
        <w:rPr/>
        <w:t>长期待摊费用按实际支出入账，在受益期或规定的期限内平均摊销。如果长期待摊的费 用项目不能使以后会计期间受益，则将尚未摊销的该项目的摊余价值全部转入当期损益。</w:t>
      </w:r>
    </w:p>
    <w:p>
      <w:pPr>
        <w:pStyle w:val="Heading2"/>
        <w:spacing w:line="240" w:lineRule="auto" w:before="36"/>
        <w:ind w:left="633" w:right="293"/>
        <w:jc w:val="left"/>
        <w:rPr>
          <w:b w:val="0"/>
          <w:bCs w:val="0"/>
        </w:rPr>
      </w:pPr>
      <w:r>
        <w:rPr>
          <w:rFonts w:ascii="Times New Roman" w:hAnsi="Times New Roman" w:cs="Times New Roman" w:eastAsia="Times New Roman" w:hint="default"/>
        </w:rPr>
        <w:t>22</w:t>
      </w:r>
      <w:r>
        <w:rPr/>
        <w:t>、职工薪酬</w:t>
      </w:r>
      <w:r>
        <w:rPr>
          <w:b w:val="0"/>
          <w:bCs w:val="0"/>
        </w:rPr>
      </w:r>
    </w:p>
    <w:p>
      <w:pPr>
        <w:spacing w:line="338" w:lineRule="auto" w:before="135"/>
        <w:ind w:left="1113" w:right="173"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）短期薪酬的会计处理方法</w:t>
      </w:r>
      <w:r>
        <w:rPr>
          <w:rFonts w:ascii="宋体" w:hAnsi="宋体" w:cs="宋体" w:eastAsia="宋体" w:hint="default"/>
          <w:b/>
          <w:bCs/>
          <w:w w:val="99"/>
          <w:sz w:val="24"/>
          <w:szCs w:val="24"/>
        </w:rPr>
        <w:t> </w:t>
      </w:r>
      <w:r>
        <w:rPr>
          <w:rFonts w:ascii="宋体" w:hAnsi="宋体" w:cs="宋体" w:eastAsia="宋体" w:hint="default"/>
          <w:sz w:val="24"/>
          <w:szCs w:val="24"/>
        </w:rPr>
        <w:t>本公司在职工提供服务的会计期间，将实际发生的职工工资、奖金、按规定的基准</w:t>
      </w:r>
    </w:p>
    <w:p>
      <w:pPr>
        <w:pStyle w:val="BodyText"/>
        <w:spacing w:line="357" w:lineRule="auto"/>
        <w:ind w:right="191"/>
        <w:jc w:val="both"/>
      </w:pPr>
      <w:r>
        <w:rPr/>
        <w:t>和比例为职工缴纳的医疗保险费、工伤保险费和生育保险费等社会保险费和住房公积金，确 认为负债，并计入当期损益或相关资产成本。职工福利费为非货币性福利的，如能够可靠计 量的，按照公允价值计量。如果该负债预期在职工提供相关服务的年度报告期结束后十二个 月内不能完全支付，且财务影响重大的，则该负债将以折现后的金额计量。</w:t>
      </w:r>
    </w:p>
    <w:p>
      <w:pPr>
        <w:spacing w:line="338" w:lineRule="auto" w:before="36"/>
        <w:ind w:left="633" w:right="138"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）离职后福利的会计处理方法</w:t>
      </w:r>
      <w:r>
        <w:rPr>
          <w:rFonts w:ascii="宋体" w:hAnsi="宋体" w:cs="宋体" w:eastAsia="宋体" w:hint="default"/>
          <w:b/>
          <w:bCs/>
          <w:w w:val="99"/>
          <w:sz w:val="24"/>
          <w:szCs w:val="24"/>
        </w:rPr>
        <w:t> </w:t>
      </w:r>
      <w:r>
        <w:rPr>
          <w:rFonts w:ascii="宋体" w:hAnsi="宋体" w:cs="宋体" w:eastAsia="宋体" w:hint="default"/>
          <w:spacing w:val="-6"/>
          <w:sz w:val="24"/>
          <w:szCs w:val="24"/>
        </w:rPr>
        <w:t>离职后福利计划包括设定提存计划。设定提存计划，是指向独立的基金缴存固定费用后，</w:t>
      </w:r>
    </w:p>
    <w:p>
      <w:pPr>
        <w:pStyle w:val="BodyText"/>
        <w:spacing w:line="357" w:lineRule="auto"/>
        <w:ind w:left="633" w:right="173" w:hanging="480"/>
        <w:jc w:val="left"/>
      </w:pPr>
      <w:r>
        <w:rPr/>
        <w:t>企业不再承担进一步支付义务的离职后福利计划。 本公司按当期政府的相关规定为职工缴纳基本养老保险和失业保险，在职工为本公司提</w:t>
      </w:r>
    </w:p>
    <w:p>
      <w:pPr>
        <w:pStyle w:val="BodyText"/>
        <w:spacing w:line="357" w:lineRule="auto" w:before="36"/>
        <w:ind w:right="191"/>
        <w:jc w:val="both"/>
      </w:pPr>
      <w:r>
        <w:rPr/>
        <w:t>供服务的会计期间，根据设定提存计划计算的应缴存金额确认为负债，并计入当期损益或相 关资产成本。</w:t>
      </w:r>
    </w:p>
    <w:p>
      <w:pPr>
        <w:spacing w:line="338" w:lineRule="auto" w:before="36"/>
        <w:ind w:left="633" w:right="17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）辞退福利的会计处理方法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在本公司不能单方面撤回因解除劳动关系计划或者裁减建议所提供的辞退福利时，和本</w:t>
      </w:r>
    </w:p>
    <w:p>
      <w:pPr>
        <w:pStyle w:val="BodyText"/>
        <w:spacing w:line="357" w:lineRule="auto"/>
        <w:ind w:right="191"/>
        <w:jc w:val="both"/>
      </w:pPr>
      <w:r>
        <w:rPr/>
        <w:t>公司确认与涉及支付辞退福利的重组相关的成本或费用时两者孰早日，确认辞退福利产生的 职工薪酬负债，并计入当期损益。但辞退福利预期在年度报告期结束后十二个月不能完全支 付的，按照其他长期职工薪酬处理。</w:t>
      </w:r>
    </w:p>
    <w:p>
      <w:pPr>
        <w:pStyle w:val="BodyText"/>
        <w:spacing w:line="338" w:lineRule="auto" w:before="36"/>
        <w:ind w:left="633" w:right="138"/>
        <w:jc w:val="left"/>
      </w:pPr>
      <w:r>
        <w:rPr>
          <w:rFonts w:ascii="Times New Roman" w:hAnsi="Times New Roman" w:cs="Times New Roman" w:eastAsia="Times New Roman" w:hint="default"/>
          <w:b/>
          <w:bCs/>
        </w:rPr>
        <w:t>23</w:t>
      </w:r>
      <w:r>
        <w:rPr>
          <w:rFonts w:ascii="宋体" w:hAnsi="宋体" w:cs="宋体" w:eastAsia="宋体" w:hint="default"/>
          <w:b/>
          <w:bCs/>
        </w:rPr>
        <w:t>、预计负债</w:t>
      </w:r>
      <w:r>
        <w:rPr>
          <w:rFonts w:ascii="宋体" w:hAnsi="宋体" w:cs="宋体" w:eastAsia="宋体" w:hint="default"/>
          <w:b/>
          <w:bCs/>
          <w:w w:val="99"/>
        </w:rPr>
        <w:t> </w:t>
      </w:r>
      <w:r>
        <w:rPr>
          <w:spacing w:val="-3"/>
        </w:rPr>
        <w:t>当与或有事项相关的义务同时符合以下条件，将其确认为预计负债：</w:t>
      </w:r>
      <w:r>
        <w:rPr>
          <w:rFonts w:ascii="Times New Roman" w:hAnsi="Times New Roman" w:cs="Times New Roman" w:eastAsia="Times New Roman" w:hint="default"/>
          <w:spacing w:val="-3"/>
        </w:rPr>
        <w:t>1</w:t>
      </w:r>
      <w:r>
        <w:rPr>
          <w:spacing w:val="-3"/>
        </w:rPr>
        <w:t>．该义务是承担的</w:t>
      </w:r>
    </w:p>
    <w:p>
      <w:pPr>
        <w:spacing w:after="0" w:line="338"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48" w:lineRule="auto" w:before="26"/>
        <w:ind w:left="0" w:right="190"/>
        <w:jc w:val="right"/>
      </w:pPr>
      <w:r>
        <w:rPr/>
        <w:t>现时义务；</w:t>
      </w:r>
      <w:r>
        <w:rPr>
          <w:rFonts w:ascii="Times New Roman" w:hAnsi="Times New Roman" w:cs="Times New Roman" w:eastAsia="Times New Roman" w:hint="default"/>
        </w:rPr>
        <w:t>2</w:t>
      </w:r>
      <w:r>
        <w:rPr/>
        <w:t>．该义务的履行很可能导致经济利益流出；</w:t>
      </w:r>
      <w:r>
        <w:rPr>
          <w:rFonts w:ascii="Times New Roman" w:hAnsi="Times New Roman" w:cs="Times New Roman" w:eastAsia="Times New Roman" w:hint="default"/>
        </w:rPr>
        <w:t>3</w:t>
      </w:r>
      <w:r>
        <w:rPr/>
        <w:t>．该义务的金额能够可靠地计量。 预计负债按照履行相关现时义务所需支出的最佳估计数进行初始计量，并综合考虑与或 有事项有关的风险、不确定性和货币时间价值等因素。货币时间价值影响重大的，通过对相</w:t>
      </w:r>
    </w:p>
    <w:p>
      <w:pPr>
        <w:pStyle w:val="BodyText"/>
        <w:spacing w:line="357" w:lineRule="auto" w:before="46"/>
        <w:ind w:left="633" w:right="253" w:hanging="480"/>
        <w:jc w:val="left"/>
      </w:pPr>
      <w:r>
        <w:rPr/>
        <w:t>关未来现金流出进行折现后确定最佳估计数。 最佳估计数分别分以下情况处理：所需支出存在一个连续范围</w:t>
      </w:r>
      <w:r>
        <w:rPr>
          <w:rFonts w:ascii="Times New Roman" w:hAnsi="Times New Roman" w:cs="Times New Roman" w:eastAsia="Times New Roman" w:hint="default"/>
        </w:rPr>
        <w:t>(</w:t>
      </w:r>
      <w:r>
        <w:rPr/>
        <w:t>或区间</w:t>
      </w:r>
      <w:r>
        <w:rPr>
          <w:rFonts w:ascii="Times New Roman" w:hAnsi="Times New Roman" w:cs="Times New Roman" w:eastAsia="Times New Roman" w:hint="default"/>
        </w:rPr>
        <w:t>)</w:t>
      </w:r>
      <w:r>
        <w:rPr/>
        <w:t>，且该范围内各</w:t>
      </w:r>
    </w:p>
    <w:p>
      <w:pPr>
        <w:pStyle w:val="BodyText"/>
        <w:spacing w:line="350" w:lineRule="auto" w:before="5"/>
        <w:ind w:right="191"/>
        <w:jc w:val="both"/>
      </w:pPr>
      <w:r>
        <w:rPr/>
        <w:t>种结果发生的可能性相同的，则最佳估计数按照该范围的中间值：即上下限金额的平均数确 定。所需支出不存在一个连续范围</w:t>
      </w:r>
      <w:r>
        <w:rPr>
          <w:rFonts w:ascii="Times New Roman" w:hAnsi="Times New Roman" w:cs="Times New Roman" w:eastAsia="Times New Roman" w:hint="default"/>
        </w:rPr>
        <w:t>(</w:t>
      </w:r>
      <w:r>
        <w:rPr/>
        <w:t>或区间</w:t>
      </w:r>
      <w:r>
        <w:rPr>
          <w:rFonts w:ascii="Times New Roman" w:hAnsi="Times New Roman" w:cs="Times New Roman" w:eastAsia="Times New Roman" w:hint="default"/>
        </w:rPr>
        <w:t>)</w:t>
      </w:r>
      <w:r>
        <w:rPr/>
        <w:t>，或虽然存在一个连续范围但该范围内各种结果 发生的可能性不相同的，如或有事项涉及单个项目的，则最佳估计数按照最可能发生金额确 定；如或有事项涉及多个项目的，则最佳估计数按各种可能结果及相关概率计算确定。</w:t>
      </w:r>
    </w:p>
    <w:p>
      <w:pPr>
        <w:pStyle w:val="BodyText"/>
        <w:spacing w:line="357" w:lineRule="auto" w:before="43"/>
        <w:ind w:right="173" w:firstLine="480"/>
        <w:jc w:val="left"/>
      </w:pPr>
      <w:r>
        <w:rPr/>
        <w:t>本公司清偿预计负债所需支出全部或部分预期由第三方补偿的，补偿金额在基本确定能 够收到时，作为资产单独确认，且确认的补偿金额不超过预计负债的账面价值。</w:t>
      </w:r>
    </w:p>
    <w:p>
      <w:pPr>
        <w:pStyle w:val="BodyText"/>
        <w:spacing w:line="357" w:lineRule="auto" w:before="36"/>
        <w:ind w:right="173" w:firstLine="480"/>
        <w:jc w:val="left"/>
      </w:pPr>
      <w:r>
        <w:rPr/>
        <w:t>每个资产负债表日对预计负债的账面价值进行复核。有确凿证据表明该账面价值不能反 映当前最佳估计数的，按照当前最佳估计数对该账面价值进行调整。</w:t>
      </w:r>
    </w:p>
    <w:p>
      <w:pPr>
        <w:pStyle w:val="Heading2"/>
        <w:spacing w:line="240" w:lineRule="auto" w:before="36"/>
        <w:ind w:left="633" w:right="293"/>
        <w:jc w:val="left"/>
        <w:rPr>
          <w:b w:val="0"/>
          <w:bCs w:val="0"/>
        </w:rPr>
      </w:pPr>
      <w:r>
        <w:rPr>
          <w:rFonts w:ascii="Times New Roman" w:hAnsi="Times New Roman" w:cs="Times New Roman" w:eastAsia="Times New Roman" w:hint="default"/>
        </w:rPr>
        <w:t>24</w:t>
      </w:r>
      <w:r>
        <w:rPr/>
        <w:t>、股份支付</w:t>
      </w:r>
      <w:r>
        <w:rPr>
          <w:b w:val="0"/>
          <w:bCs w:val="0"/>
        </w:rPr>
      </w:r>
    </w:p>
    <w:p>
      <w:pPr>
        <w:pStyle w:val="BodyText"/>
        <w:spacing w:line="338" w:lineRule="auto" w:before="135"/>
        <w:ind w:left="633" w:right="253"/>
        <w:jc w:val="left"/>
      </w:pPr>
      <w:r>
        <w:rPr>
          <w:rFonts w:ascii="Times New Roman" w:hAnsi="Times New Roman" w:cs="Times New Roman" w:eastAsia="Times New Roman" w:hint="default"/>
        </w:rPr>
        <w:t>1</w:t>
      </w:r>
      <w:r>
        <w:rPr/>
        <w:t>．股份支付的种类 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w:t>
      </w:r>
    </w:p>
    <w:p>
      <w:pPr>
        <w:pStyle w:val="BodyText"/>
        <w:spacing w:line="348" w:lineRule="auto" w:before="27"/>
        <w:ind w:left="633" w:right="138" w:hanging="480"/>
        <w:jc w:val="left"/>
      </w:pPr>
      <w:r>
        <w:rPr/>
        <w:t>工具为基础确定的负债的交易。包括以权益结算的股份支付和以现金结算的股份支付。 </w:t>
      </w:r>
      <w:r>
        <w:rPr>
          <w:rFonts w:ascii="Times New Roman" w:hAnsi="Times New Roman" w:cs="Times New Roman" w:eastAsia="Times New Roman" w:hint="default"/>
        </w:rPr>
        <w:t>2</w:t>
      </w:r>
      <w:r>
        <w:rPr/>
        <w:t>．权益工具公允价值的确定方法 </w:t>
      </w:r>
      <w:r>
        <w:rPr>
          <w:rFonts w:ascii="Times New Roman" w:hAnsi="Times New Roman" w:cs="Times New Roman" w:eastAsia="Times New Roman" w:hint="default"/>
          <w:spacing w:val="-2"/>
        </w:rPr>
        <w:t>(1)</w:t>
      </w:r>
      <w:r>
        <w:rPr>
          <w:spacing w:val="-2"/>
        </w:rPr>
        <w:t>存在活跃市场的，按照活跃市场中的报价确定；</w:t>
      </w:r>
      <w:r>
        <w:rPr>
          <w:rFonts w:ascii="Times New Roman" w:hAnsi="Times New Roman" w:cs="Times New Roman" w:eastAsia="Times New Roman" w:hint="default"/>
          <w:spacing w:val="-2"/>
        </w:rPr>
        <w:t>(2)</w:t>
      </w:r>
      <w:r>
        <w:rPr>
          <w:spacing w:val="-2"/>
        </w:rPr>
        <w:t>不存在活跃市场的，采用估值技术</w:t>
      </w:r>
    </w:p>
    <w:p>
      <w:pPr>
        <w:pStyle w:val="BodyText"/>
        <w:spacing w:line="357" w:lineRule="auto" w:before="16"/>
        <w:ind w:right="190"/>
        <w:jc w:val="both"/>
      </w:pPr>
      <w:r>
        <w:rPr/>
        <w:t>确定，包括参考熟悉情况并自愿交易的各方最近进行的市场交易中使用的价格、参照实质上 相同的其他金融工具的当前公允价值、现金流量折现法和期权定价模型等。</w:t>
      </w:r>
    </w:p>
    <w:p>
      <w:pPr>
        <w:pStyle w:val="BodyText"/>
        <w:spacing w:line="338" w:lineRule="auto" w:before="36"/>
        <w:ind w:left="633" w:right="173"/>
        <w:jc w:val="left"/>
      </w:pPr>
      <w:r>
        <w:rPr>
          <w:rFonts w:ascii="Times New Roman" w:hAnsi="Times New Roman" w:cs="Times New Roman" w:eastAsia="Times New Roman" w:hint="default"/>
        </w:rPr>
        <w:t>3</w:t>
      </w:r>
      <w:r>
        <w:rPr/>
        <w:t>．确认可行权权益工具最佳估计的依据 等待期内每个资产负债表日，本公司根据最新取得的可行权职工人数变动等后续信息做</w:t>
      </w:r>
    </w:p>
    <w:p>
      <w:pPr>
        <w:pStyle w:val="BodyText"/>
        <w:spacing w:line="357" w:lineRule="auto" w:before="56"/>
        <w:ind w:right="191"/>
        <w:jc w:val="both"/>
      </w:pPr>
      <w:r>
        <w:rPr/>
        <w:t>出最佳估计，修正预计可行权的权益工具数量。在可行权日，最终预计可行权权益工具的数 量应当与实际可行权数量一致。</w:t>
      </w:r>
    </w:p>
    <w:p>
      <w:pPr>
        <w:pStyle w:val="BodyText"/>
        <w:spacing w:line="338" w:lineRule="auto" w:before="36"/>
        <w:ind w:left="633" w:right="6613"/>
        <w:jc w:val="left"/>
      </w:pPr>
      <w:r>
        <w:rPr>
          <w:rFonts w:ascii="Times New Roman" w:hAnsi="Times New Roman" w:cs="Times New Roman" w:eastAsia="Times New Roman" w:hint="default"/>
        </w:rPr>
        <w:t>4</w:t>
      </w:r>
      <w:r>
        <w:rPr/>
        <w:t>．股份支付的会计处理 </w:t>
      </w:r>
      <w:r>
        <w:rPr>
          <w:rFonts w:ascii="Times New Roman" w:hAnsi="Times New Roman" w:cs="Times New Roman" w:eastAsia="Times New Roman" w:hint="default"/>
        </w:rPr>
        <w:t>(1)</w:t>
      </w:r>
      <w:r>
        <w:rPr/>
        <w:t>以权益结算的股份支付</w:t>
      </w:r>
    </w:p>
    <w:p>
      <w:pPr>
        <w:pStyle w:val="BodyText"/>
        <w:spacing w:line="357" w:lineRule="auto" w:before="27"/>
        <w:ind w:right="173" w:firstLine="480"/>
        <w:jc w:val="left"/>
      </w:pPr>
      <w:r>
        <w:rPr/>
        <w:t>以权益结算的股份支付换取职工提供服务的，授予后立即可行权的，在授予日按照权益 工具的公允价值计入相关成本或费用，相应调整资本公积；完成等待期内的服务或达到规定</w:t>
      </w:r>
    </w:p>
    <w:p>
      <w:pPr>
        <w:spacing w:after="0" w:line="357"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before="26"/>
        <w:ind w:left="0" w:right="270"/>
        <w:jc w:val="right"/>
      </w:pPr>
      <w:r>
        <w:rPr/>
        <w:t>业绩条件才可行权的，在等待期内的每个资产负债表日，以对可行权权益工具数量的最佳估 计为基础，按权益工具授予日的公允价值，将当期取得的服务计入相关成本或费用，相应调 整资本公积，在可行权日之后不再对已确认的相关成本或费用和所有者权益总额进行调整。 以权益结算的股份支付换取其他方服务的，若其他方服务的公允价值能够可靠计量的， 按照其他方服务在取得日的公允价值计量；其他方服务的公允价值不能可靠计量但权益工具 公允价值能够可靠计量的，按照权益工具在服务取得日的公允价值计量，计入相关成本或费</w:t>
      </w:r>
    </w:p>
    <w:p>
      <w:pPr>
        <w:pStyle w:val="BodyText"/>
        <w:spacing w:line="240" w:lineRule="auto" w:before="36"/>
        <w:ind w:right="98"/>
        <w:jc w:val="left"/>
      </w:pPr>
      <w:r>
        <w:rPr/>
        <w:t>用，相应增加所有者权益。</w:t>
      </w:r>
    </w:p>
    <w:p>
      <w:pPr>
        <w:pStyle w:val="BodyText"/>
        <w:spacing w:line="338" w:lineRule="auto" w:before="154"/>
        <w:ind w:left="633" w:right="253"/>
        <w:jc w:val="left"/>
      </w:pPr>
      <w:r>
        <w:rPr>
          <w:rFonts w:ascii="Times New Roman" w:hAnsi="Times New Roman" w:cs="Times New Roman" w:eastAsia="Times New Roman" w:hint="default"/>
        </w:rPr>
        <w:t>(2)</w:t>
      </w:r>
      <w:r>
        <w:rPr/>
        <w:t>以现金结算的股份支付</w:t>
      </w:r>
      <w:r>
        <w:rPr>
          <w:w w:val="99"/>
        </w:rPr>
        <w:t> </w:t>
      </w:r>
      <w:r>
        <w:rPr/>
        <w:t>以现金结算的股份支付换取职工服务的，授予后立即可行权的，在授予日按公司承担负</w:t>
      </w:r>
    </w:p>
    <w:p>
      <w:pPr>
        <w:pStyle w:val="BodyText"/>
        <w:spacing w:line="357" w:lineRule="auto"/>
        <w:ind w:right="270"/>
        <w:jc w:val="both"/>
      </w:pPr>
      <w:r>
        <w:rPr/>
        <w:t>债的公允价值计入相关成本或费用，相应增加负债；完成等待期内的服务或达到规定业绩条 件才可行权的换取职工服务的以现金结算的股份支付，在等待期内的每个资产负债表日，以 对可行权情况的最佳估计为基础，按公司承担负债的公允价值，将当期取得的服务计入相关 成本或费用和相应的负债。在相关负债结算前的每个资产负债表日以及结算日，对负债的公 允价值重新计量，其变动计入当期损益。</w:t>
      </w:r>
    </w:p>
    <w:p>
      <w:pPr>
        <w:pStyle w:val="BodyText"/>
        <w:spacing w:line="338" w:lineRule="auto" w:before="36"/>
        <w:ind w:left="633" w:right="253"/>
        <w:jc w:val="left"/>
      </w:pPr>
      <w:r>
        <w:rPr>
          <w:rFonts w:ascii="Times New Roman" w:hAnsi="Times New Roman" w:cs="Times New Roman" w:eastAsia="Times New Roman" w:hint="default"/>
        </w:rPr>
        <w:t>(3)</w:t>
      </w:r>
      <w:r>
        <w:rPr/>
        <w:t>修改、终止股份支付计划</w:t>
      </w:r>
      <w:r>
        <w:rPr>
          <w:w w:val="99"/>
        </w:rPr>
        <w:t> </w:t>
      </w:r>
      <w:r>
        <w:rPr/>
        <w:t>如果修改增加了所授予的权益工具的公允价值，公司按照权益工具公允价值的增加相应</w:t>
      </w:r>
    </w:p>
    <w:p>
      <w:pPr>
        <w:pStyle w:val="BodyText"/>
        <w:spacing w:line="357" w:lineRule="auto" w:before="56"/>
        <w:ind w:right="95"/>
        <w:jc w:val="left"/>
      </w:pPr>
      <w:r>
        <w:rPr/>
        <w:t>地确认取得服务的增加；如果修改增加了所授予的权益工具的数量，公司将增加的权益工具 </w:t>
      </w:r>
      <w:r>
        <w:rPr>
          <w:spacing w:val="-2"/>
        </w:rPr>
        <w:t>的公允价值相应地确认为取得服务的增加；如果公司按照有利于职工的方式修改可行权条件，</w:t>
      </w:r>
      <w:r>
        <w:rPr/>
        <w:t> 公司在处理可行权条件时，考虑修改后的可行权条件。</w:t>
      </w:r>
    </w:p>
    <w:p>
      <w:pPr>
        <w:pStyle w:val="BodyText"/>
        <w:spacing w:line="357" w:lineRule="auto" w:before="36"/>
        <w:ind w:right="270" w:firstLine="480"/>
        <w:jc w:val="both"/>
      </w:pPr>
      <w:r>
        <w:rPr/>
        <w:t>如果修改减少了授予的权益工具的公允价值，公司继续以权益工具在授予日的公允价值 为基础，确认取得服务的金额，而不考虑权益工具公允价值的减少；如果修改减少了授予的 权益工具的数量，公司将减少部分作为已授予的权益工具的取消来进行处理；如果以不利于 职工的方式修改了可行权条件，在处理可行权条件时，不考虑修改后的可行权条件。</w:t>
      </w:r>
    </w:p>
    <w:p>
      <w:pPr>
        <w:pStyle w:val="BodyText"/>
        <w:spacing w:line="352" w:lineRule="auto" w:before="37"/>
        <w:ind w:right="269" w:firstLine="480"/>
        <w:jc w:val="both"/>
      </w:pPr>
      <w:r>
        <w:rPr/>
        <w:t>如果取消了以权益结算的股份支付，则于取消日作为加速行权处理，立即确认尚未确认 的金额</w:t>
      </w:r>
      <w:r>
        <w:rPr>
          <w:rFonts w:ascii="Times New Roman" w:hAnsi="Times New Roman" w:cs="Times New Roman" w:eastAsia="Times New Roman" w:hint="default"/>
        </w:rPr>
        <w:t>(</w:t>
      </w:r>
      <w:r>
        <w:rPr/>
        <w:t>将剩余等待期内应确认的金额立即计入当期损益，同时确认资本公积</w:t>
      </w:r>
      <w:r>
        <w:rPr>
          <w:rFonts w:ascii="Times New Roman" w:hAnsi="Times New Roman" w:cs="Times New Roman" w:eastAsia="Times New Roman" w:hint="default"/>
        </w:rPr>
        <w:t>)</w:t>
      </w:r>
      <w:r>
        <w:rPr/>
        <w:t>。职工或者其 他方能够选择满足非可行权条件但在等待期内未满足的，作为取消以权益结算的股份支付处 理。但是，如果授予新的权益工具，并在新权益工具授予日认定所授予权益工具用于替代被 取消的权益工具的，则以与处理原权益工具条款和条件修改相同的方式，对被授予的替代权 益工具进行处理。</w:t>
      </w:r>
    </w:p>
    <w:p>
      <w:pPr>
        <w:spacing w:after="0" w:line="352" w:lineRule="auto"/>
        <w:jc w:val="both"/>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38" w:lineRule="auto" w:before="26"/>
        <w:ind w:left="633" w:right="373"/>
        <w:jc w:val="left"/>
      </w:pPr>
      <w:r>
        <w:rPr>
          <w:rFonts w:ascii="Times New Roman" w:hAnsi="Times New Roman" w:cs="Times New Roman" w:eastAsia="Times New Roman" w:hint="default"/>
        </w:rPr>
        <w:t>5</w:t>
      </w:r>
      <w:r>
        <w:rPr/>
        <w:t>．涉及本公司与本公司股东或实际控制人的股份支付交易的会计处理 涉及本公司与本公司股东或实际控制人的股份支付交易，结算企业与接受服务企业中其</w:t>
      </w:r>
    </w:p>
    <w:p>
      <w:pPr>
        <w:pStyle w:val="BodyText"/>
        <w:spacing w:line="240" w:lineRule="auto"/>
        <w:ind w:right="215"/>
        <w:jc w:val="left"/>
      </w:pPr>
      <w:r>
        <w:rPr/>
        <w:t>一在本公司内，另一在本公司外的，在本公司合并财务报表中按照以下规定进行会计处理：</w:t>
      </w:r>
    </w:p>
    <w:p>
      <w:pPr>
        <w:pStyle w:val="BodyText"/>
        <w:spacing w:line="338" w:lineRule="auto" w:before="154"/>
        <w:ind w:right="93" w:firstLine="480"/>
        <w:jc w:val="left"/>
      </w:pPr>
      <w:r>
        <w:rPr>
          <w:rFonts w:ascii="Times New Roman" w:hAnsi="Times New Roman" w:cs="Times New Roman" w:eastAsia="Times New Roman" w:hint="default"/>
        </w:rPr>
        <w:t>(1)</w:t>
      </w:r>
      <w:r>
        <w:rPr/>
        <w:t>结算企业以其本身权益工具结算的，将该股份支付交易作为权益结算的股份支付处理；</w:t>
      </w:r>
      <w:r>
        <w:rPr>
          <w:w w:val="99"/>
        </w:rPr>
        <w:t> </w:t>
      </w:r>
      <w:r>
        <w:rPr/>
        <w:t>除此之外，作为现金结算的股份支付处理。</w:t>
      </w:r>
    </w:p>
    <w:p>
      <w:pPr>
        <w:pStyle w:val="BodyText"/>
        <w:spacing w:line="357" w:lineRule="auto"/>
        <w:ind w:right="213" w:firstLine="480"/>
        <w:jc w:val="left"/>
      </w:pPr>
      <w:r>
        <w:rPr/>
        <w:t>结算企业是接受服务企业的投资者的，按照授予日权益工具的公允价值或应承担负债的 公允价值确认为对接受服务企业的长期股权投资，同时确认资本公积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或负债。</w:t>
      </w:r>
    </w:p>
    <w:p>
      <w:pPr>
        <w:pStyle w:val="BodyText"/>
        <w:spacing w:line="352" w:lineRule="auto" w:before="5"/>
        <w:ind w:right="352" w:firstLine="480"/>
        <w:jc w:val="both"/>
      </w:pPr>
      <w:r>
        <w:rPr>
          <w:rFonts w:ascii="Times New Roman" w:hAnsi="Times New Roman" w:cs="Times New Roman" w:eastAsia="Times New Roman" w:hint="default"/>
        </w:rPr>
        <w:t>(2)</w:t>
      </w:r>
      <w:r>
        <w:rPr/>
        <w:t>接受服务企业没有结算义务或授予本企业职工的是其本身权益工具的，将该股份支付</w:t>
      </w:r>
      <w:r>
        <w:rPr>
          <w:w w:val="99"/>
        </w:rPr>
        <w:t> </w:t>
      </w:r>
      <w:r>
        <w:rPr/>
        <w:t>交易作为权益结算的股份支付处理；接受服务企业具有结算义务且授予本企业职工的并非其</w:t>
      </w:r>
      <w:r>
        <w:rPr>
          <w:w w:val="99"/>
        </w:rPr>
        <w:t> </w:t>
      </w:r>
      <w:r>
        <w:rPr/>
        <w:t>本身权益工具的，将该股份支付交易作为现金结算的股份支付处理。本公司内各企业之间发</w:t>
      </w:r>
      <w:r>
        <w:rPr>
          <w:w w:val="99"/>
        </w:rPr>
        <w:t> </w:t>
      </w:r>
      <w:r>
        <w:rPr/>
        <w:t>生的股份支付交易，接受服务企业和结算企业不是同一企业的，在接受服务企业和结算企业</w:t>
      </w:r>
      <w:r>
        <w:rPr>
          <w:w w:val="99"/>
        </w:rPr>
        <w:t> </w:t>
      </w:r>
      <w:r>
        <w:rPr/>
        <w:t>各自的个别财务报表中对该股份支付交易的确认和计量，比照上述原则处理。</w:t>
      </w:r>
    </w:p>
    <w:p>
      <w:pPr>
        <w:spacing w:line="240" w:lineRule="auto" w:before="1"/>
        <w:rPr>
          <w:rFonts w:ascii="宋体" w:hAnsi="宋体" w:cs="宋体" w:eastAsia="宋体" w:hint="default"/>
          <w:sz w:val="26"/>
          <w:szCs w:val="26"/>
        </w:rPr>
      </w:pPr>
    </w:p>
    <w:p>
      <w:pPr>
        <w:pStyle w:val="Heading2"/>
        <w:spacing w:line="240" w:lineRule="auto"/>
        <w:ind w:left="633" w:right="215"/>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4"/>
        <w:rPr>
          <w:rFonts w:ascii="宋体" w:hAnsi="宋体" w:cs="宋体" w:eastAsia="宋体" w:hint="default"/>
          <w:b/>
          <w:bCs/>
          <w:sz w:val="33"/>
          <w:szCs w:val="33"/>
        </w:rPr>
      </w:pPr>
    </w:p>
    <w:p>
      <w:pPr>
        <w:pStyle w:val="BodyText"/>
        <w:spacing w:line="357" w:lineRule="auto" w:before="0"/>
        <w:ind w:left="633" w:right="5413"/>
        <w:jc w:val="left"/>
      </w:pPr>
      <w:r>
        <w:rPr/>
        <w:t>公司是否需要遵守特殊行业的披露要求 否</w:t>
      </w:r>
    </w:p>
    <w:p>
      <w:pPr>
        <w:pStyle w:val="BodyText"/>
        <w:spacing w:line="338" w:lineRule="auto" w:before="36"/>
        <w:ind w:right="373" w:firstLine="480"/>
        <w:jc w:val="left"/>
      </w:pPr>
      <w:r>
        <w:rPr/>
        <w:t>公司需遵守《深圳证券交易所行业信息披露指引第</w:t>
      </w:r>
      <w:r>
        <w:rPr>
          <w:spacing w:val="-60"/>
        </w:rPr>
        <w:t> </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t>上市公司从事固体矿产资源 相关业务》的披露要求</w:t>
      </w:r>
    </w:p>
    <w:p>
      <w:pPr>
        <w:pStyle w:val="BodyText"/>
        <w:spacing w:line="240" w:lineRule="auto"/>
        <w:ind w:left="633" w:right="215"/>
        <w:jc w:val="left"/>
      </w:pPr>
      <w:r>
        <w:rPr/>
        <w:t>否</w:t>
      </w:r>
    </w:p>
    <w:p>
      <w:pPr>
        <w:pStyle w:val="BodyText"/>
        <w:spacing w:line="338" w:lineRule="auto" w:before="154"/>
        <w:ind w:right="373" w:firstLine="480"/>
        <w:jc w:val="left"/>
      </w:pPr>
      <w:r>
        <w:rPr/>
        <w:t>公司需要遵守《深圳证券交易所行业信息披露指引第</w:t>
      </w:r>
      <w:r>
        <w:rPr>
          <w:spacing w:val="-60"/>
        </w:rPr>
        <w:t> </w:t>
      </w:r>
      <w:r>
        <w:rPr>
          <w:rFonts w:ascii="Times New Roman" w:hAnsi="Times New Roman" w:cs="Times New Roman" w:eastAsia="Times New Roman" w:hint="default"/>
        </w:rPr>
        <w:t>4 </w:t>
      </w:r>
      <w:r>
        <w:rPr/>
        <w:t>号</w:t>
      </w:r>
      <w:r>
        <w:rPr>
          <w:rFonts w:ascii="Times New Roman" w:hAnsi="Times New Roman" w:cs="Times New Roman" w:eastAsia="Times New Roman" w:hint="default"/>
        </w:rPr>
        <w:t>——</w:t>
      </w:r>
      <w:r>
        <w:rPr/>
        <w:t>上市公司从事种业、种植 业务》的披露要求</w:t>
      </w:r>
    </w:p>
    <w:p>
      <w:pPr>
        <w:pStyle w:val="BodyText"/>
        <w:spacing w:line="240" w:lineRule="auto"/>
        <w:ind w:left="633" w:right="215"/>
        <w:jc w:val="left"/>
      </w:pPr>
      <w:r>
        <w:rPr/>
        <w:t>否</w:t>
      </w:r>
    </w:p>
    <w:p>
      <w:pPr>
        <w:pStyle w:val="BodyText"/>
        <w:spacing w:line="338" w:lineRule="auto" w:before="154"/>
        <w:ind w:right="453" w:firstLine="480"/>
        <w:jc w:val="left"/>
      </w:pPr>
      <w:r>
        <w:rPr/>
        <w:t>公司需遵守《深圳证券交易所行业信息披露指引第</w:t>
      </w:r>
      <w:r>
        <w:rPr>
          <w:spacing w:val="-60"/>
        </w:rPr>
        <w:t> </w:t>
      </w:r>
      <w:r>
        <w:rPr>
          <w:rFonts w:ascii="Times New Roman" w:hAnsi="Times New Roman" w:cs="Times New Roman" w:eastAsia="Times New Roman" w:hint="default"/>
        </w:rPr>
        <w:t>6 </w:t>
      </w:r>
      <w:r>
        <w:rPr/>
        <w:t>号</w:t>
      </w:r>
      <w:r>
        <w:rPr>
          <w:rFonts w:ascii="Times New Roman" w:hAnsi="Times New Roman" w:cs="Times New Roman" w:eastAsia="Times New Roman" w:hint="default"/>
        </w:rPr>
        <w:t>--</w:t>
      </w:r>
      <w:r>
        <w:rPr/>
        <w:t>上市公司从事装修装饰业务》 的披露要求</w:t>
      </w:r>
    </w:p>
    <w:p>
      <w:pPr>
        <w:pStyle w:val="BodyText"/>
        <w:spacing w:line="240" w:lineRule="auto"/>
        <w:ind w:left="633" w:right="215"/>
        <w:jc w:val="left"/>
      </w:pPr>
      <w:r>
        <w:rPr/>
        <w:t>否</w:t>
      </w:r>
    </w:p>
    <w:p>
      <w:pPr>
        <w:pStyle w:val="BodyText"/>
        <w:spacing w:line="338" w:lineRule="auto" w:before="154"/>
        <w:ind w:right="373" w:firstLine="480"/>
        <w:jc w:val="left"/>
      </w:pPr>
      <w:r>
        <w:rPr/>
        <w:t>公司需遵守《深圳证券交易所创业板行业信息披露指引第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上市公司从事广播电 影电视业务》的披露要求</w:t>
      </w:r>
    </w:p>
    <w:p>
      <w:pPr>
        <w:pStyle w:val="BodyText"/>
        <w:spacing w:line="240" w:lineRule="auto"/>
        <w:ind w:left="633" w:right="215"/>
        <w:jc w:val="left"/>
      </w:pPr>
      <w:r>
        <w:rPr/>
        <w:t>否</w:t>
      </w:r>
    </w:p>
    <w:p>
      <w:pPr>
        <w:pStyle w:val="BodyText"/>
        <w:spacing w:line="240" w:lineRule="auto" w:before="154"/>
        <w:ind w:left="633" w:right="215"/>
        <w:jc w:val="left"/>
      </w:pPr>
      <w:r>
        <w:rPr/>
        <w:t>公司是否需遵守《深圳证券交易所创业板行业信息披露指引第</w:t>
      </w:r>
      <w:r>
        <w:rPr>
          <w:spacing w:val="-59"/>
        </w:rPr>
        <w:t> </w:t>
      </w:r>
      <w:r>
        <w:rPr>
          <w:rFonts w:ascii="Times New Roman" w:hAnsi="Times New Roman" w:cs="Times New Roman" w:eastAsia="Times New Roman" w:hint="default"/>
        </w:rPr>
        <w:t>8 </w:t>
      </w:r>
      <w:r>
        <w:rPr/>
        <w:t>号</w:t>
      </w:r>
      <w:r>
        <w:rPr>
          <w:rFonts w:ascii="Times New Roman" w:hAnsi="Times New Roman" w:cs="Times New Roman" w:eastAsia="Times New Roman" w:hint="default"/>
        </w:rPr>
        <w:t>——</w:t>
      </w:r>
      <w:r>
        <w:rPr/>
        <w:t>上市公司从事互</w:t>
      </w:r>
    </w:p>
    <w:p>
      <w:pPr>
        <w:spacing w:after="0" w:line="240" w:lineRule="auto"/>
        <w:jc w:val="left"/>
        <w:sectPr>
          <w:pgSz w:w="11910" w:h="16840"/>
          <w:pgMar w:header="877" w:footer="980" w:top="1100" w:bottom="1160" w:left="980" w:right="780"/>
        </w:sectPr>
      </w:pPr>
    </w:p>
    <w:p>
      <w:pPr>
        <w:spacing w:line="240" w:lineRule="auto" w:before="7"/>
        <w:rPr>
          <w:rFonts w:ascii="宋体" w:hAnsi="宋体" w:cs="宋体" w:eastAsia="宋体" w:hint="default"/>
          <w:sz w:val="25"/>
          <w:szCs w:val="25"/>
        </w:rPr>
      </w:pPr>
    </w:p>
    <w:p>
      <w:pPr>
        <w:pStyle w:val="BodyText"/>
        <w:spacing w:line="357" w:lineRule="auto" w:before="26"/>
        <w:ind w:left="633" w:right="6973" w:hanging="480"/>
        <w:jc w:val="left"/>
      </w:pPr>
      <w:r>
        <w:rPr/>
        <w:t>联网营销业务》的披露要求 否</w:t>
      </w:r>
    </w:p>
    <w:p>
      <w:pPr>
        <w:pStyle w:val="BodyText"/>
        <w:spacing w:line="338" w:lineRule="auto" w:before="36"/>
        <w:ind w:right="269" w:firstLine="480"/>
        <w:jc w:val="both"/>
      </w:pPr>
      <w:r>
        <w:rPr/>
        <w:t>公司需遵守《深圳证券交易所创业板行业信息披露指引第</w:t>
      </w:r>
      <w:r>
        <w:rPr>
          <w:spacing w:val="-60"/>
        </w:rPr>
        <w:t> </w:t>
      </w:r>
      <w:r>
        <w:rPr>
          <w:rFonts w:ascii="Times New Roman" w:hAnsi="Times New Roman" w:cs="Times New Roman" w:eastAsia="Times New Roman" w:hint="default"/>
        </w:rPr>
        <w:t>5 </w:t>
      </w:r>
      <w:r>
        <w:rPr/>
        <w:t>号</w:t>
      </w:r>
      <w:r>
        <w:rPr>
          <w:rFonts w:ascii="Times New Roman" w:hAnsi="Times New Roman" w:cs="Times New Roman" w:eastAsia="Times New Roman" w:hint="default"/>
        </w:rPr>
        <w:t>——</w:t>
      </w:r>
      <w:r>
        <w:rPr/>
        <w:t>上市公司从事互联网 游戏业务》的披露要求</w:t>
      </w:r>
    </w:p>
    <w:p>
      <w:pPr>
        <w:pStyle w:val="BodyText"/>
        <w:spacing w:line="240" w:lineRule="auto"/>
        <w:ind w:left="633" w:right="98"/>
        <w:jc w:val="left"/>
      </w:pPr>
      <w:r>
        <w:rPr/>
        <w:t>否</w:t>
      </w:r>
    </w:p>
    <w:p>
      <w:pPr>
        <w:pStyle w:val="BodyText"/>
        <w:spacing w:line="338" w:lineRule="auto" w:before="154"/>
        <w:ind w:right="269" w:firstLine="480"/>
        <w:jc w:val="both"/>
      </w:pPr>
      <w:r>
        <w:rPr/>
        <w:t>公司需遵守《深圳证券交易所行业信息披露指引第</w:t>
      </w:r>
      <w:r>
        <w:rPr>
          <w:spacing w:val="-60"/>
        </w:rPr>
        <w:t> </w:t>
      </w:r>
      <w:r>
        <w:rPr>
          <w:rFonts w:ascii="Times New Roman" w:hAnsi="Times New Roman" w:cs="Times New Roman" w:eastAsia="Times New Roman" w:hint="default"/>
        </w:rPr>
        <w:t>7 </w:t>
      </w:r>
      <w:r>
        <w:rPr/>
        <w:t>号</w:t>
      </w:r>
      <w:r>
        <w:rPr>
          <w:rFonts w:ascii="Times New Roman" w:hAnsi="Times New Roman" w:cs="Times New Roman" w:eastAsia="Times New Roman" w:hint="default"/>
        </w:rPr>
        <w:t>——</w:t>
      </w:r>
      <w:r>
        <w:rPr/>
        <w:t>上市公司从事土木工程建筑 业务》的披露要求</w:t>
      </w:r>
    </w:p>
    <w:p>
      <w:pPr>
        <w:pStyle w:val="BodyText"/>
        <w:spacing w:line="240" w:lineRule="auto"/>
        <w:ind w:left="633" w:right="98"/>
        <w:jc w:val="left"/>
      </w:pPr>
      <w:r>
        <w:rPr/>
        <w:t>否</w:t>
      </w:r>
    </w:p>
    <w:p>
      <w:pPr>
        <w:pStyle w:val="BodyText"/>
        <w:spacing w:line="338" w:lineRule="auto" w:before="154"/>
        <w:ind w:right="97" w:firstLine="480"/>
        <w:jc w:val="left"/>
      </w:pPr>
      <w:r>
        <w:rPr>
          <w:spacing w:val="-4"/>
        </w:rPr>
        <w:t>公司需遵守《深圳证券交易所行业信息披露指引第</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上市公司从事零售相关业务》 的披露要求</w:t>
      </w:r>
    </w:p>
    <w:p>
      <w:pPr>
        <w:pStyle w:val="BodyText"/>
        <w:spacing w:line="240" w:lineRule="auto"/>
        <w:ind w:left="633" w:right="98"/>
        <w:jc w:val="left"/>
      </w:pPr>
      <w:r>
        <w:rPr/>
        <w:t>否</w:t>
      </w:r>
    </w:p>
    <w:p>
      <w:pPr>
        <w:pStyle w:val="BodyText"/>
        <w:spacing w:line="338" w:lineRule="auto" w:before="154"/>
        <w:ind w:right="269" w:firstLine="480"/>
        <w:jc w:val="both"/>
      </w:pPr>
      <w:r>
        <w:rPr/>
        <w:t>公司需要遵守《深圳证券交易所行业信息披露指引第</w:t>
      </w:r>
      <w:r>
        <w:rPr>
          <w:spacing w:val="-60"/>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上市公司从事快递服务业 务》的披露要求</w:t>
      </w:r>
    </w:p>
    <w:p>
      <w:pPr>
        <w:pStyle w:val="BodyText"/>
        <w:spacing w:line="348" w:lineRule="auto"/>
        <w:ind w:left="633" w:right="7093"/>
        <w:jc w:val="left"/>
      </w:pPr>
      <w:r>
        <w:rPr/>
        <w:t>否 </w:t>
      </w:r>
      <w:r>
        <w:rPr>
          <w:rFonts w:ascii="Times New Roman" w:hAnsi="Times New Roman" w:cs="Times New Roman" w:eastAsia="Times New Roman" w:hint="default"/>
        </w:rPr>
        <w:t>1</w:t>
      </w:r>
      <w:r>
        <w:rPr/>
        <w:t>．收入的总确认原则 </w:t>
      </w:r>
      <w:r>
        <w:rPr>
          <w:rFonts w:ascii="Times New Roman" w:hAnsi="Times New Roman" w:cs="Times New Roman" w:eastAsia="Times New Roman" w:hint="default"/>
        </w:rPr>
        <w:t>(1)</w:t>
      </w:r>
      <w:r>
        <w:rPr/>
        <w:t>销售商品</w:t>
      </w:r>
    </w:p>
    <w:p>
      <w:pPr>
        <w:pStyle w:val="BodyText"/>
        <w:spacing w:line="338" w:lineRule="auto" w:before="16"/>
        <w:ind w:right="230" w:firstLine="480"/>
        <w:jc w:val="both"/>
      </w:pPr>
      <w:r>
        <w:rPr/>
        <w:t>商品销售收入同时满足下列条件时予以确认：</w:t>
      </w:r>
      <w:r>
        <w:rPr>
          <w:rFonts w:ascii="Times New Roman" w:hAnsi="Times New Roman" w:cs="Times New Roman" w:eastAsia="Times New Roman" w:hint="default"/>
        </w:rPr>
        <w:t>1)</w:t>
      </w:r>
      <w:r>
        <w:rPr/>
        <w:t>公司已将商品所有权上的主要风险和报 酬转移给购买方；</w:t>
      </w:r>
      <w:r>
        <w:rPr>
          <w:rFonts w:ascii="Times New Roman" w:hAnsi="Times New Roman" w:cs="Times New Roman" w:eastAsia="Times New Roman" w:hint="default"/>
        </w:rPr>
        <w:t>2)</w:t>
      </w:r>
      <w:r>
        <w:rPr/>
        <w:t>公司既没有保留与所有权相联系的继续管理权，也没有对已售出的商品 </w:t>
      </w:r>
      <w:r>
        <w:rPr>
          <w:spacing w:val="-2"/>
        </w:rPr>
        <w:t>实施有效控制；</w:t>
      </w:r>
      <w:r>
        <w:rPr>
          <w:rFonts w:ascii="Times New Roman" w:hAnsi="Times New Roman" w:cs="Times New Roman" w:eastAsia="Times New Roman" w:hint="default"/>
          <w:spacing w:val="-2"/>
        </w:rPr>
        <w:t>3)</w:t>
      </w:r>
      <w:r>
        <w:rPr>
          <w:spacing w:val="-2"/>
        </w:rPr>
        <w:t>收入的金额能够可靠地计量；</w:t>
      </w:r>
      <w:r>
        <w:rPr>
          <w:rFonts w:ascii="Times New Roman" w:hAnsi="Times New Roman" w:cs="Times New Roman" w:eastAsia="Times New Roman" w:hint="default"/>
          <w:spacing w:val="-2"/>
        </w:rPr>
        <w:t>4)</w:t>
      </w:r>
      <w:r>
        <w:rPr>
          <w:spacing w:val="-2"/>
        </w:rPr>
        <w:t>相关的经济利益很可能流入企业；</w:t>
      </w:r>
      <w:r>
        <w:rPr>
          <w:rFonts w:ascii="Times New Roman" w:hAnsi="Times New Roman" w:cs="Times New Roman" w:eastAsia="Times New Roman" w:hint="default"/>
          <w:spacing w:val="-2"/>
        </w:rPr>
        <w:t>5)</w:t>
      </w:r>
      <w:r>
        <w:rPr>
          <w:spacing w:val="-2"/>
        </w:rPr>
        <w:t>相关的</w:t>
      </w:r>
      <w:r>
        <w:rPr>
          <w:spacing w:val="-114"/>
        </w:rPr>
        <w:t> </w:t>
      </w:r>
      <w:r>
        <w:rPr/>
        <w:t>已发生或将发生的成本能够可靠地计量时。</w:t>
      </w:r>
    </w:p>
    <w:p>
      <w:pPr>
        <w:pStyle w:val="BodyText"/>
        <w:spacing w:line="338" w:lineRule="auto"/>
        <w:ind w:left="633" w:right="413"/>
        <w:jc w:val="left"/>
      </w:pPr>
      <w:r>
        <w:rPr>
          <w:rFonts w:ascii="Times New Roman" w:hAnsi="Times New Roman" w:cs="Times New Roman" w:eastAsia="Times New Roman" w:hint="default"/>
        </w:rPr>
        <w:t>(2)</w:t>
      </w:r>
      <w:r>
        <w:rPr/>
        <w:t>提供劳务</w:t>
      </w:r>
      <w:r>
        <w:rPr>
          <w:w w:val="99"/>
        </w:rPr>
        <w:t> </w:t>
      </w:r>
      <w:r>
        <w:rPr/>
        <w:t>在资产负债表日提供劳务交易的结果能够可靠估计的</w:t>
      </w:r>
      <w:r>
        <w:rPr>
          <w:rFonts w:ascii="Times New Roman" w:hAnsi="Times New Roman" w:cs="Times New Roman" w:eastAsia="Times New Roman" w:hint="default"/>
        </w:rPr>
        <w:t>(</w:t>
      </w:r>
      <w:r>
        <w:rPr/>
        <w:t>同时满足收入的金额能够可靠地</w:t>
      </w:r>
    </w:p>
    <w:p>
      <w:pPr>
        <w:pStyle w:val="BodyText"/>
        <w:spacing w:line="348" w:lineRule="auto" w:before="27"/>
        <w:ind w:right="231"/>
        <w:jc w:val="both"/>
      </w:pPr>
      <w:r>
        <w:rPr/>
        <w:t>计量、相关经济利益很可能流入、交易的完工进度能够可靠地确定、交易中已发生和将发生 </w:t>
      </w:r>
      <w:r>
        <w:rPr>
          <w:spacing w:val="-2"/>
        </w:rPr>
        <w:t>的成本能够可靠地计量</w:t>
      </w:r>
      <w:r>
        <w:rPr>
          <w:rFonts w:ascii="Times New Roman" w:hAnsi="Times New Roman" w:cs="Times New Roman" w:eastAsia="Times New Roman" w:hint="default"/>
          <w:spacing w:val="-2"/>
        </w:rPr>
        <w:t>)</w:t>
      </w:r>
      <w:r>
        <w:rPr>
          <w:spacing w:val="-2"/>
        </w:rPr>
        <w:t>，采用完工百分比法确认提供劳务收入，并按已经提供的劳务占应提</w:t>
      </w:r>
      <w:r>
        <w:rPr>
          <w:spacing w:val="-81"/>
        </w:rPr>
        <w:t> </w:t>
      </w:r>
      <w:r>
        <w:rPr>
          <w:spacing w:val="-81"/>
        </w:rPr>
      </w:r>
      <w:r>
        <w:rPr/>
        <w:t>供劳务总量的比例确定提供劳务交易的完工进度。</w:t>
      </w:r>
    </w:p>
    <w:p>
      <w:pPr>
        <w:pStyle w:val="BodyText"/>
        <w:spacing w:line="357" w:lineRule="auto" w:before="46"/>
        <w:ind w:right="271" w:firstLine="480"/>
        <w:jc w:val="both"/>
      </w:pPr>
      <w:r>
        <w:rPr/>
        <w:t>在资产负债表日提供劳务交易结果不能够可靠估计的，分别下列情况处理：若已经发生 的劳务成本预计能够得到补偿的，按照已经发生的劳务成本金额确认提供劳务收入，并按相 同金额结转劳务成本；若已经发生的劳务成本预计不能够得到补偿的，将已经发生的劳务成 本计入当期损益，不确认提供劳务收入。</w:t>
      </w:r>
    </w:p>
    <w:p>
      <w:pPr>
        <w:spacing w:after="0" w:line="357" w:lineRule="auto"/>
        <w:jc w:val="both"/>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38" w:lineRule="auto" w:before="26"/>
        <w:ind w:left="633" w:right="98"/>
        <w:jc w:val="left"/>
      </w:pPr>
      <w:r>
        <w:rPr>
          <w:rFonts w:ascii="Times New Roman" w:hAnsi="Times New Roman" w:cs="Times New Roman" w:eastAsia="Times New Roman" w:hint="default"/>
        </w:rPr>
        <w:t>(3)</w:t>
      </w:r>
      <w:r>
        <w:rPr/>
        <w:t>让渡资产使用权</w:t>
      </w:r>
      <w:r>
        <w:rPr>
          <w:w w:val="99"/>
        </w:rPr>
        <w:t> </w:t>
      </w:r>
      <w:r>
        <w:rPr>
          <w:spacing w:val="-3"/>
        </w:rPr>
        <w:t>让渡资产使用权在同时满足相关的经济利益很可能流入、收入的金额能够可靠地计量时，</w:t>
      </w:r>
    </w:p>
    <w:p>
      <w:pPr>
        <w:pStyle w:val="BodyText"/>
        <w:spacing w:line="348" w:lineRule="auto"/>
        <w:ind w:left="633" w:right="5773" w:hanging="480"/>
        <w:jc w:val="left"/>
      </w:pPr>
      <w:r>
        <w:rPr/>
        <w:t>确认让渡资产使用权的收入。 </w:t>
      </w:r>
      <w:r>
        <w:rPr>
          <w:rFonts w:ascii="Times New Roman" w:hAnsi="Times New Roman" w:cs="Times New Roman" w:eastAsia="Times New Roman" w:hint="default"/>
        </w:rPr>
        <w:t>2</w:t>
      </w:r>
      <w:r>
        <w:rPr/>
        <w:t>．本公司收入的具体确认原则 本公司收入确认的具体方法如下：</w:t>
      </w:r>
    </w:p>
    <w:p>
      <w:pPr>
        <w:pStyle w:val="BodyText"/>
        <w:spacing w:line="338" w:lineRule="auto" w:before="46"/>
        <w:ind w:left="633" w:right="173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GIS</w:t>
      </w:r>
      <w:r>
        <w:rPr/>
        <w:t>软件产品销售收入的确认原则及方法 本公司</w:t>
      </w:r>
      <w:r>
        <w:rPr>
          <w:rFonts w:ascii="Times New Roman" w:hAnsi="Times New Roman" w:cs="Times New Roman" w:eastAsia="Times New Roman" w:hint="default"/>
        </w:rPr>
        <w:t>GIS</w:t>
      </w:r>
      <w:r>
        <w:rPr/>
        <w:t>软件产品分为</w:t>
      </w:r>
      <w:r>
        <w:rPr>
          <w:rFonts w:ascii="Times New Roman" w:hAnsi="Times New Roman" w:cs="Times New Roman" w:eastAsia="Times New Roman" w:hint="default"/>
        </w:rPr>
        <w:t>GIS</w:t>
      </w:r>
      <w:r>
        <w:rPr/>
        <w:t>通用软件产品和</w:t>
      </w:r>
      <w:r>
        <w:rPr>
          <w:rFonts w:ascii="Times New Roman" w:hAnsi="Times New Roman" w:cs="Times New Roman" w:eastAsia="Times New Roman" w:hint="default"/>
        </w:rPr>
        <w:t>GIS</w:t>
      </w:r>
      <w:r>
        <w:rPr/>
        <w:t>定制软件产品两个类别。</w:t>
      </w:r>
    </w:p>
    <w:p>
      <w:pPr>
        <w:pStyle w:val="BodyText"/>
        <w:spacing w:line="338" w:lineRule="auto" w:before="27"/>
        <w:ind w:left="633" w:right="253"/>
        <w:jc w:val="left"/>
      </w:pPr>
      <w:r>
        <w:rPr/>
        <w:t>①</w:t>
      </w:r>
      <w:r>
        <w:rPr>
          <w:rFonts w:ascii="Times New Roman" w:hAnsi="Times New Roman" w:cs="Times New Roman" w:eastAsia="Times New Roman" w:hint="default"/>
        </w:rPr>
        <w:t>GIS</w:t>
      </w:r>
      <w:r>
        <w:rPr/>
        <w:t>通用软件产品销售收入的确认原则及方法 本公司在已将所销售的软件产品所有权上的主要风险或报酬转移给购货方，并不再对该</w:t>
      </w:r>
    </w:p>
    <w:p>
      <w:pPr>
        <w:pStyle w:val="BodyText"/>
        <w:spacing w:line="357" w:lineRule="auto"/>
        <w:ind w:right="271"/>
        <w:jc w:val="both"/>
      </w:pPr>
      <w:r>
        <w:rPr/>
        <w:t>软件产品实施继续管理权和实际控制权，相关的收入已经取得或取得了收款的凭据且相关的 经济利益很可能流入公司，与销售该商品有关的成本能够可靠地计量时，确认商品销售收入 的实现。</w:t>
      </w:r>
    </w:p>
    <w:p>
      <w:pPr>
        <w:pStyle w:val="BodyText"/>
        <w:spacing w:line="357" w:lineRule="auto" w:before="36"/>
        <w:ind w:right="253" w:firstLine="480"/>
        <w:jc w:val="left"/>
      </w:pPr>
      <w:r>
        <w:rPr/>
        <w:t>合同中明确规定了软件系统维护条款的，结合实际情况，若后续维护工作量较大，与维 护相关的收入在维护期满后确认；若后续维护工作量较小，在实现销售后确认全部收入。</w:t>
      </w:r>
    </w:p>
    <w:p>
      <w:pPr>
        <w:pStyle w:val="BodyText"/>
        <w:spacing w:line="348" w:lineRule="auto" w:before="36"/>
        <w:ind w:left="633" w:right="253"/>
        <w:jc w:val="left"/>
      </w:pPr>
      <w:r>
        <w:rPr/>
        <w:t>②</w:t>
      </w:r>
      <w:r>
        <w:rPr>
          <w:rFonts w:ascii="Times New Roman" w:hAnsi="Times New Roman" w:cs="Times New Roman" w:eastAsia="Times New Roman" w:hint="default"/>
        </w:rPr>
        <w:t>GIS</w:t>
      </w:r>
      <w:r>
        <w:rPr/>
        <w:t>定制软件收入的确认原则及方法 在同一个会计期间内开始并完成的劳务，在劳务完成时确认收入。 劳务的开始和完成分属不同的会计期间，且在资产负债表日定制软件收入和成本能够可</w:t>
      </w:r>
    </w:p>
    <w:p>
      <w:pPr>
        <w:pStyle w:val="BodyText"/>
        <w:spacing w:line="357" w:lineRule="auto" w:before="46"/>
        <w:ind w:right="232"/>
        <w:jc w:val="both"/>
      </w:pPr>
      <w:r>
        <w:rPr>
          <w:spacing w:val="-5"/>
        </w:rPr>
        <w:t>靠地计量，与交易相关的经济利益能够流入公司，劳务的完成程度能够可靠地确定的前提下，</w:t>
      </w:r>
      <w:r>
        <w:rPr>
          <w:spacing w:val="-117"/>
        </w:rPr>
        <w:t> </w:t>
      </w:r>
      <w:r>
        <w:rPr>
          <w:spacing w:val="-117"/>
        </w:rPr>
      </w:r>
      <w:r>
        <w:rPr/>
        <w:t>采用完工百分比法确认相关的劳务收入。</w:t>
      </w:r>
    </w:p>
    <w:p>
      <w:pPr>
        <w:pStyle w:val="BodyText"/>
        <w:spacing w:line="357" w:lineRule="auto" w:before="36"/>
        <w:ind w:right="253" w:firstLine="480"/>
        <w:jc w:val="left"/>
      </w:pPr>
      <w:r>
        <w:rPr/>
        <w:t>在资产负债表日根据已经为客户实施的工作量，确定定制软件合同的完工程度，并按完 工进度确认定制软件收入。</w:t>
      </w:r>
    </w:p>
    <w:p>
      <w:pPr>
        <w:pStyle w:val="BodyText"/>
        <w:spacing w:line="338" w:lineRule="auto" w:before="36"/>
        <w:ind w:left="633" w:right="25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GIS</w:t>
      </w:r>
      <w:r>
        <w:rPr/>
        <w:t>软件配套产品销售收入的确认原则及方法 本公司在已将所代理销售的软件产品所有权上的主要风险或报酬转移给购货方，并不再</w:t>
      </w:r>
    </w:p>
    <w:p>
      <w:pPr>
        <w:pStyle w:val="BodyText"/>
        <w:spacing w:line="357" w:lineRule="auto" w:before="56"/>
        <w:ind w:right="271"/>
        <w:jc w:val="both"/>
      </w:pPr>
      <w:r>
        <w:rPr/>
        <w:t>对该软件产品实施继续管理权和实际控制权，相关的收入已经取得或取得了收款的凭据且相 关的经济利益很可能流入公司，与销售该商品有关的成本能够可靠地计量时，确认商品销售 收入的实现。</w:t>
      </w:r>
    </w:p>
    <w:p>
      <w:pPr>
        <w:pStyle w:val="BodyText"/>
        <w:spacing w:line="338" w:lineRule="auto" w:before="36"/>
        <w:ind w:left="633" w:right="253"/>
        <w:jc w:val="left"/>
      </w:pPr>
      <w:r>
        <w:rPr/>
        <w:t>（</w:t>
      </w:r>
      <w:r>
        <w:rPr>
          <w:rFonts w:ascii="Times New Roman" w:hAnsi="Times New Roman" w:cs="Times New Roman" w:eastAsia="Times New Roman" w:hint="default"/>
        </w:rPr>
        <w:t>3</w:t>
      </w:r>
      <w:r>
        <w:rPr/>
        <w:t>）具有融资性质的分期收款销售商品收入的确认原则及方法 按照应收的合同或协议价款的公允价值确定收入金额。应收的合同或协议价款与其公允</w:t>
      </w:r>
    </w:p>
    <w:p>
      <w:pPr>
        <w:pStyle w:val="BodyText"/>
        <w:spacing w:line="240" w:lineRule="auto"/>
        <w:ind w:right="0"/>
        <w:jc w:val="both"/>
      </w:pPr>
      <w:r>
        <w:rPr/>
        <w:t>价值之间的差额，在合同或协议期间内，按照应收款项的摊余成本和实际利率计算确定的金</w:t>
      </w:r>
    </w:p>
    <w:p>
      <w:pPr>
        <w:spacing w:after="0" w:line="240" w:lineRule="auto"/>
        <w:jc w:val="both"/>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240" w:lineRule="auto" w:before="26"/>
        <w:ind w:right="293"/>
        <w:jc w:val="left"/>
      </w:pPr>
      <w:r>
        <w:rPr/>
        <w:t>额进行摊销，作为财务费用的抵减处理。</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2"/>
        <w:spacing w:line="240" w:lineRule="auto"/>
        <w:ind w:left="633" w:right="293"/>
        <w:jc w:val="left"/>
        <w:rPr>
          <w:b w:val="0"/>
          <w:bCs w:val="0"/>
        </w:rPr>
      </w:pPr>
      <w:r>
        <w:rPr>
          <w:rFonts w:ascii="Times New Roman" w:hAnsi="Times New Roman" w:cs="Times New Roman" w:eastAsia="Times New Roman" w:hint="default"/>
        </w:rPr>
        <w:t>26</w:t>
      </w:r>
      <w:r>
        <w:rPr/>
        <w:t>、政府补助</w:t>
      </w:r>
      <w:r>
        <w:rPr>
          <w:b w:val="0"/>
          <w:bCs w:val="0"/>
        </w:rPr>
      </w:r>
    </w:p>
    <w:p>
      <w:pPr>
        <w:pStyle w:val="Heading2"/>
        <w:spacing w:line="240" w:lineRule="auto" w:before="135"/>
        <w:ind w:left="633" w:right="293"/>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pStyle w:val="BodyText"/>
        <w:spacing w:line="338" w:lineRule="auto" w:before="135"/>
        <w:ind w:left="633" w:right="173"/>
        <w:jc w:val="left"/>
      </w:pPr>
      <w:r>
        <w:rPr>
          <w:rFonts w:ascii="Times New Roman" w:hAnsi="Times New Roman" w:cs="Times New Roman" w:eastAsia="Times New Roman" w:hint="default"/>
        </w:rPr>
        <w:t>1</w:t>
      </w:r>
      <w:r>
        <w:rPr/>
        <w:t>．政府补助的分类 政府补助，是指本公司从政府无偿取得货币性资产或非货币性资产。分为与资产相关的</w:t>
      </w:r>
    </w:p>
    <w:p>
      <w:pPr>
        <w:pStyle w:val="BodyText"/>
        <w:spacing w:line="357" w:lineRule="auto"/>
        <w:ind w:left="633" w:right="173" w:hanging="480"/>
        <w:jc w:val="left"/>
      </w:pPr>
      <w:r>
        <w:rPr/>
        <w:t>政府补助和与收益相关的政府补助。 与资产相关的政府补助，是指本公司取得的、用于购建或以其他方式形成长期资产的政</w:t>
      </w:r>
    </w:p>
    <w:p>
      <w:pPr>
        <w:pStyle w:val="BodyText"/>
        <w:spacing w:line="357" w:lineRule="auto" w:before="37"/>
        <w:ind w:left="633" w:right="173" w:hanging="480"/>
        <w:jc w:val="left"/>
      </w:pPr>
      <w:r>
        <w:rPr/>
        <w:t>府补助，包括购买固定资产或无形资产的财政拨款、固定资产专门借款的财政贴息等； 本公司在进行政府补助分类时采取的具体标准为： 政府补助文件规定的补助对象用于购建或以其他方式形成长期资产，或者补助对象的支</w:t>
      </w:r>
    </w:p>
    <w:p>
      <w:pPr>
        <w:pStyle w:val="BodyText"/>
        <w:spacing w:line="348" w:lineRule="auto" w:before="36"/>
        <w:ind w:left="633" w:right="173" w:hanging="480"/>
        <w:jc w:val="left"/>
      </w:pPr>
      <w:r>
        <w:rPr/>
        <w:t>出主要用于购建或以其他方式形成长期资产的，划分为与资产相关的政府补助。 </w:t>
      </w:r>
      <w:r>
        <w:rPr>
          <w:rFonts w:ascii="Times New Roman" w:hAnsi="Times New Roman" w:cs="Times New Roman" w:eastAsia="Times New Roman" w:hint="default"/>
        </w:rPr>
        <w:t>2</w:t>
      </w:r>
      <w:r>
        <w:rPr/>
        <w:t>．政府补助的确认时点 本公司对于政府补助通常在实际收到时，按照实收金额予以确认和计量。但对于期末有</w:t>
      </w:r>
    </w:p>
    <w:p>
      <w:pPr>
        <w:pStyle w:val="BodyText"/>
        <w:spacing w:line="357" w:lineRule="auto" w:before="46"/>
        <w:ind w:right="173"/>
        <w:jc w:val="left"/>
      </w:pPr>
      <w:r>
        <w:rPr/>
        <w:t>确凿证据表明能够符合财政扶持政策规定的相关条件预计能够收到财政扶持资金，按照应收 的金额计量。按照应收金额计量的政府补助应同时符合以下条件：</w:t>
      </w:r>
    </w:p>
    <w:p>
      <w:pPr>
        <w:pStyle w:val="BodyText"/>
        <w:spacing w:line="338" w:lineRule="auto" w:before="36"/>
        <w:ind w:right="150" w:firstLine="480"/>
        <w:jc w:val="both"/>
      </w:pPr>
      <w:r>
        <w:rPr>
          <w:rFonts w:ascii="Times New Roman" w:hAnsi="Times New Roman" w:cs="Times New Roman" w:eastAsia="Times New Roman" w:hint="default"/>
        </w:rPr>
        <w:t>(1)</w:t>
      </w:r>
      <w:r>
        <w:rPr/>
        <w:t>所依据的是当地财政部门正式发布并按照《政府信息公开条例》的规定予以主动公开</w:t>
      </w:r>
      <w:r>
        <w:rPr>
          <w:w w:val="99"/>
        </w:rPr>
        <w:t> </w:t>
      </w:r>
      <w:r>
        <w:rPr>
          <w:spacing w:val="-2"/>
        </w:rPr>
        <w:t>的财政扶持项目及其财政资金管理办法，且该管理办法应当是普惠性的</w:t>
      </w:r>
      <w:r>
        <w:rPr>
          <w:rFonts w:ascii="Times New Roman" w:hAnsi="Times New Roman" w:cs="Times New Roman" w:eastAsia="Times New Roman" w:hint="default"/>
          <w:spacing w:val="-2"/>
        </w:rPr>
        <w:t>(</w:t>
      </w:r>
      <w:r>
        <w:rPr>
          <w:spacing w:val="-2"/>
        </w:rPr>
        <w:t>任何符合规定条件的</w:t>
      </w:r>
      <w:r>
        <w:rPr>
          <w:spacing w:val="-81"/>
        </w:rPr>
        <w:t> </w:t>
      </w:r>
      <w:r>
        <w:rPr/>
        <w:t>企业均可申请</w:t>
      </w:r>
      <w:r>
        <w:rPr>
          <w:rFonts w:ascii="Times New Roman" w:hAnsi="Times New Roman" w:cs="Times New Roman" w:eastAsia="Times New Roman" w:hint="default"/>
        </w:rPr>
        <w:t>)</w:t>
      </w:r>
      <w:r>
        <w:rPr/>
        <w:t>，而不是专门针对特定企业制定的；</w:t>
      </w:r>
    </w:p>
    <w:p>
      <w:pPr>
        <w:pStyle w:val="BodyText"/>
        <w:spacing w:line="338" w:lineRule="auto" w:before="27"/>
        <w:ind w:right="152" w:firstLine="480"/>
        <w:jc w:val="both"/>
      </w:pPr>
      <w:r>
        <w:rPr>
          <w:rFonts w:ascii="Times New Roman" w:hAnsi="Times New Roman" w:cs="Times New Roman" w:eastAsia="Times New Roman" w:hint="default"/>
        </w:rPr>
        <w:t>(2)</w:t>
      </w:r>
      <w:r>
        <w:rPr/>
        <w:t>应收补助款的金额已经过有权政府部门发文确认，或者可根据正式发布的财政资金管</w:t>
      </w:r>
      <w:r>
        <w:rPr>
          <w:w w:val="99"/>
        </w:rPr>
        <w:t> </w:t>
      </w:r>
      <w:r>
        <w:rPr/>
        <w:t>理办法的有关规定自行合理测算，且预计其金额不存在重大不确定性；</w:t>
      </w:r>
    </w:p>
    <w:p>
      <w:pPr>
        <w:pStyle w:val="BodyText"/>
        <w:spacing w:line="338" w:lineRule="auto"/>
        <w:ind w:right="152" w:firstLine="480"/>
        <w:jc w:val="both"/>
      </w:pPr>
      <w:r>
        <w:rPr>
          <w:rFonts w:ascii="Times New Roman" w:hAnsi="Times New Roman" w:cs="Times New Roman" w:eastAsia="Times New Roman" w:hint="default"/>
        </w:rPr>
        <w:t>(3)</w:t>
      </w:r>
      <w:r>
        <w:rPr/>
        <w:t>相关的补助款批文中已明确承诺了拨付期限，且该款项的拨付是有相应财政预算作为</w:t>
      </w:r>
      <w:r>
        <w:rPr>
          <w:w w:val="99"/>
        </w:rPr>
        <w:t> </w:t>
      </w:r>
      <w:r>
        <w:rPr/>
        <w:t>保障的，因而可以合理保证其可在规定期限内收到；</w:t>
      </w:r>
    </w:p>
    <w:p>
      <w:pPr>
        <w:pStyle w:val="BodyText"/>
        <w:spacing w:line="338" w:lineRule="auto" w:before="56"/>
        <w:ind w:left="633" w:right="173"/>
        <w:jc w:val="left"/>
      </w:pPr>
      <w:r>
        <w:rPr>
          <w:rFonts w:ascii="Times New Roman" w:hAnsi="Times New Roman" w:cs="Times New Roman" w:eastAsia="Times New Roman" w:hint="default"/>
        </w:rPr>
        <w:t>(4)</w:t>
      </w:r>
      <w:r>
        <w:rPr/>
        <w:t>根据本公司和该补助事项的具体情况，应满足的其他相关条件</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w:t>
      </w:r>
      <w:r>
        <w:rPr>
          <w:w w:val="99"/>
        </w:rPr>
        <w:t> </w:t>
      </w:r>
      <w:r>
        <w:rPr>
          <w:rFonts w:ascii="Times New Roman" w:hAnsi="Times New Roman" w:cs="Times New Roman" w:eastAsia="Times New Roman" w:hint="default"/>
        </w:rPr>
        <w:t>3</w:t>
      </w:r>
      <w:r>
        <w:rPr/>
        <w:t>．政府补助的会计处理</w:t>
      </w:r>
      <w:r>
        <w:rPr>
          <w:w w:val="99"/>
        </w:rPr>
        <w:t> </w:t>
      </w:r>
      <w:r>
        <w:rPr/>
        <w:t>政府补助为货币性资产的，按收到或应收的金额计量；为非货币性资产的，按公允价值</w:t>
      </w:r>
    </w:p>
    <w:p>
      <w:pPr>
        <w:pStyle w:val="BodyText"/>
        <w:spacing w:line="357" w:lineRule="auto"/>
        <w:ind w:right="173"/>
        <w:jc w:val="left"/>
      </w:pPr>
      <w:r>
        <w:rPr/>
        <w:t>计量；非货币性资产公允价值不能可靠取得的，按名义金额计量。按照名义金额计量的政府 补助，直接计入当期损益。</w:t>
      </w:r>
    </w:p>
    <w:p>
      <w:pPr>
        <w:pStyle w:val="BodyText"/>
        <w:spacing w:line="240" w:lineRule="auto" w:before="36"/>
        <w:ind w:left="633" w:right="138"/>
        <w:jc w:val="left"/>
      </w:pPr>
      <w:r>
        <w:rPr/>
        <w:t>与资产相关的政府补助，确认为递延收益。与资产相关的政府补助确认为递延收益的，</w:t>
      </w:r>
    </w:p>
    <w:p>
      <w:pPr>
        <w:spacing w:after="0" w:line="240"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before="26"/>
        <w:ind w:right="233"/>
        <w:jc w:val="left"/>
      </w:pPr>
      <w:r>
        <w:rPr/>
        <w:t>在相关资产使用寿命内按照合理、系统的方法分期计入当期损益；相关资产在使用寿命结束 前被出售、转让、报废或发生毁损的，将相关递延收益余额转入资产处置当期的损益。</w:t>
      </w:r>
    </w:p>
    <w:p>
      <w:pPr>
        <w:pStyle w:val="BodyText"/>
        <w:spacing w:line="240" w:lineRule="auto" w:before="36"/>
        <w:ind w:left="633" w:right="200"/>
        <w:jc w:val="left"/>
      </w:pPr>
      <w:r>
        <w:rPr/>
        <w:t>本公司取得的政策性优惠贷款贴息，区分以下两种情况，分别进行会计处理：</w:t>
      </w:r>
    </w:p>
    <w:p>
      <w:pPr>
        <w:pStyle w:val="BodyText"/>
        <w:spacing w:line="348" w:lineRule="auto" w:before="154"/>
        <w:ind w:right="0" w:firstLine="480"/>
        <w:jc w:val="left"/>
      </w:pPr>
      <w:r>
        <w:rPr>
          <w:rFonts w:ascii="Times New Roman" w:hAnsi="Times New Roman" w:cs="Times New Roman" w:eastAsia="Times New Roman" w:hint="default"/>
          <w:spacing w:val="2"/>
        </w:rPr>
        <w:t>(1)</w:t>
      </w:r>
      <w:r>
        <w:rPr>
          <w:spacing w:val="2"/>
        </w:rPr>
        <w:t>财政将贴息资金拨付给贷款银行，由贷款银行以政策性优惠利率向企业提供贷款的，</w:t>
      </w:r>
      <w:r>
        <w:rPr>
          <w:w w:val="99"/>
        </w:rPr>
        <w:t> </w:t>
      </w:r>
      <w:r>
        <w:rPr/>
        <w:t>本公司以实际收到的借款金额作为借款的入账价值，按照借款本金和该政策性优惠利率计算</w:t>
      </w:r>
      <w:r>
        <w:rPr>
          <w:w w:val="99"/>
        </w:rPr>
        <w:t> </w:t>
      </w:r>
      <w:r>
        <w:rPr/>
        <w:t>相关借款费用。</w:t>
      </w:r>
    </w:p>
    <w:p>
      <w:pPr>
        <w:pStyle w:val="BodyText"/>
        <w:spacing w:line="343" w:lineRule="auto" w:before="46"/>
        <w:ind w:left="633" w:right="233"/>
        <w:jc w:val="left"/>
      </w:pPr>
      <w:r>
        <w:rPr>
          <w:rFonts w:ascii="Times New Roman" w:hAnsi="Times New Roman" w:cs="Times New Roman" w:eastAsia="Times New Roman" w:hint="default"/>
        </w:rPr>
        <w:t>(2)</w:t>
      </w:r>
      <w:r>
        <w:rPr/>
        <w:t>财政将贴息资金直接拨付给本公司的，本公司将对应的贴息冲减相关借款费用。</w:t>
      </w:r>
      <w:r>
        <w:rPr>
          <w:w w:val="99"/>
        </w:rPr>
        <w:t> </w:t>
      </w:r>
      <w:r>
        <w:rPr/>
        <w:t>已确认的政府补助需要退回的，在需要退回的当期分以下情况进行会计处理：</w:t>
      </w:r>
      <w:r>
        <w:rPr>
          <w:w w:val="99"/>
        </w:rPr>
        <w:t> </w:t>
      </w:r>
      <w:r>
        <w:rPr>
          <w:rFonts w:ascii="Times New Roman" w:hAnsi="Times New Roman" w:cs="Times New Roman" w:eastAsia="Times New Roman" w:hint="default"/>
        </w:rPr>
        <w:t>(1)</w:t>
      </w:r>
      <w:r>
        <w:rPr/>
        <w:t>初始确认时冲减相关资产账面价值的，调整资产账面价值；</w:t>
      </w:r>
      <w:r>
        <w:rPr>
          <w:w w:val="99"/>
        </w:rPr>
        <w:t> </w:t>
      </w:r>
      <w:r>
        <w:rPr>
          <w:rFonts w:ascii="Times New Roman" w:hAnsi="Times New Roman" w:cs="Times New Roman" w:eastAsia="Times New Roman" w:hint="default"/>
        </w:rPr>
        <w:t>(2)</w:t>
      </w:r>
      <w:r>
        <w:rPr/>
        <w:t>存在相关递延收益的，冲减相关递延收益账面余额，超出部分计入当期损益；</w:t>
      </w:r>
      <w:r>
        <w:rPr>
          <w:w w:val="99"/>
        </w:rPr>
        <w:t> </w:t>
      </w:r>
      <w:r>
        <w:rPr>
          <w:rFonts w:ascii="Times New Roman" w:hAnsi="Times New Roman" w:cs="Times New Roman" w:eastAsia="Times New Roman" w:hint="default"/>
        </w:rPr>
        <w:t>(3)</w:t>
      </w:r>
      <w:r>
        <w:rPr/>
        <w:t>属于其他情况的，直接计入当期损益。</w:t>
      </w:r>
      <w:r>
        <w:rPr>
          <w:w w:val="99"/>
        </w:rPr>
        <w:t> </w:t>
      </w:r>
      <w:r>
        <w:rPr/>
        <w:t>政府补助计入不同损益项目的区分原则为：与本公司日常活动相关的政府补助，按照经</w:t>
      </w:r>
    </w:p>
    <w:p>
      <w:pPr>
        <w:pStyle w:val="BodyText"/>
        <w:spacing w:line="240" w:lineRule="auto" w:before="50"/>
        <w:ind w:right="200"/>
        <w:jc w:val="left"/>
      </w:pPr>
      <w:r>
        <w:rPr/>
        <w:t>济业务实质，计入其他收益；与本公司日常活动无关的政府补助，计入营业外收支。</w:t>
      </w:r>
    </w:p>
    <w:p>
      <w:pPr>
        <w:pStyle w:val="Heading2"/>
        <w:spacing w:line="240" w:lineRule="auto" w:before="154"/>
        <w:ind w:left="633" w:right="20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pStyle w:val="BodyText"/>
        <w:spacing w:line="338" w:lineRule="auto" w:before="135"/>
        <w:ind w:left="633" w:right="233"/>
        <w:jc w:val="left"/>
      </w:pPr>
      <w:r>
        <w:rPr>
          <w:rFonts w:ascii="Times New Roman" w:hAnsi="Times New Roman" w:cs="Times New Roman" w:eastAsia="Times New Roman" w:hint="default"/>
        </w:rPr>
        <w:t>1</w:t>
      </w:r>
      <w:r>
        <w:rPr/>
        <w:t>．政府补助的分类 与收益相关的政府补助，是指除与资产相关的政府补助之外的政府补助。对于同时包含</w:t>
      </w:r>
    </w:p>
    <w:p>
      <w:pPr>
        <w:pStyle w:val="BodyText"/>
        <w:spacing w:line="357" w:lineRule="auto" w:before="56"/>
        <w:ind w:right="233"/>
        <w:jc w:val="left"/>
      </w:pPr>
      <w:r>
        <w:rPr/>
        <w:t>与资产相关部分和与收益相关部分的政府补助，区分不同部分分别进行会计处理；难以区分 的，整体归类为与收益相关的政府补助。</w:t>
      </w:r>
    </w:p>
    <w:p>
      <w:pPr>
        <w:pStyle w:val="BodyText"/>
        <w:spacing w:line="240" w:lineRule="auto" w:before="36"/>
        <w:ind w:left="633" w:right="200"/>
        <w:jc w:val="left"/>
      </w:pPr>
      <w:r>
        <w:rPr/>
        <w:t>本公司在进行政府补助分类时采取的具体标准为：</w:t>
      </w:r>
    </w:p>
    <w:p>
      <w:pPr>
        <w:pStyle w:val="BodyText"/>
        <w:spacing w:line="338" w:lineRule="auto" w:before="154"/>
        <w:ind w:right="433" w:firstLine="480"/>
        <w:jc w:val="left"/>
      </w:pPr>
      <w:r>
        <w:rPr>
          <w:rFonts w:ascii="Times New Roman" w:hAnsi="Times New Roman" w:cs="Times New Roman" w:eastAsia="Times New Roman" w:hint="default"/>
        </w:rPr>
        <w:t>(1)</w:t>
      </w:r>
      <w:r>
        <w:rPr/>
        <w:t>根据政府补助文件获得的政府补助全部或者主要用于补偿以后期间或已发生的费用</w:t>
      </w:r>
      <w:r>
        <w:rPr>
          <w:w w:val="99"/>
        </w:rPr>
        <w:t> </w:t>
      </w:r>
      <w:r>
        <w:rPr/>
        <w:t>或损失的政府补助，划分为与收益相关的政府补助。</w:t>
      </w:r>
    </w:p>
    <w:p>
      <w:pPr>
        <w:pStyle w:val="BodyText"/>
        <w:spacing w:line="343" w:lineRule="auto"/>
        <w:ind w:right="212" w:firstLine="480"/>
        <w:jc w:val="both"/>
      </w:pPr>
      <w:r>
        <w:rPr>
          <w:rFonts w:ascii="Times New Roman" w:hAnsi="Times New Roman" w:cs="Times New Roman" w:eastAsia="Times New Roman" w:hint="default"/>
        </w:rPr>
        <w:t>(2)</w:t>
      </w:r>
      <w:r>
        <w:rPr/>
        <w:t>若政府文件未明确规定补助对象，则采用以下方式将该政府补助款划分为与资产相关</w:t>
      </w:r>
      <w:r>
        <w:rPr>
          <w:w w:val="99"/>
        </w:rPr>
        <w:t> </w:t>
      </w:r>
      <w:r>
        <w:rPr/>
        <w:t>的政府补助或与收益相关的政府补助：</w:t>
      </w:r>
      <w:r>
        <w:rPr>
          <w:rFonts w:ascii="Times New Roman" w:hAnsi="Times New Roman" w:cs="Times New Roman" w:eastAsia="Times New Roman" w:hint="default"/>
        </w:rPr>
        <w:t>1)</w:t>
      </w:r>
      <w:r>
        <w:rPr/>
        <w:t>政府文件明确了补助所针对的特定项目的，根据该</w:t>
      </w:r>
      <w:r>
        <w:rPr>
          <w:w w:val="99"/>
        </w:rPr>
        <w:t> </w:t>
      </w:r>
      <w:r>
        <w:rPr/>
        <w:t>特定项目的预算中将形成资产的支出金额和计入费用的支出金额的相对比例进行划分，对该</w:t>
      </w:r>
      <w:r>
        <w:rPr>
          <w:w w:val="99"/>
        </w:rPr>
        <w:t> </w:t>
      </w:r>
      <w:r>
        <w:rPr/>
        <w:t>划分比例需在每个资产负债表日进行复核，必要时进行变更；</w:t>
      </w:r>
      <w:r>
        <w:rPr>
          <w:rFonts w:ascii="Times New Roman" w:hAnsi="Times New Roman" w:cs="Times New Roman" w:eastAsia="Times New Roman" w:hint="default"/>
        </w:rPr>
        <w:t>2)</w:t>
      </w:r>
      <w:r>
        <w:rPr/>
        <w:t>政府文件中对用途仅作一般</w:t>
      </w:r>
      <w:r>
        <w:rPr>
          <w:w w:val="99"/>
        </w:rPr>
        <w:t> </w:t>
      </w:r>
      <w:r>
        <w:rPr/>
        <w:t>性表述，没有指明特定项目的，作为与收益相关的政府补助。</w:t>
      </w:r>
    </w:p>
    <w:p>
      <w:pPr>
        <w:pStyle w:val="BodyText"/>
        <w:spacing w:line="338" w:lineRule="auto" w:before="50"/>
        <w:ind w:left="633" w:right="233"/>
        <w:jc w:val="left"/>
      </w:pPr>
      <w:r>
        <w:rPr>
          <w:rFonts w:ascii="Times New Roman" w:hAnsi="Times New Roman" w:cs="Times New Roman" w:eastAsia="Times New Roman" w:hint="default"/>
        </w:rPr>
        <w:t>2</w:t>
      </w:r>
      <w:r>
        <w:rPr/>
        <w:t>．政府补助的确认时点 本公司对于政府补助通常在实际收到时，按照实收金额予以确认和计量。但对于期末有</w:t>
      </w:r>
    </w:p>
    <w:p>
      <w:pPr>
        <w:pStyle w:val="BodyText"/>
        <w:spacing w:line="240" w:lineRule="auto"/>
        <w:ind w:right="200"/>
        <w:jc w:val="left"/>
      </w:pPr>
      <w:r>
        <w:rPr/>
        <w:t>确凿证据表明能够符合财政扶持政策规定的相关条件预计能够收到财政扶持资金，按照应收</w:t>
      </w:r>
    </w:p>
    <w:p>
      <w:pPr>
        <w:spacing w:after="0" w:line="240" w:lineRule="auto"/>
        <w:jc w:val="left"/>
        <w:sectPr>
          <w:pgSz w:w="11910" w:h="16840"/>
          <w:pgMar w:header="877" w:footer="980" w:top="1100" w:bottom="1160" w:left="980" w:right="920"/>
        </w:sectPr>
      </w:pPr>
    </w:p>
    <w:p>
      <w:pPr>
        <w:spacing w:line="240" w:lineRule="auto" w:before="7"/>
        <w:rPr>
          <w:rFonts w:ascii="宋体" w:hAnsi="宋体" w:cs="宋体" w:eastAsia="宋体" w:hint="default"/>
          <w:sz w:val="25"/>
          <w:szCs w:val="25"/>
        </w:rPr>
      </w:pPr>
    </w:p>
    <w:p>
      <w:pPr>
        <w:pStyle w:val="BodyText"/>
        <w:spacing w:line="240" w:lineRule="auto" w:before="26"/>
        <w:ind w:right="200"/>
        <w:jc w:val="left"/>
      </w:pPr>
      <w:r>
        <w:rPr/>
        <w:t>的金额计量。按照应收金额计量的政府补助应同时符合以下条件：</w:t>
      </w:r>
    </w:p>
    <w:p>
      <w:pPr>
        <w:pStyle w:val="BodyText"/>
        <w:spacing w:line="338" w:lineRule="auto" w:before="154"/>
        <w:ind w:right="210" w:firstLine="480"/>
        <w:jc w:val="both"/>
      </w:pPr>
      <w:r>
        <w:rPr>
          <w:rFonts w:ascii="Times New Roman" w:hAnsi="Times New Roman" w:cs="Times New Roman" w:eastAsia="Times New Roman" w:hint="default"/>
        </w:rPr>
        <w:t>(1)</w:t>
      </w:r>
      <w:r>
        <w:rPr/>
        <w:t>所依据的是当地财政部门正式发布并按照《政府信息公开条例》的规定予以主动公开</w:t>
      </w:r>
      <w:r>
        <w:rPr>
          <w:w w:val="99"/>
        </w:rPr>
        <w:t> </w:t>
      </w:r>
      <w:r>
        <w:rPr>
          <w:spacing w:val="-1"/>
        </w:rPr>
        <w:t>的财政扶持项目及其财政资金管理办法，且该管理办法应当是普惠性的</w:t>
      </w:r>
      <w:r>
        <w:rPr>
          <w:rFonts w:ascii="Times New Roman" w:hAnsi="Times New Roman" w:cs="Times New Roman" w:eastAsia="Times New Roman" w:hint="default"/>
          <w:spacing w:val="-1"/>
        </w:rPr>
        <w:t>(</w:t>
      </w:r>
      <w:r>
        <w:rPr>
          <w:spacing w:val="-1"/>
        </w:rPr>
        <w:t>任何符合规定条件的</w:t>
      </w:r>
      <w:r>
        <w:rPr>
          <w:w w:val="99"/>
        </w:rPr>
        <w:t> </w:t>
      </w:r>
      <w:r>
        <w:rPr/>
        <w:t>企业均可申请</w:t>
      </w:r>
      <w:r>
        <w:rPr>
          <w:rFonts w:ascii="Times New Roman" w:hAnsi="Times New Roman" w:cs="Times New Roman" w:eastAsia="Times New Roman" w:hint="default"/>
        </w:rPr>
        <w:t>)</w:t>
      </w:r>
      <w:r>
        <w:rPr/>
        <w:t>，而不是专门针对特定企业制定的；</w:t>
      </w:r>
    </w:p>
    <w:p>
      <w:pPr>
        <w:pStyle w:val="BodyText"/>
        <w:spacing w:line="338" w:lineRule="auto" w:before="27"/>
        <w:ind w:right="210" w:firstLine="480"/>
        <w:jc w:val="both"/>
      </w:pPr>
      <w:r>
        <w:rPr>
          <w:rFonts w:ascii="Times New Roman" w:hAnsi="Times New Roman" w:cs="Times New Roman" w:eastAsia="Times New Roman" w:hint="default"/>
        </w:rPr>
        <w:t>(2)</w:t>
      </w:r>
      <w:r>
        <w:rPr/>
        <w:t>应收补助款的金额已经过有权政府部门发文确认，或者可根据正式发布的财政资金管</w:t>
      </w:r>
      <w:r>
        <w:rPr>
          <w:w w:val="99"/>
        </w:rPr>
        <w:t> </w:t>
      </w:r>
      <w:r>
        <w:rPr/>
        <w:t>理办法的有关规定自行合理测算，且预计其金额不存在重大不确定性；</w:t>
      </w:r>
    </w:p>
    <w:p>
      <w:pPr>
        <w:pStyle w:val="BodyText"/>
        <w:spacing w:line="338" w:lineRule="auto"/>
        <w:ind w:right="212" w:firstLine="480"/>
        <w:jc w:val="both"/>
      </w:pPr>
      <w:r>
        <w:rPr>
          <w:rFonts w:ascii="Times New Roman" w:hAnsi="Times New Roman" w:cs="Times New Roman" w:eastAsia="Times New Roman" w:hint="default"/>
        </w:rPr>
        <w:t>(3)</w:t>
      </w:r>
      <w:r>
        <w:rPr/>
        <w:t>相关的补助款批文中已明确承诺了拨付期限，且该款项的拨付是有相应财政预算作为</w:t>
      </w:r>
      <w:r>
        <w:rPr>
          <w:w w:val="99"/>
        </w:rPr>
        <w:t> </w:t>
      </w:r>
      <w:r>
        <w:rPr/>
        <w:t>保障的，因而可以合理保证其可在规定期限内收到；</w:t>
      </w:r>
    </w:p>
    <w:p>
      <w:pPr>
        <w:pStyle w:val="BodyText"/>
        <w:spacing w:line="338" w:lineRule="auto" w:before="56"/>
        <w:ind w:left="633" w:right="233"/>
        <w:jc w:val="left"/>
      </w:pPr>
      <w:r>
        <w:rPr>
          <w:rFonts w:ascii="Times New Roman" w:hAnsi="Times New Roman" w:cs="Times New Roman" w:eastAsia="Times New Roman" w:hint="default"/>
        </w:rPr>
        <w:t>(4)</w:t>
      </w:r>
      <w:r>
        <w:rPr/>
        <w:t>根据本公司和该补助事项的具体情况，应满足的其他相关条件</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w:t>
      </w:r>
      <w:r>
        <w:rPr>
          <w:w w:val="99"/>
        </w:rPr>
        <w:t> </w:t>
      </w:r>
      <w:r>
        <w:rPr>
          <w:rFonts w:ascii="Times New Roman" w:hAnsi="Times New Roman" w:cs="Times New Roman" w:eastAsia="Times New Roman" w:hint="default"/>
        </w:rPr>
        <w:t>3</w:t>
      </w:r>
      <w:r>
        <w:rPr/>
        <w:t>．政府补助的会计处理</w:t>
      </w:r>
      <w:r>
        <w:rPr>
          <w:w w:val="99"/>
        </w:rPr>
        <w:t> </w:t>
      </w:r>
      <w:r>
        <w:rPr/>
        <w:t>政府补助为货币性资产的，按收到或应收的金额计量；为非货币性资产的，按公允价值</w:t>
      </w:r>
    </w:p>
    <w:p>
      <w:pPr>
        <w:pStyle w:val="BodyText"/>
        <w:spacing w:line="357" w:lineRule="auto"/>
        <w:ind w:right="233"/>
        <w:jc w:val="left"/>
      </w:pPr>
      <w:r>
        <w:rPr/>
        <w:t>计量；非货币性资产公允价值不能可靠取得的，按名义金额计量。按照名义金额计量的政府 补助，直接计入当期损益。</w:t>
      </w:r>
    </w:p>
    <w:p>
      <w:pPr>
        <w:pStyle w:val="BodyText"/>
        <w:spacing w:line="357" w:lineRule="auto" w:before="36"/>
        <w:ind w:right="250" w:firstLine="480"/>
        <w:jc w:val="both"/>
      </w:pPr>
      <w:r>
        <w:rPr/>
        <w:t>与收益相关的政府补助，用于补偿本公司以后期间的相关成本费用或损失的，确认为递 延收益，并在确认相关成本费用或损失的期间，计入当期损益；用于补偿企业已发生的相关 成本费用或损失的，直接计入当期损益。</w:t>
      </w:r>
    </w:p>
    <w:p>
      <w:pPr>
        <w:pStyle w:val="BodyText"/>
        <w:spacing w:line="240" w:lineRule="auto" w:before="36"/>
        <w:ind w:left="633" w:right="200"/>
        <w:jc w:val="left"/>
      </w:pPr>
      <w:r>
        <w:rPr/>
        <w:t>本公司取得的政策性优惠贷款贴息，区分以下两种情况，分别进行会计处理：</w:t>
      </w:r>
    </w:p>
    <w:p>
      <w:pPr>
        <w:pStyle w:val="BodyText"/>
        <w:spacing w:line="348" w:lineRule="auto" w:before="154"/>
        <w:ind w:right="0" w:firstLine="480"/>
        <w:jc w:val="left"/>
      </w:pPr>
      <w:r>
        <w:rPr>
          <w:rFonts w:ascii="Times New Roman" w:hAnsi="Times New Roman" w:cs="Times New Roman" w:eastAsia="Times New Roman" w:hint="default"/>
          <w:spacing w:val="2"/>
        </w:rPr>
        <w:t>(1)</w:t>
      </w:r>
      <w:r>
        <w:rPr>
          <w:spacing w:val="2"/>
        </w:rPr>
        <w:t>财政将贴息资金拨付给贷款银行，由贷款银行以政策性优惠利率向企业提供贷款的，</w:t>
      </w:r>
      <w:r>
        <w:rPr>
          <w:w w:val="99"/>
        </w:rPr>
        <w:t> </w:t>
      </w:r>
      <w:r>
        <w:rPr/>
        <w:t>本公司以实际收到的借款金额作为借款的入账价值，按照借款本金和该政策性优惠利率计算</w:t>
      </w:r>
      <w:r>
        <w:rPr>
          <w:w w:val="99"/>
        </w:rPr>
        <w:t> </w:t>
      </w:r>
      <w:r>
        <w:rPr/>
        <w:t>相关借款费用。</w:t>
      </w:r>
    </w:p>
    <w:p>
      <w:pPr>
        <w:pStyle w:val="BodyText"/>
        <w:spacing w:line="343" w:lineRule="auto" w:before="46"/>
        <w:ind w:left="633" w:right="233"/>
        <w:jc w:val="left"/>
      </w:pPr>
      <w:r>
        <w:rPr>
          <w:rFonts w:ascii="Times New Roman" w:hAnsi="Times New Roman" w:cs="Times New Roman" w:eastAsia="Times New Roman" w:hint="default"/>
        </w:rPr>
        <w:t>(2)</w:t>
      </w:r>
      <w:r>
        <w:rPr/>
        <w:t>财政将贴息资金直接拨付给本公司的，本公司将对应的贴息冲减相关借款费用。</w:t>
      </w:r>
      <w:r>
        <w:rPr>
          <w:w w:val="99"/>
        </w:rPr>
        <w:t> </w:t>
      </w:r>
      <w:r>
        <w:rPr/>
        <w:t>已确认的政府补助需要退回的，在需要退回的当期分以下情况进行会计处理：</w:t>
      </w:r>
      <w:r>
        <w:rPr>
          <w:w w:val="99"/>
        </w:rPr>
        <w:t> </w:t>
      </w:r>
      <w:r>
        <w:rPr>
          <w:rFonts w:ascii="Times New Roman" w:hAnsi="Times New Roman" w:cs="Times New Roman" w:eastAsia="Times New Roman" w:hint="default"/>
        </w:rPr>
        <w:t>(1)</w:t>
      </w:r>
      <w:r>
        <w:rPr/>
        <w:t>初始确认时冲减相关资产账面价值的，调整资产账面价值；</w:t>
      </w:r>
      <w:r>
        <w:rPr>
          <w:w w:val="99"/>
        </w:rPr>
        <w:t> </w:t>
      </w:r>
      <w:r>
        <w:rPr>
          <w:rFonts w:ascii="Times New Roman" w:hAnsi="Times New Roman" w:cs="Times New Roman" w:eastAsia="Times New Roman" w:hint="default"/>
        </w:rPr>
        <w:t>(2)</w:t>
      </w:r>
      <w:r>
        <w:rPr/>
        <w:t>存在相关递延收益的，冲减相关递延收益账面余额，超出部分计入当期损益；</w:t>
      </w:r>
      <w:r>
        <w:rPr>
          <w:w w:val="99"/>
        </w:rPr>
        <w:t> </w:t>
      </w:r>
      <w:r>
        <w:rPr>
          <w:rFonts w:ascii="Times New Roman" w:hAnsi="Times New Roman" w:cs="Times New Roman" w:eastAsia="Times New Roman" w:hint="default"/>
        </w:rPr>
        <w:t>(3)</w:t>
      </w:r>
      <w:r>
        <w:rPr/>
        <w:t>属于其他情况的，直接计入当期损益。</w:t>
      </w:r>
      <w:r>
        <w:rPr>
          <w:w w:val="99"/>
        </w:rPr>
        <w:t> </w:t>
      </w:r>
      <w:r>
        <w:rPr/>
        <w:t>政府补助计入不同损益项目的区分原则为：与本公司日常活动相关的政府补助，按照经</w:t>
      </w:r>
    </w:p>
    <w:p>
      <w:pPr>
        <w:pStyle w:val="BodyText"/>
        <w:spacing w:line="240" w:lineRule="auto" w:before="50"/>
        <w:ind w:right="200"/>
        <w:jc w:val="left"/>
      </w:pPr>
      <w:r>
        <w:rPr/>
        <w:t>济业务实质，计入其他收益；与本公司日常活动无关的政府补助，计入营业外收支。</w:t>
      </w:r>
    </w:p>
    <w:p>
      <w:pPr>
        <w:pStyle w:val="Heading2"/>
        <w:spacing w:line="240" w:lineRule="auto" w:before="154"/>
        <w:ind w:left="633" w:right="200"/>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240" w:lineRule="auto" w:before="135"/>
        <w:ind w:left="633" w:right="200"/>
        <w:jc w:val="left"/>
      </w:pPr>
      <w:r>
        <w:rPr>
          <w:rFonts w:ascii="Times New Roman" w:hAnsi="Times New Roman" w:cs="Times New Roman" w:eastAsia="Times New Roman" w:hint="default"/>
        </w:rPr>
        <w:t>1</w:t>
      </w:r>
      <w:r>
        <w:rPr/>
        <w:t>．递延所得税资产和递延所得税负债的确认和计量</w:t>
      </w:r>
    </w:p>
    <w:p>
      <w:pPr>
        <w:spacing w:after="0" w:line="240" w:lineRule="auto"/>
        <w:jc w:val="left"/>
        <w:sectPr>
          <w:pgSz w:w="11910" w:h="16840"/>
          <w:pgMar w:header="877" w:footer="980" w:top="1100" w:bottom="1160" w:left="980" w:right="920"/>
        </w:sectPr>
      </w:pPr>
    </w:p>
    <w:p>
      <w:pPr>
        <w:spacing w:line="240" w:lineRule="auto" w:before="7"/>
        <w:rPr>
          <w:rFonts w:ascii="宋体" w:hAnsi="宋体" w:cs="宋体" w:eastAsia="宋体" w:hint="default"/>
          <w:sz w:val="25"/>
          <w:szCs w:val="25"/>
        </w:rPr>
      </w:pPr>
    </w:p>
    <w:p>
      <w:pPr>
        <w:pStyle w:val="BodyText"/>
        <w:spacing w:line="350" w:lineRule="auto" w:before="26"/>
        <w:ind w:right="154" w:firstLine="480"/>
        <w:jc w:val="both"/>
      </w:pPr>
      <w:r>
        <w:rPr/>
        <w:t>本公司根据资产、负债与资产负债日的账面价值与计税基础之间的暂时性差异，采用资 产负债表债务法确认递延所得税。公司当期所得税和递延所得税作为所得税费用或收益计入 </w:t>
      </w:r>
      <w:r>
        <w:rPr>
          <w:spacing w:val="-2"/>
        </w:rPr>
        <w:t>当期损益，但不包括下列情况产生的所得税：</w:t>
      </w:r>
      <w:r>
        <w:rPr>
          <w:rFonts w:ascii="Times New Roman" w:hAnsi="Times New Roman" w:cs="Times New Roman" w:eastAsia="Times New Roman" w:hint="default"/>
          <w:spacing w:val="-2"/>
        </w:rPr>
        <w:t>(1)</w:t>
      </w:r>
      <w:r>
        <w:rPr>
          <w:spacing w:val="-2"/>
        </w:rPr>
        <w:t>企业合并；</w:t>
      </w:r>
      <w:r>
        <w:rPr>
          <w:rFonts w:ascii="Times New Roman" w:hAnsi="Times New Roman" w:cs="Times New Roman" w:eastAsia="Times New Roman" w:hint="default"/>
          <w:spacing w:val="-2"/>
        </w:rPr>
        <w:t>(2)</w:t>
      </w:r>
      <w:r>
        <w:rPr>
          <w:spacing w:val="-2"/>
        </w:rPr>
        <w:t>直接在所有者权益中确认的交</w:t>
      </w:r>
      <w:r>
        <w:rPr>
          <w:spacing w:val="-78"/>
        </w:rPr>
        <w:t> </w:t>
      </w:r>
      <w:r>
        <w:rPr>
          <w:spacing w:val="-78"/>
        </w:rPr>
      </w:r>
      <w:r>
        <w:rPr/>
        <w:t>易或者事项。</w:t>
      </w:r>
    </w:p>
    <w:p>
      <w:pPr>
        <w:pStyle w:val="BodyText"/>
        <w:spacing w:line="357" w:lineRule="auto" w:before="43"/>
        <w:ind w:right="191" w:firstLine="480"/>
        <w:jc w:val="both"/>
      </w:pPr>
      <w:r>
        <w:rPr/>
        <w:t>对于可抵扣暂时性差异、能够结转以后年度的可抵扣亏损和税款抵减，公司以很可能取 得用来抵扣可抵扣暂时性差异、可抵扣亏损和税款抵减的未来应纳税所得额为限，确认由此 产生的递延所得税资产，除非该可抵扣暂时性差异是在以下交易中产生的：</w:t>
      </w:r>
    </w:p>
    <w:p>
      <w:pPr>
        <w:pStyle w:val="BodyText"/>
        <w:spacing w:line="338" w:lineRule="auto" w:before="36"/>
        <w:ind w:left="633" w:right="133"/>
        <w:jc w:val="left"/>
      </w:pPr>
      <w:r>
        <w:rPr>
          <w:rFonts w:ascii="Times New Roman" w:hAnsi="Times New Roman" w:cs="Times New Roman" w:eastAsia="Times New Roman" w:hint="default"/>
        </w:rPr>
        <w:t>(1)</w:t>
      </w:r>
      <w:r>
        <w:rPr/>
        <w:t>该交易不是企业合并，并且交易发生时既不影响会计利润也不影响应纳税所得额；</w:t>
      </w:r>
      <w:r>
        <w:rPr>
          <w:w w:val="99"/>
        </w:rPr>
        <w:t> </w:t>
      </w:r>
      <w:r>
        <w:rPr>
          <w:rFonts w:ascii="Times New Roman" w:hAnsi="Times New Roman" w:cs="Times New Roman" w:eastAsia="Times New Roman" w:hint="default"/>
        </w:rPr>
        <w:t>(2)</w:t>
      </w:r>
      <w:r>
        <w:rPr/>
        <w:t>对于与子公司、合营企业及联营企业投资相关的可抵扣暂时性差异，同时满足下列条</w:t>
      </w:r>
    </w:p>
    <w:p>
      <w:pPr>
        <w:pStyle w:val="BodyText"/>
        <w:spacing w:line="357" w:lineRule="auto" w:before="27"/>
        <w:ind w:right="173"/>
        <w:jc w:val="left"/>
      </w:pPr>
      <w:r>
        <w:rPr/>
        <w:t>件的，确认相应的递延所得税资产：暂时性差异在可预见的未来很可能转回，且未来很可能 获得用来抵扣可抵扣暂时性差异的应纳税所得额。</w:t>
      </w:r>
    </w:p>
    <w:p>
      <w:pPr>
        <w:pStyle w:val="BodyText"/>
        <w:spacing w:line="357" w:lineRule="auto" w:before="36"/>
        <w:ind w:right="191" w:firstLine="480"/>
        <w:jc w:val="both"/>
      </w:pPr>
      <w:r>
        <w:rPr/>
        <w:t>各项应纳税暂时性差异均确认相关的递延所得税负债，除非该应纳税暂时性差异是在以 下交易中产生的：</w:t>
      </w:r>
    </w:p>
    <w:p>
      <w:pPr>
        <w:pStyle w:val="BodyText"/>
        <w:spacing w:line="338" w:lineRule="auto" w:before="36"/>
        <w:ind w:right="152" w:firstLine="480"/>
        <w:jc w:val="both"/>
      </w:pPr>
      <w:r>
        <w:rPr>
          <w:rFonts w:ascii="Times New Roman" w:hAnsi="Times New Roman" w:cs="Times New Roman" w:eastAsia="Times New Roman" w:hint="default"/>
        </w:rPr>
        <w:t>(1)</w:t>
      </w:r>
      <w:r>
        <w:rPr/>
        <w:t>商誉的初始确认，或者具有以下特征的交易中产生的资产或负债的初始确认：该交易</w:t>
      </w:r>
      <w:r>
        <w:rPr>
          <w:w w:val="99"/>
        </w:rPr>
        <w:t> </w:t>
      </w:r>
      <w:r>
        <w:rPr/>
        <w:t>不是企业合并，并且交易发生时既不影响会计利润也不影响应纳税所得额；</w:t>
      </w:r>
    </w:p>
    <w:p>
      <w:pPr>
        <w:pStyle w:val="BodyText"/>
        <w:spacing w:line="338" w:lineRule="auto"/>
        <w:ind w:right="152" w:firstLine="480"/>
        <w:jc w:val="both"/>
      </w:pPr>
      <w:r>
        <w:rPr>
          <w:rFonts w:ascii="Times New Roman" w:hAnsi="Times New Roman" w:cs="Times New Roman" w:eastAsia="Times New Roman" w:hint="default"/>
        </w:rPr>
        <w:t>(2)</w:t>
      </w:r>
      <w:r>
        <w:rPr/>
        <w:t>对于与子公司、合营企业及联营企业投资相关的应纳税暂时性差异，该暂时性差异转</w:t>
      </w:r>
      <w:r>
        <w:rPr>
          <w:w w:val="99"/>
        </w:rPr>
        <w:t> </w:t>
      </w:r>
      <w:r>
        <w:rPr/>
        <w:t>回的时间能够控制并且该暂时性差异在可预见的未来很可能不会转回。</w:t>
      </w:r>
    </w:p>
    <w:p>
      <w:pPr>
        <w:pStyle w:val="BodyText"/>
        <w:spacing w:line="338" w:lineRule="auto"/>
        <w:ind w:right="151" w:firstLine="480"/>
        <w:jc w:val="both"/>
      </w:pPr>
      <w:r>
        <w:rPr>
          <w:spacing w:val="-2"/>
        </w:rPr>
        <w:t>根据资产、负债的账面价值与其计税基础之间的差额</w:t>
      </w:r>
      <w:r>
        <w:rPr>
          <w:rFonts w:ascii="Times New Roman" w:hAnsi="Times New Roman" w:cs="Times New Roman" w:eastAsia="Times New Roman" w:hint="default"/>
          <w:spacing w:val="-2"/>
        </w:rPr>
        <w:t>(</w:t>
      </w:r>
      <w:r>
        <w:rPr>
          <w:spacing w:val="-2"/>
        </w:rPr>
        <w:t>未作为资产和负债确认的项目按照</w:t>
      </w:r>
      <w:r>
        <w:rPr/>
        <w:t> </w:t>
      </w:r>
      <w:r>
        <w:rPr>
          <w:spacing w:val="-2"/>
        </w:rPr>
        <w:t>税法规定可以确定其计税基础的，该计税基础与其账面数之间的差额</w:t>
      </w:r>
      <w:r>
        <w:rPr>
          <w:rFonts w:ascii="Times New Roman" w:hAnsi="Times New Roman" w:cs="Times New Roman" w:eastAsia="Times New Roman" w:hint="default"/>
          <w:spacing w:val="-2"/>
        </w:rPr>
        <w:t>)</w:t>
      </w:r>
      <w:r>
        <w:rPr>
          <w:spacing w:val="-2"/>
        </w:rPr>
        <w:t>，按照预期收回该资产</w:t>
      </w:r>
      <w:r>
        <w:rPr>
          <w:spacing w:val="-80"/>
        </w:rPr>
        <w:t> </w:t>
      </w:r>
      <w:r>
        <w:rPr>
          <w:spacing w:val="-80"/>
        </w:rPr>
      </w:r>
      <w:r>
        <w:rPr/>
        <w:t>或清偿该负债期间的适用税率计算确认递延所得税资产或递延所得税负债。</w:t>
      </w:r>
    </w:p>
    <w:p>
      <w:pPr>
        <w:pStyle w:val="BodyText"/>
        <w:spacing w:line="357" w:lineRule="auto"/>
        <w:ind w:right="152" w:firstLine="480"/>
        <w:jc w:val="right"/>
      </w:pPr>
      <w:r>
        <w:rPr/>
        <w:t>确认递延所得税资产以很可能取得用来抵扣可抵扣暂时性差异的应纳税所得额为限。资 产负债表日，有确凿证据表明未来期间很可能获得足够的应纳税所得额用来抵扣可抵扣暂时 性差异的，确认以前会计期间未确认的递延所得税资产。对递延所得税资产的账面价值进行 复核，如果未来期间很可能无法获得足够的应纳税所得额用以抵扣递延所得税资产的利益， </w:t>
      </w:r>
      <w:r>
        <w:rPr>
          <w:spacing w:val="-5"/>
        </w:rPr>
        <w:t>则减记递延所得税资产的账面价值。在很可能获得足够的应纳税所得额时，转回减记的金额。</w:t>
      </w:r>
      <w:r>
        <w:rPr/>
        <w:t> </w:t>
      </w:r>
      <w:r>
        <w:rPr>
          <w:rFonts w:ascii="Times New Roman" w:hAnsi="Times New Roman" w:cs="Times New Roman" w:eastAsia="Times New Roman" w:hint="default"/>
          <w:spacing w:val="-9"/>
        </w:rPr>
        <w:t>2</w:t>
      </w:r>
      <w:r>
        <w:rPr>
          <w:spacing w:val="-9"/>
        </w:rPr>
        <w:t>．当拥有以净额结算的法定权利，且意图以净额结算或取得资产、清偿负债同时进行时，</w:t>
      </w:r>
    </w:p>
    <w:p>
      <w:pPr>
        <w:pStyle w:val="BodyText"/>
        <w:spacing w:line="357" w:lineRule="auto" w:before="5"/>
        <w:ind w:left="633" w:right="173" w:hanging="480"/>
        <w:jc w:val="left"/>
      </w:pPr>
      <w:r>
        <w:rPr/>
        <w:t>本公司当期所得税资产及当期所得税负债以抵销后的净额列报。 当拥有以净额结算当期所得税资产及当期所得税负债的法定权利，且递延所得税资产及</w:t>
      </w:r>
    </w:p>
    <w:p>
      <w:pPr>
        <w:pStyle w:val="BodyText"/>
        <w:spacing w:line="240" w:lineRule="auto" w:before="36"/>
        <w:ind w:right="138"/>
        <w:jc w:val="left"/>
      </w:pPr>
      <w:r>
        <w:rPr/>
        <w:t>递延所得税负债是与同一税收征管部门对同一纳税主体征收的所得税相关或者是对不同的纳</w:t>
      </w:r>
    </w:p>
    <w:p>
      <w:pPr>
        <w:spacing w:after="0" w:line="240"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before="26"/>
        <w:ind w:right="191"/>
        <w:jc w:val="both"/>
      </w:pPr>
      <w:r>
        <w:rPr/>
        <w:t>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pStyle w:val="Heading2"/>
        <w:spacing w:line="240" w:lineRule="auto" w:before="36"/>
        <w:ind w:left="633" w:right="293"/>
        <w:jc w:val="left"/>
        <w:rPr>
          <w:b w:val="0"/>
          <w:bCs w:val="0"/>
        </w:rPr>
      </w:pPr>
      <w:r>
        <w:rPr>
          <w:rFonts w:ascii="Times New Roman" w:hAnsi="Times New Roman" w:cs="Times New Roman" w:eastAsia="Times New Roman" w:hint="default"/>
        </w:rPr>
        <w:t>28</w:t>
      </w:r>
      <w:r>
        <w:rPr/>
        <w:t>、租赁</w:t>
      </w:r>
      <w:r>
        <w:rPr>
          <w:b w:val="0"/>
          <w:bCs w:val="0"/>
        </w:rPr>
      </w:r>
    </w:p>
    <w:p>
      <w:pPr>
        <w:spacing w:line="338" w:lineRule="auto" w:before="135"/>
        <w:ind w:left="633" w:right="17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）经营租赁的会计处理方法</w:t>
      </w:r>
      <w:r>
        <w:rPr>
          <w:rFonts w:ascii="宋体" w:hAnsi="宋体" w:cs="宋体" w:eastAsia="宋体" w:hint="default"/>
          <w:b/>
          <w:bCs/>
          <w:w w:val="99"/>
          <w:sz w:val="24"/>
          <w:szCs w:val="24"/>
        </w:rPr>
        <w:t> </w:t>
      </w:r>
      <w:r>
        <w:rPr>
          <w:rFonts w:ascii="宋体" w:hAnsi="宋体" w:cs="宋体" w:eastAsia="宋体" w:hint="default"/>
          <w:sz w:val="24"/>
          <w:szCs w:val="24"/>
        </w:rPr>
        <w:t>出租人：公司出租资产收取的租赁费，在不扣除免租期的整个租赁期内，按直线法进行</w:t>
      </w:r>
    </w:p>
    <w:p>
      <w:pPr>
        <w:pStyle w:val="BodyText"/>
        <w:spacing w:line="357" w:lineRule="auto"/>
        <w:ind w:right="189"/>
        <w:jc w:val="both"/>
      </w:pPr>
      <w:r>
        <w:rPr/>
        <w:t>分摊，确认为租赁相关收入。公司支付的与租赁交易相关的初始直接费用，计入当期费用； 如金额较大的，则予以资本化，在这个租赁期间内按照与租赁相关收入确认相同的基础分期 计入当期收益。公司承担了应由承租方承担的与租赁相关的费用时，公司将该部分费用从租 金收入总额扣除，按扣除后的租金费用在租赁期内分配。或有租金于实际发生时计入当期损 益。</w:t>
      </w:r>
    </w:p>
    <w:p>
      <w:pPr>
        <w:pStyle w:val="BodyText"/>
        <w:spacing w:line="357" w:lineRule="auto" w:before="36"/>
        <w:ind w:right="152" w:firstLine="480"/>
        <w:jc w:val="both"/>
      </w:pPr>
      <w:r>
        <w:rPr/>
        <w:t>租入人：公司租入资产所支付的租赁费，在不扣除免租期的整个租赁期内，按直线法进 行分摊，计入当期费用。公司支付的与租赁交易相关的初始直接费用，计入当期费用；资产 出租方承担了应由公司承担的与租赁相关的费用时，公司将该部分费用从租金总额中扣除， </w:t>
      </w:r>
      <w:r>
        <w:rPr>
          <w:spacing w:val="-5"/>
        </w:rPr>
        <w:t>按扣除后的租金费用在租赁期内分摊，计入当期费用。或有租金于实际发生时计入当期损益。</w:t>
      </w:r>
    </w:p>
    <w:p>
      <w:pPr>
        <w:spacing w:line="338" w:lineRule="auto" w:before="36"/>
        <w:ind w:left="633" w:right="17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）融资租赁的会计处理方法</w:t>
      </w:r>
      <w:r>
        <w:rPr>
          <w:rFonts w:ascii="宋体" w:hAnsi="宋体" w:cs="宋体" w:eastAsia="宋体" w:hint="default"/>
          <w:b/>
          <w:bCs/>
          <w:w w:val="99"/>
          <w:sz w:val="24"/>
          <w:szCs w:val="24"/>
        </w:rPr>
        <w:t> </w:t>
      </w:r>
      <w:r>
        <w:rPr>
          <w:rFonts w:ascii="宋体" w:hAnsi="宋体" w:cs="宋体" w:eastAsia="宋体" w:hint="default"/>
          <w:sz w:val="24"/>
          <w:szCs w:val="24"/>
        </w:rPr>
        <w:t>出租人：在租赁期开始日本公司按最低租赁收款额与初始直接费用之和作为应收融资租</w:t>
      </w:r>
    </w:p>
    <w:p>
      <w:pPr>
        <w:pStyle w:val="BodyText"/>
        <w:spacing w:line="357" w:lineRule="auto"/>
        <w:ind w:right="191"/>
        <w:jc w:val="both"/>
      </w:pPr>
      <w:r>
        <w:rPr/>
        <w:t>赁款的入账价值，同时记录未担保余值；将最低租赁收款额、初始直接费用及未担保余值之 和与其现值之和的差额确认为未实现融资收益。未实现融资收益在租赁期内各个期间采用实 际利率法计算确认当期的融资收入。应收融资租赁款扣除未实现融资收益后的余额分别长期 债权和一年内到期的长期债权列示。或有租金于实际发生时计入当期损益。</w:t>
      </w:r>
    </w:p>
    <w:p>
      <w:pPr>
        <w:pStyle w:val="BodyText"/>
        <w:spacing w:line="357" w:lineRule="auto" w:before="36"/>
        <w:ind w:right="190" w:firstLine="480"/>
        <w:jc w:val="both"/>
      </w:pPr>
      <w:r>
        <w:rPr/>
        <w:t>承租人：在租赁期开始日本公司将租赁资产公允价值与最低租赁付款额现值两者中较低 者作为租入资产的入账价值，将最低租赁付款额作为长期应付款的入账价值，其差额作为未 确认融资费用。初始直接费用计入租入资产价值。未确认融资费用在租赁期内各个期间采用 实际利率法计算确认当期的融资费用。最低租赁付款额扣除未确认融资费用后的余额分别长 期负债和一年内到期的长期负债列示。或有租金于实际发生时计入当期损益。</w:t>
      </w:r>
    </w:p>
    <w:p>
      <w:pPr>
        <w:spacing w:line="338" w:lineRule="auto" w:before="36"/>
        <w:ind w:left="633" w:right="17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29</w:t>
      </w:r>
      <w:r>
        <w:rPr>
          <w:rFonts w:ascii="宋体" w:hAnsi="宋体" w:cs="宋体" w:eastAsia="宋体" w:hint="default"/>
          <w:b/>
          <w:bCs/>
          <w:sz w:val="24"/>
          <w:szCs w:val="24"/>
        </w:rPr>
        <w:t>、其他重要的会计政策和会计估计</w:t>
      </w:r>
      <w:r>
        <w:rPr>
          <w:rFonts w:ascii="宋体" w:hAnsi="宋体" w:cs="宋体" w:eastAsia="宋体" w:hint="default"/>
          <w:b/>
          <w:bCs/>
          <w:w w:val="99"/>
          <w:sz w:val="24"/>
          <w:szCs w:val="24"/>
        </w:rPr>
        <w:t> </w:t>
      </w:r>
      <w:r>
        <w:rPr>
          <w:rFonts w:ascii="宋体" w:hAnsi="宋体" w:cs="宋体" w:eastAsia="宋体" w:hint="default"/>
          <w:sz w:val="24"/>
          <w:szCs w:val="24"/>
        </w:rPr>
        <w:t>本公司在运用会计政策过程中，由于经营活动内在的不确定性，本公司需要对无法准确</w:t>
      </w:r>
    </w:p>
    <w:p>
      <w:pPr>
        <w:pStyle w:val="BodyText"/>
        <w:spacing w:line="240" w:lineRule="auto"/>
        <w:ind w:right="0"/>
        <w:jc w:val="both"/>
      </w:pPr>
      <w:r>
        <w:rPr/>
        <w:t>计量的报表项目的账面价值进行判断、估计和假设。这些判断、估计和假设是基于本公司管</w:t>
      </w:r>
    </w:p>
    <w:p>
      <w:pPr>
        <w:spacing w:after="0" w:line="240" w:lineRule="auto"/>
        <w:jc w:val="both"/>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before="26"/>
        <w:ind w:right="191"/>
        <w:jc w:val="both"/>
      </w:pPr>
      <w:r>
        <w:rPr/>
        <w:t>理层过去的历史经验，并在考虑其他相关因素的基础上做出的。这些判断、估计和假设会影 响收入、费用、资产和负债的报告金额以及资产负债表日或有负债的披露。然而，这些估计 的不确定性所导致的实际结果可能与本公司管理层当前的估计存在差异，进而造成对未来受 影响的资产或负债的账面金额进行重大调整。本公司对前述判断、估计和假设在持续经营的 基础上进行定期复核，会计估计的变更仅影响变更当期的，其影响数在变更当期予以确认； 既影响变更当期又影响未来期间的，其影响数在变更当期和未来期间予以确认。于资产负债 表日，本公司需对财务报表项目金额进行判断、估计和假设的重要领域如下：</w:t>
      </w:r>
    </w:p>
    <w:p>
      <w:pPr>
        <w:pStyle w:val="BodyText"/>
        <w:spacing w:line="338" w:lineRule="auto" w:before="36"/>
        <w:ind w:left="633" w:right="173"/>
        <w:jc w:val="left"/>
      </w:pPr>
      <w:r>
        <w:rPr>
          <w:rFonts w:ascii="Times New Roman" w:hAnsi="Times New Roman" w:cs="Times New Roman" w:eastAsia="Times New Roman" w:hint="default"/>
        </w:rPr>
        <w:t>1</w:t>
      </w:r>
      <w:r>
        <w:rPr/>
        <w:t>．租赁的分类 本公司根据《企业会计准则第</w:t>
      </w:r>
      <w:r>
        <w:rPr>
          <w:rFonts w:ascii="Times New Roman" w:hAnsi="Times New Roman" w:cs="Times New Roman" w:eastAsia="Times New Roman" w:hint="default"/>
        </w:rPr>
        <w:t>21</w:t>
      </w:r>
      <w:r>
        <w:rPr/>
        <w:t>号</w:t>
      </w:r>
      <w:r>
        <w:rPr>
          <w:rFonts w:ascii="Times New Roman" w:hAnsi="Times New Roman" w:cs="Times New Roman" w:eastAsia="Times New Roman" w:hint="default"/>
        </w:rPr>
        <w:t>——</w:t>
      </w:r>
      <w:r>
        <w:rPr/>
        <w:t>租赁》的规定，将租赁归类为经营租赁和融资租</w:t>
      </w:r>
    </w:p>
    <w:p>
      <w:pPr>
        <w:pStyle w:val="BodyText"/>
        <w:spacing w:line="357" w:lineRule="auto" w:before="27"/>
        <w:ind w:right="191"/>
        <w:jc w:val="both"/>
      </w:pPr>
      <w:r>
        <w:rPr/>
        <w:t>赁，在进行归类时，管理层需要对是否已将与租出资产所有权有关的全部风险和报酬实质上 转移给承租人，或者本公司是否已经实质上承担与租入资产所有权有关的全部风险和报酬， 作出分析和判断。</w:t>
      </w:r>
    </w:p>
    <w:p>
      <w:pPr>
        <w:pStyle w:val="BodyText"/>
        <w:spacing w:line="338" w:lineRule="auto" w:before="36"/>
        <w:ind w:left="633" w:right="173"/>
        <w:jc w:val="left"/>
      </w:pPr>
      <w:r>
        <w:rPr>
          <w:rFonts w:ascii="Times New Roman" w:hAnsi="Times New Roman" w:cs="Times New Roman" w:eastAsia="Times New Roman" w:hint="default"/>
        </w:rPr>
        <w:t>2</w:t>
      </w:r>
      <w:r>
        <w:rPr/>
        <w:t>．坏账准备计提 本公司根据应收款项的会计政策，采用备抵法核算坏账损失。应收款项减值基于对应收</w:t>
      </w:r>
    </w:p>
    <w:p>
      <w:pPr>
        <w:pStyle w:val="BodyText"/>
        <w:spacing w:line="357" w:lineRule="auto"/>
        <w:ind w:right="191"/>
        <w:jc w:val="both"/>
      </w:pPr>
      <w:r>
        <w:rPr/>
        <w:t>款项可收回性的评估，涉及管理层的判断和估计。实际的应收款项减值结果与原先估计的差 异将在估计被改变的期间影响应收款项的账面价值及应收款项坏账准备的计提或转回。</w:t>
      </w:r>
    </w:p>
    <w:p>
      <w:pPr>
        <w:pStyle w:val="BodyText"/>
        <w:spacing w:line="338" w:lineRule="auto" w:before="36"/>
        <w:ind w:left="633" w:right="173"/>
        <w:jc w:val="left"/>
      </w:pPr>
      <w:r>
        <w:rPr>
          <w:rFonts w:ascii="Times New Roman" w:hAnsi="Times New Roman" w:cs="Times New Roman" w:eastAsia="Times New Roman" w:hint="default"/>
        </w:rPr>
        <w:t>3</w:t>
      </w:r>
      <w:r>
        <w:rPr/>
        <w:t>．存货跌价准备 本公司根据存货会计政策，按照成本与可变现净值孰低计量，对成本高于可变现净值及</w:t>
      </w:r>
    </w:p>
    <w:p>
      <w:pPr>
        <w:pStyle w:val="BodyText"/>
        <w:spacing w:line="357" w:lineRule="auto"/>
        <w:ind w:right="191"/>
        <w:jc w:val="both"/>
      </w:pPr>
      <w:r>
        <w:rPr/>
        <w:t>陈旧和滞销的存货，计提存货跌价准备。存货减值至可变现净值是基于评估存货的可售性及 其可变现净值。鉴定存货减值要求管理层在取得确凿证据，并且考虑持有存货的目的、资产 负债表日后事项的影响等因素的基础上作出判断和估计。实际的结果与原先估计的差异将在 估计被改变的期间影响存货的账面价值及存货跌价准备的计提或转回。</w:t>
      </w:r>
    </w:p>
    <w:p>
      <w:pPr>
        <w:pStyle w:val="BodyText"/>
        <w:spacing w:line="338" w:lineRule="auto" w:before="36"/>
        <w:ind w:left="633" w:right="173"/>
        <w:jc w:val="left"/>
      </w:pPr>
      <w:r>
        <w:rPr>
          <w:rFonts w:ascii="Times New Roman" w:hAnsi="Times New Roman" w:cs="Times New Roman" w:eastAsia="Times New Roman" w:hint="default"/>
        </w:rPr>
        <w:t>4</w:t>
      </w:r>
      <w:r>
        <w:rPr/>
        <w:t>．金融工具公允价值 对不存在活跃交易市场的金融工具，本公司通过各种估值方法确定其公允价值。这些估</w:t>
      </w:r>
    </w:p>
    <w:p>
      <w:pPr>
        <w:pStyle w:val="BodyText"/>
        <w:spacing w:line="357" w:lineRule="auto"/>
        <w:ind w:right="191"/>
        <w:jc w:val="both"/>
      </w:pPr>
      <w:r>
        <w:rPr/>
        <w:t>值方法包括贴现现金流模型分析等。估值时本公司需对未来现金流量、信用风险、市场波动 率和相关性等方面进行估计，并选择适当的折现率。这些相关假设具有不确定性，其变化会 对金融工具的公允价值产生影响。</w:t>
      </w:r>
    </w:p>
    <w:p>
      <w:pPr>
        <w:pStyle w:val="BodyText"/>
        <w:spacing w:line="338" w:lineRule="auto" w:before="36"/>
        <w:ind w:left="633" w:right="173"/>
        <w:jc w:val="left"/>
      </w:pPr>
      <w:r>
        <w:rPr>
          <w:rFonts w:ascii="Times New Roman" w:hAnsi="Times New Roman" w:cs="Times New Roman" w:eastAsia="Times New Roman" w:hint="default"/>
        </w:rPr>
        <w:t>5</w:t>
      </w:r>
      <w:r>
        <w:rPr/>
        <w:t>．可供出售金融资产减值 本公司确定可供出售金融资产是否减值在很大程度上依赖于管理层的判断和假设，以确</w:t>
      </w:r>
    </w:p>
    <w:p>
      <w:pPr>
        <w:spacing w:after="0" w:line="338"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before="26"/>
        <w:ind w:right="95"/>
        <w:jc w:val="left"/>
      </w:pPr>
      <w:r>
        <w:rPr/>
        <w:t>定是否需要在利润表中确认其减值损失。在进行判断和作出假设的过程中，本公司需评估该 </w:t>
      </w:r>
      <w:r>
        <w:rPr>
          <w:spacing w:val="-2"/>
        </w:rPr>
        <w:t>项投资的公允价值低于成本的程度和持续期间，以及被投资对象的财务状况和短期业务展望，</w:t>
      </w:r>
      <w:r>
        <w:rPr/>
        <w:t> 包括行业状况、技术变革、信用评级、违约率和对手方的风险。</w:t>
      </w:r>
    </w:p>
    <w:p>
      <w:pPr>
        <w:pStyle w:val="BodyText"/>
        <w:spacing w:line="338" w:lineRule="auto" w:before="36"/>
        <w:ind w:left="633" w:right="253"/>
        <w:jc w:val="left"/>
      </w:pPr>
      <w:r>
        <w:rPr>
          <w:rFonts w:ascii="Times New Roman" w:hAnsi="Times New Roman" w:cs="Times New Roman" w:eastAsia="Times New Roman" w:hint="default"/>
        </w:rPr>
        <w:t>6</w:t>
      </w:r>
      <w:r>
        <w:rPr/>
        <w:t>．非金融非流动资产减值 本公司于资产负债表日对除金融资产之外的非流动资产判断是否存在可能发生减值的迹</w:t>
      </w:r>
    </w:p>
    <w:p>
      <w:pPr>
        <w:pStyle w:val="BodyText"/>
        <w:spacing w:line="357" w:lineRule="auto"/>
        <w:ind w:right="271"/>
        <w:jc w:val="both"/>
      </w:pPr>
      <w:r>
        <w:rPr/>
        <w:t>象。对使用寿命不确定的无形资产，除每年进行的减值测试外，当其存在减值迹象时，也进 行减值测试。其他除金融资产之外的非流动资产，当存在迹象表明其账面金额不可收回时， 进行减值测试。</w:t>
      </w:r>
    </w:p>
    <w:p>
      <w:pPr>
        <w:pStyle w:val="BodyText"/>
        <w:spacing w:line="357" w:lineRule="auto" w:before="37"/>
        <w:ind w:right="271" w:firstLine="480"/>
        <w:jc w:val="both"/>
      </w:pPr>
      <w:r>
        <w:rPr/>
        <w:t>当资产或资产组的账面价值高于可收回金额，即公允价值减去处置费用后的净额和预计 未来现金流量的现值中的较高者，表明发生了减值。</w:t>
      </w:r>
    </w:p>
    <w:p>
      <w:pPr>
        <w:pStyle w:val="BodyText"/>
        <w:spacing w:line="352" w:lineRule="auto" w:before="36"/>
        <w:ind w:right="269" w:firstLine="480"/>
        <w:jc w:val="both"/>
      </w:pPr>
      <w:r>
        <w:rPr/>
        <w:t>公允价值减去处置费用后的净额，参考公平交易中类似资产的销售协议价格或可观察到 的市场价格，减去可直接归属于该资产处置的增量成本确定。在预计未来现金流量现值时， 需要对该资产</w:t>
      </w:r>
      <w:r>
        <w:rPr>
          <w:rFonts w:ascii="Times New Roman" w:hAnsi="Times New Roman" w:cs="Times New Roman" w:eastAsia="Times New Roman" w:hint="default"/>
        </w:rPr>
        <w:t>(</w:t>
      </w:r>
      <w:r>
        <w:rPr/>
        <w:t>或资产组</w:t>
      </w:r>
      <w:r>
        <w:rPr>
          <w:rFonts w:ascii="Times New Roman" w:hAnsi="Times New Roman" w:cs="Times New Roman" w:eastAsia="Times New Roman" w:hint="default"/>
        </w:rPr>
        <w:t>)</w:t>
      </w:r>
      <w:r>
        <w:rPr/>
        <w:t>的产量、售价、相关经营成本以及计算现值时使用的折现率等作出 重大判断。本公司在估计可收回金额时会采用所有能够获得的相关资料，包括根据合理和可 支持的假设所作出有关产量、售价和相关经营成本的预测。</w:t>
      </w:r>
    </w:p>
    <w:p>
      <w:pPr>
        <w:pStyle w:val="BodyText"/>
        <w:spacing w:line="357" w:lineRule="auto" w:before="41"/>
        <w:ind w:right="271" w:firstLine="480"/>
        <w:jc w:val="both"/>
      </w:pPr>
      <w:r>
        <w:rPr/>
        <w:t>本公司至少每年评估商誉是否发生减值，要求对分配了商誉的资产组的使用价值进行估 计。估计使用价值时，本公司需要估计未来来自资产组的现金流量，同时选择恰当的折现率 计算未来现金流量的现值。</w:t>
      </w:r>
    </w:p>
    <w:p>
      <w:pPr>
        <w:pStyle w:val="BodyText"/>
        <w:spacing w:line="338" w:lineRule="auto" w:before="36"/>
        <w:ind w:left="633" w:right="253"/>
        <w:jc w:val="left"/>
      </w:pPr>
      <w:r>
        <w:rPr>
          <w:rFonts w:ascii="Times New Roman" w:hAnsi="Times New Roman" w:cs="Times New Roman" w:eastAsia="Times New Roman" w:hint="default"/>
        </w:rPr>
        <w:t>7</w:t>
      </w:r>
      <w:r>
        <w:rPr/>
        <w:t>．折旧和摊销 本公司对投资性房地产、固定资产和无形资产在考虑其残值后，在使用寿命内按直线法</w:t>
      </w:r>
    </w:p>
    <w:p>
      <w:pPr>
        <w:pStyle w:val="BodyText"/>
        <w:spacing w:line="357" w:lineRule="auto"/>
        <w:ind w:right="271"/>
        <w:jc w:val="both"/>
      </w:pPr>
      <w:r>
        <w:rPr/>
        <w:t>计提折旧和摊销。本公司定期复核使用寿命，以决定将计入每个报告期的折旧和摊销费用数 额。使用寿命是本公司根据对同类资产的以往经验并结合预期的技术更新而确定的。如果以 前的估计发生重大变化，则会在未来期间对折旧和摊销费用进行调整。</w:t>
      </w:r>
    </w:p>
    <w:p>
      <w:pPr>
        <w:pStyle w:val="BodyText"/>
        <w:spacing w:line="338" w:lineRule="auto" w:before="37"/>
        <w:ind w:left="633" w:right="253"/>
        <w:jc w:val="left"/>
      </w:pPr>
      <w:r>
        <w:rPr>
          <w:rFonts w:ascii="Times New Roman" w:hAnsi="Times New Roman" w:cs="Times New Roman" w:eastAsia="Times New Roman" w:hint="default"/>
        </w:rPr>
        <w:t>8</w:t>
      </w:r>
      <w:r>
        <w:rPr/>
        <w:t>．递延所得税资产 在很有可能有足够的应纳税利润来抵扣亏损的限度内，本公司就所有未利用的税务亏损</w:t>
      </w:r>
    </w:p>
    <w:p>
      <w:pPr>
        <w:pStyle w:val="BodyText"/>
        <w:spacing w:line="357" w:lineRule="auto"/>
        <w:ind w:right="271"/>
        <w:jc w:val="both"/>
      </w:pPr>
      <w:r>
        <w:rPr/>
        <w:t>确认递延所得税资产。这需要本公司管理层运用大量的判断来估计未来应纳税利润发生的时 间和金额，结合纳税筹划策略，以决定应确认的递延所得税资产的金额。</w:t>
      </w:r>
    </w:p>
    <w:p>
      <w:pPr>
        <w:pStyle w:val="BodyText"/>
        <w:spacing w:line="338" w:lineRule="auto" w:before="36"/>
        <w:ind w:left="633" w:right="98"/>
        <w:jc w:val="left"/>
      </w:pPr>
      <w:r>
        <w:rPr>
          <w:rFonts w:ascii="Times New Roman" w:hAnsi="Times New Roman" w:cs="Times New Roman" w:eastAsia="Times New Roman" w:hint="default"/>
        </w:rPr>
        <w:t>9</w:t>
      </w:r>
      <w:r>
        <w:rPr/>
        <w:t>．所得税 </w:t>
      </w:r>
      <w:r>
        <w:rPr>
          <w:spacing w:val="-3"/>
        </w:rPr>
        <w:t>本公司在正常的经营活动中，有部分交易其最终的税务处理和计算存在一定的不确定性。</w:t>
      </w:r>
    </w:p>
    <w:p>
      <w:pPr>
        <w:spacing w:after="0" w:line="338" w:lineRule="auto"/>
        <w:jc w:val="left"/>
        <w:sectPr>
          <w:pgSz w:w="11910" w:h="16840"/>
          <w:pgMar w:header="877" w:footer="980" w:top="1100" w:bottom="1160" w:left="980" w:right="900"/>
        </w:sectPr>
      </w:pPr>
    </w:p>
    <w:p>
      <w:pPr>
        <w:spacing w:line="240" w:lineRule="auto" w:before="7"/>
        <w:rPr>
          <w:rFonts w:ascii="宋体" w:hAnsi="宋体" w:cs="宋体" w:eastAsia="宋体" w:hint="default"/>
          <w:sz w:val="25"/>
          <w:szCs w:val="25"/>
        </w:rPr>
      </w:pPr>
      <w:r>
        <w:rPr/>
        <w:pict>
          <v:shape style="position:absolute;margin-left:425.961609pt;margin-top:551.875pt;width:77.25pt;height:44.25pt;mso-position-horizontal-relative:page;mso-position-vertical-relative:page;z-index:-99767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p>
      <w:pPr>
        <w:pStyle w:val="BodyText"/>
        <w:spacing w:line="357" w:lineRule="auto" w:before="26"/>
        <w:ind w:right="191"/>
        <w:jc w:val="both"/>
      </w:pPr>
      <w:r>
        <w:rPr/>
        <w:t>部分项目是否能够在税前列支需要税收主管机关的审批。如果这些税务事项的最终认定结果 同最初估计的金额存在差异，则该差异将对其最终认定期间的当期所得税和递延所得税产生 影响。</w:t>
      </w:r>
    </w:p>
    <w:p>
      <w:pPr>
        <w:pStyle w:val="BodyText"/>
        <w:spacing w:line="338" w:lineRule="auto" w:before="36"/>
        <w:ind w:left="633" w:right="173"/>
        <w:jc w:val="left"/>
      </w:pPr>
      <w:r>
        <w:rPr>
          <w:rFonts w:ascii="Times New Roman" w:hAnsi="Times New Roman" w:cs="Times New Roman" w:eastAsia="Times New Roman" w:hint="default"/>
        </w:rPr>
        <w:t>10</w:t>
      </w:r>
      <w:r>
        <w:rPr/>
        <w:t>．公允价值计量 本公司的某些资产和负债在财务报表中按公允价值计量。在对某项资产或负债的公允价</w:t>
      </w:r>
    </w:p>
    <w:p>
      <w:pPr>
        <w:pStyle w:val="BodyText"/>
        <w:spacing w:line="357" w:lineRule="auto"/>
        <w:ind w:right="191"/>
        <w:jc w:val="both"/>
      </w:pPr>
      <w:r>
        <w:rPr/>
        <w:t>值作出估计时，本公司采用可获得的可观察市场数据；如果无法获得第一层次输入值，则聘 用第三方有资质的评估机构进行估值，在此过程中本公司管理层与其紧密合作，以确定适当 的估值技术和相关模型的输入值。在确定各类资产和负债的公允价值的过程中所采用的估值 技术和输入值的相关信息在附注五</w:t>
      </w:r>
      <w:r>
        <w:rPr>
          <w:rFonts w:ascii="Times New Roman" w:hAnsi="Times New Roman" w:cs="Times New Roman" w:eastAsia="Times New Roman" w:hint="default"/>
        </w:rPr>
        <w:t>(10</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披露。</w:t>
      </w:r>
    </w:p>
    <w:p>
      <w:pPr>
        <w:pStyle w:val="BodyText"/>
        <w:spacing w:line="338" w:lineRule="auto" w:before="5"/>
        <w:ind w:right="173" w:firstLine="480"/>
        <w:jc w:val="left"/>
      </w:pPr>
      <w:r>
        <w:rPr/>
        <w:t>公司需遵守《深圳证券交易所行业信息披露指引第</w:t>
      </w:r>
      <w:r>
        <w:rPr>
          <w:spacing w:val="-60"/>
        </w:rPr>
        <w:t> </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t>上市公司从事固体矿产资源 相关业务》的披露要求</w:t>
      </w:r>
    </w:p>
    <w:p>
      <w:pPr>
        <w:pStyle w:val="BodyText"/>
        <w:spacing w:line="240" w:lineRule="auto"/>
        <w:ind w:left="633" w:right="293"/>
        <w:jc w:val="left"/>
      </w:pPr>
      <w:r>
        <w:rPr/>
        <w:t>否</w:t>
      </w:r>
    </w:p>
    <w:p>
      <w:pPr>
        <w:pStyle w:val="Heading2"/>
        <w:spacing w:line="240" w:lineRule="auto" w:before="154"/>
        <w:ind w:left="352" w:right="293"/>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pStyle w:val="Heading2"/>
        <w:spacing w:line="240" w:lineRule="auto" w:before="135"/>
        <w:ind w:left="352" w:right="29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pStyle w:val="BodyText"/>
        <w:spacing w:line="240" w:lineRule="auto" w:before="135"/>
        <w:ind w:left="633"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514"/>
        <w:gridCol w:w="135"/>
        <w:gridCol w:w="1283"/>
        <w:gridCol w:w="638"/>
      </w:tblGrid>
      <w:tr>
        <w:trPr>
          <w:trHeight w:val="322" w:hRule="exact"/>
        </w:trPr>
        <w:tc>
          <w:tcPr>
            <w:tcW w:w="7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9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88"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1258" w:hRule="exact"/>
        </w:trPr>
        <w:tc>
          <w:tcPr>
            <w:tcW w:w="751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4" w:right="0"/>
              <w:jc w:val="both"/>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日发布了《企业会计准则第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持有待售的非流动</w:t>
            </w:r>
          </w:p>
          <w:p>
            <w:pPr>
              <w:pStyle w:val="TableParagraph"/>
              <w:spacing w:line="264" w:lineRule="auto" w:before="21"/>
              <w:ind w:left="24" w:right="15"/>
              <w:jc w:val="both"/>
              <w:rPr>
                <w:rFonts w:ascii="宋体" w:hAnsi="宋体" w:cs="宋体" w:eastAsia="宋体" w:hint="default"/>
                <w:sz w:val="21"/>
                <w:szCs w:val="21"/>
              </w:rPr>
            </w:pPr>
            <w:r>
              <w:rPr>
                <w:rFonts w:ascii="宋体" w:hAnsi="宋体" w:cs="宋体" w:eastAsia="宋体" w:hint="default"/>
                <w:sz w:val="21"/>
                <w:szCs w:val="21"/>
              </w:rPr>
              <w:t>资产、处置组和终止经营》</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Times New Roman" w:hAnsi="Times New Roman" w:cs="Times New Roman" w:eastAsia="Times New Roman" w:hint="default"/>
                <w:sz w:val="21"/>
                <w:szCs w:val="21"/>
              </w:rPr>
              <w:t>[2017]13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，自</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日起执行，对于</w:t>
            </w:r>
            <w:r>
              <w:rPr>
                <w:rFonts w:ascii="宋体" w:hAnsi="宋体" w:cs="宋体" w:eastAsia="宋体" w:hint="default"/>
                <w:w w:val="100"/>
                <w:sz w:val="21"/>
                <w:szCs w:val="21"/>
              </w:rPr>
              <w:t> </w:t>
            </w:r>
            <w:r>
              <w:rPr>
                <w:rFonts w:ascii="宋体" w:hAnsi="宋体" w:cs="宋体" w:eastAsia="宋体" w:hint="default"/>
                <w:spacing w:val="-5"/>
                <w:sz w:val="21"/>
                <w:szCs w:val="21"/>
              </w:rPr>
              <w:t>执行日存在的持有待售的非流动资产、处置组和终止经营，要求采用未来适用法处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理。</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董事会审议</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7514" w:type="dxa"/>
            <w:tcBorders>
              <w:top w:val="single" w:sz="4" w:space="0" w:color="000000"/>
              <w:left w:val="single" w:sz="4" w:space="0" w:color="000000"/>
              <w:bottom w:val="single" w:sz="4" w:space="0" w:color="000000"/>
              <w:right w:val="single" w:sz="10" w:space="0" w:color="FFFFFF"/>
            </w:tcBorders>
          </w:tcPr>
          <w:p>
            <w:pPr>
              <w:pStyle w:val="TableParagraph"/>
              <w:spacing w:line="264" w:lineRule="auto"/>
              <w:ind w:left="24" w:right="7"/>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日发布了《关于印发修订</w:t>
            </w:r>
            <w:r>
              <w:rPr>
                <w:rFonts w:ascii="Times New Roman" w:hAnsi="Times New Roman" w:cs="Times New Roman" w:eastAsia="Times New Roman" w:hint="default"/>
                <w:sz w:val="21"/>
                <w:szCs w:val="21"/>
              </w:rPr>
              <w:t>&lt;</w:t>
            </w: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政</w:t>
            </w:r>
            <w:r>
              <w:rPr>
                <w:rFonts w:ascii="宋体" w:hAnsi="宋体" w:cs="宋体" w:eastAsia="宋体" w:hint="default"/>
                <w:w w:val="100"/>
                <w:sz w:val="21"/>
                <w:szCs w:val="21"/>
              </w:rPr>
              <w:t> </w:t>
            </w:r>
            <w:r>
              <w:rPr>
                <w:rFonts w:ascii="宋体" w:hAnsi="宋体" w:cs="宋体" w:eastAsia="宋体" w:hint="default"/>
                <w:sz w:val="21"/>
                <w:szCs w:val="21"/>
              </w:rPr>
              <w:t>府补助</w:t>
            </w:r>
            <w:r>
              <w:rPr>
                <w:rFonts w:ascii="Times New Roman" w:hAnsi="Times New Roman" w:cs="Times New Roman" w:eastAsia="Times New Roman" w:hint="default"/>
                <w:sz w:val="21"/>
                <w:szCs w:val="21"/>
              </w:rPr>
              <w:t>&gt;</w:t>
            </w:r>
            <w:r>
              <w:rPr>
                <w:rFonts w:ascii="宋体" w:hAnsi="宋体" w:cs="宋体" w:eastAsia="宋体" w:hint="default"/>
                <w:sz w:val="21"/>
                <w:szCs w:val="21"/>
              </w:rPr>
              <w:t>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Times New Roman" w:hAnsi="Times New Roman" w:cs="Times New Roman" w:eastAsia="Times New Roman" w:hint="default"/>
                <w:sz w:val="21"/>
                <w:szCs w:val="21"/>
              </w:rPr>
              <w:t>[2017]15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新政府补助准则</w:t>
            </w:r>
            <w:r>
              <w:rPr>
                <w:rFonts w:ascii="Times New Roman" w:hAnsi="Times New Roman" w:cs="Times New Roman" w:eastAsia="Times New Roman" w:hint="default"/>
                <w:sz w:val="21"/>
                <w:szCs w:val="21"/>
              </w:rPr>
              <w:t>”)</w:t>
            </w:r>
            <w:r>
              <w:rPr>
                <w:rFonts w:ascii="宋体" w:hAnsi="宋体" w:cs="宋体" w:eastAsia="宋体" w:hint="default"/>
                <w:sz w:val="21"/>
                <w:szCs w:val="21"/>
              </w:rPr>
              <w:t>。根据新政府补</w:t>
            </w:r>
            <w:r>
              <w:rPr>
                <w:rFonts w:ascii="宋体" w:hAnsi="宋体" w:cs="宋体" w:eastAsia="宋体" w:hint="default"/>
                <w:w w:val="100"/>
                <w:sz w:val="21"/>
                <w:szCs w:val="21"/>
              </w:rPr>
              <w:t> </w:t>
            </w:r>
            <w:r>
              <w:rPr>
                <w:rFonts w:ascii="宋体" w:hAnsi="宋体" w:cs="宋体" w:eastAsia="宋体" w:hint="default"/>
                <w:spacing w:val="-5"/>
                <w:sz w:val="21"/>
                <w:szCs w:val="21"/>
              </w:rPr>
              <w:t>助准则要求，与企业日常活动相关的政府补助应当按照经济业务实质，计入其他收</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8"/>
                <w:w w:val="100"/>
                <w:sz w:val="21"/>
                <w:szCs w:val="21"/>
              </w:rPr>
              <w:t>益或冲减相关的成本费用；与企业日常活动无关的政府补助，应当计入营业外收入</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3"/>
                <w:sz w:val="21"/>
                <w:szCs w:val="21"/>
              </w:rPr>
              <w:t>企业应当在</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利润表</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中的</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营业利润</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项目之上单独列报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其他收益</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项目，反映计入</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其他收益的政府补助。</w:t>
            </w:r>
          </w:p>
        </w:tc>
        <w:tc>
          <w:tcPr>
            <w:tcW w:w="135" w:type="dxa"/>
            <w:tcBorders>
              <w:top w:val="single" w:sz="4" w:space="0" w:color="000000"/>
              <w:left w:val="single" w:sz="10" w:space="0" w:color="FFFFFF"/>
              <w:bottom w:val="single" w:sz="4" w:space="0" w:color="000000"/>
              <w:right w:val="nil" w:sz="6" w:space="0" w:color="auto"/>
            </w:tcBorders>
          </w:tcPr>
          <w:p>
            <w:pPr/>
          </w:p>
        </w:tc>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 w:right="0"/>
              <w:jc w:val="left"/>
              <w:rPr>
                <w:rFonts w:ascii="宋体" w:hAnsi="宋体" w:cs="宋体" w:eastAsia="宋体" w:hint="default"/>
                <w:sz w:val="21"/>
                <w:szCs w:val="21"/>
              </w:rPr>
            </w:pPr>
            <w:r>
              <w:rPr>
                <w:rFonts w:ascii="宋体" w:hAnsi="宋体" w:cs="宋体" w:eastAsia="宋体" w:hint="default"/>
                <w:sz w:val="21"/>
                <w:szCs w:val="21"/>
              </w:rPr>
              <w:t>董事会审议</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2509" w:hRule="exact"/>
        </w:trPr>
        <w:tc>
          <w:tcPr>
            <w:tcW w:w="7514"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4" w:right="14"/>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日发布了《财政部关于修订印发一般企业财务报表格式</w:t>
            </w:r>
            <w:r>
              <w:rPr>
                <w:rFonts w:ascii="宋体" w:hAnsi="宋体" w:cs="宋体" w:eastAsia="宋体" w:hint="default"/>
                <w:w w:val="100"/>
                <w:sz w:val="21"/>
                <w:szCs w:val="21"/>
              </w:rPr>
              <w:t> </w:t>
            </w:r>
            <w:r>
              <w:rPr>
                <w:rFonts w:ascii="宋体" w:hAnsi="宋体" w:cs="宋体" w:eastAsia="宋体" w:hint="default"/>
                <w:sz w:val="21"/>
                <w:szCs w:val="21"/>
              </w:rPr>
              <w:t>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Times New Roman" w:hAnsi="Times New Roman" w:cs="Times New Roman" w:eastAsia="Times New Roman" w:hint="default"/>
                <w:sz w:val="21"/>
                <w:szCs w:val="21"/>
              </w:rPr>
              <w:t>[2017]30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新修订的财务报表格式</w:t>
            </w:r>
            <w:r>
              <w:rPr>
                <w:rFonts w:ascii="Times New Roman" w:hAnsi="Times New Roman" w:cs="Times New Roman" w:eastAsia="Times New Roman" w:hint="default"/>
                <w:sz w:val="21"/>
                <w:szCs w:val="21"/>
              </w:rPr>
              <w:t>”)</w:t>
            </w:r>
            <w:r>
              <w:rPr>
                <w:rFonts w:ascii="宋体" w:hAnsi="宋体" w:cs="宋体" w:eastAsia="宋体" w:hint="default"/>
                <w:sz w:val="21"/>
                <w:szCs w:val="21"/>
              </w:rPr>
              <w:t>。新修订的财务报</w:t>
            </w:r>
            <w:r>
              <w:rPr>
                <w:rFonts w:ascii="宋体" w:hAnsi="宋体" w:cs="宋体" w:eastAsia="宋体" w:hint="default"/>
                <w:w w:val="100"/>
                <w:sz w:val="21"/>
                <w:szCs w:val="21"/>
              </w:rPr>
              <w:t> </w:t>
            </w:r>
            <w:r>
              <w:rPr>
                <w:rFonts w:ascii="宋体" w:hAnsi="宋体" w:cs="宋体" w:eastAsia="宋体" w:hint="default"/>
                <w:spacing w:val="-4"/>
                <w:sz w:val="21"/>
                <w:szCs w:val="21"/>
              </w:rPr>
              <w:t>表格式除上述提及新修订的企业会计准则对报表项目的影响外，在</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营业利润</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之上</w:t>
            </w:r>
            <w:r>
              <w:rPr>
                <w:rFonts w:ascii="宋体" w:hAnsi="宋体" w:cs="宋体" w:eastAsia="宋体" w:hint="default"/>
                <w:spacing w:val="-43"/>
                <w:sz w:val="21"/>
                <w:szCs w:val="21"/>
              </w:rPr>
              <w:t> </w:t>
            </w:r>
            <w:r>
              <w:rPr>
                <w:rFonts w:ascii="宋体" w:hAnsi="宋体" w:cs="宋体" w:eastAsia="宋体" w:hint="default"/>
                <w:spacing w:val="-3"/>
                <w:sz w:val="21"/>
                <w:szCs w:val="21"/>
              </w:rPr>
              <w:t>新增</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资产处置收益</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项目，反映企业出售划分为持有待售的非流动资产</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金融工具</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长期股权投资和投资性房地产除外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或处置组确认的处置利得或损失、以及处置未</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5"/>
                <w:sz w:val="21"/>
                <w:szCs w:val="21"/>
              </w:rPr>
              <w:t>划为持有待售的固定资产、在建工程、生产性生物资产及无形资产而产生的处置利</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5"/>
                <w:w w:val="100"/>
                <w:sz w:val="21"/>
                <w:szCs w:val="21"/>
              </w:rPr>
              <w:t>得或损失；债务重组中因处置非流动资产产生的利得或损失和非货币性资产交换产</w:t>
            </w:r>
            <w:r>
              <w:rPr>
                <w:rFonts w:ascii="宋体" w:hAnsi="宋体" w:cs="宋体" w:eastAsia="宋体" w:hint="default"/>
                <w:spacing w:val="-77"/>
                <w:w w:val="100"/>
                <w:sz w:val="21"/>
                <w:szCs w:val="21"/>
              </w:rPr>
              <w:t> </w:t>
            </w:r>
            <w:r>
              <w:rPr>
                <w:rFonts w:ascii="宋体" w:hAnsi="宋体" w:cs="宋体" w:eastAsia="宋体" w:hint="default"/>
                <w:spacing w:val="-77"/>
                <w:w w:val="100"/>
                <w:sz w:val="21"/>
                <w:szCs w:val="21"/>
              </w:rPr>
            </w:r>
            <w:r>
              <w:rPr>
                <w:rFonts w:ascii="宋体" w:hAnsi="宋体" w:cs="宋体" w:eastAsia="宋体" w:hint="default"/>
                <w:sz w:val="21"/>
                <w:szCs w:val="21"/>
              </w:rPr>
              <w:t>生的利得或损失。</w:t>
            </w:r>
          </w:p>
        </w:tc>
        <w:tc>
          <w:tcPr>
            <w:tcW w:w="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3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1" w:right="0"/>
              <w:jc w:val="left"/>
              <w:rPr>
                <w:rFonts w:ascii="宋体" w:hAnsi="宋体" w:cs="宋体" w:eastAsia="宋体" w:hint="default"/>
                <w:sz w:val="21"/>
                <w:szCs w:val="21"/>
              </w:rPr>
            </w:pPr>
            <w:r>
              <w:rPr>
                <w:rFonts w:ascii="宋体" w:hAnsi="宋体" w:cs="宋体" w:eastAsia="宋体" w:hint="default"/>
                <w:sz w:val="21"/>
                <w:szCs w:val="21"/>
              </w:rPr>
              <w:t>董事会审议</w:t>
            </w:r>
          </w:p>
        </w:tc>
        <w:tc>
          <w:tcPr>
            <w:tcW w:w="63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2" w:lineRule="exact" w:before="0"/>
        <w:ind w:left="873" w:right="293"/>
        <w:jc w:val="left"/>
      </w:pPr>
      <w:r>
        <w:rPr/>
        <w:pict>
          <v:group style="position:absolute;margin-left:432.700012pt;margin-top:-164.910004pt;width:70.5pt;height:110.45pt;mso-position-horizontal-relative:page;mso-position-vertical-relative:paragraph;z-index:-997648" coordorigin="8654,-3298" coordsize="1410,2209">
            <v:group style="position:absolute;left:8654;top:-3298;width:1410;height:780" coordorigin="8654,-3298" coordsize="1410,780">
              <v:shape style="position:absolute;left:8654;top:-3298;width:1410;height:780" coordorigin="8654,-3298" coordsize="1410,780" path="m8654,-2518l10063,-2518,10063,-3298,8654,-3298,8654,-2518xe" filled="true" fillcolor="#ffffff" stroked="false">
                <v:path arrowok="t"/>
                <v:fill type="solid"/>
              </v:shape>
            </v:group>
            <v:group style="position:absolute;left:8654;top:-2506;width:1410;height:1093" coordorigin="8654,-2506" coordsize="1410,1093">
              <v:shape style="position:absolute;left:8654;top:-2506;width:1410;height:1093" coordorigin="8654,-2506" coordsize="1410,1093" path="m8654,-1414l10063,-1414,10063,-2506,8654,-2506,8654,-1414xe" filled="true" fillcolor="#ffffff" stroked="false">
                <v:path arrowok="t"/>
                <v:fill type="solid"/>
              </v:shape>
            </v:group>
            <v:group style="position:absolute;left:8666;top:-1414;width:2;height:312" coordorigin="8666,-1414" coordsize="2,312">
              <v:shape style="position:absolute;left:8666;top:-1414;width:2;height:312" coordorigin="8666,-1414" coordsize="0,312" path="m8666,-1414l8666,-1102e" filled="false" stroked="true" strokeweight="1.2pt" strokecolor="#ffffff">
                <v:path arrowok="t"/>
              </v:shape>
            </v:group>
            <v:group style="position:absolute;left:8678;top:-1414;width:1362;height:312" coordorigin="8678,-1414" coordsize="1362,312">
              <v:shape style="position:absolute;left:8678;top:-1414;width:1362;height:312" coordorigin="8678,-1414" coordsize="1362,312" path="m8678,-1102l10039,-1102,10039,-1414,8678,-1414,8678,-1102xe" filled="true" fillcolor="#ffffff" stroked="false">
                <v:path arrowok="t"/>
                <v:fill type="solid"/>
              </v:shape>
            </v:group>
            <w10:wrap type="none"/>
          </v:group>
        </w:pict>
      </w:r>
      <w:r>
        <w:rPr>
          <w:rFonts w:ascii="Times New Roman" w:hAnsi="Times New Roman" w:cs="Times New Roman" w:eastAsia="Times New Roman" w:hint="default"/>
        </w:rPr>
        <w:t>1</w:t>
      </w:r>
      <w:r>
        <w:rPr/>
        <w:t>．会计政策变更</w:t>
      </w:r>
    </w:p>
    <w:p>
      <w:pPr>
        <w:pStyle w:val="BodyText"/>
        <w:spacing w:line="240" w:lineRule="auto" w:before="59"/>
        <w:ind w:left="753" w:right="293"/>
        <w:jc w:val="left"/>
      </w:pPr>
      <w:r>
        <w:rPr>
          <w:rFonts w:ascii="Times New Roman" w:hAnsi="Times New Roman" w:cs="Times New Roman" w:eastAsia="Times New Roman" w:hint="default"/>
        </w:rPr>
        <w:t>(1)</w:t>
      </w:r>
      <w:r>
        <w:rPr/>
        <w:t>因企业会计准则及其他法律法规修订引起的会计政策变更</w:t>
      </w:r>
    </w:p>
    <w:p>
      <w:pPr>
        <w:spacing w:after="0" w:line="240"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38" w:lineRule="auto" w:before="26"/>
        <w:ind w:right="312" w:firstLine="480"/>
        <w:jc w:val="both"/>
      </w:pPr>
      <w:r>
        <w:rPr>
          <w:rFonts w:ascii="Times New Roman" w:hAnsi="Times New Roman" w:cs="Times New Roman" w:eastAsia="Times New Roman" w:hint="default"/>
        </w:rPr>
        <w:t>1)</w:t>
      </w:r>
      <w:r>
        <w:rPr/>
        <w:t>执行最新修订的《企业会计准则第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w:t>
      </w:r>
      <w:r>
        <w:rPr>
          <w:w w:val="99"/>
        </w:rPr>
        <w:t> </w:t>
      </w:r>
      <w:r>
        <w:rPr/>
        <w:t>营》</w:t>
      </w:r>
    </w:p>
    <w:p>
      <w:pPr>
        <w:pStyle w:val="BodyText"/>
        <w:spacing w:line="338" w:lineRule="auto"/>
        <w:ind w:right="231" w:firstLine="480"/>
        <w:jc w:val="both"/>
      </w:pPr>
      <w:r>
        <w:rPr>
          <w:spacing w:val="-2"/>
        </w:rPr>
        <w:t>财政部于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日发布了《企业会计准则第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w:t>
      </w:r>
      <w:r>
        <w:rPr/>
        <w:t> 组和终止经营》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[2017]13</w:t>
      </w:r>
      <w:r>
        <w:rPr/>
        <w:t>号</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日起执行，对于执行日存在的持有待售的 非流动资产、处置组和终止经营，要求采用未来适用法处理。</w:t>
      </w:r>
    </w:p>
    <w:p>
      <w:pPr>
        <w:pStyle w:val="BodyText"/>
        <w:spacing w:line="338" w:lineRule="auto"/>
        <w:ind w:right="98" w:firstLine="480"/>
        <w:jc w:val="left"/>
      </w:pPr>
      <w:r>
        <w:rPr/>
        <w:t>本公司采用未来适用法对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日之后持有待售的非流动资产或处置组进行分类、 计量和列报。</w:t>
      </w:r>
    </w:p>
    <w:p>
      <w:pPr>
        <w:pStyle w:val="BodyText"/>
        <w:spacing w:line="338" w:lineRule="auto"/>
        <w:ind w:left="633" w:right="98"/>
        <w:jc w:val="left"/>
      </w:pPr>
      <w:r>
        <w:rPr>
          <w:rFonts w:ascii="Times New Roman" w:hAnsi="Times New Roman" w:cs="Times New Roman" w:eastAsia="Times New Roman" w:hint="default"/>
        </w:rPr>
        <w:t>2)</w:t>
      </w:r>
      <w:r>
        <w:rPr/>
        <w:t>执行最新修订的《企业会计准则第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w w:val="99"/>
        </w:rPr>
        <w:t> </w:t>
      </w:r>
      <w:r>
        <w:rPr>
          <w:spacing w:val="-3"/>
          <w:w w:val="99"/>
        </w:rPr>
        <w:t>财政部于</w:t>
      </w:r>
      <w:r>
        <w:rPr>
          <w:rFonts w:ascii="Times New Roman" w:hAnsi="Times New Roman" w:cs="Times New Roman" w:eastAsia="Times New Roman" w:hint="default"/>
          <w:spacing w:val="-3"/>
          <w:w w:val="99"/>
        </w:rPr>
        <w:t>2017</w:t>
      </w:r>
      <w:r>
        <w:rPr>
          <w:spacing w:val="-3"/>
          <w:w w:val="99"/>
        </w:rPr>
        <w:t>年</w:t>
      </w:r>
      <w:r>
        <w:rPr>
          <w:rFonts w:ascii="Times New Roman" w:hAnsi="Times New Roman" w:cs="Times New Roman" w:eastAsia="Times New Roman" w:hint="default"/>
          <w:spacing w:val="-3"/>
          <w:w w:val="99"/>
        </w:rPr>
        <w:t>5</w:t>
      </w:r>
      <w:r>
        <w:rPr>
          <w:spacing w:val="-3"/>
          <w:w w:val="99"/>
        </w:rPr>
        <w:t>月</w:t>
      </w:r>
      <w:r>
        <w:rPr>
          <w:rFonts w:ascii="Times New Roman" w:hAnsi="Times New Roman" w:cs="Times New Roman" w:eastAsia="Times New Roman" w:hint="default"/>
          <w:spacing w:val="-3"/>
          <w:w w:val="99"/>
        </w:rPr>
        <w:t>10</w:t>
      </w:r>
      <w:r>
        <w:rPr>
          <w:spacing w:val="-3"/>
          <w:w w:val="99"/>
        </w:rPr>
        <w:t>日发布了《关于印发修订</w:t>
      </w:r>
      <w:r>
        <w:rPr>
          <w:rFonts w:ascii="Times New Roman" w:hAnsi="Times New Roman" w:cs="Times New Roman" w:eastAsia="Times New Roman" w:hint="default"/>
          <w:spacing w:val="-3"/>
          <w:w w:val="99"/>
        </w:rPr>
        <w:t>&lt;</w:t>
      </w:r>
      <w:r>
        <w:rPr>
          <w:spacing w:val="-3"/>
          <w:w w:val="99"/>
        </w:rPr>
        <w:t>企业会计准则第</w:t>
      </w:r>
      <w:r>
        <w:rPr>
          <w:rFonts w:ascii="Times New Roman" w:hAnsi="Times New Roman" w:cs="Times New Roman" w:eastAsia="Times New Roman" w:hint="default"/>
          <w:spacing w:val="-3"/>
          <w:w w:val="99"/>
        </w:rPr>
        <w:t>16</w:t>
      </w:r>
      <w:r>
        <w:rPr>
          <w:spacing w:val="-3"/>
          <w:w w:val="99"/>
        </w:rPr>
        <w:t>号</w:t>
      </w:r>
      <w:r>
        <w:rPr>
          <w:rFonts w:ascii="Times New Roman" w:hAnsi="Times New Roman" w:cs="Times New Roman" w:eastAsia="Times New Roman" w:hint="default"/>
          <w:spacing w:val="-3"/>
          <w:w w:val="99"/>
        </w:rPr>
        <w:t>——</w:t>
      </w:r>
      <w:r>
        <w:rPr>
          <w:spacing w:val="-3"/>
          <w:w w:val="99"/>
        </w:rPr>
        <w:t>政府补助</w:t>
      </w:r>
      <w:r>
        <w:rPr>
          <w:rFonts w:ascii="Times New Roman" w:hAnsi="Times New Roman" w:cs="Times New Roman" w:eastAsia="Times New Roman" w:hint="default"/>
          <w:spacing w:val="-3"/>
          <w:w w:val="99"/>
        </w:rPr>
        <w:t>&gt;</w:t>
      </w:r>
      <w:r>
        <w:rPr>
          <w:spacing w:val="-3"/>
          <w:w w:val="99"/>
        </w:rPr>
        <w:t>的通</w:t>
      </w:r>
      <w:r>
        <w:rPr>
          <w:spacing w:val="-3"/>
        </w:rPr>
      </w:r>
    </w:p>
    <w:p>
      <w:pPr>
        <w:pStyle w:val="BodyText"/>
        <w:spacing w:line="345" w:lineRule="auto" w:before="27"/>
        <w:ind w:right="98"/>
        <w:jc w:val="left"/>
      </w:pPr>
      <w:r>
        <w:rPr>
          <w:spacing w:val="-1"/>
        </w:rPr>
        <w:t>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[2017]15</w:t>
      </w:r>
      <w:r>
        <w:rPr>
          <w:spacing w:val="-1"/>
        </w:rPr>
        <w:t>号，以下简称</w:t>
      </w:r>
      <w:r>
        <w:rPr>
          <w:rFonts w:ascii="Times New Roman" w:hAnsi="Times New Roman" w:cs="Times New Roman" w:eastAsia="Times New Roman" w:hint="default"/>
          <w:spacing w:val="-1"/>
        </w:rPr>
        <w:t>“</w:t>
      </w:r>
      <w:r>
        <w:rPr>
          <w:spacing w:val="-1"/>
        </w:rPr>
        <w:t>新政府补助准则</w:t>
      </w:r>
      <w:r>
        <w:rPr>
          <w:rFonts w:ascii="Times New Roman" w:hAnsi="Times New Roman" w:cs="Times New Roman" w:eastAsia="Times New Roman" w:hint="default"/>
          <w:spacing w:val="-1"/>
        </w:rPr>
        <w:t>”)</w:t>
      </w:r>
      <w:r>
        <w:rPr>
          <w:spacing w:val="-1"/>
        </w:rPr>
        <w:t>。根据新政府补助准则要求，与企业日常</w:t>
      </w:r>
      <w:r>
        <w:rPr>
          <w:spacing w:val="-92"/>
        </w:rPr>
        <w:t> </w:t>
      </w:r>
      <w:r>
        <w:rPr>
          <w:spacing w:val="-92"/>
        </w:rPr>
      </w:r>
      <w:r>
        <w:rPr/>
        <w:t>活动相关的政府补助应当按照经济业务实质，计入其他收益或冲减相关的成本费用；与企业 日常活动无关的政府补助，应当计入营业外收入，企业应当在</w:t>
      </w:r>
      <w:r>
        <w:rPr>
          <w:rFonts w:ascii="Times New Roman" w:hAnsi="Times New Roman" w:cs="Times New Roman" w:eastAsia="Times New Roman" w:hint="default"/>
        </w:rPr>
        <w:t>“</w:t>
      </w:r>
      <w:r>
        <w:rPr/>
        <w:t>利润表</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项目</w:t>
      </w:r>
      <w:r>
        <w:rPr>
          <w:spacing w:val="2"/>
        </w:rPr>
        <w:t> </w:t>
      </w:r>
      <w:r>
        <w:rPr/>
        <w:t>之上单独列报</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项目，反映计入其他收益的政府补助。</w:t>
      </w:r>
    </w:p>
    <w:p>
      <w:pPr>
        <w:pStyle w:val="BodyText"/>
        <w:spacing w:line="338" w:lineRule="auto" w:before="19"/>
        <w:ind w:right="223" w:firstLine="480"/>
        <w:jc w:val="left"/>
      </w:pPr>
      <w:r>
        <w:rPr>
          <w:spacing w:val="-2"/>
        </w:rPr>
        <w:t>本公司根据相关规定自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日起执行新政府补助准则，对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w:t>
      </w:r>
      <w:r>
        <w:rPr/>
        <w:t> 府补助采用未来适用法处理。由于上述会计政策变更，对本公司</w:t>
      </w:r>
      <w:r>
        <w:rPr>
          <w:rFonts w:ascii="Times New Roman" w:hAnsi="Times New Roman" w:cs="Times New Roman" w:eastAsia="Times New Roman" w:hint="default"/>
        </w:rPr>
        <w:t>2017</w:t>
      </w:r>
      <w:r>
        <w:rPr/>
        <w:t>年度合并财务报表损益 </w:t>
      </w:r>
      <w:r>
        <w:rPr>
          <w:spacing w:val="-1"/>
        </w:rPr>
        <w:t>项目的影响为增加</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”25,781,266.85</w:t>
      </w:r>
      <w:r>
        <w:rPr>
          <w:spacing w:val="-1"/>
        </w:rPr>
        <w:t>元，减少</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”25,781,266.85</w:t>
      </w:r>
      <w:r>
        <w:rPr>
          <w:spacing w:val="-1"/>
        </w:rPr>
        <w:t>元；对</w:t>
      </w:r>
      <w:r>
        <w:rPr>
          <w:rFonts w:ascii="Times New Roman" w:hAnsi="Times New Roman" w:cs="Times New Roman" w:eastAsia="Times New Roman" w:hint="default"/>
          <w:spacing w:val="-1"/>
        </w:rPr>
        <w:t>2017</w:t>
      </w:r>
      <w:r>
        <w:rPr>
          <w:spacing w:val="-1"/>
        </w:rPr>
        <w:t>年</w:t>
      </w:r>
      <w:r>
        <w:rPr>
          <w:spacing w:val="-94"/>
        </w:rPr>
        <w:t> </w:t>
      </w:r>
      <w:r>
        <w:rPr/>
        <w:t>度母公司财务报表损益项目的影响为增加</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”22,366,057.66</w:t>
      </w:r>
      <w:r>
        <w:rPr/>
        <w:t>元，减少</w:t>
      </w:r>
      <w:r>
        <w:rPr>
          <w:rFonts w:ascii="Times New Roman" w:hAnsi="Times New Roman" w:cs="Times New Roman" w:eastAsia="Times New Roman" w:hint="default"/>
        </w:rPr>
        <w:t>“</w:t>
      </w:r>
      <w:r>
        <w:rPr/>
        <w:t>营业外收 入</w:t>
      </w:r>
      <w:r>
        <w:rPr>
          <w:rFonts w:ascii="Times New Roman" w:hAnsi="Times New Roman" w:cs="Times New Roman" w:eastAsia="Times New Roman" w:hint="default"/>
        </w:rPr>
        <w:t>”22,366,057.66</w:t>
      </w:r>
      <w:r>
        <w:rPr/>
        <w:t>元。</w:t>
      </w:r>
    </w:p>
    <w:p>
      <w:pPr>
        <w:pStyle w:val="BodyText"/>
        <w:spacing w:line="338" w:lineRule="auto" w:before="27"/>
        <w:ind w:left="633" w:right="253"/>
        <w:jc w:val="left"/>
      </w:pPr>
      <w:r>
        <w:rPr>
          <w:rFonts w:ascii="Times New Roman" w:hAnsi="Times New Roman" w:cs="Times New Roman" w:eastAsia="Times New Roman" w:hint="default"/>
        </w:rPr>
        <w:t>3)</w:t>
      </w:r>
      <w:r>
        <w:rPr/>
        <w:t>执行《财政部关于修订印发一般企业财务报表格式的通知》</w:t>
      </w:r>
      <w:r>
        <w:rPr>
          <w:w w:val="99"/>
        </w:rPr>
        <w:t> </w:t>
      </w:r>
      <w:r>
        <w:rPr/>
        <w:t>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日发布了《财政部关于修订印发一般企业财务报表格式的通知》</w:t>
      </w:r>
    </w:p>
    <w:p>
      <w:pPr>
        <w:pStyle w:val="BodyText"/>
        <w:spacing w:line="345" w:lineRule="auto" w:before="27"/>
        <w:ind w:right="98"/>
        <w:jc w:val="left"/>
      </w:pP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[2017]30</w:t>
      </w:r>
      <w:r>
        <w:rPr>
          <w:spacing w:val="-1"/>
        </w:rPr>
        <w:t>号，以下简称</w:t>
      </w:r>
      <w:r>
        <w:rPr>
          <w:rFonts w:ascii="Times New Roman" w:hAnsi="Times New Roman" w:cs="Times New Roman" w:eastAsia="Times New Roman" w:hint="default"/>
          <w:spacing w:val="-1"/>
        </w:rPr>
        <w:t>“</w:t>
      </w:r>
      <w:r>
        <w:rPr>
          <w:spacing w:val="-1"/>
        </w:rPr>
        <w:t>新修订的财务报表格式</w:t>
      </w:r>
      <w:r>
        <w:rPr>
          <w:rFonts w:ascii="Times New Roman" w:hAnsi="Times New Roman" w:cs="Times New Roman" w:eastAsia="Times New Roman" w:hint="default"/>
          <w:spacing w:val="-1"/>
        </w:rPr>
        <w:t>”)</w:t>
      </w:r>
      <w:r>
        <w:rPr>
          <w:spacing w:val="-1"/>
        </w:rPr>
        <w:t>。新修订的财务报表格式除上述提及新</w:t>
      </w:r>
      <w:r>
        <w:rPr>
          <w:spacing w:val="-92"/>
        </w:rPr>
        <w:t> </w:t>
      </w:r>
      <w:r>
        <w:rPr>
          <w:spacing w:val="-92"/>
        </w:rPr>
      </w:r>
      <w:r>
        <w:rPr/>
        <w:t>修订的企业会计准则对报表项目的影响外，在</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之上新增</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项目，反 映企业出售划分为持有待售的非流动资产</w:t>
      </w:r>
      <w:r>
        <w:rPr>
          <w:rFonts w:ascii="Times New Roman" w:hAnsi="Times New Roman" w:cs="Times New Roman" w:eastAsia="Times New Roman" w:hint="default"/>
        </w:rPr>
        <w:t>(</w:t>
      </w:r>
      <w:r>
        <w:rPr/>
        <w:t>金融工具、长期股权投资和投资性房地产除外</w:t>
      </w:r>
      <w:r>
        <w:rPr>
          <w:rFonts w:ascii="Times New Roman" w:hAnsi="Times New Roman" w:cs="Times New Roman" w:eastAsia="Times New Roman" w:hint="default"/>
        </w:rPr>
        <w:t>)</w:t>
      </w:r>
      <w:r>
        <w:rPr/>
        <w:t>或 处置组确认的处置利得或损失、以及处置未划为持有待售的固定资产、在建工程、生产性生 物资产及无形资产而产生的处置利得或损失；债务重组中因处置非流动资产产生的利得或损 失和非货币性资产交换产生的利得或损失。</w:t>
      </w:r>
    </w:p>
    <w:p>
      <w:pPr>
        <w:pStyle w:val="BodyText"/>
        <w:spacing w:line="338" w:lineRule="auto" w:before="48"/>
        <w:ind w:right="231" w:firstLine="480"/>
        <w:jc w:val="both"/>
      </w:pPr>
      <w:r>
        <w:rPr/>
        <w:t>本公司按照《企业会计准则第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财务报表列报》等相关规定，对此项会计政策变 </w:t>
      </w:r>
      <w:r>
        <w:rPr>
          <w:spacing w:val="-1"/>
        </w:rPr>
        <w:t>更采用追溯调整法，</w:t>
      </w:r>
      <w:r>
        <w:rPr>
          <w:rFonts w:ascii="Times New Roman" w:hAnsi="Times New Roman" w:cs="Times New Roman" w:eastAsia="Times New Roman" w:hint="default"/>
          <w:spacing w:val="-1"/>
        </w:rPr>
        <w:t>2017/2016</w:t>
      </w:r>
      <w:r>
        <w:rPr>
          <w:spacing w:val="-1"/>
        </w:rPr>
        <w:t>年度比较财务报表已重新表述。对</w:t>
      </w:r>
      <w:r>
        <w:rPr>
          <w:rFonts w:ascii="Times New Roman" w:hAnsi="Times New Roman" w:cs="Times New Roman" w:eastAsia="Times New Roman" w:hint="default"/>
          <w:spacing w:val="-1"/>
        </w:rPr>
        <w:t>2016</w:t>
      </w:r>
      <w:r>
        <w:rPr>
          <w:spacing w:val="-1"/>
        </w:rPr>
        <w:t>年度合并财务报表相关</w:t>
      </w:r>
      <w:r>
        <w:rPr>
          <w:spacing w:val="-101"/>
        </w:rPr>
        <w:t> </w:t>
      </w:r>
      <w:r>
        <w:rPr/>
        <w:t>损益项目的影响为增加</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rFonts w:ascii="Times New Roman" w:hAnsi="Times New Roman" w:cs="Times New Roman" w:eastAsia="Times New Roman" w:hint="default"/>
        </w:rPr>
        <w:t>-235,963.91</w:t>
      </w:r>
      <w:r>
        <w:rPr/>
        <w:t>元，减少</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5"/>
        </w:rPr>
        <w:t>61,217.21</w:t>
      </w:r>
      <w:r>
        <w:rPr>
          <w:spacing w:val="-5"/>
        </w:rPr>
        <w:t>元，减少</w:t>
      </w:r>
    </w:p>
    <w:p>
      <w:pPr>
        <w:spacing w:after="0" w:line="338" w:lineRule="auto"/>
        <w:jc w:val="both"/>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338" w:lineRule="auto" w:before="26"/>
        <w:ind w:right="250"/>
        <w:jc w:val="left"/>
      </w:pP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297,181.12</w:t>
      </w:r>
      <w:r>
        <w:rPr/>
        <w:t>元；对</w:t>
      </w:r>
      <w:r>
        <w:rPr>
          <w:rFonts w:ascii="Times New Roman" w:hAnsi="Times New Roman" w:cs="Times New Roman" w:eastAsia="Times New Roman" w:hint="default"/>
        </w:rPr>
        <w:t>2016</w:t>
      </w:r>
      <w:r>
        <w:rPr/>
        <w:t>年度母公司财务报表相关损益项目的影响为增加</w:t>
      </w:r>
      <w:r>
        <w:rPr>
          <w:rFonts w:ascii="Times New Roman" w:hAnsi="Times New Roman" w:cs="Times New Roman" w:eastAsia="Times New Roman" w:hint="default"/>
        </w:rPr>
        <w:t>“</w:t>
      </w:r>
      <w:r>
        <w:rPr/>
        <w:t>资产处 置收益</w:t>
      </w:r>
      <w:r>
        <w:rPr>
          <w:rFonts w:ascii="Times New Roman" w:hAnsi="Times New Roman" w:cs="Times New Roman" w:eastAsia="Times New Roman" w:hint="default"/>
        </w:rPr>
        <w:t>”</w:t>
      </w:r>
      <w:r>
        <w:rPr>
          <w:rFonts w:ascii="Times New Roman" w:hAnsi="Times New Roman" w:cs="Times New Roman" w:eastAsia="Times New Roman" w:hint="default"/>
        </w:rPr>
        <w:t>-168,465.80</w:t>
      </w:r>
      <w:r>
        <w:rPr/>
        <w:t>元，减少</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 168,465.80</w:t>
      </w:r>
      <w:r>
        <w:rPr/>
        <w:t>元。</w:t>
      </w:r>
    </w:p>
    <w:p>
      <w:pPr>
        <w:pStyle w:val="Heading2"/>
        <w:spacing w:line="240" w:lineRule="auto" w:before="27"/>
        <w:ind w:left="352" w:right="98"/>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90" w:lineRule="auto" w:before="135"/>
        <w:ind w:left="352" w:right="6962" w:firstLine="2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、主要税种及税率</w:t>
      </w:r>
      <w:r>
        <w:rPr>
          <w:rFonts w:ascii="宋体" w:hAnsi="宋体" w:cs="宋体" w:eastAsia="宋体" w:hint="default"/>
          <w:sz w:val="24"/>
          <w:szCs w:val="24"/>
        </w:rPr>
      </w:r>
    </w:p>
    <w:p>
      <w:pPr>
        <w:spacing w:line="240" w:lineRule="auto" w:before="2"/>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2269"/>
        <w:gridCol w:w="5103"/>
        <w:gridCol w:w="2199"/>
      </w:tblGrid>
      <w:tr>
        <w:trPr>
          <w:trHeight w:val="322"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22"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103" w:type="dxa"/>
            <w:tcBorders>
              <w:top w:val="single" w:sz="4" w:space="0" w:color="000000"/>
              <w:left w:val="single" w:sz="9" w:space="0" w:color="D2D2D2"/>
              <w:bottom w:val="single" w:sz="4" w:space="0" w:color="000000"/>
              <w:right w:val="single" w:sz="4" w:space="0" w:color="000000"/>
            </w:tcBorders>
          </w:tcPr>
          <w:p>
            <w:pPr>
              <w:pStyle w:val="TableParagraph"/>
              <w:spacing w:line="262" w:lineRule="exact"/>
              <w:ind w:left="18" w:right="0"/>
              <w:jc w:val="left"/>
              <w:rPr>
                <w:rFonts w:ascii="宋体" w:hAnsi="宋体" w:cs="宋体" w:eastAsia="宋体" w:hint="default"/>
                <w:sz w:val="21"/>
                <w:szCs w:val="21"/>
              </w:rPr>
            </w:pPr>
            <w:r>
              <w:rPr>
                <w:rFonts w:ascii="宋体" w:hAnsi="宋体" w:cs="宋体" w:eastAsia="宋体" w:hint="default"/>
                <w:sz w:val="21"/>
                <w:szCs w:val="21"/>
              </w:rPr>
              <w:t>销售货物或提供应税劳务过程中产生的增值额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p>
        </w:tc>
      </w:tr>
      <w:tr>
        <w:trPr>
          <w:trHeight w:val="322"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103" w:type="dxa"/>
            <w:tcBorders>
              <w:top w:val="single" w:sz="4" w:space="0" w:color="000000"/>
              <w:left w:val="single" w:sz="9" w:space="0" w:color="D2D2D2"/>
              <w:bottom w:val="single" w:sz="4" w:space="0" w:color="000000"/>
              <w:right w:val="single" w:sz="4" w:space="0" w:color="000000"/>
            </w:tcBorders>
          </w:tcPr>
          <w:p>
            <w:pPr>
              <w:pStyle w:val="TableParagraph"/>
              <w:spacing w:line="262" w:lineRule="exact"/>
              <w:ind w:left="18"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p>
        </w:tc>
      </w:tr>
      <w:tr>
        <w:trPr>
          <w:trHeight w:val="322"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103" w:type="dxa"/>
            <w:tcBorders>
              <w:top w:val="single" w:sz="4" w:space="0" w:color="000000"/>
              <w:left w:val="single" w:sz="9" w:space="0" w:color="D2D2D2"/>
              <w:bottom w:val="single" w:sz="4" w:space="0" w:color="000000"/>
              <w:right w:val="single" w:sz="4" w:space="0" w:color="000000"/>
            </w:tcBorders>
          </w:tcPr>
          <w:p>
            <w:pPr>
              <w:pStyle w:val="TableParagraph"/>
              <w:spacing w:line="262" w:lineRule="exact"/>
              <w:ind w:left="18"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25%</w:t>
            </w:r>
          </w:p>
        </w:tc>
      </w:tr>
      <w:tr>
        <w:trPr>
          <w:trHeight w:val="63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4" w:right="183"/>
              <w:jc w:val="left"/>
              <w:rPr>
                <w:rFonts w:ascii="宋体" w:hAnsi="宋体" w:cs="宋体" w:eastAsia="宋体" w:hint="default"/>
                <w:sz w:val="21"/>
                <w:szCs w:val="21"/>
              </w:rPr>
            </w:pPr>
            <w:r>
              <w:rPr>
                <w:rFonts w:ascii="宋体" w:hAnsi="宋体" w:cs="宋体" w:eastAsia="宋体" w:hint="default"/>
                <w:sz w:val="21"/>
                <w:szCs w:val="21"/>
              </w:rPr>
              <w:t>从价计征的，按房产原值一次减除</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10%-30%</w:t>
            </w:r>
            <w:r>
              <w:rPr>
                <w:rFonts w:ascii="宋体" w:hAnsi="宋体" w:cs="宋体" w:eastAsia="宋体" w:hint="default"/>
                <w:sz w:val="21"/>
                <w:szCs w:val="21"/>
              </w:rPr>
              <w:t>后余值的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计缴；从租计征的，按租金收入的</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32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3%</w:t>
            </w:r>
          </w:p>
        </w:tc>
      </w:tr>
      <w:tr>
        <w:trPr>
          <w:trHeight w:val="32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2%</w:t>
            </w:r>
          </w:p>
        </w:tc>
      </w:tr>
    </w:tbl>
    <w:p>
      <w:pPr>
        <w:pStyle w:val="Heading2"/>
        <w:spacing w:line="240" w:lineRule="auto" w:before="39"/>
        <w:ind w:left="633" w:right="98"/>
        <w:jc w:val="left"/>
        <w:rPr>
          <w:b w:val="0"/>
          <w:bCs w:val="0"/>
        </w:rPr>
      </w:pPr>
      <w:r>
        <w:rPr>
          <w:rFonts w:ascii="Times New Roman" w:hAnsi="Times New Roman" w:cs="Times New Roman" w:eastAsia="Times New Roman" w:hint="default"/>
        </w:rPr>
        <w:t>2</w:t>
      </w:r>
      <w:r>
        <w:rPr/>
        <w:t>、税收优惠</w:t>
      </w:r>
      <w:r>
        <w:rPr>
          <w:b w:val="0"/>
          <w:bCs w:val="0"/>
        </w:rPr>
      </w:r>
    </w:p>
    <w:p>
      <w:pPr>
        <w:pStyle w:val="BodyText"/>
        <w:spacing w:line="338" w:lineRule="auto" w:before="135"/>
        <w:ind w:left="633" w:right="98"/>
        <w:jc w:val="left"/>
      </w:pPr>
      <w:r>
        <w:rPr>
          <w:rFonts w:ascii="Times New Roman" w:hAnsi="Times New Roman" w:cs="Times New Roman" w:eastAsia="Times New Roman" w:hint="default"/>
        </w:rPr>
        <w:t>1.</w:t>
      </w:r>
      <w:r>
        <w:rPr/>
        <w:t>增值税优惠及批文 </w:t>
      </w:r>
      <w:r>
        <w:rPr>
          <w:spacing w:val="2"/>
        </w:rPr>
        <w:t>根据财政部、国家税务总局《关于软件产品增值税政策的通知》（财税</w:t>
      </w:r>
      <w:r>
        <w:rPr>
          <w:rFonts w:ascii="Times New Roman" w:hAnsi="Times New Roman" w:cs="Times New Roman" w:eastAsia="Times New Roman" w:hint="default"/>
          <w:spacing w:val="2"/>
        </w:rPr>
        <w:t>[2011]100</w:t>
      </w:r>
      <w:r>
        <w:rPr>
          <w:spacing w:val="2"/>
        </w:rPr>
        <w:t>号），</w:t>
      </w:r>
      <w:r>
        <w:rPr/>
      </w:r>
    </w:p>
    <w:p>
      <w:pPr>
        <w:pStyle w:val="BodyText"/>
        <w:spacing w:line="338" w:lineRule="auto" w:before="27"/>
        <w:ind w:left="633" w:right="98" w:hanging="480"/>
        <w:jc w:val="left"/>
      </w:pPr>
      <w:r>
        <w:rPr/>
        <w:t>本公司软件产品销售，享受增值税实际税负超过</w:t>
      </w:r>
      <w:r>
        <w:rPr>
          <w:rFonts w:ascii="Times New Roman" w:hAnsi="Times New Roman" w:cs="Times New Roman" w:eastAsia="Times New Roman" w:hint="default"/>
        </w:rPr>
        <w:t>3%</w:t>
      </w:r>
      <w:r>
        <w:rPr/>
        <w:t>的部分实行即征即退政策。 </w:t>
      </w:r>
      <w:r>
        <w:rPr>
          <w:spacing w:val="-2"/>
        </w:rPr>
        <w:t>根据财税</w:t>
      </w:r>
      <w:r>
        <w:rPr>
          <w:rFonts w:ascii="Times New Roman" w:hAnsi="Times New Roman" w:cs="Times New Roman" w:eastAsia="Times New Roman" w:hint="default"/>
          <w:spacing w:val="-2"/>
        </w:rPr>
        <w:t>[2011]111</w:t>
      </w:r>
      <w:r>
        <w:rPr>
          <w:spacing w:val="-2"/>
        </w:rPr>
        <w:t>号、财税</w:t>
      </w:r>
      <w:r>
        <w:rPr>
          <w:rFonts w:ascii="Times New Roman" w:hAnsi="Times New Roman" w:cs="Times New Roman" w:eastAsia="Times New Roman" w:hint="default"/>
          <w:spacing w:val="-2"/>
        </w:rPr>
        <w:t>[2012]71</w:t>
      </w:r>
      <w:r>
        <w:rPr>
          <w:spacing w:val="-2"/>
        </w:rPr>
        <w:t>号和财税</w:t>
      </w:r>
      <w:r>
        <w:rPr>
          <w:rFonts w:ascii="Times New Roman" w:hAnsi="Times New Roman" w:cs="Times New Roman" w:eastAsia="Times New Roman" w:hint="default"/>
          <w:spacing w:val="-2"/>
        </w:rPr>
        <w:t>[2013]37</w:t>
      </w:r>
      <w:r>
        <w:rPr>
          <w:spacing w:val="-2"/>
        </w:rPr>
        <w:t>号、财税〔</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36</w:t>
      </w:r>
      <w:r>
        <w:rPr>
          <w:spacing w:val="-2"/>
        </w:rPr>
        <w:t>号规定，试点</w:t>
      </w:r>
    </w:p>
    <w:p>
      <w:pPr>
        <w:pStyle w:val="BodyText"/>
        <w:spacing w:line="348" w:lineRule="auto" w:before="27"/>
        <w:ind w:left="633" w:right="253" w:hanging="480"/>
        <w:jc w:val="left"/>
      </w:pPr>
      <w:r>
        <w:rPr/>
        <w:t>纳税人提供技术转让、技术开发和与之相关的技术咨询、技术服务免征增值税。 </w:t>
      </w:r>
      <w:r>
        <w:rPr>
          <w:rFonts w:ascii="Times New Roman" w:hAnsi="Times New Roman" w:cs="Times New Roman" w:eastAsia="Times New Roman" w:hint="default"/>
        </w:rPr>
        <w:t>2.</w:t>
      </w:r>
      <w:r>
        <w:rPr/>
        <w:t>所得税优惠及批文 根据财政部、国家税务总局、发展改革委、工业和信息化部联合下发的《关于软件和集</w:t>
      </w:r>
    </w:p>
    <w:p>
      <w:pPr>
        <w:pStyle w:val="BodyText"/>
        <w:spacing w:line="338" w:lineRule="auto" w:before="46"/>
        <w:ind w:right="95"/>
        <w:jc w:val="left"/>
      </w:pPr>
      <w:r>
        <w:rPr/>
        <w:t>成电路产业企业所得税优惠政策有关问题的通知》（财税〔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49</w:t>
      </w:r>
      <w:r>
        <w:rPr/>
        <w:t>号），本公司、南京国 图符合</w:t>
      </w:r>
      <w:r>
        <w:rPr>
          <w:rFonts w:ascii="Times New Roman" w:hAnsi="Times New Roman" w:cs="Times New Roman" w:eastAsia="Times New Roman" w:hint="default"/>
        </w:rPr>
        <w:t>“</w:t>
      </w:r>
      <w:r>
        <w:rPr/>
        <w:t>国家规划布局内的重点软件企业</w:t>
      </w:r>
      <w:r>
        <w:rPr>
          <w:rFonts w:ascii="Times New Roman" w:hAnsi="Times New Roman" w:cs="Times New Roman" w:eastAsia="Times New Roman" w:hint="default"/>
        </w:rPr>
        <w:t>”</w:t>
      </w:r>
      <w:r>
        <w:rPr/>
        <w:t>条件，并已按照要求完成了相关备案手续。依据国 家税务总局下发《企业所得税优惠政策事项办理办法》（国家税务总局公告</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76</w:t>
      </w:r>
      <w:r>
        <w:rPr/>
        <w:t>号） </w:t>
      </w:r>
      <w:r>
        <w:rPr>
          <w:spacing w:val="-1"/>
        </w:rPr>
        <w:t>关于国家规划布局内的如当年未享受免税优惠的，可减按</w:t>
      </w:r>
      <w:r>
        <w:rPr>
          <w:rFonts w:ascii="Times New Roman" w:hAnsi="Times New Roman" w:cs="Times New Roman" w:eastAsia="Times New Roman" w:hint="default"/>
          <w:spacing w:val="-1"/>
        </w:rPr>
        <w:t>10%</w:t>
      </w:r>
      <w:r>
        <w:rPr>
          <w:spacing w:val="-1"/>
        </w:rPr>
        <w:t>的税率征收企业所得税的规定，</w:t>
      </w:r>
      <w:r>
        <w:rPr/>
        <w:t> 本公司、南京国图</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10%</w:t>
      </w:r>
      <w:r>
        <w:rPr/>
        <w:t>的税率缴纳企业所得税。</w:t>
      </w:r>
    </w:p>
    <w:p>
      <w:pPr>
        <w:pStyle w:val="BodyText"/>
        <w:spacing w:line="338" w:lineRule="auto" w:before="27"/>
        <w:ind w:right="223" w:firstLine="48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日，超图信息被认定为高新技术企业，自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日起三年内享受高新技</w:t>
      </w:r>
      <w:r>
        <w:rPr/>
        <w:t> 术企业企业所得税优惠政策，</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15%</w:t>
      </w:r>
      <w:r>
        <w:rPr/>
        <w:t>的税率缴纳企业所得税。</w:t>
      </w:r>
    </w:p>
    <w:p>
      <w:pPr>
        <w:pStyle w:val="BodyText"/>
        <w:spacing w:line="338" w:lineRule="auto" w:before="27"/>
        <w:ind w:right="223" w:firstLine="48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日，上海南康被认定为高新技术企业，自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日起三年内享受高新技</w:t>
      </w:r>
      <w:r>
        <w:rPr/>
        <w:t> 术企业企业所得税优惠政策，</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15%</w:t>
      </w:r>
      <w:r>
        <w:rPr/>
        <w:t>的税率缴纳企业所得税。</w:t>
      </w:r>
    </w:p>
    <w:p>
      <w:pPr>
        <w:pStyle w:val="BodyText"/>
        <w:spacing w:line="240" w:lineRule="auto" w:before="26"/>
        <w:ind w:left="633" w:right="9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日，北京安图被认定为高新技术企业，自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日起三年内享受高新</w:t>
      </w:r>
    </w:p>
    <w:p>
      <w:pPr>
        <w:spacing w:after="0" w:line="240" w:lineRule="auto"/>
        <w:jc w:val="left"/>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240" w:lineRule="auto" w:before="26"/>
        <w:ind w:left="1113" w:right="1123"/>
        <w:jc w:val="left"/>
      </w:pPr>
      <w:r>
        <w:rPr/>
        <w:t>技术企业企业所得税优惠政策，</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15%</w:t>
      </w:r>
      <w:r>
        <w:rPr/>
        <w:t>的税率缴纳企业所得税。</w:t>
      </w:r>
    </w:p>
    <w:p>
      <w:pPr>
        <w:pStyle w:val="BodyText"/>
        <w:spacing w:line="338" w:lineRule="auto" w:before="136"/>
        <w:ind w:left="1113" w:right="1123" w:firstLine="48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日，上海数慧被认定为高新技术企业，自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日起三年内享受高新技</w:t>
      </w:r>
      <w:r>
        <w:rPr/>
        <w:t> 术企业企业所得税优惠政策，</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15%</w:t>
      </w:r>
      <w:r>
        <w:rPr/>
        <w:t>的税率缴纳企业所得税。</w:t>
      </w:r>
    </w:p>
    <w:p>
      <w:pPr>
        <w:spacing w:line="240" w:lineRule="auto" w:before="1"/>
        <w:rPr>
          <w:rFonts w:ascii="宋体" w:hAnsi="宋体" w:cs="宋体" w:eastAsia="宋体" w:hint="default"/>
          <w:sz w:val="19"/>
          <w:szCs w:val="19"/>
        </w:rPr>
      </w:pPr>
    </w:p>
    <w:p>
      <w:pPr>
        <w:pStyle w:val="Heading2"/>
        <w:spacing w:line="240" w:lineRule="auto"/>
        <w:ind w:left="1113" w:right="1123"/>
        <w:jc w:val="left"/>
        <w:rPr>
          <w:b w:val="0"/>
          <w:bCs w:val="0"/>
        </w:rPr>
      </w:pPr>
      <w:r>
        <w:rPr/>
        <w:t>七、合并财务报表项目注释</w:t>
      </w:r>
      <w:r>
        <w:rPr>
          <w:b w:val="0"/>
          <w:bCs w:val="0"/>
        </w:rPr>
      </w:r>
    </w:p>
    <w:p>
      <w:pPr>
        <w:spacing w:line="240" w:lineRule="auto" w:before="11"/>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877" w:footer="980" w:top="1100" w:bottom="1160" w:left="20" w:right="0"/>
        </w:sectPr>
      </w:pPr>
    </w:p>
    <w:p>
      <w:pPr>
        <w:pStyle w:val="Heading2"/>
        <w:spacing w:line="240" w:lineRule="auto" w:before="26"/>
        <w:ind w:left="1113" w:right="0"/>
        <w:jc w:val="left"/>
        <w:rPr>
          <w:b w:val="0"/>
          <w:bCs w:val="0"/>
        </w:rPr>
      </w:pPr>
      <w:r>
        <w:rPr>
          <w:rFonts w:ascii="Times New Roman" w:hAnsi="Times New Roman" w:cs="Times New Roman" w:eastAsia="Times New Roman" w:hint="default"/>
          <w:w w:val="95"/>
        </w:rPr>
        <w:t>1</w:t>
      </w:r>
      <w:r>
        <w:rPr>
          <w:w w:val="95"/>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16"/>
          <w:szCs w:val="16"/>
        </w:rPr>
      </w:pPr>
    </w:p>
    <w:p>
      <w:pPr>
        <w:spacing w:before="0"/>
        <w:ind w:left="1095" w:right="1110" w:firstLine="0"/>
        <w:jc w:val="center"/>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center"/>
        <w:rPr>
          <w:rFonts w:ascii="宋体" w:hAnsi="宋体" w:cs="宋体" w:eastAsia="宋体" w:hint="default"/>
          <w:sz w:val="21"/>
          <w:szCs w:val="21"/>
        </w:rPr>
        <w:sectPr>
          <w:type w:val="continuous"/>
          <w:pgSz w:w="11910" w:h="16840"/>
          <w:pgMar w:top="1100" w:bottom="1160" w:left="20" w:right="0"/>
          <w:cols w:num="2" w:equalWidth="0">
            <w:col w:w="2438" w:space="6256"/>
            <w:col w:w="3196"/>
          </w:cols>
        </w:sectPr>
      </w:pPr>
    </w:p>
    <w:p>
      <w:pPr>
        <w:spacing w:line="240" w:lineRule="auto" w:before="10"/>
        <w:rPr>
          <w:rFonts w:ascii="宋体" w:hAnsi="宋体" w:cs="宋体" w:eastAsia="宋体" w:hint="default"/>
          <w:sz w:val="6"/>
          <w:szCs w:val="6"/>
        </w:rPr>
      </w:pPr>
    </w:p>
    <w:tbl>
      <w:tblPr>
        <w:tblW w:w="0" w:type="auto"/>
        <w:jc w:val="left"/>
        <w:tblInd w:w="110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270,372.74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732,419.62</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547,540,697.54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521,378,143.64</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13,869,441.15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10,564,484.90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561,680,511.43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532,675,048.16</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4"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13,411,590.47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12,607,242.25</w:t>
            </w:r>
          </w:p>
        </w:tc>
      </w:tr>
    </w:tbl>
    <w:p>
      <w:pPr>
        <w:pStyle w:val="BodyText"/>
        <w:spacing w:line="240" w:lineRule="auto" w:before="39"/>
        <w:ind w:left="1113" w:right="1123"/>
        <w:jc w:val="left"/>
      </w:pPr>
      <w:r>
        <w:rPr/>
        <w:t>其他说明</w:t>
      </w:r>
    </w:p>
    <w:p>
      <w:pPr>
        <w:pStyle w:val="BodyText"/>
        <w:spacing w:line="338" w:lineRule="auto" w:before="154"/>
        <w:ind w:left="1533" w:right="2953"/>
        <w:jc w:val="left"/>
      </w:pPr>
      <w:r>
        <w:rPr/>
        <w:t>期末其他货币资金中含使用受到限制的</w:t>
      </w:r>
      <w:r>
        <w:rPr>
          <w:rFonts w:ascii="Times New Roman" w:hAnsi="Times New Roman" w:cs="Times New Roman" w:eastAsia="Times New Roman" w:hint="default"/>
        </w:rPr>
        <w:t>13,869,441.15</w:t>
      </w:r>
      <w:r>
        <w:rPr/>
        <w:t>元为保函保证金。 外币货币资金明细情况详见本附注五</w:t>
      </w:r>
      <w:r>
        <w:rPr>
          <w:rFonts w:ascii="Times New Roman" w:hAnsi="Times New Roman" w:cs="Times New Roman" w:eastAsia="Times New Roman" w:hint="default"/>
        </w:rPr>
        <w:t>(56</w:t>
      </w:r>
      <w:r>
        <w:rPr>
          <w:rFonts w:ascii="Times New Roman" w:hAnsi="Times New Roman" w:cs="Times New Roman" w:eastAsia="Times New Roman" w:hint="default"/>
        </w:rPr>
        <w:t>)“</w:t>
      </w:r>
      <w:r>
        <w:rPr/>
        <w:t>外币货币性项目</w:t>
      </w:r>
      <w:r>
        <w:rPr>
          <w:rFonts w:ascii="Times New Roman" w:hAnsi="Times New Roman" w:cs="Times New Roman" w:eastAsia="Times New Roman" w:hint="default"/>
        </w:rPr>
        <w:t>”</w:t>
      </w:r>
      <w:r>
        <w:rPr/>
        <w:t>之说明。</w:t>
      </w:r>
    </w:p>
    <w:p>
      <w:pPr>
        <w:pStyle w:val="Heading2"/>
        <w:spacing w:line="240" w:lineRule="auto" w:before="27"/>
        <w:ind w:left="1113" w:right="1123"/>
        <w:jc w:val="left"/>
        <w:rPr>
          <w:b w:val="0"/>
          <w:bCs w:val="0"/>
        </w:rPr>
      </w:pPr>
      <w:r>
        <w:rPr>
          <w:rFonts w:ascii="Times New Roman" w:hAnsi="Times New Roman" w:cs="Times New Roman" w:eastAsia="Times New Roman" w:hint="default"/>
        </w:rPr>
        <w:t>2</w:t>
      </w:r>
      <w:r>
        <w:rPr/>
        <w:t>、应收票据</w:t>
      </w:r>
      <w:r>
        <w:rPr>
          <w:b w:val="0"/>
          <w:bCs w:val="0"/>
        </w:rPr>
      </w:r>
    </w:p>
    <w:p>
      <w:pPr>
        <w:pStyle w:val="Heading2"/>
        <w:spacing w:line="240" w:lineRule="auto" w:before="136"/>
        <w:ind w:left="1113" w:right="112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9"/>
        <w:rPr>
          <w:rFonts w:ascii="宋体" w:hAnsi="宋体" w:cs="宋体" w:eastAsia="宋体" w:hint="default"/>
          <w:b/>
          <w:bCs/>
          <w:sz w:val="12"/>
          <w:szCs w:val="12"/>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12"/>
          <w:szCs w:val="12"/>
        </w:rPr>
      </w:pPr>
    </w:p>
    <w:tbl>
      <w:tblPr>
        <w:tblW w:w="0" w:type="auto"/>
        <w:jc w:val="left"/>
        <w:tblInd w:w="1109" w:type="dxa"/>
        <w:tblLayout w:type="fixed"/>
        <w:tblCellMar>
          <w:top w:w="0" w:type="dxa"/>
          <w:left w:w="0" w:type="dxa"/>
          <w:bottom w:w="0" w:type="dxa"/>
          <w:right w:w="0" w:type="dxa"/>
        </w:tblCellMar>
        <w:tblLook w:val="01E0"/>
      </w:tblPr>
      <w:tblGrid>
        <w:gridCol w:w="3178"/>
        <w:gridCol w:w="3201"/>
        <w:gridCol w:w="3191"/>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3,887,140.00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974,250.00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229,900.00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966,573.90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4,117,040.00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1,940,823.90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160" w:left="20" w:right="0"/>
        </w:sectPr>
      </w:pPr>
    </w:p>
    <w:p>
      <w:pPr>
        <w:pStyle w:val="Heading2"/>
        <w:spacing w:line="240" w:lineRule="auto" w:before="39"/>
        <w:ind w:left="1113" w:right="0"/>
        <w:jc w:val="left"/>
        <w:rPr>
          <w:b w:val="0"/>
          <w:bCs w:val="0"/>
        </w:rPr>
      </w:pPr>
      <w:r>
        <w:rPr>
          <w:rFonts w:ascii="Times New Roman" w:hAnsi="Times New Roman" w:cs="Times New Roman" w:eastAsia="Times New Roman" w:hint="default"/>
        </w:rPr>
        <w:t>3</w:t>
      </w:r>
      <w:r>
        <w:rPr/>
        <w:t>、应收账款</w:t>
      </w:r>
      <w:r>
        <w:rPr>
          <w:b w:val="0"/>
          <w:bCs w:val="0"/>
        </w:rPr>
      </w:r>
    </w:p>
    <w:p>
      <w:pPr>
        <w:pStyle w:val="Heading2"/>
        <w:spacing w:line="240" w:lineRule="auto" w:before="135"/>
        <w:ind w:left="1113" w:right="0"/>
        <w:jc w:val="left"/>
        <w:rPr>
          <w:b w:val="0"/>
          <w:bCs w:val="0"/>
        </w:rPr>
      </w:pPr>
      <w:r>
        <w:rPr>
          <w:w w:val="95"/>
        </w:rPr>
        <w:t>（</w:t>
      </w:r>
      <w:r>
        <w:rPr>
          <w:rFonts w:ascii="Times New Roman" w:hAnsi="Times New Roman" w:cs="Times New Roman" w:eastAsia="Times New Roman" w:hint="default"/>
          <w:w w:val="95"/>
        </w:rPr>
        <w:t>1</w:t>
      </w:r>
      <w:r>
        <w:rPr>
          <w:w w:val="95"/>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9"/>
        <w:ind w:left="1095" w:right="1110" w:firstLine="0"/>
        <w:jc w:val="center"/>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center"/>
        <w:rPr>
          <w:rFonts w:ascii="宋体" w:hAnsi="宋体" w:cs="宋体" w:eastAsia="宋体" w:hint="default"/>
          <w:sz w:val="21"/>
          <w:szCs w:val="21"/>
        </w:rPr>
        <w:sectPr>
          <w:type w:val="continuous"/>
          <w:pgSz w:w="11910" w:h="16840"/>
          <w:pgMar w:top="1100" w:bottom="1160" w:left="20" w:right="0"/>
          <w:cols w:num="2" w:equalWidth="0">
            <w:col w:w="3643" w:space="5052"/>
            <w:col w:w="3195"/>
          </w:cols>
        </w:sectPr>
      </w:pPr>
    </w:p>
    <w:p>
      <w:pPr>
        <w:spacing w:line="240" w:lineRule="auto" w:before="12"/>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557"/>
        <w:gridCol w:w="1416"/>
        <w:gridCol w:w="763"/>
        <w:gridCol w:w="1364"/>
        <w:gridCol w:w="566"/>
        <w:gridCol w:w="1419"/>
        <w:gridCol w:w="1474"/>
        <w:gridCol w:w="761"/>
        <w:gridCol w:w="1366"/>
        <w:gridCol w:w="932"/>
        <w:gridCol w:w="1054"/>
      </w:tblGrid>
      <w:tr>
        <w:trPr>
          <w:trHeight w:val="396" w:hRule="exact"/>
        </w:trPr>
        <w:tc>
          <w:tcPr>
            <w:tcW w:w="557" w:type="dxa"/>
            <w:vMerge w:val="restart"/>
            <w:tcBorders>
              <w:top w:val="single" w:sz="4" w:space="0" w:color="000000"/>
              <w:left w:val="single" w:sz="4" w:space="0" w:color="000000"/>
              <w:right w:val="single" w:sz="4" w:space="0" w:color="000000"/>
            </w:tcBorders>
            <w:shd w:val="clear" w:color="auto" w:fill="D2D2D2"/>
          </w:tcPr>
          <w:p>
            <w:pPr/>
          </w:p>
        </w:tc>
        <w:tc>
          <w:tcPr>
            <w:tcW w:w="55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8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66" w:hRule="exact"/>
        </w:trPr>
        <w:tc>
          <w:tcPr>
            <w:tcW w:w="557" w:type="dxa"/>
            <w:vMerge/>
            <w:tcBorders>
              <w:left w:val="single" w:sz="4" w:space="0" w:color="000000"/>
              <w:bottom w:val="nil" w:sz="6" w:space="0" w:color="auto"/>
              <w:right w:val="single" w:sz="4" w:space="0" w:color="000000"/>
            </w:tcBorders>
            <w:shd w:val="clear" w:color="auto" w:fill="D2D2D2"/>
          </w:tcPr>
          <w:p>
            <w:pPr/>
          </w:p>
        </w:tc>
        <w:tc>
          <w:tcPr>
            <w:tcW w:w="21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2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54"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557" w:type="dxa"/>
            <w:vMerge w:val="restart"/>
            <w:tcBorders>
              <w:top w:val="nil" w:sz="6" w:space="0" w:color="auto"/>
              <w:left w:val="single" w:sz="13" w:space="0" w:color="D2D2D2"/>
              <w:right w:val="single" w:sz="10" w:space="0" w:color="D2D2D2"/>
            </w:tcBorders>
          </w:tcPr>
          <w:p>
            <w:pPr>
              <w:pStyle w:val="TableParagraph"/>
              <w:spacing w:line="240" w:lineRule="auto" w:before="28"/>
              <w:ind w:left="4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类别</w:t>
            </w:r>
            <w:r>
              <w:rPr>
                <w:rFonts w:ascii="宋体" w:hAnsi="宋体" w:cs="宋体" w:eastAsia="宋体" w:hint="default"/>
                <w:sz w:val="21"/>
                <w:szCs w:val="21"/>
              </w:rPr>
            </w:r>
          </w:p>
        </w:tc>
        <w:tc>
          <w:tcPr>
            <w:tcW w:w="2180" w:type="dxa"/>
            <w:gridSpan w:val="2"/>
            <w:vMerge/>
            <w:tcBorders>
              <w:left w:val="single" w:sz="4" w:space="0" w:color="000000"/>
              <w:bottom w:val="single" w:sz="4" w:space="0" w:color="000000"/>
              <w:right w:val="single" w:sz="4" w:space="0" w:color="000000"/>
            </w:tcBorders>
            <w:shd w:val="clear" w:color="auto" w:fill="D2D2D2"/>
          </w:tcPr>
          <w:p>
            <w:pPr/>
          </w:p>
        </w:tc>
        <w:tc>
          <w:tcPr>
            <w:tcW w:w="1930" w:type="dxa"/>
            <w:gridSpan w:val="2"/>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235" w:type="dxa"/>
            <w:gridSpan w:val="2"/>
            <w:vMerge/>
            <w:tcBorders>
              <w:left w:val="single" w:sz="4" w:space="0" w:color="000000"/>
              <w:bottom w:val="single" w:sz="4" w:space="0" w:color="000000"/>
              <w:right w:val="single" w:sz="4" w:space="0" w:color="000000"/>
            </w:tcBorders>
            <w:shd w:val="clear" w:color="auto" w:fill="D2D2D2"/>
          </w:tcPr>
          <w:p>
            <w:pPr/>
          </w:p>
        </w:tc>
        <w:tc>
          <w:tcPr>
            <w:tcW w:w="2297" w:type="dxa"/>
            <w:gridSpan w:val="2"/>
            <w:vMerge/>
            <w:tcBorders>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557" w:type="dxa"/>
            <w:vMerge/>
            <w:tcBorders>
              <w:left w:val="single" w:sz="13" w:space="0" w:color="D2D2D2"/>
              <w:bottom w:val="nil" w:sz="6" w:space="0" w:color="auto"/>
              <w:right w:val="single" w:sz="10" w:space="0" w:color="D2D2D2"/>
            </w:tcBorders>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69" w:right="62"/>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8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22" w:space="0" w:color="D2D2D2"/>
              <w:right w:val="single" w:sz="10" w:space="0" w:color="D2D2D2"/>
            </w:tcBorders>
          </w:tcPr>
          <w:p>
            <w:pPr>
              <w:pStyle w:val="TableParagraph"/>
              <w:spacing w:line="262" w:lineRule="exact"/>
              <w:ind w:left="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2D2D2" w:color="auto" w:val="clear"/>
              </w:rPr>
              <w:t> </w:t>
            </w:r>
            <w:r>
              <w:rPr>
                <w:rFonts w:ascii="Times New Roman" w:hAnsi="Times New Roman" w:cs="Times New Roman" w:eastAsia="Times New Roman" w:hint="default"/>
                <w:spacing w:val="-29"/>
                <w:sz w:val="21"/>
                <w:szCs w:val="21"/>
                <w:shd w:fill="D2D2D2" w:color="auto" w:val="clear"/>
              </w:rPr>
              <w:t> </w:t>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2" w:hRule="exact"/>
        </w:trPr>
        <w:tc>
          <w:tcPr>
            <w:tcW w:w="557"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6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4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6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054" w:type="dxa"/>
            <w:vMerge/>
            <w:tcBorders>
              <w:left w:val="single" w:sz="22" w:space="0" w:color="D2D2D2"/>
              <w:bottom w:val="nil" w:sz="6" w:space="0" w:color="auto"/>
              <w:right w:val="single" w:sz="10" w:space="0" w:color="D2D2D2"/>
            </w:tcBorders>
          </w:tcPr>
          <w:p>
            <w:pPr/>
          </w:p>
        </w:tc>
      </w:tr>
      <w:tr>
        <w:trPr>
          <w:trHeight w:val="199" w:hRule="exact"/>
        </w:trPr>
        <w:tc>
          <w:tcPr>
            <w:tcW w:w="55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136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4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557"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r>
      <w:tr>
        <w:trPr>
          <w:trHeight w:val="986" w:hRule="exact"/>
        </w:trPr>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10"/>
              <w:jc w:val="both"/>
              <w:rPr>
                <w:rFonts w:ascii="宋体" w:hAnsi="宋体" w:cs="宋体" w:eastAsia="宋体" w:hint="default"/>
                <w:sz w:val="21"/>
                <w:szCs w:val="21"/>
              </w:rPr>
            </w:pPr>
            <w:r>
              <w:rPr>
                <w:rFonts w:ascii="宋体" w:hAnsi="宋体" w:cs="宋体" w:eastAsia="宋体" w:hint="default"/>
                <w:sz w:val="21"/>
                <w:szCs w:val="21"/>
              </w:rPr>
              <w:t>单项</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重大</w:t>
            </w:r>
          </w:p>
        </w:tc>
        <w:tc>
          <w:tcPr>
            <w:tcW w:w="1416" w:type="dxa"/>
            <w:tcBorders>
              <w:top w:val="single" w:sz="4" w:space="0" w:color="000000"/>
              <w:left w:val="single" w:sz="10" w:space="0" w:color="D2D2D2"/>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20" w:right="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565"/>
        <w:gridCol w:w="1419"/>
        <w:gridCol w:w="763"/>
        <w:gridCol w:w="1364"/>
        <w:gridCol w:w="566"/>
        <w:gridCol w:w="1419"/>
        <w:gridCol w:w="1474"/>
        <w:gridCol w:w="761"/>
        <w:gridCol w:w="1366"/>
        <w:gridCol w:w="932"/>
        <w:gridCol w:w="1054"/>
      </w:tblGrid>
      <w:tr>
        <w:trPr>
          <w:trHeight w:val="2235" w:hRule="exact"/>
        </w:trPr>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108"/>
              <w:jc w:val="both"/>
              <w:rPr>
                <w:rFonts w:ascii="宋体" w:hAnsi="宋体" w:cs="宋体" w:eastAsia="宋体" w:hint="default"/>
                <w:sz w:val="21"/>
                <w:szCs w:val="21"/>
              </w:rPr>
            </w:pPr>
            <w:r>
              <w:rPr>
                <w:rFonts w:ascii="宋体" w:hAnsi="宋体" w:cs="宋体" w:eastAsia="宋体" w:hint="default"/>
                <w:sz w:val="21"/>
                <w:szCs w:val="21"/>
              </w:rPr>
              <w:t>并单</w:t>
            </w:r>
            <w:r>
              <w:rPr>
                <w:rFonts w:ascii="宋体" w:hAnsi="宋体" w:cs="宋体" w:eastAsia="宋体" w:hint="default"/>
                <w:spacing w:val="-103"/>
                <w:sz w:val="21"/>
                <w:szCs w:val="21"/>
              </w:rPr>
              <w:t> </w:t>
            </w:r>
            <w:r>
              <w:rPr>
                <w:rFonts w:ascii="宋体" w:hAnsi="宋体" w:cs="宋体" w:eastAsia="宋体" w:hint="default"/>
                <w:sz w:val="21"/>
                <w:szCs w:val="21"/>
              </w:rPr>
              <w:t>独计</w:t>
            </w:r>
            <w:r>
              <w:rPr>
                <w:rFonts w:ascii="宋体" w:hAnsi="宋体" w:cs="宋体" w:eastAsia="宋体" w:hint="default"/>
                <w:spacing w:val="-103"/>
                <w:sz w:val="21"/>
                <w:szCs w:val="21"/>
              </w:rPr>
              <w:t> </w:t>
            </w:r>
            <w:r>
              <w:rPr>
                <w:rFonts w:ascii="宋体" w:hAnsi="宋体" w:cs="宋体" w:eastAsia="宋体" w:hint="default"/>
                <w:sz w:val="21"/>
                <w:szCs w:val="21"/>
              </w:rPr>
              <w:t>提坏</w:t>
            </w:r>
            <w:r>
              <w:rPr>
                <w:rFonts w:ascii="宋体" w:hAnsi="宋体" w:cs="宋体" w:eastAsia="宋体" w:hint="default"/>
                <w:spacing w:val="-103"/>
                <w:sz w:val="21"/>
                <w:szCs w:val="21"/>
              </w:rPr>
              <w:t> </w:t>
            </w:r>
            <w:r>
              <w:rPr>
                <w:rFonts w:ascii="宋体" w:hAnsi="宋体" w:cs="宋体" w:eastAsia="宋体" w:hint="default"/>
                <w:sz w:val="21"/>
                <w:szCs w:val="21"/>
              </w:rPr>
              <w:t>账准</w:t>
            </w:r>
            <w:r>
              <w:rPr>
                <w:rFonts w:ascii="宋体" w:hAnsi="宋体" w:cs="宋体" w:eastAsia="宋体" w:hint="default"/>
                <w:spacing w:val="-103"/>
                <w:sz w:val="21"/>
                <w:szCs w:val="21"/>
              </w:rPr>
              <w:t> </w:t>
            </w:r>
            <w:r>
              <w:rPr>
                <w:rFonts w:ascii="宋体" w:hAnsi="宋体" w:cs="宋体" w:eastAsia="宋体" w:hint="default"/>
                <w:sz w:val="21"/>
                <w:szCs w:val="21"/>
              </w:rPr>
              <w:t>备的</w:t>
            </w:r>
            <w:r>
              <w:rPr>
                <w:rFonts w:ascii="宋体" w:hAnsi="宋体" w:cs="宋体" w:eastAsia="宋体" w:hint="default"/>
                <w:spacing w:val="-103"/>
                <w:sz w:val="21"/>
                <w:szCs w:val="21"/>
              </w:rPr>
              <w:t> </w:t>
            </w:r>
            <w:r>
              <w:rPr>
                <w:rFonts w:ascii="宋体" w:hAnsi="宋体" w:cs="宋体" w:eastAsia="宋体" w:hint="default"/>
                <w:sz w:val="21"/>
                <w:szCs w:val="21"/>
              </w:rPr>
              <w:t>应收</w:t>
            </w:r>
            <w:r>
              <w:rPr>
                <w:rFonts w:ascii="宋体" w:hAnsi="宋体" w:cs="宋体" w:eastAsia="宋体" w:hint="default"/>
                <w:spacing w:val="-103"/>
                <w:sz w:val="21"/>
                <w:szCs w:val="21"/>
              </w:rPr>
              <w:t> </w:t>
            </w:r>
            <w:r>
              <w:rPr>
                <w:rFonts w:ascii="宋体" w:hAnsi="宋体" w:cs="宋体" w:eastAsia="宋体" w:hint="default"/>
                <w:sz w:val="21"/>
                <w:szCs w:val="21"/>
              </w:rPr>
              <w:t>账款</w:t>
            </w:r>
          </w:p>
        </w:tc>
        <w:tc>
          <w:tcPr>
            <w:tcW w:w="1419"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08"/>
              <w:jc w:val="both"/>
              <w:rPr>
                <w:rFonts w:ascii="宋体" w:hAnsi="宋体" w:cs="宋体" w:eastAsia="宋体" w:hint="default"/>
                <w:sz w:val="21"/>
                <w:szCs w:val="21"/>
              </w:rPr>
            </w:pPr>
            <w:r>
              <w:rPr>
                <w:rFonts w:ascii="宋体" w:hAnsi="宋体" w:cs="宋体" w:eastAsia="宋体" w:hint="default"/>
                <w:sz w:val="21"/>
                <w:szCs w:val="21"/>
              </w:rPr>
              <w:t>按信</w:t>
            </w:r>
            <w:r>
              <w:rPr>
                <w:rFonts w:ascii="宋体" w:hAnsi="宋体" w:cs="宋体" w:eastAsia="宋体" w:hint="default"/>
                <w:spacing w:val="-103"/>
                <w:sz w:val="21"/>
                <w:szCs w:val="21"/>
              </w:rPr>
              <w:t> </w:t>
            </w:r>
            <w:r>
              <w:rPr>
                <w:rFonts w:ascii="宋体" w:hAnsi="宋体" w:cs="宋体" w:eastAsia="宋体" w:hint="default"/>
                <w:sz w:val="21"/>
                <w:szCs w:val="21"/>
              </w:rPr>
              <w:t>用风</w:t>
            </w:r>
            <w:r>
              <w:rPr>
                <w:rFonts w:ascii="宋体" w:hAnsi="宋体" w:cs="宋体" w:eastAsia="宋体" w:hint="default"/>
                <w:spacing w:val="-103"/>
                <w:sz w:val="21"/>
                <w:szCs w:val="21"/>
              </w:rPr>
              <w:t> </w:t>
            </w:r>
            <w:r>
              <w:rPr>
                <w:rFonts w:ascii="宋体" w:hAnsi="宋体" w:cs="宋体" w:eastAsia="宋体" w:hint="default"/>
                <w:sz w:val="21"/>
                <w:szCs w:val="21"/>
              </w:rPr>
              <w:t>险特</w:t>
            </w:r>
            <w:r>
              <w:rPr>
                <w:rFonts w:ascii="宋体" w:hAnsi="宋体" w:cs="宋体" w:eastAsia="宋体" w:hint="default"/>
                <w:spacing w:val="-103"/>
                <w:sz w:val="21"/>
                <w:szCs w:val="21"/>
              </w:rPr>
              <w:t> </w:t>
            </w:r>
            <w:r>
              <w:rPr>
                <w:rFonts w:ascii="宋体" w:hAnsi="宋体" w:cs="宋体" w:eastAsia="宋体" w:hint="default"/>
                <w:sz w:val="21"/>
                <w:szCs w:val="21"/>
              </w:rPr>
              <w:t>征组</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pacing w:val="-103"/>
                <w:sz w:val="21"/>
                <w:szCs w:val="21"/>
              </w:rPr>
              <w:t> </w:t>
            </w:r>
            <w:r>
              <w:rPr>
                <w:rFonts w:ascii="宋体" w:hAnsi="宋体" w:cs="宋体" w:eastAsia="宋体" w:hint="default"/>
                <w:sz w:val="21"/>
                <w:szCs w:val="21"/>
              </w:rPr>
              <w:t>提坏</w:t>
            </w:r>
            <w:r>
              <w:rPr>
                <w:rFonts w:ascii="宋体" w:hAnsi="宋体" w:cs="宋体" w:eastAsia="宋体" w:hint="default"/>
                <w:spacing w:val="-103"/>
                <w:sz w:val="21"/>
                <w:szCs w:val="21"/>
              </w:rPr>
              <w:t> </w:t>
            </w:r>
            <w:r>
              <w:rPr>
                <w:rFonts w:ascii="宋体" w:hAnsi="宋体" w:cs="宋体" w:eastAsia="宋体" w:hint="default"/>
                <w:sz w:val="21"/>
                <w:szCs w:val="21"/>
              </w:rPr>
              <w:t>账准</w:t>
            </w:r>
            <w:r>
              <w:rPr>
                <w:rFonts w:ascii="宋体" w:hAnsi="宋体" w:cs="宋体" w:eastAsia="宋体" w:hint="default"/>
                <w:spacing w:val="-103"/>
                <w:sz w:val="21"/>
                <w:szCs w:val="21"/>
              </w:rPr>
              <w:t> </w:t>
            </w:r>
            <w:r>
              <w:rPr>
                <w:rFonts w:ascii="宋体" w:hAnsi="宋体" w:cs="宋体" w:eastAsia="宋体" w:hint="default"/>
                <w:sz w:val="21"/>
                <w:szCs w:val="21"/>
              </w:rPr>
              <w:t>备的</w:t>
            </w:r>
            <w:r>
              <w:rPr>
                <w:rFonts w:ascii="宋体" w:hAnsi="宋体" w:cs="宋体" w:eastAsia="宋体" w:hint="default"/>
                <w:spacing w:val="-103"/>
                <w:sz w:val="21"/>
                <w:szCs w:val="21"/>
              </w:rPr>
              <w:t> </w:t>
            </w:r>
            <w:r>
              <w:rPr>
                <w:rFonts w:ascii="宋体" w:hAnsi="宋体" w:cs="宋体" w:eastAsia="宋体" w:hint="default"/>
                <w:sz w:val="21"/>
                <w:szCs w:val="21"/>
              </w:rPr>
              <w:t>应收</w:t>
            </w:r>
            <w:r>
              <w:rPr>
                <w:rFonts w:ascii="宋体" w:hAnsi="宋体" w:cs="宋体" w:eastAsia="宋体" w:hint="default"/>
                <w:spacing w:val="-103"/>
                <w:sz w:val="21"/>
                <w:szCs w:val="21"/>
              </w:rPr>
              <w:t> </w:t>
            </w:r>
            <w:r>
              <w:rPr>
                <w:rFonts w:ascii="宋体" w:hAnsi="宋体" w:cs="宋体" w:eastAsia="宋体" w:hint="default"/>
                <w:sz w:val="21"/>
                <w:szCs w:val="21"/>
              </w:rPr>
              <w:t>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59" w:right="0"/>
              <w:jc w:val="center"/>
              <w:rPr>
                <w:rFonts w:ascii="Times New Roman" w:hAnsi="Times New Roman" w:cs="Times New Roman" w:eastAsia="Times New Roman" w:hint="default"/>
                <w:sz w:val="21"/>
                <w:szCs w:val="21"/>
              </w:rPr>
            </w:pPr>
            <w:r>
              <w:rPr>
                <w:rFonts w:ascii="Times New Roman"/>
                <w:sz w:val="21"/>
              </w:rPr>
              <w:t>471,400,250.66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w w:val="100"/>
                <w:sz w:val="21"/>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7"/>
              <w:jc w:val="right"/>
              <w:rPr>
                <w:rFonts w:ascii="Times New Roman" w:hAnsi="Times New Roman" w:cs="Times New Roman" w:eastAsia="Times New Roman" w:hint="default"/>
                <w:sz w:val="21"/>
                <w:szCs w:val="21"/>
              </w:rPr>
            </w:pPr>
            <w:r>
              <w:rPr>
                <w:rFonts w:ascii="Times New Roman"/>
                <w:spacing w:val="-1"/>
                <w:sz w:val="21"/>
              </w:rPr>
              <w:t>58,042,809.08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62" w:right="0"/>
              <w:jc w:val="left"/>
              <w:rPr>
                <w:rFonts w:ascii="Times New Roman" w:hAnsi="Times New Roman" w:cs="Times New Roman" w:eastAsia="Times New Roman" w:hint="default"/>
                <w:sz w:val="21"/>
                <w:szCs w:val="21"/>
              </w:rPr>
            </w:pPr>
            <w:r>
              <w:rPr>
                <w:rFonts w:ascii="Times New Roman"/>
                <w:sz w:val="21"/>
              </w:rPr>
              <w:t>12.31</w:t>
            </w:r>
          </w:p>
          <w:p>
            <w:pPr>
              <w:pStyle w:val="TableParagraph"/>
              <w:spacing w:line="240" w:lineRule="auto" w:before="71"/>
              <w:ind w:left="360" w:right="0"/>
              <w:jc w:val="lef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5"/>
              <w:jc w:val="right"/>
              <w:rPr>
                <w:rFonts w:ascii="Times New Roman" w:hAnsi="Times New Roman" w:cs="Times New Roman" w:eastAsia="Times New Roman" w:hint="default"/>
                <w:sz w:val="21"/>
                <w:szCs w:val="21"/>
              </w:rPr>
            </w:pPr>
            <w:r>
              <w:rPr>
                <w:rFonts w:ascii="Times New Roman"/>
                <w:spacing w:val="-1"/>
                <w:sz w:val="21"/>
              </w:rPr>
              <w:t>413,357,441.58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9"/>
              <w:jc w:val="right"/>
              <w:rPr>
                <w:rFonts w:ascii="Times New Roman" w:hAnsi="Times New Roman" w:cs="Times New Roman" w:eastAsia="Times New Roman" w:hint="default"/>
                <w:sz w:val="21"/>
                <w:szCs w:val="21"/>
              </w:rPr>
            </w:pPr>
            <w:r>
              <w:rPr>
                <w:rFonts w:ascii="Times New Roman"/>
                <w:spacing w:val="-1"/>
                <w:sz w:val="21"/>
              </w:rPr>
              <w:t>357,568,878.41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1"/>
              <w:ind w:right="18"/>
              <w:jc w:val="right"/>
              <w:rPr>
                <w:rFonts w:ascii="Times New Roman" w:hAnsi="Times New Roman" w:cs="Times New Roman" w:eastAsia="Times New Roman" w:hint="default"/>
                <w:sz w:val="21"/>
                <w:szCs w:val="21"/>
              </w:rPr>
            </w:pPr>
            <w:r>
              <w:rPr>
                <w:rFonts w:ascii="Times New Roman"/>
                <w:w w:val="100"/>
                <w:sz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9"/>
              <w:jc w:val="right"/>
              <w:rPr>
                <w:rFonts w:ascii="Times New Roman" w:hAnsi="Times New Roman" w:cs="Times New Roman" w:eastAsia="Times New Roman" w:hint="default"/>
                <w:sz w:val="21"/>
                <w:szCs w:val="21"/>
              </w:rPr>
            </w:pPr>
            <w:r>
              <w:rPr>
                <w:rFonts w:ascii="Times New Roman"/>
                <w:spacing w:val="-1"/>
                <w:sz w:val="21"/>
              </w:rPr>
              <w:t>61,465,348.37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6"/>
              <w:jc w:val="right"/>
              <w:rPr>
                <w:rFonts w:ascii="Times New Roman" w:hAnsi="Times New Roman" w:cs="Times New Roman" w:eastAsia="Times New Roman" w:hint="default"/>
                <w:sz w:val="21"/>
                <w:szCs w:val="21"/>
              </w:rPr>
            </w:pPr>
            <w:r>
              <w:rPr>
                <w:rFonts w:ascii="Times New Roman"/>
                <w:sz w:val="21"/>
              </w:rPr>
              <w:t>17.19%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74" w:right="0"/>
              <w:jc w:val="left"/>
              <w:rPr>
                <w:rFonts w:ascii="Times New Roman" w:hAnsi="Times New Roman" w:cs="Times New Roman" w:eastAsia="Times New Roman" w:hint="default"/>
                <w:sz w:val="21"/>
                <w:szCs w:val="21"/>
              </w:rPr>
            </w:pPr>
            <w:r>
              <w:rPr>
                <w:rFonts w:ascii="Times New Roman"/>
                <w:sz w:val="21"/>
              </w:rPr>
              <w:t>296,103,53</w:t>
            </w:r>
          </w:p>
          <w:p>
            <w:pPr>
              <w:pStyle w:val="TableParagraph"/>
              <w:spacing w:line="240" w:lineRule="auto" w:before="71"/>
              <w:ind w:left="652" w:right="0"/>
              <w:jc w:val="left"/>
              <w:rPr>
                <w:rFonts w:ascii="Times New Roman" w:hAnsi="Times New Roman" w:cs="Times New Roman" w:eastAsia="Times New Roman" w:hint="default"/>
                <w:sz w:val="21"/>
                <w:szCs w:val="21"/>
              </w:rPr>
            </w:pPr>
            <w:r>
              <w:rPr>
                <w:rFonts w:ascii="Times New Roman"/>
                <w:sz w:val="21"/>
              </w:rPr>
              <w:t>0.04</w:t>
            </w:r>
          </w:p>
        </w:tc>
      </w:tr>
      <w:tr>
        <w:trPr>
          <w:trHeight w:val="3524" w:hRule="exact"/>
        </w:trPr>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08"/>
              <w:jc w:val="both"/>
              <w:rPr>
                <w:rFonts w:ascii="宋体" w:hAnsi="宋体" w:cs="宋体" w:eastAsia="宋体" w:hint="default"/>
                <w:sz w:val="21"/>
                <w:szCs w:val="21"/>
              </w:rPr>
            </w:pPr>
            <w:r>
              <w:rPr>
                <w:rFonts w:ascii="宋体" w:hAnsi="宋体" w:cs="宋体" w:eastAsia="宋体" w:hint="default"/>
                <w:sz w:val="21"/>
                <w:szCs w:val="21"/>
              </w:rPr>
              <w:t>单项</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不重</w:t>
            </w:r>
            <w:r>
              <w:rPr>
                <w:rFonts w:ascii="宋体" w:hAnsi="宋体" w:cs="宋体" w:eastAsia="宋体" w:hint="default"/>
                <w:spacing w:val="-103"/>
                <w:sz w:val="21"/>
                <w:szCs w:val="21"/>
              </w:rPr>
              <w:t> </w:t>
            </w:r>
            <w:r>
              <w:rPr>
                <w:rFonts w:ascii="宋体" w:hAnsi="宋体" w:cs="宋体" w:eastAsia="宋体" w:hint="default"/>
                <w:sz w:val="21"/>
                <w:szCs w:val="21"/>
              </w:rPr>
              <w:t>大但</w:t>
            </w:r>
            <w:r>
              <w:rPr>
                <w:rFonts w:ascii="宋体" w:hAnsi="宋体" w:cs="宋体" w:eastAsia="宋体" w:hint="default"/>
                <w:spacing w:val="-103"/>
                <w:sz w:val="21"/>
                <w:szCs w:val="21"/>
              </w:rPr>
              <w:t> </w:t>
            </w:r>
            <w:r>
              <w:rPr>
                <w:rFonts w:ascii="宋体" w:hAnsi="宋体" w:cs="宋体" w:eastAsia="宋体" w:hint="default"/>
                <w:sz w:val="21"/>
                <w:szCs w:val="21"/>
              </w:rPr>
              <w:t>单独</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的应</w:t>
            </w:r>
            <w:r>
              <w:rPr>
                <w:rFonts w:ascii="宋体" w:hAnsi="宋体" w:cs="宋体" w:eastAsia="宋体" w:hint="default"/>
                <w:spacing w:val="-103"/>
                <w:sz w:val="21"/>
                <w:szCs w:val="21"/>
              </w:rPr>
              <w:t> </w:t>
            </w:r>
            <w:r>
              <w:rPr>
                <w:rFonts w:ascii="宋体" w:hAnsi="宋体" w:cs="宋体" w:eastAsia="宋体" w:hint="default"/>
                <w:sz w:val="21"/>
                <w:szCs w:val="21"/>
              </w:rPr>
              <w:t>收账</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419"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9" w:right="0"/>
              <w:jc w:val="center"/>
              <w:rPr>
                <w:rFonts w:ascii="Times New Roman" w:hAnsi="Times New Roman" w:cs="Times New Roman" w:eastAsia="Times New Roman" w:hint="default"/>
                <w:sz w:val="21"/>
                <w:szCs w:val="21"/>
              </w:rPr>
            </w:pPr>
            <w:r>
              <w:rPr>
                <w:rFonts w:ascii="Times New Roman"/>
                <w:sz w:val="21"/>
              </w:rPr>
              <w:t>471,400,250.66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100"/>
                <w:sz w:val="21"/>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58,042,809.08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12.31</w:t>
            </w:r>
          </w:p>
          <w:p>
            <w:pPr>
              <w:pStyle w:val="TableParagraph"/>
              <w:spacing w:line="240" w:lineRule="auto" w:before="70"/>
              <w:ind w:left="360" w:right="0"/>
              <w:jc w:val="lef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pacing w:val="-1"/>
                <w:sz w:val="21"/>
              </w:rPr>
              <w:t>413,357,441.58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357,568,878.41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61,465,348.37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17.19%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296,103,53</w:t>
            </w:r>
          </w:p>
          <w:p>
            <w:pPr>
              <w:pStyle w:val="TableParagraph"/>
              <w:spacing w:line="240" w:lineRule="auto" w:before="70"/>
              <w:ind w:left="652" w:right="0"/>
              <w:jc w:val="left"/>
              <w:rPr>
                <w:rFonts w:ascii="Times New Roman" w:hAnsi="Times New Roman" w:cs="Times New Roman" w:eastAsia="Times New Roman" w:hint="default"/>
                <w:sz w:val="21"/>
                <w:szCs w:val="21"/>
              </w:rPr>
            </w:pPr>
            <w:r>
              <w:rPr>
                <w:rFonts w:ascii="Times New Roman"/>
                <w:sz w:val="21"/>
              </w:rPr>
              <w:t>0.04</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0" w:top="1100" w:bottom="1160" w:left="20" w:right="0"/>
        </w:sectPr>
      </w:pPr>
    </w:p>
    <w:p>
      <w:pPr>
        <w:pStyle w:val="BodyText"/>
        <w:spacing w:line="240" w:lineRule="auto" w:before="39"/>
        <w:ind w:left="1113" w:right="-20"/>
        <w:jc w:val="left"/>
      </w:pPr>
      <w:r>
        <w:rPr/>
        <w:t>期末单项金额重大并单项计提坏账准备的应收账款：</w:t>
      </w:r>
    </w:p>
    <w:p>
      <w:pPr>
        <w:pStyle w:val="BodyText"/>
        <w:spacing w:line="338" w:lineRule="auto" w:before="154"/>
        <w:ind w:left="1113" w:right="2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组合中，按账龄分析法计提坏账准备的应收账款：</w:t>
      </w:r>
    </w:p>
    <w:p>
      <w:pPr>
        <w:pStyle w:val="BodyText"/>
        <w:spacing w:line="240" w:lineRule="auto" w:before="56"/>
        <w:ind w:left="111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0"/>
        <w:ind w:left="1095" w:right="1110" w:firstLine="0"/>
        <w:jc w:val="center"/>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center"/>
        <w:rPr>
          <w:rFonts w:ascii="宋体" w:hAnsi="宋体" w:cs="宋体" w:eastAsia="宋体" w:hint="default"/>
          <w:sz w:val="21"/>
          <w:szCs w:val="21"/>
        </w:rPr>
        <w:sectPr>
          <w:type w:val="continuous"/>
          <w:pgSz w:w="11910" w:h="16840"/>
          <w:pgMar w:top="1100" w:bottom="1160" w:left="20" w:right="0"/>
          <w:cols w:num="2" w:equalWidth="0">
            <w:col w:w="6634" w:space="2061"/>
            <w:col w:w="3195"/>
          </w:cols>
        </w:sectPr>
      </w:pPr>
    </w:p>
    <w:p>
      <w:pPr>
        <w:spacing w:line="240" w:lineRule="auto" w:before="12"/>
        <w:rPr>
          <w:rFonts w:ascii="宋体" w:hAnsi="宋体" w:cs="宋体" w:eastAsia="宋体" w:hint="default"/>
          <w:sz w:val="6"/>
          <w:szCs w:val="6"/>
        </w:rPr>
      </w:pPr>
    </w:p>
    <w:tbl>
      <w:tblPr>
        <w:tblW w:w="0" w:type="auto"/>
        <w:jc w:val="left"/>
        <w:tblInd w:w="1108" w:type="dxa"/>
        <w:tblLayout w:type="fixed"/>
        <w:tblCellMar>
          <w:top w:w="0" w:type="dxa"/>
          <w:left w:w="0" w:type="dxa"/>
          <w:bottom w:w="0" w:type="dxa"/>
          <w:right w:w="0" w:type="dxa"/>
        </w:tblCellMar>
        <w:tblLook w:val="01E0"/>
      </w:tblPr>
      <w:tblGrid>
        <w:gridCol w:w="2393"/>
        <w:gridCol w:w="2391"/>
        <w:gridCol w:w="2393"/>
        <w:gridCol w:w="2393"/>
      </w:tblGrid>
      <w:tr>
        <w:trPr>
          <w:trHeight w:val="206"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0" w:hRule="exact"/>
        </w:trPr>
        <w:tc>
          <w:tcPr>
            <w:tcW w:w="23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3" w:type="dxa"/>
            <w:vMerge/>
            <w:tcBorders>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7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06"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396,945,525.51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19,847,276.28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38,147,487.14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7,629,497.43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160" w:left="2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11,482,405.12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5,741,202.48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24,824,832.89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24,824,832.89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471,400,250.66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58,042,809.08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12.31%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980"/>
        </w:sectPr>
      </w:pPr>
    </w:p>
    <w:p>
      <w:pPr>
        <w:pStyle w:val="BodyText"/>
        <w:spacing w:line="357" w:lineRule="auto" w:before="39"/>
        <w:ind w:right="2621"/>
        <w:jc w:val="left"/>
      </w:pPr>
      <w:r>
        <w:rPr/>
        <w:t>确定该组合依据的说明：无 组合中，采用余额百分比法计提坏账准备的应收账款：</w:t>
      </w:r>
    </w:p>
    <w:p>
      <w:pPr>
        <w:pStyle w:val="BodyText"/>
        <w:spacing w:line="348" w:lineRule="auto" w:before="36"/>
        <w:ind w:right="3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组合中，采用其他方法计提坏账准备的应收账款： 无</w:t>
      </w:r>
    </w:p>
    <w:p>
      <w:pPr>
        <w:pStyle w:val="Heading2"/>
        <w:spacing w:line="240" w:lineRule="auto" w:before="46"/>
        <w:ind w:right="262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36"/>
        <w:ind w:right="-19"/>
        <w:jc w:val="left"/>
      </w:pPr>
      <w:r>
        <w:rPr/>
        <w:t>本期计提坏账准备金额</w:t>
      </w:r>
      <w:r>
        <w:rPr>
          <w:spacing w:val="-60"/>
        </w:rPr>
        <w:t> </w:t>
      </w:r>
      <w:r>
        <w:rPr>
          <w:rFonts w:ascii="Times New Roman" w:hAnsi="Times New Roman" w:cs="Times New Roman" w:eastAsia="Times New Roman" w:hint="default"/>
        </w:rPr>
        <w:t>0.00 </w:t>
      </w:r>
      <w:r>
        <w:rPr/>
        <w:t>元；本期收回或转回坏账准备金额</w:t>
      </w:r>
      <w:r>
        <w:rPr>
          <w:spacing w:val="-60"/>
        </w:rPr>
        <w:t> </w:t>
      </w:r>
      <w:r>
        <w:rPr>
          <w:rFonts w:ascii="Times New Roman" w:hAnsi="Times New Roman" w:cs="Times New Roman" w:eastAsia="Times New Roman" w:hint="default"/>
        </w:rPr>
        <w:t>6,086,528.76 </w:t>
      </w:r>
      <w:r>
        <w:rPr/>
        <w:t>元。</w:t>
      </w:r>
    </w:p>
    <w:p>
      <w:pPr>
        <w:spacing w:line="338" w:lineRule="auto" w:before="135"/>
        <w:ind w:left="153" w:right="272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）按欠款方归集的期末余额前五名的应收账款情况</w:t>
      </w:r>
      <w:r>
        <w:rPr>
          <w:rFonts w:ascii="宋体" w:hAnsi="宋体" w:cs="宋体" w:eastAsia="宋体" w:hint="default"/>
          <w:b/>
          <w:bCs/>
          <w:w w:val="99"/>
          <w:sz w:val="24"/>
          <w:szCs w:val="24"/>
        </w:rPr>
        <w:t> </w:t>
      </w:r>
      <w:r>
        <w:rPr>
          <w:rFonts w:ascii="宋体" w:hAnsi="宋体" w:cs="宋体" w:eastAsia="宋体" w:hint="default"/>
          <w:sz w:val="24"/>
          <w:szCs w:val="24"/>
        </w:rPr>
        <w:t>公司是否需要遵守特殊行业的披露要求</w:t>
      </w:r>
    </w:p>
    <w:p>
      <w:pPr>
        <w:pStyle w:val="BodyText"/>
        <w:spacing w:line="240" w:lineRule="auto"/>
        <w:ind w:right="2621"/>
        <w:jc w:val="left"/>
      </w:pPr>
      <w:r>
        <w:rPr/>
        <w:t>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1160" w:left="980" w:right="980"/>
          <w:cols w:num="2" w:equalWidth="0">
            <w:col w:w="8555" w:space="122"/>
            <w:col w:w="1273"/>
          </w:cols>
        </w:sectPr>
      </w:pPr>
    </w:p>
    <w:p>
      <w:pPr>
        <w:spacing w:line="240" w:lineRule="auto" w:before="10"/>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2693"/>
        <w:gridCol w:w="1608"/>
        <w:gridCol w:w="1284"/>
        <w:gridCol w:w="2086"/>
        <w:gridCol w:w="1988"/>
      </w:tblGrid>
      <w:tr>
        <w:trPr>
          <w:trHeight w:val="65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17"/>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7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89"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占应收账款期末余额</w:t>
            </w:r>
            <w:r>
              <w:rPr>
                <w:rFonts w:ascii="宋体" w:hAnsi="宋体" w:cs="宋体" w:eastAsia="宋体" w:hint="default"/>
                <w:w w:val="100"/>
                <w:sz w:val="21"/>
                <w:szCs w:val="21"/>
              </w:rPr>
              <w:t> </w:t>
            </w:r>
            <w:r>
              <w:rPr>
                <w:rFonts w:ascii="宋体" w:hAnsi="宋体" w:cs="宋体" w:eastAsia="宋体" w:hint="default"/>
                <w:sz w:val="21"/>
                <w:szCs w:val="21"/>
              </w:rPr>
              <w:t>合计数的比例</w:t>
            </w:r>
            <w:r>
              <w:rPr>
                <w:rFonts w:ascii="Times New Roman" w:hAnsi="Times New Roman" w:cs="Times New Roman" w:eastAsia="Times New Roman" w:hint="default"/>
                <w:sz w:val="21"/>
                <w:szCs w:val="21"/>
              </w:rPr>
              <w:t>(%)</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48"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34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890"/>
              <w:jc w:val="right"/>
              <w:rPr>
                <w:rFonts w:ascii="宋体" w:hAnsi="宋体" w:cs="宋体" w:eastAsia="宋体" w:hint="default"/>
                <w:sz w:val="21"/>
                <w:szCs w:val="21"/>
              </w:rPr>
            </w:pPr>
            <w:r>
              <w:rPr>
                <w:rFonts w:ascii="宋体" w:hAnsi="宋体" w:cs="宋体" w:eastAsia="宋体" w:hint="default"/>
                <w:spacing w:val="-1"/>
                <w:sz w:val="21"/>
                <w:szCs w:val="21"/>
              </w:rPr>
              <w:t>应收账款金额前</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名</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86" w:right="0"/>
              <w:jc w:val="left"/>
              <w:rPr>
                <w:rFonts w:ascii="Times New Roman" w:hAnsi="Times New Roman" w:cs="Times New Roman" w:eastAsia="Times New Roman" w:hint="default"/>
                <w:sz w:val="21"/>
                <w:szCs w:val="21"/>
              </w:rPr>
            </w:pPr>
            <w:r>
              <w:rPr>
                <w:rFonts w:ascii="Times New Roman"/>
                <w:sz w:val="21"/>
              </w:rPr>
              <w:t>51,356,710.00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10.89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71" w:right="0"/>
              <w:jc w:val="left"/>
              <w:rPr>
                <w:rFonts w:ascii="Times New Roman" w:hAnsi="Times New Roman" w:cs="Times New Roman" w:eastAsia="Times New Roman" w:hint="default"/>
                <w:sz w:val="21"/>
                <w:szCs w:val="21"/>
              </w:rPr>
            </w:pPr>
            <w:r>
              <w:rPr>
                <w:rFonts w:ascii="Times New Roman"/>
                <w:sz w:val="21"/>
              </w:rPr>
              <w:t>2,567,835.50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00" w:bottom="1160" w:left="980" w:right="980"/>
        </w:sectPr>
      </w:pPr>
    </w:p>
    <w:p>
      <w:pPr>
        <w:pStyle w:val="Heading2"/>
        <w:spacing w:line="240" w:lineRule="auto" w:before="168"/>
        <w:ind w:right="-19"/>
        <w:jc w:val="left"/>
        <w:rPr>
          <w:b w:val="0"/>
          <w:bCs w:val="0"/>
        </w:rPr>
      </w:pPr>
      <w:r>
        <w:rPr>
          <w:rFonts w:ascii="Times New Roman" w:hAnsi="Times New Roman" w:cs="Times New Roman" w:eastAsia="Times New Roman" w:hint="default"/>
        </w:rPr>
        <w:t>4</w:t>
      </w:r>
      <w:r>
        <w:rPr/>
        <w:t>、预付款项</w:t>
      </w:r>
      <w:r>
        <w:rPr>
          <w:b w:val="0"/>
          <w:bCs w:val="0"/>
        </w:rPr>
      </w:r>
    </w:p>
    <w:p>
      <w:pPr>
        <w:pStyle w:val="Heading2"/>
        <w:spacing w:line="240" w:lineRule="auto" w:before="135"/>
        <w:ind w:right="-19"/>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80"/>
          <w:cols w:num="2" w:equalWidth="0">
            <w:col w:w="2925" w:space="5769"/>
            <w:col w:w="1256"/>
          </w:cols>
        </w:sectPr>
      </w:pP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7,448,868.10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85.39%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8,742,657.39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82.63%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1,197,502.40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13.73%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1,470,964.75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13.90%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318,700.46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3.01%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51,895.00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48,465.00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0.46%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8,722,865.50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10,580,787.60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338" w:lineRule="auto" w:before="39"/>
        <w:ind w:right="3294"/>
        <w:jc w:val="left"/>
      </w:pPr>
      <w:r>
        <w:rPr/>
        <w:t>账龄超过</w:t>
      </w:r>
      <w:r>
        <w:rPr>
          <w:spacing w:val="-61"/>
        </w:rPr>
        <w:t> </w:t>
      </w:r>
      <w:r>
        <w:rPr>
          <w:rFonts w:ascii="Times New Roman" w:hAnsi="Times New Roman" w:cs="Times New Roman" w:eastAsia="Times New Roman" w:hint="default"/>
        </w:rPr>
        <w:t>1 </w:t>
      </w:r>
      <w:r>
        <w:rPr/>
        <w:t>年且金额重要的预付款项未及时结算原因的说明： 无</w:t>
      </w:r>
    </w:p>
    <w:p>
      <w:pPr>
        <w:pStyle w:val="Heading2"/>
        <w:spacing w:line="240" w:lineRule="auto" w:before="55"/>
        <w:ind w:right="29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5"/>
        <w:rPr>
          <w:rFonts w:ascii="宋体" w:hAnsi="宋体" w:cs="宋体" w:eastAsia="宋体" w:hint="default"/>
          <w:b/>
          <w:bCs/>
          <w:sz w:val="7"/>
          <w:szCs w:val="7"/>
        </w:rPr>
      </w:pPr>
    </w:p>
    <w:tbl>
      <w:tblPr>
        <w:tblW w:w="0" w:type="auto"/>
        <w:jc w:val="left"/>
        <w:tblInd w:w="138" w:type="dxa"/>
        <w:tblLayout w:type="fixed"/>
        <w:tblCellMar>
          <w:top w:w="0" w:type="dxa"/>
          <w:left w:w="0" w:type="dxa"/>
          <w:bottom w:w="0" w:type="dxa"/>
          <w:right w:w="0" w:type="dxa"/>
        </w:tblCellMar>
        <w:tblLook w:val="01E0"/>
      </w:tblPr>
      <w:tblGrid>
        <w:gridCol w:w="2854"/>
        <w:gridCol w:w="1925"/>
        <w:gridCol w:w="1128"/>
        <w:gridCol w:w="2084"/>
        <w:gridCol w:w="1668"/>
      </w:tblGrid>
      <w:tr>
        <w:trPr>
          <w:trHeight w:val="655"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5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52" w:right="84"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占预付款项期末余额</w:t>
            </w:r>
            <w:r>
              <w:rPr>
                <w:rFonts w:ascii="宋体" w:hAnsi="宋体" w:cs="宋体" w:eastAsia="宋体" w:hint="default"/>
                <w:w w:val="100"/>
                <w:sz w:val="21"/>
                <w:szCs w:val="21"/>
              </w:rPr>
              <w:t> </w:t>
            </w:r>
            <w:r>
              <w:rPr>
                <w:rFonts w:ascii="宋体" w:hAnsi="宋体" w:cs="宋体" w:eastAsia="宋体" w:hint="default"/>
                <w:sz w:val="21"/>
                <w:szCs w:val="21"/>
              </w:rPr>
              <w:t>合计数的比例</w:t>
            </w:r>
            <w:r>
              <w:rPr>
                <w:rFonts w:ascii="Times New Roman" w:hAnsi="Times New Roman" w:cs="Times New Roman" w:eastAsia="Times New Roman" w:hint="default"/>
                <w:sz w:val="21"/>
                <w:szCs w:val="21"/>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04"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bl>
    <w:p>
      <w:pPr>
        <w:spacing w:after="0" w:line="240" w:lineRule="auto"/>
        <w:jc w:val="left"/>
        <w:rPr>
          <w:rFonts w:ascii="宋体" w:hAnsi="宋体" w:cs="宋体" w:eastAsia="宋体" w:hint="default"/>
          <w:sz w:val="21"/>
          <w:szCs w:val="21"/>
        </w:rPr>
        <w:sectPr>
          <w:type w:val="continuous"/>
          <w:pgSz w:w="11910" w:h="16840"/>
          <w:pgMar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118" w:type="dxa"/>
        <w:tblLayout w:type="fixed"/>
        <w:tblCellMar>
          <w:top w:w="0" w:type="dxa"/>
          <w:left w:w="0" w:type="dxa"/>
          <w:bottom w:w="0" w:type="dxa"/>
          <w:right w:w="0" w:type="dxa"/>
        </w:tblCellMar>
        <w:tblLook w:val="01E0"/>
      </w:tblPr>
      <w:tblGrid>
        <w:gridCol w:w="2854"/>
        <w:gridCol w:w="1925"/>
        <w:gridCol w:w="1128"/>
        <w:gridCol w:w="2084"/>
        <w:gridCol w:w="1668"/>
      </w:tblGrid>
      <w:tr>
        <w:trPr>
          <w:trHeight w:val="598"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哈尔滨哈浪金科技有限公司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800,000.00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9.17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服务尚未完成</w:t>
            </w:r>
          </w:p>
        </w:tc>
      </w:tr>
      <w:tr>
        <w:trPr>
          <w:trHeight w:val="598"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苏州微维大数据有限公司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559,160.00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6.41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服务尚未完成</w:t>
            </w:r>
          </w:p>
        </w:tc>
      </w:tr>
      <w:tr>
        <w:trPr>
          <w:trHeight w:val="595"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新乡市旭日测绘有限公司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4.59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服务尚未完成</w:t>
            </w:r>
          </w:p>
        </w:tc>
      </w:tr>
      <w:tr>
        <w:trPr>
          <w:trHeight w:val="598"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曲靖誉科电脑科技有限公司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392,280.00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4.50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服务尚未完成</w:t>
            </w:r>
          </w:p>
        </w:tc>
      </w:tr>
      <w:tr>
        <w:trPr>
          <w:trHeight w:val="598"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广东蓝图信息技术有限公司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332,471.20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年以内</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3.81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服务尚未完成</w:t>
            </w:r>
          </w:p>
        </w:tc>
      </w:tr>
      <w:tr>
        <w:trPr>
          <w:trHeight w:val="598"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2,483,911.20</w:t>
            </w:r>
          </w:p>
        </w:tc>
        <w:tc>
          <w:tcPr>
            <w:tcW w:w="1128"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28.48</w:t>
            </w:r>
          </w:p>
        </w:tc>
        <w:tc>
          <w:tcPr>
            <w:tcW w:w="1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0" w:right="0"/>
        </w:sectPr>
      </w:pPr>
    </w:p>
    <w:p>
      <w:pPr>
        <w:pStyle w:val="BodyText"/>
        <w:spacing w:line="357" w:lineRule="auto" w:before="39"/>
        <w:ind w:left="1133" w:right="1551"/>
        <w:jc w:val="left"/>
      </w:pPr>
      <w:r>
        <w:rPr/>
        <w:t>其他说明： 无</w:t>
      </w:r>
    </w:p>
    <w:p>
      <w:pPr>
        <w:pStyle w:val="Heading2"/>
        <w:spacing w:line="240" w:lineRule="auto" w:before="36"/>
        <w:ind w:left="1133" w:right="-19"/>
        <w:jc w:val="left"/>
        <w:rPr>
          <w:b w:val="0"/>
          <w:bCs w:val="0"/>
        </w:rPr>
      </w:pPr>
      <w:r>
        <w:rPr>
          <w:rFonts w:ascii="Times New Roman" w:hAnsi="Times New Roman" w:cs="Times New Roman" w:eastAsia="Times New Roman" w:hint="default"/>
        </w:rPr>
        <w:t>5</w:t>
      </w:r>
      <w:r>
        <w:rPr/>
        <w:t>、其他应收款</w:t>
      </w:r>
      <w:r>
        <w:rPr>
          <w:b w:val="0"/>
          <w:bCs w:val="0"/>
        </w:rPr>
      </w:r>
    </w:p>
    <w:p>
      <w:pPr>
        <w:pStyle w:val="Heading2"/>
        <w:spacing w:line="240" w:lineRule="auto" w:before="135"/>
        <w:ind w:left="1133" w:right="-19"/>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p>
      <w:pPr>
        <w:spacing w:before="0"/>
        <w:ind w:left="1113" w:right="1111" w:firstLine="0"/>
        <w:jc w:val="center"/>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center"/>
        <w:rPr>
          <w:rFonts w:ascii="宋体" w:hAnsi="宋体" w:cs="宋体" w:eastAsia="宋体" w:hint="default"/>
          <w:sz w:val="21"/>
          <w:szCs w:val="21"/>
        </w:rPr>
        <w:sectPr>
          <w:type w:val="continuous"/>
          <w:pgSz w:w="11910" w:h="16840"/>
          <w:pgMar w:top="1100" w:bottom="1160" w:left="0" w:right="0"/>
          <w:cols w:num="2" w:equalWidth="0">
            <w:col w:w="3905" w:space="4789"/>
            <w:col w:w="3216"/>
          </w:cols>
        </w:sectPr>
      </w:pPr>
    </w:p>
    <w:p>
      <w:pPr>
        <w:spacing w:line="240" w:lineRule="auto" w:before="10"/>
        <w:rPr>
          <w:rFonts w:ascii="宋体" w:hAnsi="宋体" w:cs="宋体" w:eastAsia="宋体" w:hint="default"/>
          <w:sz w:val="6"/>
          <w:szCs w:val="6"/>
        </w:rPr>
      </w:pPr>
    </w:p>
    <w:tbl>
      <w:tblPr>
        <w:tblW w:w="0" w:type="auto"/>
        <w:jc w:val="left"/>
        <w:tblInd w:w="69" w:type="dxa"/>
        <w:tblLayout w:type="fixed"/>
        <w:tblCellMar>
          <w:top w:w="0" w:type="dxa"/>
          <w:left w:w="0" w:type="dxa"/>
          <w:bottom w:w="0" w:type="dxa"/>
          <w:right w:w="0" w:type="dxa"/>
        </w:tblCellMar>
        <w:tblLook w:val="01E0"/>
      </w:tblPr>
      <w:tblGrid>
        <w:gridCol w:w="752"/>
        <w:gridCol w:w="1497"/>
        <w:gridCol w:w="698"/>
        <w:gridCol w:w="1275"/>
        <w:gridCol w:w="703"/>
        <w:gridCol w:w="1342"/>
        <w:gridCol w:w="1404"/>
        <w:gridCol w:w="656"/>
        <w:gridCol w:w="1373"/>
        <w:gridCol w:w="740"/>
        <w:gridCol w:w="1327"/>
      </w:tblGrid>
      <w:tr>
        <w:trPr>
          <w:trHeight w:val="402" w:hRule="exact"/>
        </w:trPr>
        <w:tc>
          <w:tcPr>
            <w:tcW w:w="752" w:type="dxa"/>
            <w:vMerge w:val="restart"/>
            <w:tcBorders>
              <w:top w:val="single" w:sz="4" w:space="0" w:color="000000"/>
              <w:left w:val="single" w:sz="4" w:space="0" w:color="000000"/>
              <w:right w:val="single" w:sz="4" w:space="0" w:color="000000"/>
            </w:tcBorders>
            <w:shd w:val="clear" w:color="auto" w:fill="D2D2D2"/>
          </w:tcPr>
          <w:p>
            <w:pPr/>
          </w:p>
        </w:tc>
        <w:tc>
          <w:tcPr>
            <w:tcW w:w="55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49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62" w:hRule="exact"/>
        </w:trPr>
        <w:tc>
          <w:tcPr>
            <w:tcW w:w="752" w:type="dxa"/>
            <w:vMerge/>
            <w:tcBorders>
              <w:left w:val="single" w:sz="4" w:space="0" w:color="000000"/>
              <w:bottom w:val="nil" w:sz="6" w:space="0" w:color="auto"/>
              <w:right w:val="single" w:sz="4" w:space="0" w:color="000000"/>
            </w:tcBorders>
            <w:shd w:val="clear" w:color="auto" w:fill="D2D2D2"/>
          </w:tcPr>
          <w:p>
            <w:pPr/>
          </w:p>
        </w:tc>
        <w:tc>
          <w:tcPr>
            <w:tcW w:w="21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6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56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42" w:type="dxa"/>
            <w:vMerge w:val="restart"/>
            <w:tcBorders>
              <w:top w:val="single" w:sz="4" w:space="0" w:color="000000"/>
              <w:left w:val="single" w:sz="4" w:space="0" w:color="000000"/>
              <w:right w:val="single" w:sz="4" w:space="0" w:color="000000"/>
            </w:tcBorders>
            <w:shd w:val="clear" w:color="auto" w:fill="D2D2D2"/>
          </w:tcPr>
          <w:p>
            <w:pPr/>
          </w:p>
        </w:tc>
        <w:tc>
          <w:tcPr>
            <w:tcW w:w="20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6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27"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7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6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2195" w:type="dxa"/>
            <w:gridSpan w:val="2"/>
            <w:vMerge/>
            <w:tcBorders>
              <w:left w:val="single" w:sz="4" w:space="0" w:color="000000"/>
              <w:bottom w:val="single" w:sz="4" w:space="0" w:color="000000"/>
              <w:right w:val="single" w:sz="4" w:space="0" w:color="000000"/>
            </w:tcBorders>
            <w:shd w:val="clear" w:color="auto" w:fill="D2D2D2"/>
          </w:tcPr>
          <w:p>
            <w:pPr/>
          </w:p>
        </w:tc>
        <w:tc>
          <w:tcPr>
            <w:tcW w:w="1978" w:type="dxa"/>
            <w:gridSpan w:val="2"/>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nil" w:sz="6" w:space="0" w:color="auto"/>
              <w:right w:val="single" w:sz="4" w:space="0" w:color="000000"/>
            </w:tcBorders>
            <w:shd w:val="clear" w:color="auto" w:fill="D2D2D2"/>
          </w:tcPr>
          <w:p>
            <w:pPr/>
          </w:p>
        </w:tc>
        <w:tc>
          <w:tcPr>
            <w:tcW w:w="2060" w:type="dxa"/>
            <w:gridSpan w:val="2"/>
            <w:vMerge/>
            <w:tcBorders>
              <w:left w:val="single" w:sz="4" w:space="0" w:color="000000"/>
              <w:bottom w:val="single" w:sz="4" w:space="0" w:color="000000"/>
              <w:right w:val="single" w:sz="4" w:space="0" w:color="000000"/>
            </w:tcBorders>
            <w:shd w:val="clear" w:color="auto" w:fill="D2D2D2"/>
          </w:tcPr>
          <w:p>
            <w:pPr/>
          </w:p>
        </w:tc>
        <w:tc>
          <w:tcPr>
            <w:tcW w:w="2112" w:type="dxa"/>
            <w:gridSpan w:val="2"/>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752" w:type="dxa"/>
            <w:vMerge/>
            <w:tcBorders>
              <w:left w:val="single" w:sz="4" w:space="0" w:color="000000"/>
              <w:bottom w:val="nil" w:sz="6" w:space="0" w:color="auto"/>
              <w:right w:val="single" w:sz="4" w:space="0" w:color="000000"/>
            </w:tcBorders>
            <w:shd w:val="clear" w:color="auto" w:fill="D2D2D2"/>
          </w:tcPr>
          <w:p>
            <w:pPr/>
          </w:p>
        </w:tc>
        <w:tc>
          <w:tcPr>
            <w:tcW w:w="14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2" w:right="26" w:hanging="212"/>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1342"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4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0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4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61" w:right="45" w:hanging="212"/>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1327"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3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92" w:hRule="exact"/>
        </w:trPr>
        <w:tc>
          <w:tcPr>
            <w:tcW w:w="752" w:type="dxa"/>
            <w:vMerge w:val="restart"/>
            <w:tcBorders>
              <w:top w:val="nil" w:sz="6" w:space="0" w:color="auto"/>
              <w:left w:val="single" w:sz="4" w:space="0" w:color="000000"/>
              <w:right w:val="single" w:sz="4" w:space="0" w:color="000000"/>
            </w:tcBorders>
            <w:shd w:val="clear" w:color="auto" w:fill="D2D2D2"/>
          </w:tcPr>
          <w:p>
            <w:pPr/>
          </w:p>
        </w:tc>
        <w:tc>
          <w:tcPr>
            <w:tcW w:w="14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3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3" w:type="dxa"/>
            <w:vMerge/>
            <w:tcBorders>
              <w:left w:val="single" w:sz="4" w:space="0" w:color="000000"/>
              <w:right w:val="single" w:sz="4" w:space="0" w:color="000000"/>
            </w:tcBorders>
            <w:shd w:val="clear" w:color="auto" w:fill="D2D2D2"/>
          </w:tcPr>
          <w:p>
            <w:pPr/>
          </w:p>
        </w:tc>
        <w:tc>
          <w:tcPr>
            <w:tcW w:w="1342" w:type="dxa"/>
            <w:vMerge/>
            <w:tcBorders>
              <w:left w:val="single" w:sz="4" w:space="0" w:color="000000"/>
              <w:bottom w:val="nil" w:sz="6" w:space="0" w:color="auto"/>
              <w:right w:val="single" w:sz="4" w:space="0" w:color="000000"/>
            </w:tcBorders>
            <w:shd w:val="clear" w:color="auto" w:fill="D2D2D2"/>
          </w:tcPr>
          <w:p>
            <w:pPr/>
          </w:p>
        </w:tc>
        <w:tc>
          <w:tcPr>
            <w:tcW w:w="14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vMerge/>
            <w:tcBorders>
              <w:left w:val="single" w:sz="4" w:space="0" w:color="000000"/>
              <w:right w:val="single" w:sz="4" w:space="0" w:color="000000"/>
            </w:tcBorders>
            <w:shd w:val="clear" w:color="auto" w:fill="D2D2D2"/>
          </w:tcPr>
          <w:p>
            <w:pPr/>
          </w:p>
        </w:tc>
        <w:tc>
          <w:tcPr>
            <w:tcW w:w="1327"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752" w:type="dxa"/>
            <w:vMerge/>
            <w:tcBorders>
              <w:left w:val="single" w:sz="4" w:space="0" w:color="000000"/>
              <w:right w:val="single" w:sz="4" w:space="0" w:color="000000"/>
            </w:tcBorders>
            <w:shd w:val="clear" w:color="auto" w:fill="D2D2D2"/>
          </w:tcPr>
          <w:p>
            <w:pPr/>
          </w:p>
        </w:tc>
        <w:tc>
          <w:tcPr>
            <w:tcW w:w="1497"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703" w:type="dxa"/>
            <w:vMerge/>
            <w:tcBorders>
              <w:left w:val="single" w:sz="4" w:space="0" w:color="000000"/>
              <w:right w:val="single" w:sz="4" w:space="0" w:color="000000"/>
            </w:tcBorders>
            <w:shd w:val="clear" w:color="auto" w:fill="D2D2D2"/>
          </w:tcPr>
          <w:p>
            <w:pPr/>
          </w:p>
        </w:tc>
        <w:tc>
          <w:tcPr>
            <w:tcW w:w="1342" w:type="dxa"/>
            <w:vMerge w:val="restart"/>
            <w:tcBorders>
              <w:top w:val="nil" w:sz="6" w:space="0" w:color="auto"/>
              <w:left w:val="single" w:sz="4" w:space="0" w:color="000000"/>
              <w:right w:val="single" w:sz="4" w:space="0" w:color="000000"/>
            </w:tcBorders>
            <w:shd w:val="clear" w:color="auto" w:fill="D2D2D2"/>
          </w:tcPr>
          <w:p>
            <w:pPr/>
          </w:p>
        </w:tc>
        <w:tc>
          <w:tcPr>
            <w:tcW w:w="1404" w:type="dxa"/>
            <w:vMerge/>
            <w:tcBorders>
              <w:left w:val="single" w:sz="4" w:space="0" w:color="000000"/>
              <w:bottom w:val="nil" w:sz="6" w:space="0" w:color="auto"/>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1373" w:type="dxa"/>
            <w:vMerge/>
            <w:tcBorders>
              <w:left w:val="single" w:sz="4" w:space="0" w:color="000000"/>
              <w:bottom w:val="nil" w:sz="6" w:space="0" w:color="auto"/>
              <w:right w:val="single" w:sz="4" w:space="0" w:color="000000"/>
            </w:tcBorders>
            <w:shd w:val="clear" w:color="auto" w:fill="D2D2D2"/>
          </w:tcPr>
          <w:p>
            <w:pPr/>
          </w:p>
        </w:tc>
        <w:tc>
          <w:tcPr>
            <w:tcW w:w="740" w:type="dxa"/>
            <w:vMerge/>
            <w:tcBorders>
              <w:left w:val="single" w:sz="4" w:space="0" w:color="000000"/>
              <w:right w:val="single" w:sz="4" w:space="0" w:color="000000"/>
            </w:tcBorders>
            <w:shd w:val="clear" w:color="auto" w:fill="D2D2D2"/>
          </w:tcPr>
          <w:p>
            <w:pPr/>
          </w:p>
        </w:tc>
        <w:tc>
          <w:tcPr>
            <w:tcW w:w="132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752" w:type="dxa"/>
            <w:vMerge/>
            <w:tcBorders>
              <w:left w:val="single" w:sz="4" w:space="0" w:color="000000"/>
              <w:bottom w:val="single" w:sz="4" w:space="0" w:color="000000"/>
              <w:right w:val="single" w:sz="4" w:space="0" w:color="000000"/>
            </w:tcBorders>
            <w:shd w:val="clear" w:color="auto" w:fill="D2D2D2"/>
          </w:tcPr>
          <w:p>
            <w:pPr/>
          </w:p>
        </w:tc>
        <w:tc>
          <w:tcPr>
            <w:tcW w:w="14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140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4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2276" w:hRule="exact"/>
        </w:trPr>
        <w:tc>
          <w:tcPr>
            <w:tcW w:w="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12" w:right="95"/>
              <w:jc w:val="both"/>
              <w:rPr>
                <w:rFonts w:ascii="宋体" w:hAnsi="宋体" w:cs="宋体" w:eastAsia="宋体" w:hint="default"/>
                <w:sz w:val="21"/>
                <w:szCs w:val="21"/>
              </w:rPr>
            </w:pPr>
            <w:r>
              <w:rPr>
                <w:rFonts w:ascii="宋体" w:hAnsi="宋体" w:cs="宋体" w:eastAsia="宋体" w:hint="default"/>
                <w:sz w:val="21"/>
                <w:szCs w:val="21"/>
              </w:rPr>
              <w:t>单项金</w:t>
            </w:r>
            <w:r>
              <w:rPr>
                <w:rFonts w:ascii="宋体" w:hAnsi="宋体" w:cs="宋体" w:eastAsia="宋体" w:hint="default"/>
                <w:spacing w:val="-102"/>
                <w:sz w:val="21"/>
                <w:szCs w:val="21"/>
              </w:rPr>
              <w:t> </w:t>
            </w:r>
            <w:r>
              <w:rPr>
                <w:rFonts w:ascii="宋体" w:hAnsi="宋体" w:cs="宋体" w:eastAsia="宋体" w:hint="default"/>
                <w:sz w:val="21"/>
                <w:szCs w:val="21"/>
              </w:rPr>
              <w:t>额重大</w:t>
            </w:r>
            <w:r>
              <w:rPr>
                <w:rFonts w:ascii="宋体" w:hAnsi="宋体" w:cs="宋体" w:eastAsia="宋体" w:hint="default"/>
                <w:spacing w:val="-102"/>
                <w:sz w:val="21"/>
                <w:szCs w:val="21"/>
              </w:rPr>
              <w:t> </w:t>
            </w:r>
            <w:r>
              <w:rPr>
                <w:rFonts w:ascii="宋体" w:hAnsi="宋体" w:cs="宋体" w:eastAsia="宋体" w:hint="default"/>
                <w:sz w:val="21"/>
                <w:szCs w:val="21"/>
              </w:rPr>
              <w:t>并单独</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的其他</w:t>
            </w:r>
            <w:r>
              <w:rPr>
                <w:rFonts w:ascii="宋体" w:hAnsi="宋体" w:cs="宋体" w:eastAsia="宋体" w:hint="default"/>
                <w:spacing w:val="-102"/>
                <w:sz w:val="21"/>
                <w:szCs w:val="21"/>
              </w:rPr>
              <w:t> </w:t>
            </w:r>
            <w:r>
              <w:rPr>
                <w:rFonts w:ascii="宋体" w:hAnsi="宋体" w:cs="宋体" w:eastAsia="宋体" w:hint="default"/>
                <w:sz w:val="21"/>
                <w:szCs w:val="21"/>
              </w:rPr>
              <w:t>应收款</w:t>
            </w:r>
          </w:p>
        </w:tc>
        <w:tc>
          <w:tcPr>
            <w:tcW w:w="1497" w:type="dxa"/>
            <w:tcBorders>
              <w:top w:val="single" w:sz="4" w:space="0" w:color="000000"/>
              <w:left w:val="single" w:sz="12" w:space="0" w:color="D2D2D2"/>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5"/>
              <w:jc w:val="both"/>
              <w:rPr>
                <w:rFonts w:ascii="宋体" w:hAnsi="宋体" w:cs="宋体" w:eastAsia="宋体" w:hint="default"/>
                <w:sz w:val="21"/>
                <w:szCs w:val="21"/>
              </w:rPr>
            </w:pPr>
            <w:r>
              <w:rPr>
                <w:rFonts w:ascii="宋体" w:hAnsi="宋体" w:cs="宋体" w:eastAsia="宋体" w:hint="default"/>
                <w:sz w:val="21"/>
                <w:szCs w:val="21"/>
              </w:rPr>
              <w:t>按信用</w:t>
            </w:r>
            <w:r>
              <w:rPr>
                <w:rFonts w:ascii="宋体" w:hAnsi="宋体" w:cs="宋体" w:eastAsia="宋体" w:hint="default"/>
                <w:spacing w:val="-102"/>
                <w:sz w:val="21"/>
                <w:szCs w:val="21"/>
              </w:rPr>
              <w:t> </w:t>
            </w:r>
            <w:r>
              <w:rPr>
                <w:rFonts w:ascii="宋体" w:hAnsi="宋体" w:cs="宋体" w:eastAsia="宋体" w:hint="default"/>
                <w:sz w:val="21"/>
                <w:szCs w:val="21"/>
              </w:rPr>
              <w:t>风险特</w:t>
            </w:r>
            <w:r>
              <w:rPr>
                <w:rFonts w:ascii="宋体" w:hAnsi="宋体" w:cs="宋体" w:eastAsia="宋体" w:hint="default"/>
                <w:spacing w:val="-102"/>
                <w:sz w:val="21"/>
                <w:szCs w:val="21"/>
              </w:rPr>
              <w:t> </w:t>
            </w:r>
            <w:r>
              <w:rPr>
                <w:rFonts w:ascii="宋体" w:hAnsi="宋体" w:cs="宋体" w:eastAsia="宋体" w:hint="default"/>
                <w:sz w:val="21"/>
                <w:szCs w:val="21"/>
              </w:rPr>
              <w:t>征组合</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的其他</w:t>
            </w:r>
            <w:r>
              <w:rPr>
                <w:rFonts w:ascii="宋体" w:hAnsi="宋体" w:cs="宋体" w:eastAsia="宋体" w:hint="default"/>
                <w:spacing w:val="-102"/>
                <w:sz w:val="21"/>
                <w:szCs w:val="21"/>
              </w:rPr>
              <w:t> </w:t>
            </w:r>
            <w:r>
              <w:rPr>
                <w:rFonts w:ascii="宋体" w:hAnsi="宋体" w:cs="宋体" w:eastAsia="宋体" w:hint="default"/>
                <w:sz w:val="21"/>
                <w:szCs w:val="21"/>
              </w:rPr>
              <w:t>应收款</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41" w:right="0"/>
              <w:jc w:val="left"/>
              <w:rPr>
                <w:rFonts w:ascii="Times New Roman" w:hAnsi="Times New Roman" w:cs="Times New Roman" w:eastAsia="Times New Roman" w:hint="default"/>
                <w:sz w:val="21"/>
                <w:szCs w:val="21"/>
              </w:rPr>
            </w:pPr>
            <w:r>
              <w:rPr>
                <w:rFonts w:ascii="Times New Roman"/>
                <w:sz w:val="21"/>
              </w:rPr>
              <w:t>106,376,577.73</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sz w:val="21"/>
              </w:rPr>
              <w:t>29,508,816.73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27.74</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76,867,761.00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74,180,009.46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99.06</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18,847,922.78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9" w:right="0"/>
              <w:jc w:val="left"/>
              <w:rPr>
                <w:rFonts w:ascii="Times New Roman" w:hAnsi="Times New Roman" w:cs="Times New Roman" w:eastAsia="Times New Roman" w:hint="default"/>
                <w:sz w:val="21"/>
                <w:szCs w:val="21"/>
              </w:rPr>
            </w:pPr>
            <w:r>
              <w:rPr>
                <w:rFonts w:ascii="Times New Roman"/>
                <w:sz w:val="21"/>
              </w:rPr>
              <w:t>25.41%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8" w:right="0"/>
              <w:jc w:val="left"/>
              <w:rPr>
                <w:rFonts w:ascii="Times New Roman" w:hAnsi="Times New Roman" w:cs="Times New Roman" w:eastAsia="Times New Roman" w:hint="default"/>
                <w:sz w:val="21"/>
                <w:szCs w:val="21"/>
              </w:rPr>
            </w:pPr>
            <w:r>
              <w:rPr>
                <w:rFonts w:ascii="Times New Roman"/>
                <w:sz w:val="21"/>
              </w:rPr>
              <w:t>55,332,086.68</w:t>
            </w:r>
          </w:p>
        </w:tc>
      </w:tr>
      <w:tr>
        <w:trPr>
          <w:trHeight w:val="1922" w:hRule="exact"/>
        </w:trPr>
        <w:tc>
          <w:tcPr>
            <w:tcW w:w="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95"/>
              <w:jc w:val="both"/>
              <w:rPr>
                <w:rFonts w:ascii="宋体" w:hAnsi="宋体" w:cs="宋体" w:eastAsia="宋体" w:hint="default"/>
                <w:sz w:val="21"/>
                <w:szCs w:val="21"/>
              </w:rPr>
            </w:pPr>
            <w:r>
              <w:rPr>
                <w:rFonts w:ascii="宋体" w:hAnsi="宋体" w:cs="宋体" w:eastAsia="宋体" w:hint="default"/>
                <w:sz w:val="21"/>
                <w:szCs w:val="21"/>
              </w:rPr>
              <w:t>单项金</w:t>
            </w:r>
            <w:r>
              <w:rPr>
                <w:rFonts w:ascii="宋体" w:hAnsi="宋体" w:cs="宋体" w:eastAsia="宋体" w:hint="default"/>
                <w:spacing w:val="-102"/>
                <w:sz w:val="21"/>
                <w:szCs w:val="21"/>
              </w:rPr>
              <w:t> </w:t>
            </w:r>
            <w:r>
              <w:rPr>
                <w:rFonts w:ascii="宋体" w:hAnsi="宋体" w:cs="宋体" w:eastAsia="宋体" w:hint="default"/>
                <w:sz w:val="21"/>
                <w:szCs w:val="21"/>
              </w:rPr>
              <w:t>额不重</w:t>
            </w:r>
            <w:r>
              <w:rPr>
                <w:rFonts w:ascii="宋体" w:hAnsi="宋体" w:cs="宋体" w:eastAsia="宋体" w:hint="default"/>
                <w:spacing w:val="-102"/>
                <w:sz w:val="21"/>
                <w:szCs w:val="21"/>
              </w:rPr>
              <w:t> </w:t>
            </w:r>
            <w:r>
              <w:rPr>
                <w:rFonts w:ascii="宋体" w:hAnsi="宋体" w:cs="宋体" w:eastAsia="宋体" w:hint="default"/>
                <w:sz w:val="21"/>
                <w:szCs w:val="21"/>
              </w:rPr>
              <w:t>大但单</w:t>
            </w:r>
            <w:r>
              <w:rPr>
                <w:rFonts w:ascii="宋体" w:hAnsi="宋体" w:cs="宋体" w:eastAsia="宋体" w:hint="default"/>
                <w:spacing w:val="-102"/>
                <w:sz w:val="21"/>
                <w:szCs w:val="21"/>
              </w:rPr>
              <w:t> </w:t>
            </w:r>
            <w:r>
              <w:rPr>
                <w:rFonts w:ascii="宋体" w:hAnsi="宋体" w:cs="宋体" w:eastAsia="宋体" w:hint="default"/>
                <w:sz w:val="21"/>
                <w:szCs w:val="21"/>
              </w:rPr>
              <w:t>独计提</w:t>
            </w:r>
            <w:r>
              <w:rPr>
                <w:rFonts w:ascii="宋体" w:hAnsi="宋体" w:cs="宋体" w:eastAsia="宋体" w:hint="default"/>
                <w:spacing w:val="-102"/>
                <w:sz w:val="21"/>
                <w:szCs w:val="21"/>
              </w:rPr>
              <w:t> </w:t>
            </w: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备的其</w:t>
            </w:r>
          </w:p>
        </w:tc>
        <w:tc>
          <w:tcPr>
            <w:tcW w:w="1497" w:type="dxa"/>
            <w:tcBorders>
              <w:top w:val="single" w:sz="4" w:space="0" w:color="000000"/>
              <w:left w:val="single" w:sz="12" w:space="0" w:color="D2D2D2"/>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702,141.89</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81" w:right="0"/>
              <w:jc w:val="left"/>
              <w:rPr>
                <w:rFonts w:ascii="Times New Roman" w:hAnsi="Times New Roman" w:cs="Times New Roman" w:eastAsia="Times New Roman" w:hint="default"/>
                <w:sz w:val="21"/>
                <w:szCs w:val="21"/>
              </w:rPr>
            </w:pPr>
            <w:r>
              <w:rPr>
                <w:rFonts w:ascii="Times New Roman"/>
                <w:sz w:val="21"/>
              </w:rPr>
              <w:t>0.94%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702,141.89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132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0" w:right="0"/>
        </w:sectPr>
      </w:pPr>
    </w:p>
    <w:p>
      <w:pPr>
        <w:spacing w:line="240" w:lineRule="auto" w:before="8"/>
        <w:rPr>
          <w:rFonts w:ascii="宋体" w:hAnsi="宋体" w:cs="宋体" w:eastAsia="宋体" w:hint="default"/>
          <w:sz w:val="24"/>
          <w:szCs w:val="24"/>
        </w:rPr>
      </w:pPr>
    </w:p>
    <w:tbl>
      <w:tblPr>
        <w:tblW w:w="0" w:type="auto"/>
        <w:jc w:val="left"/>
        <w:tblInd w:w="58" w:type="dxa"/>
        <w:tblLayout w:type="fixed"/>
        <w:tblCellMar>
          <w:top w:w="0" w:type="dxa"/>
          <w:left w:w="0" w:type="dxa"/>
          <w:bottom w:w="0" w:type="dxa"/>
          <w:right w:w="0" w:type="dxa"/>
        </w:tblCellMar>
        <w:tblLook w:val="01E0"/>
      </w:tblPr>
      <w:tblGrid>
        <w:gridCol w:w="774"/>
        <w:gridCol w:w="1486"/>
        <w:gridCol w:w="698"/>
        <w:gridCol w:w="1275"/>
        <w:gridCol w:w="703"/>
        <w:gridCol w:w="1342"/>
        <w:gridCol w:w="1404"/>
        <w:gridCol w:w="656"/>
        <w:gridCol w:w="1373"/>
        <w:gridCol w:w="740"/>
        <w:gridCol w:w="1327"/>
      </w:tblGrid>
      <w:tr>
        <w:trPr>
          <w:trHeight w:val="675"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107"/>
              <w:jc w:val="left"/>
              <w:rPr>
                <w:rFonts w:ascii="宋体" w:hAnsi="宋体" w:cs="宋体" w:eastAsia="宋体" w:hint="default"/>
                <w:sz w:val="21"/>
                <w:szCs w:val="21"/>
              </w:rPr>
            </w:pPr>
            <w:r>
              <w:rPr>
                <w:rFonts w:ascii="宋体" w:hAnsi="宋体" w:cs="宋体" w:eastAsia="宋体" w:hint="default"/>
                <w:sz w:val="21"/>
                <w:szCs w:val="21"/>
              </w:rPr>
              <w:t>他应收</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4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1" w:right="0"/>
              <w:jc w:val="left"/>
              <w:rPr>
                <w:rFonts w:ascii="Times New Roman" w:hAnsi="Times New Roman" w:cs="Times New Roman" w:eastAsia="Times New Roman" w:hint="default"/>
                <w:sz w:val="21"/>
                <w:szCs w:val="21"/>
              </w:rPr>
            </w:pPr>
            <w:r>
              <w:rPr>
                <w:rFonts w:ascii="Times New Roman"/>
                <w:sz w:val="21"/>
              </w:rPr>
              <w:t>106,376,577.73</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sz w:val="21"/>
              </w:rPr>
              <w:t>29,508,816.73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27.74</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76,867,761.00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5" w:right="0"/>
              <w:jc w:val="left"/>
              <w:rPr>
                <w:rFonts w:ascii="Times New Roman" w:hAnsi="Times New Roman" w:cs="Times New Roman" w:eastAsia="Times New Roman" w:hint="default"/>
                <w:sz w:val="21"/>
                <w:szCs w:val="21"/>
              </w:rPr>
            </w:pPr>
            <w:r>
              <w:rPr>
                <w:rFonts w:ascii="Times New Roman"/>
                <w:sz w:val="21"/>
              </w:rPr>
              <w:t>74,882,151.35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19,550,064.67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26.11%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8" w:right="0"/>
              <w:jc w:val="left"/>
              <w:rPr>
                <w:rFonts w:ascii="Times New Roman" w:hAnsi="Times New Roman" w:cs="Times New Roman" w:eastAsia="Times New Roman" w:hint="default"/>
                <w:sz w:val="21"/>
                <w:szCs w:val="21"/>
              </w:rPr>
            </w:pPr>
            <w:r>
              <w:rPr>
                <w:rFonts w:ascii="Times New Roman"/>
                <w:sz w:val="21"/>
              </w:rPr>
              <w:t>55,332,086.68</w:t>
            </w:r>
          </w:p>
        </w:tc>
      </w:tr>
    </w:tbl>
    <w:p>
      <w:pPr>
        <w:pStyle w:val="BodyText"/>
        <w:spacing w:line="240" w:lineRule="auto" w:before="39"/>
        <w:ind w:left="1133" w:right="0"/>
        <w:jc w:val="left"/>
      </w:pPr>
      <w:r>
        <w:rPr/>
        <w:t>期末单项金额重大并单项计提坏账准备的其他应收款：</w:t>
      </w:r>
    </w:p>
    <w:p>
      <w:pPr>
        <w:pStyle w:val="BodyText"/>
        <w:spacing w:line="240" w:lineRule="auto" w:before="154"/>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0" w:top="1100" w:bottom="1160" w:left="0" w:right="0"/>
        </w:sectPr>
      </w:pPr>
    </w:p>
    <w:p>
      <w:pPr>
        <w:pStyle w:val="BodyText"/>
        <w:spacing w:line="240" w:lineRule="auto" w:before="26"/>
        <w:ind w:left="1133" w:right="-20"/>
        <w:jc w:val="left"/>
      </w:pPr>
      <w:r>
        <w:rPr/>
        <w:t>组合中，按账龄分析法计提坏账准备的其他应收款：</w:t>
      </w:r>
    </w:p>
    <w:p>
      <w:pPr>
        <w:pStyle w:val="BodyText"/>
        <w:spacing w:line="240" w:lineRule="auto" w:before="154"/>
        <w:ind w:left="113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7"/>
        <w:ind w:left="1113" w:right="1111" w:firstLine="0"/>
        <w:jc w:val="center"/>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center"/>
        <w:rPr>
          <w:rFonts w:ascii="宋体" w:hAnsi="宋体" w:cs="宋体" w:eastAsia="宋体" w:hint="default"/>
          <w:sz w:val="21"/>
          <w:szCs w:val="21"/>
        </w:rPr>
        <w:sectPr>
          <w:type w:val="continuous"/>
          <w:pgSz w:w="11910" w:h="16840"/>
          <w:pgMar w:top="1100" w:bottom="1160" w:left="0" w:right="0"/>
          <w:cols w:num="2" w:equalWidth="0">
            <w:col w:w="6654" w:space="2041"/>
            <w:col w:w="3215"/>
          </w:cols>
        </w:sectPr>
      </w:pP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368"/>
        <w:gridCol w:w="2404"/>
        <w:gridCol w:w="2393"/>
        <w:gridCol w:w="2393"/>
      </w:tblGrid>
      <w:tr>
        <w:trPr>
          <w:trHeight w:val="206" w:hRule="exact"/>
        </w:trPr>
        <w:tc>
          <w:tcPr>
            <w:tcW w:w="2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0" w:hRule="exact"/>
        </w:trPr>
        <w:tc>
          <w:tcPr>
            <w:tcW w:w="2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19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68" w:type="dxa"/>
            <w:vMerge/>
            <w:tcBorders>
              <w:left w:val="single" w:sz="4" w:space="0" w:color="000000"/>
              <w:bottom w:val="nil" w:sz="6" w:space="0" w:color="auto"/>
              <w:right w:val="single" w:sz="4" w:space="0" w:color="000000"/>
            </w:tcBorders>
            <w:shd w:val="clear" w:color="auto" w:fill="D2D2D2"/>
          </w:tcPr>
          <w:p>
            <w:pPr/>
          </w:p>
        </w:tc>
        <w:tc>
          <w:tcPr>
            <w:tcW w:w="2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7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06" w:hRule="exact"/>
        </w:trPr>
        <w:tc>
          <w:tcPr>
            <w:tcW w:w="2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4"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58,281,429.02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2,914,071.45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20,373,450.87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4,074,690.18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20.00%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10,403,285.51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5,201,642.77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17,318,412.33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17,318,412.33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106,376,577.73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29,508,816.73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27.74%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160" w:left="0" w:right="0"/>
        </w:sectPr>
      </w:pPr>
    </w:p>
    <w:p>
      <w:pPr>
        <w:pStyle w:val="BodyText"/>
        <w:spacing w:line="357" w:lineRule="auto" w:before="39"/>
        <w:ind w:left="1133" w:right="5741"/>
        <w:jc w:val="left"/>
      </w:pPr>
      <w:r>
        <w:rPr/>
        <w:t>确定该组合依据的说明： 无</w:t>
      </w:r>
    </w:p>
    <w:p>
      <w:pPr>
        <w:pStyle w:val="BodyText"/>
        <w:spacing w:line="240" w:lineRule="auto" w:before="36"/>
        <w:ind w:left="1133" w:right="-20"/>
        <w:jc w:val="left"/>
      </w:pPr>
      <w:r>
        <w:rPr/>
        <w:t>组合中，采用余额百分比法计提坏账准备的其他应收款：</w:t>
      </w:r>
    </w:p>
    <w:p>
      <w:pPr>
        <w:pStyle w:val="BodyText"/>
        <w:spacing w:line="338" w:lineRule="auto" w:before="154"/>
        <w:ind w:left="1133" w:right="28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组合中，采用其他方法计提坏账准备的其他应收款：</w:t>
      </w:r>
    </w:p>
    <w:p>
      <w:pPr>
        <w:pStyle w:val="BodyText"/>
        <w:spacing w:line="240" w:lineRule="auto"/>
        <w:ind w:left="1133" w:right="57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2"/>
        <w:spacing w:line="240" w:lineRule="auto" w:before="135"/>
        <w:ind w:left="1133" w:right="-2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35"/>
        <w:ind w:left="1133" w:right="-20"/>
        <w:jc w:val="left"/>
      </w:pPr>
      <w:r>
        <w:rPr/>
        <w:t>本期计提坏账准备金额</w:t>
      </w:r>
      <w:r>
        <w:rPr>
          <w:spacing w:val="-60"/>
        </w:rPr>
        <w:t> </w:t>
      </w:r>
      <w:r>
        <w:rPr>
          <w:rFonts w:ascii="Times New Roman" w:hAnsi="Times New Roman" w:cs="Times New Roman" w:eastAsia="Times New Roman" w:hint="default"/>
        </w:rPr>
        <w:t>7,329,802.36 </w:t>
      </w:r>
      <w:r>
        <w:rPr/>
        <w:t>元；本期收回或转回坏账准备金额</w:t>
      </w:r>
      <w:r>
        <w:rPr>
          <w:spacing w:val="-59"/>
        </w:rPr>
        <w:t> </w:t>
      </w:r>
      <w:r>
        <w:rPr>
          <w:rFonts w:ascii="Times New Roman" w:hAnsi="Times New Roman" w:cs="Times New Roman" w:eastAsia="Times New Roman" w:hint="default"/>
        </w:rPr>
        <w:t>0.00 </w:t>
      </w:r>
      <w:r>
        <w:rPr/>
        <w:t>元。</w:t>
      </w:r>
    </w:p>
    <w:p>
      <w:pPr>
        <w:pStyle w:val="Heading2"/>
        <w:spacing w:line="240" w:lineRule="auto" w:before="135"/>
        <w:ind w:left="1133" w:right="-2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spacing w:before="0"/>
        <w:ind w:left="2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0" w:right="0"/>
          <w:cols w:num="2" w:equalWidth="0">
            <w:col w:w="9535" w:space="40"/>
            <w:col w:w="2335"/>
          </w:cols>
        </w:sectPr>
      </w:pPr>
    </w:p>
    <w:p>
      <w:pPr>
        <w:spacing w:line="240" w:lineRule="auto" w:before="12"/>
        <w:rPr>
          <w:rFonts w:ascii="宋体" w:hAnsi="宋体" w:cs="宋体" w:eastAsia="宋体" w:hint="default"/>
          <w:sz w:val="6"/>
          <w:szCs w:val="6"/>
        </w:rPr>
      </w:pPr>
    </w:p>
    <w:tbl>
      <w:tblPr>
        <w:tblW w:w="0" w:type="auto"/>
        <w:jc w:val="left"/>
        <w:tblInd w:w="112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押金、保证金等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81,398,063.52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47,177,178.84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23,110,272.50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26,445,957.45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1,868,241.71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1,259,015.06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106,376,577.73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74,882,151.35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160" w:left="0" w:right="0"/>
        </w:sect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0" w:top="1100" w:bottom="1160" w:left="980" w:right="980"/>
        </w:sectPr>
      </w:pPr>
    </w:p>
    <w:p>
      <w:pPr>
        <w:pStyle w:val="Heading2"/>
        <w:spacing w:line="240" w:lineRule="auto" w:before="26"/>
        <w:ind w:right="0"/>
        <w:jc w:val="left"/>
        <w:rPr>
          <w:b w:val="0"/>
          <w:bCs w:val="0"/>
        </w:rPr>
      </w:pPr>
      <w:r>
        <w:rPr>
          <w:w w:val="95"/>
        </w:rPr>
        <w:t>（</w:t>
      </w:r>
      <w:r>
        <w:rPr>
          <w:rFonts w:ascii="Times New Roman" w:hAnsi="Times New Roman" w:cs="Times New Roman" w:eastAsia="Times New Roman" w:hint="default"/>
          <w:w w:val="95"/>
        </w:rPr>
        <w:t>4</w:t>
      </w:r>
      <w:r>
        <w:rPr>
          <w:w w:val="95"/>
        </w:rPr>
        <w:t>）按欠款方归集的期末余额前五名的其他应收款情况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80"/>
          <w:cols w:num="2" w:equalWidth="0">
            <w:col w:w="6056" w:space="2639"/>
            <w:col w:w="1255"/>
          </w:cols>
        </w:sectPr>
      </w:pP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102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7" w:right="51"/>
              <w:jc w:val="center"/>
              <w:rPr>
                <w:rFonts w:ascii="宋体" w:hAnsi="宋体" w:cs="宋体" w:eastAsia="宋体" w:hint="default"/>
                <w:sz w:val="21"/>
                <w:szCs w:val="21"/>
              </w:rPr>
            </w:pPr>
            <w:r>
              <w:rPr>
                <w:rFonts w:ascii="宋体" w:hAnsi="宋体" w:cs="宋体" w:eastAsia="宋体" w:hint="default"/>
                <w:spacing w:val="-1"/>
                <w:sz w:val="21"/>
                <w:szCs w:val="21"/>
              </w:rPr>
              <w:t>占其他应收款期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686" w:right="53" w:hanging="629"/>
              <w:jc w:val="left"/>
              <w:rPr>
                <w:rFonts w:ascii="宋体" w:hAnsi="宋体" w:cs="宋体" w:eastAsia="宋体" w:hint="default"/>
                <w:sz w:val="21"/>
                <w:szCs w:val="21"/>
              </w:rPr>
            </w:pPr>
            <w:r>
              <w:rPr>
                <w:rFonts w:ascii="宋体" w:hAnsi="宋体" w:cs="宋体" w:eastAsia="宋体" w:hint="default"/>
                <w:sz w:val="21"/>
                <w:szCs w:val="21"/>
              </w:rPr>
              <w:t>坏账准备期末余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北京东方园林股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应收房租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1,721,267.63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344,253.53</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both"/>
              <w:rPr>
                <w:rFonts w:ascii="宋体" w:hAnsi="宋体" w:cs="宋体" w:eastAsia="宋体" w:hint="default"/>
                <w:sz w:val="21"/>
                <w:szCs w:val="21"/>
              </w:rPr>
            </w:pPr>
            <w:r>
              <w:rPr>
                <w:rFonts w:ascii="宋体" w:hAnsi="宋体" w:cs="宋体" w:eastAsia="宋体" w:hint="default"/>
                <w:sz w:val="21"/>
                <w:szCs w:val="21"/>
              </w:rPr>
              <w:t>国家测绘地理信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息局四川基础地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理信息中心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1,515,000.00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75,750.00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84"/>
              <w:jc w:val="left"/>
              <w:rPr>
                <w:rFonts w:ascii="宋体" w:hAnsi="宋体" w:cs="宋体" w:eastAsia="宋体" w:hint="default"/>
                <w:sz w:val="21"/>
                <w:szCs w:val="21"/>
              </w:rPr>
            </w:pPr>
            <w:r>
              <w:rPr>
                <w:rFonts w:ascii="宋体" w:hAnsi="宋体" w:cs="宋体" w:eastAsia="宋体" w:hint="default"/>
                <w:sz w:val="21"/>
                <w:szCs w:val="21"/>
              </w:rPr>
              <w:t>上海市房屋状况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信息中心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1,037,500.00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534,500.00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烟台市不动产登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记中心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大余县公共资源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交易中心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6,273,767.63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1,054,503.53</w:t>
            </w:r>
          </w:p>
        </w:tc>
      </w:tr>
    </w:tbl>
    <w:p>
      <w:pPr>
        <w:spacing w:before="28"/>
        <w:ind w:left="153"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注</w:t>
      </w:r>
      <w:r>
        <w:rPr>
          <w:rFonts w:ascii="宋体" w:hAnsi="宋体" w:cs="宋体" w:eastAsia="宋体" w:hint="default"/>
          <w:spacing w:val="-6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w:t>
      </w:r>
      <w:r>
        <w:rPr>
          <w:rFonts w:ascii="宋体" w:hAnsi="宋体" w:cs="宋体" w:eastAsia="宋体" w:hint="default"/>
          <w:spacing w:val="-3"/>
          <w:w w:val="100"/>
          <w:sz w:val="21"/>
          <w:szCs w:val="21"/>
        </w:rPr>
        <w:t>市</w:t>
      </w:r>
      <w:r>
        <w:rPr>
          <w:rFonts w:ascii="宋体" w:hAnsi="宋体" w:cs="宋体" w:eastAsia="宋体" w:hint="default"/>
          <w:w w:val="100"/>
          <w:sz w:val="21"/>
          <w:szCs w:val="21"/>
        </w:rPr>
        <w:t>房</w:t>
      </w:r>
      <w:r>
        <w:rPr>
          <w:rFonts w:ascii="宋体" w:hAnsi="宋体" w:cs="宋体" w:eastAsia="宋体" w:hint="default"/>
          <w:spacing w:val="-3"/>
          <w:w w:val="100"/>
          <w:sz w:val="21"/>
          <w:szCs w:val="21"/>
        </w:rPr>
        <w:t>屋</w:t>
      </w:r>
      <w:r>
        <w:rPr>
          <w:rFonts w:ascii="宋体" w:hAnsi="宋体" w:cs="宋体" w:eastAsia="宋体" w:hint="default"/>
          <w:w w:val="100"/>
          <w:sz w:val="21"/>
          <w:szCs w:val="21"/>
        </w:rPr>
        <w:t>状</w:t>
      </w:r>
      <w:r>
        <w:rPr>
          <w:rFonts w:ascii="宋体" w:hAnsi="宋体" w:cs="宋体" w:eastAsia="宋体" w:hint="default"/>
          <w:spacing w:val="-3"/>
          <w:w w:val="100"/>
          <w:sz w:val="21"/>
          <w:szCs w:val="21"/>
        </w:rPr>
        <w:t>况</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中心</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余</w:t>
      </w:r>
      <w:r>
        <w:rPr>
          <w:rFonts w:ascii="宋体" w:hAnsi="宋体" w:cs="宋体" w:eastAsia="宋体" w:hint="default"/>
          <w:w w:val="100"/>
          <w:sz w:val="21"/>
          <w:szCs w:val="21"/>
        </w:rPr>
        <w:t>额</w:t>
      </w:r>
      <w:r>
        <w:rPr>
          <w:rFonts w:ascii="宋体" w:hAnsi="宋体" w:cs="宋体" w:eastAsia="宋体" w:hint="default"/>
          <w:spacing w:val="-3"/>
          <w:w w:val="100"/>
          <w:sz w:val="21"/>
          <w:szCs w:val="21"/>
        </w:rPr>
        <w:t>账</w:t>
      </w:r>
      <w:r>
        <w:rPr>
          <w:rFonts w:ascii="宋体" w:hAnsi="宋体" w:cs="宋体" w:eastAsia="宋体" w:hint="default"/>
          <w:w w:val="100"/>
          <w:sz w:val="21"/>
          <w:szCs w:val="21"/>
        </w:rPr>
        <w:t>龄</w:t>
      </w:r>
      <w:r>
        <w:rPr>
          <w:rFonts w:ascii="宋体" w:hAnsi="宋体" w:cs="宋体" w:eastAsia="宋体" w:hint="default"/>
          <w:spacing w:val="-67"/>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pacing w:val="-3"/>
          <w:w w:val="100"/>
          <w:sz w:val="21"/>
          <w:szCs w:val="21"/>
        </w:rPr>
        <w:t>年以</w:t>
      </w:r>
      <w:r>
        <w:rPr>
          <w:rFonts w:ascii="宋体" w:hAnsi="宋体" w:cs="宋体" w:eastAsia="宋体" w:hint="default"/>
          <w:w w:val="100"/>
          <w:sz w:val="21"/>
          <w:szCs w:val="21"/>
        </w:rPr>
        <w:t>内</w:t>
      </w:r>
      <w:r>
        <w:rPr>
          <w:rFonts w:ascii="宋体" w:hAnsi="宋体" w:cs="宋体" w:eastAsia="宋体" w:hint="default"/>
          <w:spacing w:val="-64"/>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15"/>
          <w:sz w:val="21"/>
          <w:szCs w:val="21"/>
        </w:rPr>
        <w:t> </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15"/>
          <w:sz w:val="21"/>
          <w:szCs w:val="21"/>
        </w:rPr>
        <w:t> </w:t>
      </w:r>
      <w:r>
        <w:rPr>
          <w:rFonts w:ascii="宋体" w:hAnsi="宋体" w:cs="宋体" w:eastAsia="宋体" w:hint="default"/>
          <w:w w:val="100"/>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w w:val="100"/>
          <w:sz w:val="21"/>
          <w:szCs w:val="21"/>
        </w:rPr>
        <w:t>93</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12"/>
          <w:sz w:val="21"/>
          <w:szCs w:val="21"/>
        </w:rPr>
        <w:t> </w:t>
      </w:r>
      <w:r>
        <w:rPr>
          <w:rFonts w:ascii="宋体" w:hAnsi="宋体" w:cs="宋体" w:eastAsia="宋体" w:hint="default"/>
          <w:spacing w:val="-3"/>
          <w:w w:val="100"/>
          <w:sz w:val="21"/>
          <w:szCs w:val="21"/>
        </w:rPr>
        <w:t>元</w:t>
      </w:r>
      <w:r>
        <w:rPr>
          <w:rFonts w:ascii="宋体" w:hAnsi="宋体" w:cs="宋体" w:eastAsia="宋体" w:hint="default"/>
          <w:spacing w:val="-106"/>
          <w:w w:val="100"/>
          <w:sz w:val="21"/>
          <w:szCs w:val="21"/>
        </w:rPr>
        <w:t>，</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1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以</w:t>
      </w:r>
      <w:r>
        <w:rPr>
          <w:rFonts w:ascii="宋体" w:hAnsi="宋体" w:cs="宋体" w:eastAsia="宋体" w:hint="default"/>
          <w:w w:val="100"/>
          <w:sz w:val="21"/>
          <w:szCs w:val="21"/>
        </w:rPr>
        <w:t>上</w:t>
      </w:r>
      <w:r>
        <w:rPr>
          <w:rFonts w:ascii="宋体" w:hAnsi="宋体" w:cs="宋体" w:eastAsia="宋体" w:hint="default"/>
          <w:spacing w:val="-65"/>
          <w:sz w:val="21"/>
          <w:szCs w:val="21"/>
        </w:rPr>
        <w:t> </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7,50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w:t>
      </w:r>
    </w:p>
    <w:p>
      <w:pPr>
        <w:spacing w:before="21"/>
        <w:ind w:left="153" w:right="293" w:firstLine="0"/>
        <w:jc w:val="left"/>
        <w:rPr>
          <w:rFonts w:ascii="宋体" w:hAnsi="宋体" w:cs="宋体" w:eastAsia="宋体" w:hint="default"/>
          <w:sz w:val="21"/>
          <w:szCs w:val="21"/>
        </w:rPr>
      </w:pPr>
      <w:r>
        <w:rPr>
          <w:rFonts w:ascii="宋体" w:hAnsi="宋体" w:cs="宋体" w:eastAsia="宋体" w:hint="default"/>
          <w:sz w:val="21"/>
          <w:szCs w:val="21"/>
        </w:rPr>
        <w:t>元。</w:t>
      </w:r>
    </w:p>
    <w:p>
      <w:pPr>
        <w:pStyle w:val="Heading2"/>
        <w:spacing w:line="240" w:lineRule="auto" w:before="127"/>
        <w:ind w:right="293"/>
        <w:jc w:val="left"/>
        <w:rPr>
          <w:b w:val="0"/>
          <w:bCs w:val="0"/>
        </w:rPr>
      </w:pPr>
      <w:r>
        <w:rPr>
          <w:rFonts w:ascii="Times New Roman" w:hAnsi="Times New Roman" w:cs="Times New Roman" w:eastAsia="Times New Roman" w:hint="default"/>
        </w:rPr>
        <w:t>6</w:t>
      </w:r>
      <w:r>
        <w:rPr/>
        <w:t>、存货</w:t>
      </w:r>
      <w:r>
        <w:rPr>
          <w:b w:val="0"/>
          <w:bCs w:val="0"/>
        </w:rPr>
      </w:r>
    </w:p>
    <w:p>
      <w:pPr>
        <w:pStyle w:val="Heading2"/>
        <w:spacing w:line="240" w:lineRule="auto" w:before="136"/>
        <w:ind w:right="29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before="125"/>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9"/>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0"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10,552,114.06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10,552,114.06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5,026,468.38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5,026,468.38</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58"/>
              <w:jc w:val="left"/>
              <w:rPr>
                <w:rFonts w:ascii="宋体" w:hAnsi="宋体" w:cs="宋体" w:eastAsia="宋体" w:hint="default"/>
                <w:sz w:val="21"/>
                <w:szCs w:val="21"/>
              </w:rPr>
            </w:pPr>
            <w:r>
              <w:rPr>
                <w:rFonts w:ascii="宋体" w:hAnsi="宋体" w:cs="宋体" w:eastAsia="宋体" w:hint="default"/>
                <w:sz w:val="21"/>
                <w:szCs w:val="21"/>
              </w:rPr>
              <w:t>消耗性生物资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58"/>
              <w:jc w:val="both"/>
              <w:rPr>
                <w:rFonts w:ascii="宋体" w:hAnsi="宋体" w:cs="宋体" w:eastAsia="宋体" w:hint="default"/>
                <w:sz w:val="21"/>
                <w:szCs w:val="21"/>
              </w:rPr>
            </w:pPr>
            <w:r>
              <w:rPr>
                <w:rFonts w:ascii="宋体" w:hAnsi="宋体" w:cs="宋体" w:eastAsia="宋体" w:hint="default"/>
                <w:sz w:val="21"/>
                <w:szCs w:val="21"/>
              </w:rPr>
              <w:t>建造合同形成</w:t>
            </w:r>
            <w:r>
              <w:rPr>
                <w:rFonts w:ascii="宋体" w:hAnsi="宋体" w:cs="宋体" w:eastAsia="宋体" w:hint="default"/>
                <w:w w:val="100"/>
                <w:sz w:val="21"/>
                <w:szCs w:val="21"/>
              </w:rPr>
              <w:t> </w:t>
            </w:r>
            <w:r>
              <w:rPr>
                <w:rFonts w:ascii="宋体" w:hAnsi="宋体" w:cs="宋体" w:eastAsia="宋体" w:hint="default"/>
                <w:sz w:val="21"/>
                <w:szCs w:val="21"/>
              </w:rPr>
              <w:t>的已完工未结</w:t>
            </w:r>
            <w:r>
              <w:rPr>
                <w:rFonts w:ascii="宋体" w:hAnsi="宋体" w:cs="宋体" w:eastAsia="宋体" w:hint="default"/>
                <w:w w:val="100"/>
                <w:sz w:val="21"/>
                <w:szCs w:val="21"/>
              </w:rPr>
              <w:t> </w:t>
            </w:r>
            <w:r>
              <w:rPr>
                <w:rFonts w:ascii="宋体" w:hAnsi="宋体" w:cs="宋体" w:eastAsia="宋体" w:hint="default"/>
                <w:sz w:val="21"/>
                <w:szCs w:val="21"/>
              </w:rPr>
              <w:t>算资产</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10,552,114.06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10,552,114.06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5,026,468.38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5,026,468.38</w:t>
            </w:r>
          </w:p>
        </w:tc>
      </w:tr>
    </w:tbl>
    <w:p>
      <w:pPr>
        <w:pStyle w:val="BodyText"/>
        <w:spacing w:line="338" w:lineRule="auto" w:before="39"/>
        <w:ind w:right="134" w:firstLine="480"/>
        <w:jc w:val="left"/>
      </w:pPr>
      <w:r>
        <w:rPr/>
        <w:t>公司是否需遵守《深圳证券交易所行业信息披露指引第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上市公司从事种业、种植 业务》的披露要求</w:t>
      </w:r>
    </w:p>
    <w:p>
      <w:pPr>
        <w:spacing w:after="0" w:line="338" w:lineRule="auto"/>
        <w:jc w:val="left"/>
        <w:sectPr>
          <w:type w:val="continuous"/>
          <w:pgSz w:w="11910" w:h="16840"/>
          <w:pgMar w:top="1100" w:bottom="1160" w:left="980" w:right="980"/>
        </w:sectPr>
      </w:pPr>
    </w:p>
    <w:p>
      <w:pPr>
        <w:spacing w:line="240" w:lineRule="auto" w:before="7"/>
        <w:rPr>
          <w:rFonts w:ascii="宋体" w:hAnsi="宋体" w:cs="宋体" w:eastAsia="宋体" w:hint="default"/>
          <w:sz w:val="25"/>
          <w:szCs w:val="25"/>
        </w:rPr>
      </w:pPr>
    </w:p>
    <w:p>
      <w:pPr>
        <w:pStyle w:val="BodyText"/>
        <w:spacing w:line="240" w:lineRule="auto" w:before="26"/>
        <w:ind w:left="633" w:right="293"/>
        <w:jc w:val="left"/>
      </w:pPr>
      <w:r>
        <w:rPr/>
        <w:t>否</w:t>
      </w:r>
    </w:p>
    <w:p>
      <w:pPr>
        <w:pStyle w:val="BodyText"/>
        <w:spacing w:line="338" w:lineRule="auto" w:before="154"/>
        <w:ind w:right="134" w:firstLine="480"/>
        <w:jc w:val="left"/>
      </w:pPr>
      <w:r>
        <w:rPr/>
        <w:t>公司是否需遵守《深圳证券交易所创业板行业信息披露指引第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上市公司从事广 播电影电视业务》的披露要求</w:t>
      </w:r>
    </w:p>
    <w:p>
      <w:pPr>
        <w:pStyle w:val="BodyText"/>
        <w:spacing w:line="240" w:lineRule="auto"/>
        <w:ind w:left="633" w:right="293"/>
        <w:jc w:val="left"/>
      </w:pPr>
      <w:r>
        <w:rPr/>
        <w:t>否</w:t>
      </w:r>
    </w:p>
    <w:p>
      <w:pPr>
        <w:pStyle w:val="BodyText"/>
        <w:spacing w:line="338" w:lineRule="auto" w:before="154"/>
        <w:ind w:right="134" w:firstLine="480"/>
        <w:jc w:val="left"/>
      </w:pPr>
      <w:r>
        <w:rPr/>
        <w:t>公司是否需遵守《深圳证券交易所创业板行业信息披露指引第 </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上市公司从事互 联网游戏业务》的披露要求</w:t>
      </w:r>
    </w:p>
    <w:p>
      <w:pPr>
        <w:pStyle w:val="BodyText"/>
        <w:spacing w:line="240" w:lineRule="auto"/>
        <w:ind w:left="633" w:right="293"/>
        <w:jc w:val="left"/>
      </w:pPr>
      <w:r>
        <w:rPr/>
        <w:t>否</w:t>
      </w:r>
    </w:p>
    <w:p>
      <w:pPr>
        <w:pStyle w:val="Heading2"/>
        <w:spacing w:line="338" w:lineRule="auto" w:before="154"/>
        <w:ind w:left="573" w:right="7725"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）存货跌价准备</w:t>
      </w:r>
      <w:r>
        <w:rPr>
          <w:w w:val="99"/>
        </w:rPr>
        <w:t> </w:t>
      </w:r>
      <w:r>
        <w:rPr>
          <w:rFonts w:ascii="宋体" w:hAnsi="宋体" w:cs="宋体" w:eastAsia="宋体" w:hint="default"/>
          <w:b w:val="0"/>
          <w:bCs w:val="0"/>
        </w:rPr>
        <w:t>无</w:t>
      </w:r>
    </w:p>
    <w:p>
      <w:pPr>
        <w:pStyle w:val="Heading2"/>
        <w:spacing w:line="338" w:lineRule="auto" w:before="55"/>
        <w:ind w:left="633" w:right="4352" w:hanging="48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）存货期末余额含有借款费用资本化金额的说明</w:t>
      </w:r>
      <w:r>
        <w:rPr>
          <w:w w:val="99"/>
        </w:rPr>
        <w:t> </w:t>
      </w:r>
      <w:r>
        <w:rPr>
          <w:rFonts w:ascii="宋体" w:hAnsi="宋体" w:cs="宋体" w:eastAsia="宋体" w:hint="default"/>
          <w:b w:val="0"/>
          <w:bCs w:val="0"/>
        </w:rPr>
        <w:t>无</w:t>
      </w:r>
    </w:p>
    <w:p>
      <w:pPr>
        <w:pStyle w:val="Heading2"/>
        <w:spacing w:line="338" w:lineRule="auto" w:before="55"/>
        <w:ind w:left="633" w:right="4593" w:hanging="48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）期末建造合同形成的已完工未结算资产情况</w:t>
      </w:r>
      <w:r>
        <w:rPr>
          <w:w w:val="99"/>
        </w:rPr>
        <w:t> </w:t>
      </w:r>
      <w:r>
        <w:rPr>
          <w:rFonts w:ascii="宋体" w:hAnsi="宋体" w:cs="宋体" w:eastAsia="宋体" w:hint="default"/>
          <w:b w:val="0"/>
          <w:bCs w:val="0"/>
        </w:rPr>
        <w:t>无</w:t>
      </w:r>
    </w:p>
    <w:p>
      <w:pPr>
        <w:pStyle w:val="Heading2"/>
        <w:spacing w:line="240" w:lineRule="auto" w:before="55"/>
        <w:ind w:right="293"/>
        <w:jc w:val="left"/>
        <w:rPr>
          <w:b w:val="0"/>
          <w:bCs w:val="0"/>
        </w:rPr>
      </w:pPr>
      <w:r>
        <w:rPr>
          <w:rFonts w:ascii="Times New Roman" w:hAnsi="Times New Roman" w:cs="Times New Roman" w:eastAsia="Times New Roman" w:hint="default"/>
        </w:rPr>
        <w:t>7</w:t>
      </w:r>
      <w:r>
        <w:rPr/>
        <w:t>、其他流动资产</w:t>
      </w:r>
      <w:r>
        <w:rPr>
          <w:b w:val="0"/>
          <w:bCs w:val="0"/>
        </w:rPr>
      </w:r>
    </w:p>
    <w:p>
      <w:pPr>
        <w:spacing w:before="125"/>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21"/>
                <w:szCs w:val="21"/>
              </w:rPr>
            </w:pPr>
            <w:r>
              <w:rPr>
                <w:rFonts w:ascii="Times New Roman"/>
                <w:spacing w:val="-1"/>
                <w:sz w:val="21"/>
              </w:rPr>
              <w:t>392,000,000.00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7"/>
              <w:jc w:val="right"/>
              <w:rPr>
                <w:rFonts w:ascii="Times New Roman" w:hAnsi="Times New Roman" w:cs="Times New Roman" w:eastAsia="Times New Roman" w:hint="default"/>
                <w:sz w:val="21"/>
                <w:szCs w:val="21"/>
              </w:rPr>
            </w:pPr>
            <w:r>
              <w:rPr>
                <w:rFonts w:ascii="Times New Roman"/>
                <w:spacing w:val="-1"/>
                <w:sz w:val="21"/>
              </w:rPr>
              <w:t>315,000,000.00</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4" w:right="91"/>
              <w:jc w:val="left"/>
              <w:rPr>
                <w:rFonts w:ascii="宋体" w:hAnsi="宋体" w:cs="宋体" w:eastAsia="宋体" w:hint="default"/>
                <w:sz w:val="21"/>
                <w:szCs w:val="21"/>
              </w:rPr>
            </w:pPr>
            <w:r>
              <w:rPr>
                <w:rFonts w:ascii="宋体" w:hAnsi="宋体" w:cs="宋体" w:eastAsia="宋体" w:hint="default"/>
                <w:spacing w:val="-2"/>
                <w:sz w:val="21"/>
                <w:szCs w:val="21"/>
              </w:rPr>
              <w:t>待抵扣</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待认证进项税额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增值税留</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2,847,392.11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310,123.30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394,847,392.11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315,310,123.30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980"/>
        </w:sectPr>
      </w:pPr>
    </w:p>
    <w:p>
      <w:pPr>
        <w:spacing w:line="357" w:lineRule="auto" w:before="39"/>
        <w:ind w:left="153" w:right="-20" w:firstLine="0"/>
        <w:jc w:val="left"/>
        <w:rPr>
          <w:rFonts w:ascii="宋体" w:hAnsi="宋体" w:cs="宋体" w:eastAsia="宋体" w:hint="default"/>
          <w:sz w:val="24"/>
          <w:szCs w:val="24"/>
        </w:rPr>
      </w:pPr>
      <w:r>
        <w:rPr>
          <w:rFonts w:ascii="宋体" w:hAnsi="宋体" w:cs="宋体" w:eastAsia="宋体" w:hint="default"/>
          <w:sz w:val="24"/>
          <w:szCs w:val="24"/>
        </w:rPr>
        <w:t>其他说明： 期末未发现其他流动资产存在明显减值迹象，故未计提减值准备。 </w:t>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、可供出售金融资产</w:t>
      </w:r>
      <w:r>
        <w:rPr>
          <w:rFonts w:ascii="宋体" w:hAnsi="宋体" w:cs="宋体" w:eastAsia="宋体" w:hint="default"/>
          <w:sz w:val="24"/>
          <w:szCs w:val="24"/>
        </w:rPr>
      </w:r>
    </w:p>
    <w:p>
      <w:pPr>
        <w:pStyle w:val="Heading2"/>
        <w:spacing w:line="240" w:lineRule="auto" w:before="5"/>
        <w:ind w:right="-2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80"/>
          <w:cols w:num="2" w:equalWidth="0">
            <w:col w:w="7114" w:space="1581"/>
            <w:col w:w="1255"/>
          </w:cols>
        </w:sectPr>
      </w:pP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76"/>
        <w:gridCol w:w="1207"/>
        <w:gridCol w:w="1198"/>
        <w:gridCol w:w="1196"/>
        <w:gridCol w:w="1249"/>
        <w:gridCol w:w="1368"/>
        <w:gridCol w:w="1366"/>
      </w:tblGrid>
      <w:tr>
        <w:trPr>
          <w:trHeight w:val="206" w:hRule="exact"/>
        </w:trPr>
        <w:tc>
          <w:tcPr>
            <w:tcW w:w="19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6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3" w:hRule="exact"/>
        </w:trPr>
        <w:tc>
          <w:tcPr>
            <w:tcW w:w="19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00" w:type="dxa"/>
            <w:gridSpan w:val="3"/>
            <w:vMerge/>
            <w:tcBorders>
              <w:left w:val="single" w:sz="4" w:space="0" w:color="000000"/>
              <w:bottom w:val="single" w:sz="4" w:space="0" w:color="000000"/>
              <w:right w:val="single" w:sz="4" w:space="0" w:color="000000"/>
            </w:tcBorders>
            <w:shd w:val="clear" w:color="auto" w:fill="D2D2D2"/>
          </w:tcPr>
          <w:p>
            <w:pPr/>
          </w:p>
        </w:tc>
        <w:tc>
          <w:tcPr>
            <w:tcW w:w="398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76"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7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7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4" w:hRule="exact"/>
        </w:trPr>
        <w:tc>
          <w:tcPr>
            <w:tcW w:w="19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3,012,155.43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3,012,155.43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3,012,514.11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3,012,514.11</w:t>
            </w:r>
          </w:p>
        </w:tc>
      </w:tr>
      <w:tr>
        <w:trPr>
          <w:trHeight w:val="715"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按公允价值计量</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w w:val="100"/>
                <w:sz w:val="21"/>
                <w:szCs w:val="21"/>
              </w:rPr>
              <w:t>的</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3,012,155.43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3,012,155.43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3,012,514.11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3,012,514.11</w:t>
            </w:r>
          </w:p>
        </w:tc>
      </w:tr>
      <w:tr>
        <w:trPr>
          <w:trHeight w:val="403"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3,012,155.43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3,012,155.43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3,012,514.11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3,012,514.11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160" w:left="980" w:right="980"/>
        </w:sect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0" w:top="1100" w:bottom="1160" w:left="680" w:right="660"/>
        </w:sectPr>
      </w:pPr>
    </w:p>
    <w:p>
      <w:pPr>
        <w:pStyle w:val="Heading2"/>
        <w:spacing w:line="240" w:lineRule="auto" w:before="26"/>
        <w:ind w:left="453" w:right="-2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16"/>
          <w:szCs w:val="16"/>
        </w:rPr>
      </w:pPr>
    </w:p>
    <w:p>
      <w:pPr>
        <w:spacing w:before="0"/>
        <w:ind w:left="4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680" w:right="660"/>
          <w:cols w:num="2" w:equalWidth="0">
            <w:col w:w="4911" w:space="3783"/>
            <w:col w:w="1876"/>
          </w:cols>
        </w:sectPr>
      </w:pPr>
    </w:p>
    <w:p>
      <w:pPr>
        <w:spacing w:line="240" w:lineRule="auto" w:before="10"/>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864"/>
        <w:gridCol w:w="1404"/>
        <w:gridCol w:w="567"/>
        <w:gridCol w:w="852"/>
        <w:gridCol w:w="1419"/>
        <w:gridCol w:w="869"/>
        <w:gridCol w:w="871"/>
        <w:gridCol w:w="869"/>
        <w:gridCol w:w="871"/>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16" w:right="108"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424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15" w:right="108"/>
              <w:jc w:val="center"/>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w w:val="100"/>
                <w:sz w:val="21"/>
                <w:szCs w:val="21"/>
              </w:rPr>
              <w:t> </w:t>
            </w:r>
            <w:r>
              <w:rPr>
                <w:rFonts w:ascii="宋体" w:hAnsi="宋体" w:cs="宋体" w:eastAsia="宋体" w:hint="default"/>
                <w:sz w:val="21"/>
                <w:szCs w:val="21"/>
              </w:rPr>
              <w:t>资单位</w:t>
            </w:r>
            <w:r>
              <w:rPr>
                <w:rFonts w:ascii="宋体" w:hAnsi="宋体" w:cs="宋体" w:eastAsia="宋体" w:hint="default"/>
                <w:w w:val="100"/>
                <w:sz w:val="21"/>
                <w:szCs w:val="21"/>
              </w:rPr>
              <w:t> </w:t>
            </w:r>
            <w:r>
              <w:rPr>
                <w:rFonts w:ascii="宋体" w:hAnsi="宋体" w:cs="宋体" w:eastAsia="宋体" w:hint="default"/>
                <w:sz w:val="21"/>
                <w:szCs w:val="21"/>
              </w:rPr>
              <w:t>持股比</w:t>
            </w:r>
            <w:r>
              <w:rPr>
                <w:rFonts w:ascii="宋体" w:hAnsi="宋体" w:cs="宋体" w:eastAsia="宋体" w:hint="default"/>
                <w:w w:val="100"/>
                <w:sz w:val="21"/>
                <w:szCs w:val="21"/>
              </w:rPr>
              <w:t> </w:t>
            </w:r>
            <w:r>
              <w:rPr>
                <w:rFonts w:ascii="宋体" w:hAnsi="宋体" w:cs="宋体" w:eastAsia="宋体" w:hint="default"/>
                <w:sz w:val="21"/>
                <w:szCs w:val="21"/>
              </w:rPr>
              <w:t>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15" w:right="110"/>
              <w:jc w:val="left"/>
              <w:rPr>
                <w:rFonts w:ascii="宋体" w:hAnsi="宋体" w:cs="宋体" w:eastAsia="宋体" w:hint="default"/>
                <w:sz w:val="21"/>
                <w:szCs w:val="21"/>
              </w:rPr>
            </w:pPr>
            <w:r>
              <w:rPr>
                <w:rFonts w:ascii="宋体" w:hAnsi="宋体" w:cs="宋体" w:eastAsia="宋体" w:hint="default"/>
                <w:sz w:val="21"/>
                <w:szCs w:val="21"/>
              </w:rPr>
              <w:t>本期现</w:t>
            </w:r>
            <w:r>
              <w:rPr>
                <w:rFonts w:ascii="宋体" w:hAnsi="宋体" w:cs="宋体" w:eastAsia="宋体" w:hint="default"/>
                <w:spacing w:val="-102"/>
                <w:sz w:val="21"/>
                <w:szCs w:val="21"/>
              </w:rPr>
              <w:t> </w:t>
            </w:r>
            <w:r>
              <w:rPr>
                <w:rFonts w:ascii="宋体" w:hAnsi="宋体" w:cs="宋体" w:eastAsia="宋体" w:hint="default"/>
                <w:sz w:val="21"/>
                <w:szCs w:val="21"/>
              </w:rPr>
              <w:t>金红利</w:t>
            </w:r>
          </w:p>
        </w:tc>
      </w:tr>
      <w:tr>
        <w:trPr>
          <w:trHeight w:val="936"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38"/>
              <w:ind w:left="69" w:right="63"/>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38"/>
              <w:ind w:left="314" w:right="101" w:hanging="209"/>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38"/>
              <w:ind w:left="323" w:right="110" w:hanging="209"/>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38"/>
              <w:ind w:left="324" w:right="108" w:hanging="209"/>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1"/>
              <w:jc w:val="left"/>
              <w:rPr>
                <w:rFonts w:ascii="宋体" w:hAnsi="宋体" w:cs="宋体" w:eastAsia="宋体" w:hint="default"/>
                <w:sz w:val="21"/>
                <w:szCs w:val="21"/>
              </w:rPr>
            </w:pPr>
            <w:r>
              <w:rPr>
                <w:rFonts w:ascii="宋体" w:hAnsi="宋体" w:cs="宋体" w:eastAsia="宋体" w:hint="default"/>
                <w:sz w:val="21"/>
                <w:szCs w:val="21"/>
              </w:rPr>
              <w:t>北斗导</w:t>
            </w:r>
            <w:r>
              <w:rPr>
                <w:rFonts w:ascii="宋体" w:hAnsi="宋体" w:cs="宋体" w:eastAsia="宋体" w:hint="default"/>
                <w:spacing w:val="-102"/>
                <w:sz w:val="21"/>
                <w:szCs w:val="21"/>
              </w:rPr>
              <w:t> </w:t>
            </w:r>
            <w:r>
              <w:rPr>
                <w:rFonts w:ascii="宋体" w:hAnsi="宋体" w:cs="宋体" w:eastAsia="宋体" w:hint="default"/>
                <w:sz w:val="21"/>
                <w:szCs w:val="21"/>
              </w:rPr>
              <w:t>航位置</w:t>
            </w:r>
            <w:r>
              <w:rPr>
                <w:rFonts w:ascii="宋体" w:hAnsi="宋体" w:cs="宋体" w:eastAsia="宋体" w:hint="default"/>
                <w:spacing w:val="-102"/>
                <w:sz w:val="21"/>
                <w:szCs w:val="21"/>
              </w:rPr>
              <w:t> </w:t>
            </w:r>
            <w:r>
              <w:rPr>
                <w:rFonts w:ascii="宋体" w:hAnsi="宋体" w:cs="宋体" w:eastAsia="宋体" w:hint="default"/>
                <w:spacing w:val="-10"/>
                <w:sz w:val="21"/>
                <w:szCs w:val="21"/>
              </w:rPr>
              <w:t>服务（北</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0"/>
                <w:sz w:val="21"/>
                <w:szCs w:val="21"/>
              </w:rPr>
              <w:t>京）有限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16"/>
              <w:jc w:val="right"/>
              <w:rPr>
                <w:rFonts w:ascii="Times New Roman" w:hAnsi="Times New Roman" w:cs="Times New Roman" w:eastAsia="Times New Roman" w:hint="default"/>
                <w:sz w:val="21"/>
                <w:szCs w:val="21"/>
              </w:rPr>
            </w:pPr>
            <w:r>
              <w:rPr>
                <w:rFonts w:ascii="Times New Roman"/>
                <w:spacing w:val="-1"/>
                <w:sz w:val="21"/>
              </w:rPr>
              <w:t>3,000,000.00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16"/>
              <w:jc w:val="right"/>
              <w:rPr>
                <w:rFonts w:ascii="Times New Roman" w:hAnsi="Times New Roman" w:cs="Times New Roman" w:eastAsia="Times New Roman" w:hint="default"/>
                <w:sz w:val="21"/>
                <w:szCs w:val="21"/>
              </w:rPr>
            </w:pPr>
            <w:r>
              <w:rPr>
                <w:rFonts w:ascii="Times New Roman"/>
                <w:sz w:val="21"/>
              </w:rPr>
              <w:t>1.00%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12"/>
              <w:jc w:val="left"/>
              <w:rPr>
                <w:rFonts w:ascii="宋体" w:hAnsi="宋体" w:cs="宋体" w:eastAsia="宋体" w:hint="default"/>
                <w:sz w:val="21"/>
                <w:szCs w:val="21"/>
              </w:rPr>
            </w:pPr>
            <w:r>
              <w:rPr>
                <w:rFonts w:ascii="宋体" w:hAnsi="宋体" w:cs="宋体" w:eastAsia="宋体" w:hint="default"/>
                <w:sz w:val="21"/>
                <w:szCs w:val="21"/>
              </w:rPr>
              <w:t>宁波超</w:t>
            </w:r>
            <w:r>
              <w:rPr>
                <w:rFonts w:ascii="宋体" w:hAnsi="宋体" w:cs="宋体" w:eastAsia="宋体" w:hint="default"/>
                <w:spacing w:val="-102"/>
                <w:sz w:val="21"/>
                <w:szCs w:val="21"/>
              </w:rPr>
              <w:t> </w:t>
            </w:r>
            <w:r>
              <w:rPr>
                <w:rFonts w:ascii="宋体" w:hAnsi="宋体" w:cs="宋体" w:eastAsia="宋体" w:hint="default"/>
                <w:sz w:val="21"/>
                <w:szCs w:val="21"/>
              </w:rPr>
              <w:t>图道乐</w:t>
            </w:r>
            <w:r>
              <w:rPr>
                <w:rFonts w:ascii="宋体" w:hAnsi="宋体" w:cs="宋体" w:eastAsia="宋体" w:hint="default"/>
                <w:spacing w:val="-102"/>
                <w:sz w:val="21"/>
                <w:szCs w:val="21"/>
              </w:rPr>
              <w:t> </w:t>
            </w:r>
            <w:r>
              <w:rPr>
                <w:rFonts w:ascii="宋体" w:hAnsi="宋体" w:cs="宋体" w:eastAsia="宋体" w:hint="default"/>
                <w:sz w:val="21"/>
                <w:szCs w:val="21"/>
              </w:rPr>
              <w:t>股权投</w:t>
            </w:r>
            <w:r>
              <w:rPr>
                <w:rFonts w:ascii="宋体" w:hAnsi="宋体" w:cs="宋体" w:eastAsia="宋体" w:hint="default"/>
                <w:spacing w:val="-102"/>
                <w:sz w:val="21"/>
                <w:szCs w:val="21"/>
              </w:rPr>
              <w:t> </w:t>
            </w:r>
            <w:r>
              <w:rPr>
                <w:rFonts w:ascii="宋体" w:hAnsi="宋体" w:cs="宋体" w:eastAsia="宋体" w:hint="default"/>
                <w:sz w:val="21"/>
                <w:szCs w:val="21"/>
              </w:rPr>
              <w:t>资合伙</w:t>
            </w:r>
            <w:r>
              <w:rPr>
                <w:rFonts w:ascii="宋体" w:hAnsi="宋体" w:cs="宋体" w:eastAsia="宋体" w:hint="default"/>
                <w:spacing w:val="-102"/>
                <w:sz w:val="21"/>
                <w:szCs w:val="21"/>
              </w:rPr>
              <w:t> </w:t>
            </w:r>
            <w:r>
              <w:rPr>
                <w:rFonts w:ascii="宋体" w:hAnsi="宋体" w:cs="宋体" w:eastAsia="宋体" w:hint="default"/>
                <w:spacing w:val="-10"/>
                <w:sz w:val="21"/>
                <w:szCs w:val="21"/>
              </w:rPr>
              <w:t>企业（有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限合伙）</w:t>
            </w:r>
          </w:p>
        </w:tc>
        <w:tc>
          <w:tcPr>
            <w:tcW w:w="140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8.33%</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5"/>
              <w:jc w:val="both"/>
              <w:rPr>
                <w:rFonts w:ascii="宋体" w:hAnsi="宋体" w:cs="宋体" w:eastAsia="宋体" w:hint="default"/>
                <w:sz w:val="21"/>
                <w:szCs w:val="21"/>
              </w:rPr>
            </w:pPr>
            <w:r>
              <w:rPr>
                <w:rFonts w:ascii="宋体" w:hAnsi="宋体" w:cs="宋体" w:eastAsia="宋体" w:hint="default"/>
                <w:sz w:val="21"/>
                <w:szCs w:val="21"/>
              </w:rPr>
              <w:t>宁波卓</w:t>
            </w:r>
            <w:r>
              <w:rPr>
                <w:rFonts w:ascii="宋体" w:hAnsi="宋体" w:cs="宋体" w:eastAsia="宋体" w:hint="default"/>
                <w:spacing w:val="-102"/>
                <w:sz w:val="21"/>
                <w:szCs w:val="21"/>
              </w:rPr>
              <w:t> </w:t>
            </w:r>
            <w:r>
              <w:rPr>
                <w:rFonts w:ascii="宋体" w:hAnsi="宋体" w:cs="宋体" w:eastAsia="宋体" w:hint="default"/>
                <w:sz w:val="21"/>
                <w:szCs w:val="21"/>
              </w:rPr>
              <w:t>超股权</w:t>
            </w:r>
            <w:r>
              <w:rPr>
                <w:rFonts w:ascii="宋体" w:hAnsi="宋体" w:cs="宋体" w:eastAsia="宋体" w:hint="default"/>
                <w:spacing w:val="-102"/>
                <w:sz w:val="21"/>
                <w:szCs w:val="21"/>
              </w:rPr>
              <w:t> </w:t>
            </w:r>
            <w:r>
              <w:rPr>
                <w:rFonts w:ascii="宋体" w:hAnsi="宋体" w:cs="宋体" w:eastAsia="宋体" w:hint="default"/>
                <w:sz w:val="21"/>
                <w:szCs w:val="21"/>
              </w:rPr>
              <w:t>投资合</w:t>
            </w:r>
            <w:r>
              <w:rPr>
                <w:rFonts w:ascii="宋体" w:hAnsi="宋体" w:cs="宋体" w:eastAsia="宋体" w:hint="default"/>
                <w:spacing w:val="-102"/>
                <w:sz w:val="21"/>
                <w:szCs w:val="21"/>
              </w:rPr>
              <w:t> </w:t>
            </w:r>
            <w:r>
              <w:rPr>
                <w:rFonts w:ascii="宋体" w:hAnsi="宋体" w:cs="宋体" w:eastAsia="宋体" w:hint="default"/>
                <w:sz w:val="21"/>
                <w:szCs w:val="21"/>
              </w:rPr>
              <w:t>伙企业</w:t>
            </w:r>
          </w:p>
          <w:p>
            <w:pPr>
              <w:pStyle w:val="TableParagraph"/>
              <w:spacing w:line="273" w:lineRule="auto" w:before="7"/>
              <w:ind w:left="24" w:right="195"/>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2"/>
                <w:sz w:val="21"/>
                <w:szCs w:val="21"/>
              </w:rPr>
              <w:t> </w:t>
            </w:r>
            <w:r>
              <w:rPr>
                <w:rFonts w:ascii="宋体" w:hAnsi="宋体" w:cs="宋体" w:eastAsia="宋体" w:hint="default"/>
                <w:sz w:val="21"/>
                <w:szCs w:val="21"/>
              </w:rPr>
              <w:t>合伙）</w:t>
            </w:r>
          </w:p>
        </w:tc>
        <w:tc>
          <w:tcPr>
            <w:tcW w:w="140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25%</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5"/>
              <w:ind w:left="24" w:right="72"/>
              <w:jc w:val="both"/>
              <w:rPr>
                <w:rFonts w:ascii="Times New Roman" w:hAnsi="Times New Roman" w:cs="Times New Roman" w:eastAsia="Times New Roman" w:hint="default"/>
                <w:sz w:val="21"/>
                <w:szCs w:val="21"/>
              </w:rPr>
            </w:pPr>
            <w:r>
              <w:rPr>
                <w:rFonts w:ascii="Times New Roman"/>
                <w:sz w:val="21"/>
              </w:rPr>
              <w:t>Sawayak</w:t>
            </w:r>
            <w:r>
              <w:rPr>
                <w:rFonts w:ascii="Times New Roman"/>
                <w:w w:val="100"/>
                <w:sz w:val="21"/>
              </w:rPr>
              <w:t> </w:t>
            </w:r>
            <w:r>
              <w:rPr>
                <w:rFonts w:ascii="Times New Roman"/>
                <w:sz w:val="21"/>
              </w:rPr>
              <w:t>aShinkin</w:t>
            </w:r>
            <w:r>
              <w:rPr>
                <w:rFonts w:ascii="Times New Roman"/>
                <w:w w:val="100"/>
                <w:sz w:val="21"/>
              </w:rPr>
              <w:t> </w:t>
            </w:r>
            <w:r>
              <w:rPr>
                <w:rFonts w:ascii="Times New Roman"/>
                <w:sz w:val="21"/>
              </w:rPr>
              <w:t>Bank</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5,959.10</w:t>
            </w: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170.80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5,788.30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120.52</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5"/>
              <w:jc w:val="left"/>
              <w:rPr>
                <w:rFonts w:ascii="宋体" w:hAnsi="宋体" w:cs="宋体" w:eastAsia="宋体" w:hint="default"/>
                <w:sz w:val="21"/>
                <w:szCs w:val="21"/>
              </w:rPr>
            </w:pPr>
            <w:r>
              <w:rPr>
                <w:rFonts w:ascii="宋体" w:hAnsi="宋体" w:cs="宋体" w:eastAsia="宋体" w:hint="default"/>
                <w:sz w:val="21"/>
                <w:szCs w:val="21"/>
              </w:rPr>
              <w:t>城南信</w:t>
            </w:r>
            <w:r>
              <w:rPr>
                <w:rFonts w:ascii="宋体" w:hAnsi="宋体" w:cs="宋体" w:eastAsia="宋体" w:hint="default"/>
                <w:spacing w:val="-102"/>
                <w:sz w:val="21"/>
                <w:szCs w:val="21"/>
              </w:rPr>
              <w:t> </w:t>
            </w:r>
            <w:r>
              <w:rPr>
                <w:rFonts w:ascii="宋体" w:hAnsi="宋体" w:cs="宋体" w:eastAsia="宋体" w:hint="default"/>
                <w:sz w:val="21"/>
                <w:szCs w:val="21"/>
              </w:rPr>
              <w:t>用金库</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5,959.10</w:t>
            </w: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170.80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5,788.30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120.52</w:t>
            </w: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5"/>
              <w:jc w:val="both"/>
              <w:rPr>
                <w:rFonts w:ascii="宋体" w:hAnsi="宋体" w:cs="宋体" w:eastAsia="宋体" w:hint="default"/>
                <w:sz w:val="21"/>
                <w:szCs w:val="21"/>
              </w:rPr>
            </w:pPr>
            <w:r>
              <w:rPr>
                <w:rFonts w:ascii="宋体" w:hAnsi="宋体" w:cs="宋体" w:eastAsia="宋体" w:hint="default"/>
                <w:sz w:val="21"/>
                <w:szCs w:val="21"/>
              </w:rPr>
              <w:t>东京中</w:t>
            </w:r>
            <w:r>
              <w:rPr>
                <w:rFonts w:ascii="宋体" w:hAnsi="宋体" w:cs="宋体" w:eastAsia="宋体" w:hint="default"/>
                <w:spacing w:val="-102"/>
                <w:sz w:val="21"/>
                <w:szCs w:val="21"/>
              </w:rPr>
              <w:t> </w:t>
            </w:r>
            <w:r>
              <w:rPr>
                <w:rFonts w:ascii="宋体" w:hAnsi="宋体" w:cs="宋体" w:eastAsia="宋体" w:hint="default"/>
                <w:sz w:val="21"/>
                <w:szCs w:val="21"/>
              </w:rPr>
              <w:t>小企业</w:t>
            </w:r>
            <w:r>
              <w:rPr>
                <w:rFonts w:ascii="宋体" w:hAnsi="宋体" w:cs="宋体" w:eastAsia="宋体" w:hint="default"/>
                <w:spacing w:val="-102"/>
                <w:sz w:val="21"/>
                <w:szCs w:val="21"/>
              </w:rPr>
              <w:t> </w:t>
            </w:r>
            <w:r>
              <w:rPr>
                <w:rFonts w:ascii="宋体" w:hAnsi="宋体" w:cs="宋体" w:eastAsia="宋体" w:hint="default"/>
                <w:sz w:val="21"/>
                <w:szCs w:val="21"/>
              </w:rPr>
              <w:t>经友会</w:t>
            </w:r>
            <w:r>
              <w:rPr>
                <w:rFonts w:ascii="宋体" w:hAnsi="宋体" w:cs="宋体" w:eastAsia="宋体" w:hint="default"/>
                <w:spacing w:val="-102"/>
                <w:sz w:val="21"/>
                <w:szCs w:val="21"/>
              </w:rPr>
              <w:t> </w:t>
            </w:r>
            <w:r>
              <w:rPr>
                <w:rFonts w:ascii="宋体" w:hAnsi="宋体" w:cs="宋体" w:eastAsia="宋体" w:hint="default"/>
                <w:sz w:val="21"/>
                <w:szCs w:val="21"/>
              </w:rPr>
              <w:t>事业协</w:t>
            </w:r>
            <w:r>
              <w:rPr>
                <w:rFonts w:ascii="宋体" w:hAnsi="宋体" w:cs="宋体" w:eastAsia="宋体" w:hint="default"/>
                <w:spacing w:val="-102"/>
                <w:sz w:val="21"/>
                <w:szCs w:val="21"/>
              </w:rPr>
              <w:t> </w:t>
            </w:r>
            <w:r>
              <w:rPr>
                <w:rFonts w:ascii="宋体" w:hAnsi="宋体" w:cs="宋体" w:eastAsia="宋体" w:hint="default"/>
                <w:sz w:val="21"/>
                <w:szCs w:val="21"/>
              </w:rPr>
              <w:t>同组合</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17"/>
              <w:jc w:val="right"/>
              <w:rPr>
                <w:rFonts w:ascii="Times New Roman" w:hAnsi="Times New Roman" w:cs="Times New Roman" w:eastAsia="Times New Roman" w:hint="default"/>
                <w:sz w:val="21"/>
                <w:szCs w:val="21"/>
              </w:rPr>
            </w:pPr>
            <w:r>
              <w:rPr>
                <w:rFonts w:ascii="Times New Roman"/>
                <w:sz w:val="21"/>
              </w:rPr>
              <w:t>595.91</w:t>
            </w: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19"/>
              <w:jc w:val="right"/>
              <w:rPr>
                <w:rFonts w:ascii="Times New Roman" w:hAnsi="Times New Roman" w:cs="Times New Roman" w:eastAsia="Times New Roman" w:hint="default"/>
                <w:sz w:val="21"/>
                <w:szCs w:val="21"/>
              </w:rPr>
            </w:pPr>
            <w:r>
              <w:rPr>
                <w:rFonts w:ascii="Times New Roman"/>
                <w:sz w:val="21"/>
              </w:rPr>
              <w:t>17.08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17"/>
              <w:jc w:val="right"/>
              <w:rPr>
                <w:rFonts w:ascii="Times New Roman" w:hAnsi="Times New Roman" w:cs="Times New Roman" w:eastAsia="Times New Roman" w:hint="default"/>
                <w:sz w:val="21"/>
                <w:szCs w:val="21"/>
              </w:rPr>
            </w:pPr>
            <w:r>
              <w:rPr>
                <w:rFonts w:ascii="Times New Roman"/>
                <w:sz w:val="21"/>
              </w:rPr>
              <w:t>578.83</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16"/>
              <w:jc w:val="right"/>
              <w:rPr>
                <w:rFonts w:ascii="Times New Roman" w:hAnsi="Times New Roman" w:cs="Times New Roman" w:eastAsia="Times New Roman" w:hint="default"/>
                <w:sz w:val="21"/>
                <w:szCs w:val="21"/>
              </w:rPr>
            </w:pPr>
            <w:r>
              <w:rPr>
                <w:rFonts w:ascii="Times New Roman"/>
                <w:sz w:val="21"/>
              </w:rPr>
              <w:t>0.01%</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2"/>
                <w:sz w:val="21"/>
              </w:rPr>
              <w:t>3,012,514.11</w:t>
            </w: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358.68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3,012,155.43</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241.04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160" w:left="680" w:right="660"/>
        </w:sectPr>
      </w:pPr>
    </w:p>
    <w:p>
      <w:pPr>
        <w:pStyle w:val="Heading2"/>
        <w:spacing w:line="240" w:lineRule="auto" w:before="39"/>
        <w:ind w:left="453" w:right="-20"/>
        <w:jc w:val="left"/>
        <w:rPr>
          <w:b w:val="0"/>
          <w:bCs w:val="0"/>
        </w:rPr>
      </w:pPr>
      <w:r>
        <w:rPr>
          <w:rFonts w:ascii="Times New Roman" w:hAnsi="Times New Roman" w:cs="Times New Roman" w:eastAsia="Times New Roman" w:hint="default"/>
        </w:rPr>
        <w:t>9</w:t>
      </w:r>
      <w:r>
        <w:rPr/>
        <w:t>、长期应收款</w:t>
      </w:r>
      <w:r>
        <w:rPr>
          <w:b w:val="0"/>
          <w:bCs w:val="0"/>
        </w:rPr>
      </w:r>
    </w:p>
    <w:p>
      <w:pPr>
        <w:pStyle w:val="Heading2"/>
        <w:spacing w:line="240" w:lineRule="auto" w:before="135"/>
        <w:ind w:left="453" w:right="-2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9"/>
        <w:ind w:left="4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680" w:right="660"/>
          <w:cols w:num="2" w:equalWidth="0">
            <w:col w:w="2743" w:space="5952"/>
            <w:col w:w="1875"/>
          </w:cols>
        </w:sectPr>
      </w:pPr>
    </w:p>
    <w:p>
      <w:pPr>
        <w:spacing w:line="240" w:lineRule="auto" w:before="12"/>
        <w:rPr>
          <w:rFonts w:ascii="宋体" w:hAnsi="宋体" w:cs="宋体" w:eastAsia="宋体" w:hint="default"/>
          <w:sz w:val="6"/>
          <w:szCs w:val="6"/>
        </w:rPr>
      </w:pPr>
    </w:p>
    <w:tbl>
      <w:tblPr>
        <w:tblW w:w="0" w:type="auto"/>
        <w:jc w:val="left"/>
        <w:tblInd w:w="449" w:type="dxa"/>
        <w:tblLayout w:type="fixed"/>
        <w:tblCellMar>
          <w:top w:w="0" w:type="dxa"/>
          <w:left w:w="0" w:type="dxa"/>
          <w:bottom w:w="0" w:type="dxa"/>
          <w:right w:w="0" w:type="dxa"/>
        </w:tblCellMar>
        <w:tblLook w:val="01E0"/>
      </w:tblPr>
      <w:tblGrid>
        <w:gridCol w:w="1403"/>
        <w:gridCol w:w="1167"/>
        <w:gridCol w:w="1166"/>
        <w:gridCol w:w="1167"/>
        <w:gridCol w:w="1169"/>
        <w:gridCol w:w="1167"/>
        <w:gridCol w:w="1166"/>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1160" w:left="680" w:right="66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03"/>
        <w:gridCol w:w="1167"/>
        <w:gridCol w:w="1166"/>
        <w:gridCol w:w="1167"/>
        <w:gridCol w:w="1169"/>
        <w:gridCol w:w="1167"/>
        <w:gridCol w:w="1166"/>
        <w:gridCol w:w="1164"/>
      </w:tblGrid>
      <w:tr>
        <w:trPr>
          <w:trHeight w:val="401"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05" w:firstLine="422"/>
              <w:jc w:val="left"/>
              <w:rPr>
                <w:rFonts w:ascii="宋体" w:hAnsi="宋体" w:cs="宋体" w:eastAsia="宋体" w:hint="default"/>
                <w:sz w:val="21"/>
                <w:szCs w:val="21"/>
              </w:rPr>
            </w:pPr>
            <w:r>
              <w:rPr>
                <w:rFonts w:ascii="宋体" w:hAnsi="宋体" w:cs="宋体" w:eastAsia="宋体" w:hint="default"/>
                <w:sz w:val="21"/>
                <w:szCs w:val="21"/>
              </w:rPr>
              <w:t>其中：未</w:t>
            </w:r>
            <w:r>
              <w:rPr>
                <w:rFonts w:ascii="宋体" w:hAnsi="宋体" w:cs="宋体" w:eastAsia="宋体" w:hint="default"/>
                <w:w w:val="100"/>
                <w:sz w:val="21"/>
                <w:szCs w:val="21"/>
              </w:rPr>
              <w:t> </w:t>
            </w:r>
            <w:r>
              <w:rPr>
                <w:rFonts w:ascii="宋体" w:hAnsi="宋体" w:cs="宋体" w:eastAsia="宋体" w:hint="default"/>
                <w:sz w:val="21"/>
                <w:szCs w:val="21"/>
              </w:rPr>
              <w:t>实现融资收益</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05"/>
              <w:jc w:val="left"/>
              <w:rPr>
                <w:rFonts w:ascii="宋体" w:hAnsi="宋体" w:cs="宋体" w:eastAsia="宋体" w:hint="default"/>
                <w:sz w:val="21"/>
                <w:szCs w:val="21"/>
              </w:rPr>
            </w:pPr>
            <w:r>
              <w:rPr>
                <w:rFonts w:ascii="宋体" w:hAnsi="宋体" w:cs="宋体" w:eastAsia="宋体" w:hint="default"/>
                <w:sz w:val="21"/>
                <w:szCs w:val="21"/>
              </w:rPr>
              <w:t>分期收款销售</w:t>
            </w:r>
            <w:r>
              <w:rPr>
                <w:rFonts w:ascii="宋体" w:hAnsi="宋体" w:cs="宋体" w:eastAsia="宋体" w:hint="default"/>
                <w:w w:val="100"/>
                <w:sz w:val="21"/>
                <w:szCs w:val="21"/>
              </w:rPr>
              <w:t> </w:t>
            </w:r>
            <w:r>
              <w:rPr>
                <w:rFonts w:ascii="宋体" w:hAnsi="宋体" w:cs="宋体" w:eastAsia="宋体" w:hint="default"/>
                <w:sz w:val="21"/>
                <w:szCs w:val="21"/>
              </w:rPr>
              <w:t>商品</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05"/>
              <w:jc w:val="left"/>
              <w:rPr>
                <w:rFonts w:ascii="宋体" w:hAnsi="宋体" w:cs="宋体" w:eastAsia="宋体" w:hint="default"/>
                <w:sz w:val="21"/>
                <w:szCs w:val="21"/>
              </w:rPr>
            </w:pPr>
            <w:r>
              <w:rPr>
                <w:rFonts w:ascii="宋体" w:hAnsi="宋体" w:cs="宋体" w:eastAsia="宋体" w:hint="default"/>
                <w:sz w:val="21"/>
                <w:szCs w:val="21"/>
              </w:rPr>
              <w:t>分期收款提供</w:t>
            </w:r>
            <w:r>
              <w:rPr>
                <w:rFonts w:ascii="宋体" w:hAnsi="宋体" w:cs="宋体" w:eastAsia="宋体" w:hint="default"/>
                <w:w w:val="100"/>
                <w:sz w:val="21"/>
                <w:szCs w:val="21"/>
              </w:rPr>
              <w:t> </w:t>
            </w:r>
            <w:r>
              <w:rPr>
                <w:rFonts w:ascii="宋体" w:hAnsi="宋体" w:cs="宋体" w:eastAsia="宋体" w:hint="default"/>
                <w:sz w:val="21"/>
                <w:szCs w:val="21"/>
              </w:rPr>
              <w:t>劳务</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22" w:right="105"/>
              <w:jc w:val="both"/>
              <w:rPr>
                <w:rFonts w:ascii="宋体" w:hAnsi="宋体" w:cs="宋体" w:eastAsia="宋体" w:hint="default"/>
                <w:sz w:val="21"/>
                <w:szCs w:val="21"/>
              </w:rPr>
            </w:pPr>
            <w:r>
              <w:rPr>
                <w:rFonts w:ascii="宋体" w:hAnsi="宋体" w:cs="宋体" w:eastAsia="宋体" w:hint="default"/>
                <w:sz w:val="21"/>
                <w:szCs w:val="21"/>
              </w:rPr>
              <w:t>长期房屋租赁</w:t>
            </w:r>
            <w:r>
              <w:rPr>
                <w:rFonts w:ascii="宋体" w:hAnsi="宋体" w:cs="宋体" w:eastAsia="宋体" w:hint="default"/>
                <w:w w:val="100"/>
                <w:sz w:val="21"/>
                <w:szCs w:val="21"/>
              </w:rPr>
              <w:t> </w:t>
            </w:r>
            <w:r>
              <w:rPr>
                <w:rFonts w:ascii="宋体" w:hAnsi="宋体" w:cs="宋体" w:eastAsia="宋体" w:hint="default"/>
                <w:sz w:val="21"/>
                <w:szCs w:val="21"/>
              </w:rPr>
              <w:t>押金、电话权</w:t>
            </w:r>
            <w:r>
              <w:rPr>
                <w:rFonts w:ascii="宋体" w:hAnsi="宋体" w:cs="宋体" w:eastAsia="宋体" w:hint="default"/>
                <w:w w:val="100"/>
                <w:sz w:val="21"/>
                <w:szCs w:val="21"/>
              </w:rPr>
              <w:t> </w:t>
            </w:r>
            <w:r>
              <w:rPr>
                <w:rFonts w:ascii="宋体" w:hAnsi="宋体" w:cs="宋体" w:eastAsia="宋体" w:hint="default"/>
                <w:sz w:val="21"/>
                <w:szCs w:val="21"/>
              </w:rPr>
              <w:t>押金</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748,284.23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748,284.23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748,284.23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748,284.23</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0" w:top="1100" w:bottom="1160" w:left="980" w:right="580"/>
        </w:sectPr>
      </w:pPr>
    </w:p>
    <w:p>
      <w:pPr>
        <w:pStyle w:val="Heading2"/>
        <w:spacing w:line="240" w:lineRule="auto" w:before="39"/>
        <w:ind w:right="-20"/>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17"/>
          <w:szCs w:val="17"/>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580"/>
          <w:cols w:num="2" w:equalWidth="0">
            <w:col w:w="2080" w:space="6614"/>
            <w:col w:w="1656"/>
          </w:cols>
        </w:sectPr>
      </w:pP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66"/>
        <w:gridCol w:w="1190"/>
        <w:gridCol w:w="567"/>
        <w:gridCol w:w="619"/>
        <w:gridCol w:w="1082"/>
        <w:gridCol w:w="797"/>
        <w:gridCol w:w="1046"/>
        <w:gridCol w:w="797"/>
        <w:gridCol w:w="761"/>
        <w:gridCol w:w="566"/>
        <w:gridCol w:w="1277"/>
        <w:gridCol w:w="799"/>
      </w:tblGrid>
      <w:tr>
        <w:trPr>
          <w:trHeight w:val="402" w:hRule="exact"/>
        </w:trPr>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9"/>
                <w:szCs w:val="29"/>
              </w:rPr>
            </w:pPr>
          </w:p>
          <w:p>
            <w:pPr>
              <w:pStyle w:val="TableParagraph"/>
              <w:spacing w:line="273" w:lineRule="auto"/>
              <w:ind w:left="69" w:right="62"/>
              <w:jc w:val="both"/>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spacing w:val="-103"/>
                <w:sz w:val="21"/>
                <w:szCs w:val="21"/>
              </w:rPr>
              <w:t> </w:t>
            </w:r>
            <w:r>
              <w:rPr>
                <w:rFonts w:ascii="宋体" w:hAnsi="宋体" w:cs="宋体" w:eastAsia="宋体" w:hint="default"/>
                <w:sz w:val="21"/>
                <w:szCs w:val="21"/>
              </w:rPr>
              <w:t>资单</w:t>
            </w:r>
            <w:r>
              <w:rPr>
                <w:rFonts w:ascii="宋体" w:hAnsi="宋体" w:cs="宋体" w:eastAsia="宋体" w:hint="default"/>
                <w:spacing w:val="-103"/>
                <w:sz w:val="21"/>
                <w:szCs w:val="21"/>
              </w:rPr>
              <w:t> </w:t>
            </w:r>
            <w:r>
              <w:rPr>
                <w:rFonts w:ascii="宋体" w:hAnsi="宋体" w:cs="宋体" w:eastAsia="宋体" w:hint="default"/>
                <w:sz w:val="21"/>
                <w:szCs w:val="21"/>
              </w:rPr>
              <w:t>位</w:t>
            </w:r>
          </w:p>
        </w:tc>
        <w:tc>
          <w:tcPr>
            <w:tcW w:w="11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17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623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2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9"/>
                <w:szCs w:val="29"/>
              </w:rPr>
            </w:pPr>
          </w:p>
          <w:p>
            <w:pPr>
              <w:pStyle w:val="TableParagraph"/>
              <w:spacing w:line="273" w:lineRule="auto"/>
              <w:ind w:left="79" w:right="74"/>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1337" w:hRule="exact"/>
        </w:trPr>
        <w:tc>
          <w:tcPr>
            <w:tcW w:w="566" w:type="dxa"/>
            <w:vMerge/>
            <w:tcBorders>
              <w:left w:val="single" w:sz="4" w:space="0" w:color="000000"/>
              <w:bottom w:val="single" w:sz="4" w:space="0" w:color="000000"/>
              <w:right w:val="single" w:sz="4" w:space="0" w:color="000000"/>
            </w:tcBorders>
            <w:shd w:val="clear" w:color="auto" w:fill="D2D2D2"/>
          </w:tcPr>
          <w:p>
            <w:pPr/>
          </w:p>
        </w:tc>
        <w:tc>
          <w:tcPr>
            <w:tcW w:w="1190" w:type="dxa"/>
            <w:vMerge/>
            <w:tcBorders>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69" w:right="63"/>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95" w:right="8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15" w:right="113"/>
              <w:jc w:val="both"/>
              <w:rPr>
                <w:rFonts w:ascii="宋体" w:hAnsi="宋体" w:cs="宋体" w:eastAsia="宋体" w:hint="default"/>
                <w:sz w:val="21"/>
                <w:szCs w:val="21"/>
              </w:rPr>
            </w:pPr>
            <w:r>
              <w:rPr>
                <w:rFonts w:ascii="宋体" w:hAnsi="宋体" w:cs="宋体" w:eastAsia="宋体" w:hint="default"/>
                <w:sz w:val="21"/>
                <w:szCs w:val="21"/>
              </w:rPr>
              <w:t>权益法下</w:t>
            </w:r>
            <w:r>
              <w:rPr>
                <w:rFonts w:ascii="宋体" w:hAnsi="宋体" w:cs="宋体" w:eastAsia="宋体" w:hint="default"/>
                <w:w w:val="100"/>
                <w:sz w:val="21"/>
                <w:szCs w:val="21"/>
              </w:rPr>
              <w:t> </w:t>
            </w: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9" w:right="72"/>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07" w:right="93" w:hanging="209"/>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4"/>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59" w:right="55"/>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07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1" w:hRule="exact"/>
        </w:trPr>
        <w:tc>
          <w:tcPr>
            <w:tcW w:w="56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84"/>
              <w:jc w:val="center"/>
              <w:rPr>
                <w:rFonts w:ascii="宋体" w:hAnsi="宋体" w:cs="宋体" w:eastAsia="宋体" w:hint="default"/>
                <w:sz w:val="21"/>
                <w:szCs w:val="21"/>
              </w:rPr>
            </w:pPr>
            <w:r>
              <w:rPr>
                <w:rFonts w:ascii="宋体" w:hAnsi="宋体" w:cs="宋体" w:eastAsia="宋体" w:hint="default"/>
                <w:sz w:val="21"/>
                <w:szCs w:val="21"/>
              </w:rPr>
              <w:t>小计</w:t>
            </w:r>
          </w:p>
        </w:tc>
        <w:tc>
          <w:tcPr>
            <w:tcW w:w="1190" w:type="dxa"/>
            <w:tcBorders>
              <w:top w:val="single" w:sz="4" w:space="0" w:color="000000"/>
              <w:left w:val="single" w:sz="10"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07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715"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08"/>
              <w:jc w:val="left"/>
              <w:rPr>
                <w:rFonts w:ascii="宋体" w:hAnsi="宋体" w:cs="宋体" w:eastAsia="宋体" w:hint="default"/>
                <w:sz w:val="21"/>
                <w:szCs w:val="21"/>
              </w:rPr>
            </w:pPr>
            <w:r>
              <w:rPr>
                <w:rFonts w:ascii="宋体" w:hAnsi="宋体" w:cs="宋体" w:eastAsia="宋体" w:hint="default"/>
                <w:sz w:val="21"/>
                <w:szCs w:val="21"/>
              </w:rPr>
              <w:t>浙江</w:t>
            </w:r>
            <w:r>
              <w:rPr>
                <w:rFonts w:ascii="宋体" w:hAnsi="宋体" w:cs="宋体" w:eastAsia="宋体" w:hint="default"/>
                <w:spacing w:val="-103"/>
                <w:sz w:val="21"/>
                <w:szCs w:val="21"/>
              </w:rPr>
              <w:t> </w:t>
            </w:r>
            <w:r>
              <w:rPr>
                <w:rFonts w:ascii="宋体" w:hAnsi="宋体" w:cs="宋体" w:eastAsia="宋体" w:hint="default"/>
                <w:sz w:val="21"/>
                <w:szCs w:val="21"/>
              </w:rPr>
              <w:t>中科</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1,100,435.95</w:t>
            </w:r>
          </w:p>
        </w:tc>
        <w:tc>
          <w:tcPr>
            <w:tcW w:w="567"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701,216.26</w:t>
            </w:r>
          </w:p>
        </w:tc>
        <w:tc>
          <w:tcPr>
            <w:tcW w:w="79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center"/>
              <w:rPr>
                <w:rFonts w:ascii="Times New Roman" w:hAnsi="Times New Roman" w:cs="Times New Roman" w:eastAsia="Times New Roman" w:hint="default"/>
                <w:sz w:val="21"/>
                <w:szCs w:val="21"/>
              </w:rPr>
            </w:pPr>
            <w:r>
              <w:rPr>
                <w:rFonts w:ascii="Times New Roman"/>
                <w:sz w:val="21"/>
              </w:rPr>
              <w:t>147,168.00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1,948,820.21</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4"/>
              <w:jc w:val="center"/>
              <w:rPr>
                <w:rFonts w:ascii="宋体" w:hAnsi="宋体" w:cs="宋体" w:eastAsia="宋体" w:hint="default"/>
                <w:sz w:val="21"/>
                <w:szCs w:val="21"/>
              </w:rPr>
            </w:pPr>
            <w:r>
              <w:rPr>
                <w:rFonts w:ascii="宋体" w:hAnsi="宋体" w:cs="宋体" w:eastAsia="宋体" w:hint="default"/>
                <w:sz w:val="21"/>
                <w:szCs w:val="21"/>
              </w:rPr>
              <w:t>小计</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1,100,435.95</w:t>
            </w:r>
          </w:p>
        </w:tc>
        <w:tc>
          <w:tcPr>
            <w:tcW w:w="567"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701,216.26</w:t>
            </w:r>
          </w:p>
        </w:tc>
        <w:tc>
          <w:tcPr>
            <w:tcW w:w="79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5" w:right="0"/>
              <w:jc w:val="center"/>
              <w:rPr>
                <w:rFonts w:ascii="Times New Roman" w:hAnsi="Times New Roman" w:cs="Times New Roman" w:eastAsia="Times New Roman" w:hint="default"/>
                <w:sz w:val="21"/>
                <w:szCs w:val="21"/>
              </w:rPr>
            </w:pPr>
            <w:r>
              <w:rPr>
                <w:rFonts w:ascii="Times New Roman"/>
                <w:sz w:val="21"/>
              </w:rPr>
              <w:t>147,168.00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1,948,820.21</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84"/>
              <w:jc w:val="center"/>
              <w:rPr>
                <w:rFonts w:ascii="宋体" w:hAnsi="宋体" w:cs="宋体" w:eastAsia="宋体" w:hint="default"/>
                <w:sz w:val="21"/>
                <w:szCs w:val="21"/>
              </w:rPr>
            </w:pPr>
            <w:r>
              <w:rPr>
                <w:rFonts w:ascii="宋体" w:hAnsi="宋体" w:cs="宋体" w:eastAsia="宋体" w:hint="default"/>
                <w:sz w:val="21"/>
                <w:szCs w:val="21"/>
              </w:rPr>
              <w:t>合计</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1,100,435.95</w:t>
            </w:r>
          </w:p>
        </w:tc>
        <w:tc>
          <w:tcPr>
            <w:tcW w:w="567"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701,216.26</w:t>
            </w:r>
          </w:p>
        </w:tc>
        <w:tc>
          <w:tcPr>
            <w:tcW w:w="79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5" w:right="0"/>
              <w:jc w:val="center"/>
              <w:rPr>
                <w:rFonts w:ascii="Times New Roman" w:hAnsi="Times New Roman" w:cs="Times New Roman" w:eastAsia="Times New Roman" w:hint="default"/>
                <w:sz w:val="21"/>
                <w:szCs w:val="21"/>
              </w:rPr>
            </w:pPr>
            <w:r>
              <w:rPr>
                <w:rFonts w:ascii="Times New Roman"/>
                <w:sz w:val="21"/>
              </w:rPr>
              <w:t>147,168.00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1,948,820.21</w:t>
            </w:r>
          </w:p>
        </w:tc>
        <w:tc>
          <w:tcPr>
            <w:tcW w:w="79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39"/>
        <w:ind w:right="5613"/>
        <w:jc w:val="left"/>
      </w:pPr>
      <w:r>
        <w:rPr/>
        <w:t>其他说明 浙江中科数城软件有限公司简称浙江中科。</w:t>
      </w:r>
    </w:p>
    <w:p>
      <w:pPr>
        <w:pStyle w:val="BodyText"/>
        <w:spacing w:line="240" w:lineRule="auto" w:before="36"/>
        <w:ind w:right="0"/>
        <w:jc w:val="left"/>
      </w:pPr>
      <w:r>
        <w:rPr/>
        <w:t>期末未发现长期股权投资存在明显减值迹象，故未计提减值准备。</w:t>
      </w:r>
    </w:p>
    <w:p>
      <w:pPr>
        <w:spacing w:line="240" w:lineRule="auto" w:before="10"/>
        <w:rPr>
          <w:rFonts w:ascii="宋体" w:hAnsi="宋体" w:cs="宋体" w:eastAsia="宋体" w:hint="default"/>
          <w:sz w:val="34"/>
          <w:szCs w:val="34"/>
        </w:rPr>
      </w:pPr>
    </w:p>
    <w:p>
      <w:pPr>
        <w:pStyle w:val="Heading2"/>
        <w:spacing w:line="240" w:lineRule="auto"/>
        <w:ind w:right="5613"/>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561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100" w:bottom="1160" w:left="980" w:right="580"/>
        </w:sectPr>
      </w:pPr>
    </w:p>
    <w:p>
      <w:pPr>
        <w:pStyle w:val="BodyText"/>
        <w:spacing w:line="240" w:lineRule="auto" w:before="17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580"/>
          <w:cols w:num="2" w:equalWidth="0">
            <w:col w:w="1990" w:space="6705"/>
            <w:col w:w="1655"/>
          </w:cols>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144,539,568.46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144,539,568.46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3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1,932,327.76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1,932,327.76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4" w:right="35" w:firstLine="42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）存货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固定</w:t>
            </w:r>
            <w:r>
              <w:rPr>
                <w:rFonts w:ascii="宋体" w:hAnsi="宋体" w:cs="宋体" w:eastAsia="宋体" w:hint="default"/>
                <w:spacing w:val="-3"/>
                <w:w w:val="100"/>
                <w:sz w:val="21"/>
                <w:szCs w:val="21"/>
              </w:rPr>
              <w:t> </w:t>
            </w:r>
            <w:r>
              <w:rPr>
                <w:rFonts w:ascii="宋体" w:hAnsi="宋体" w:cs="宋体" w:eastAsia="宋体" w:hint="default"/>
                <w:sz w:val="21"/>
                <w:szCs w:val="21"/>
              </w:rPr>
              <w:t>资产</w:t>
            </w:r>
            <w:r>
              <w:rPr>
                <w:rFonts w:ascii="Times New Roman" w:hAnsi="Times New Roman" w:cs="Times New Roman" w:eastAsia="Times New Roman" w:hint="default"/>
                <w:sz w:val="21"/>
                <w:szCs w:val="21"/>
              </w:rPr>
              <w:t>\</w:t>
            </w:r>
            <w:r>
              <w:rPr>
                <w:rFonts w:ascii="宋体" w:hAnsi="宋体" w:cs="宋体" w:eastAsia="宋体" w:hint="default"/>
                <w:sz w:val="21"/>
                <w:szCs w:val="21"/>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1,932,327.76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1,932,327.76</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4" w:right="88" w:firstLine="42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3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本期减少金额</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88"/>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）其他转出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146,471,896.22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146,471,896.22</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19"/>
              <w:jc w:val="left"/>
              <w:rPr>
                <w:rFonts w:ascii="宋体" w:hAnsi="宋体" w:cs="宋体" w:eastAsia="宋体" w:hint="default"/>
                <w:sz w:val="21"/>
                <w:szCs w:val="21"/>
              </w:rPr>
            </w:pPr>
            <w:r>
              <w:rPr>
                <w:rFonts w:ascii="宋体" w:hAnsi="宋体" w:cs="宋体" w:eastAsia="宋体" w:hint="default"/>
                <w:spacing w:val="-5"/>
                <w:sz w:val="21"/>
                <w:szCs w:val="21"/>
              </w:rPr>
              <w:t>二、累计折旧和累计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摊销</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20,591,735.98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20,591,735.98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3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4,340,280.87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4,340,280.87</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销</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3,794,943.56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3,794,943.56</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固定资产转入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545,337.31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545,337.31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8"/>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24,932,016.85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24,932,016.85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8"/>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3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121,539,879.37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121,539,879.37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1" w:right="0"/>
              <w:jc w:val="left"/>
              <w:rPr>
                <w:rFonts w:ascii="Times New Roman" w:hAnsi="Times New Roman" w:cs="Times New Roman" w:eastAsia="Times New Roman" w:hint="default"/>
                <w:sz w:val="21"/>
                <w:szCs w:val="21"/>
              </w:rPr>
            </w:pPr>
            <w:r>
              <w:rPr>
                <w:rFonts w:ascii="Times New Roman"/>
                <w:sz w:val="21"/>
              </w:rPr>
              <w:t>123,947,832.48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68" w:right="0"/>
              <w:jc w:val="left"/>
              <w:rPr>
                <w:rFonts w:ascii="Times New Roman" w:hAnsi="Times New Roman" w:cs="Times New Roman" w:eastAsia="Times New Roman" w:hint="default"/>
                <w:sz w:val="21"/>
                <w:szCs w:val="21"/>
              </w:rPr>
            </w:pPr>
            <w:r>
              <w:rPr>
                <w:rFonts w:ascii="Times New Roman"/>
                <w:sz w:val="21"/>
              </w:rPr>
              <w:t>123,947,832.48</w:t>
            </w:r>
          </w:p>
        </w:tc>
      </w:tr>
    </w:tbl>
    <w:p>
      <w:pPr>
        <w:spacing w:line="240" w:lineRule="auto" w:before="2"/>
        <w:rPr>
          <w:rFonts w:ascii="Times New Roman" w:hAnsi="Times New Roman" w:cs="Times New Roman" w:eastAsia="Times New Roman" w:hint="default"/>
          <w:sz w:val="27"/>
          <w:szCs w:val="27"/>
        </w:rPr>
      </w:pPr>
    </w:p>
    <w:p>
      <w:pPr>
        <w:pStyle w:val="Heading2"/>
        <w:spacing w:line="240" w:lineRule="auto" w:before="26"/>
        <w:ind w:right="293"/>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29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3" w:hRule="exact"/>
        </w:trPr>
        <w:tc>
          <w:tcPr>
            <w:tcW w:w="1915" w:type="dxa"/>
            <w:tcBorders>
              <w:top w:val="single" w:sz="4" w:space="0" w:color="000000"/>
              <w:left w:val="single" w:sz="4" w:space="0" w:color="000000"/>
              <w:bottom w:val="single" w:sz="4" w:space="0" w:color="000000"/>
              <w:right w:val="single" w:sz="10" w:space="0" w:color="D0CECE"/>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0CECE" w:color="auto" w:val="clear"/>
              </w:rPr>
              <w:t>项目</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3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913" w:type="dxa"/>
            <w:tcBorders>
              <w:top w:val="single" w:sz="4" w:space="0" w:color="000000"/>
              <w:left w:val="single" w:sz="4" w:space="0" w:color="000000"/>
              <w:bottom w:val="single" w:sz="4" w:space="0" w:color="000000"/>
              <w:right w:val="single" w:sz="13" w:space="0" w:color="D2D2D2"/>
            </w:tcBorders>
            <w:shd w:val="clear" w:color="auto" w:fill="D0CECE"/>
          </w:tcPr>
          <w:p>
            <w:pPr>
              <w:pStyle w:val="TableParagraph"/>
              <w:spacing w:line="240" w:lineRule="auto" w:before="28"/>
              <w:ind w:left="215"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1916" w:type="dxa"/>
            <w:tcBorders>
              <w:top w:val="single" w:sz="4" w:space="0" w:color="000000"/>
              <w:left w:val="single" w:sz="12" w:space="0" w:color="D0CECE"/>
              <w:bottom w:val="single" w:sz="4" w:space="0" w:color="000000"/>
              <w:right w:val="single" w:sz="4" w:space="0" w:color="000000"/>
            </w:tcBorders>
            <w:shd w:val="clear" w:color="auto" w:fill="D2D2D2"/>
          </w:tcPr>
          <w:p>
            <w:pPr>
              <w:pStyle w:val="TableParagraph"/>
              <w:spacing w:line="240" w:lineRule="auto" w:before="28"/>
              <w:ind w:right="9"/>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0CECE" w:color="auto" w:val="clear"/>
              </w:rPr>
              <w:t>合计</w:t>
            </w:r>
            <w:r>
              <w:rPr>
                <w:rFonts w:ascii="宋体" w:hAnsi="宋体" w:cs="宋体" w:eastAsia="宋体" w:hint="default"/>
                <w:sz w:val="21"/>
                <w:szCs w:val="21"/>
              </w:rPr>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182,426,789.25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8,433,053.13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42,622,586.23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233,482,428.61</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563,315.32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518,331.20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7,316,396.07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8,398,042.59</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4" w:right="91" w:firstLine="42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w:t>
            </w:r>
            <w:r>
              <w:rPr>
                <w:rFonts w:ascii="宋体" w:hAnsi="宋体" w:cs="宋体" w:eastAsia="宋体" w:hint="default"/>
                <w:w w:val="100"/>
                <w:sz w:val="21"/>
                <w:szCs w:val="21"/>
              </w:rPr>
              <w:t> </w:t>
            </w:r>
            <w:r>
              <w:rPr>
                <w:rFonts w:ascii="宋体" w:hAnsi="宋体" w:cs="宋体" w:eastAsia="宋体" w:hint="default"/>
                <w:sz w:val="21"/>
                <w:szCs w:val="21"/>
              </w:rPr>
              <w:t>转入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4" w:right="91" w:firstLine="42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1,933,910.21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2,155,910.21</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1,449,883.07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4,278,530.64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5,728,413.71</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转入投资性房地产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1,932,327.76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1,932,327.76</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181,057,776.81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7,723,501.26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47,594,361.87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236,375,639.94</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26,278,585.55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6,221,172.84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25,162,134.66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57,661,893.05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9,617,619.13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590,158.52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6,812,554.85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17,020,332.50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210,900.00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1,103,378.97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1,314,278.97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1,221,040.39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3,142,104.46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4,363,144.85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转入投资性房地产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545,337.31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545,337.31</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35,350,867.37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5,801,190.97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29,935,964.02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71,088,022.36</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w w:val="100"/>
                <w:sz w:val="21"/>
                <w:szCs w:val="21"/>
              </w:rPr>
              <w:t>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49"/>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145,706,909.44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1,922,310.29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17,658,397.85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165,287,617.58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49"/>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156,148,203.70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2,211,880.29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17,460,451.57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175,820,535.56</w:t>
            </w:r>
          </w:p>
        </w:tc>
      </w:tr>
    </w:tbl>
    <w:p>
      <w:pPr>
        <w:spacing w:line="240" w:lineRule="auto" w:before="12"/>
        <w:rPr>
          <w:rFonts w:ascii="宋体" w:hAnsi="宋体" w:cs="宋体" w:eastAsia="宋体" w:hint="default"/>
          <w:sz w:val="23"/>
          <w:szCs w:val="23"/>
        </w:rPr>
      </w:pPr>
    </w:p>
    <w:p>
      <w:pPr>
        <w:pStyle w:val="Heading2"/>
        <w:spacing w:line="240" w:lineRule="auto" w:before="26"/>
        <w:ind w:right="293"/>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40"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西安办公楼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3" w:right="0"/>
              <w:jc w:val="left"/>
              <w:rPr>
                <w:rFonts w:ascii="Times New Roman" w:hAnsi="Times New Roman" w:cs="Times New Roman" w:eastAsia="Times New Roman" w:hint="default"/>
                <w:sz w:val="21"/>
                <w:szCs w:val="21"/>
              </w:rPr>
            </w:pPr>
            <w:r>
              <w:rPr>
                <w:rFonts w:ascii="Times New Roman"/>
                <w:sz w:val="21"/>
              </w:rPr>
              <w:t>10,281,321.84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正在办理之中</w:t>
            </w:r>
          </w:p>
        </w:tc>
      </w:tr>
    </w:tbl>
    <w:p>
      <w:pPr>
        <w:pStyle w:val="BodyText"/>
        <w:spacing w:line="240" w:lineRule="auto" w:before="79"/>
        <w:ind w:right="293"/>
        <w:jc w:val="left"/>
      </w:pPr>
      <w:r>
        <w:rPr/>
        <w:t>其他说明</w:t>
      </w:r>
    </w:p>
    <w:p>
      <w:pPr>
        <w:pStyle w:val="BodyText"/>
        <w:spacing w:line="240" w:lineRule="auto" w:before="194"/>
        <w:ind w:right="202"/>
        <w:jc w:val="left"/>
        <w:rPr>
          <w:rFonts w:ascii="Times New Roman" w:hAnsi="Times New Roman" w:cs="Times New Roman" w:eastAsia="Times New Roman" w:hint="default"/>
        </w:rPr>
      </w:pPr>
      <w:r>
        <w:rPr>
          <w:rFonts w:ascii="Times New Roman" w:hAnsi="Times New Roman" w:cs="Times New Roman" w:eastAsia="Times New Roman" w:hint="default"/>
        </w:rPr>
        <w:t>1.  </w:t>
      </w:r>
      <w:r>
        <w:rPr/>
        <w:t>本期折旧额</w:t>
      </w:r>
      <w:r>
        <w:rPr>
          <w:spacing w:val="-61"/>
        </w:rPr>
        <w:t> </w:t>
      </w:r>
      <w:r>
        <w:rPr>
          <w:rFonts w:ascii="Times New Roman" w:hAnsi="Times New Roman" w:cs="Times New Roman" w:eastAsia="Times New Roman" w:hint="default"/>
        </w:rPr>
        <w:t>17,020,332.50 </w:t>
      </w:r>
      <w:r>
        <w:rPr/>
        <w:t>元。期末已提足折旧仍继续使用的固定资产原值</w:t>
      </w:r>
      <w:r>
        <w:rPr>
          <w:spacing w:val="-59"/>
        </w:rPr>
        <w:t> </w:t>
      </w:r>
      <w:r>
        <w:rPr>
          <w:rFonts w:ascii="Times New Roman" w:hAnsi="Times New Roman" w:cs="Times New Roman" w:eastAsia="Times New Roman" w:hint="default"/>
        </w:rPr>
        <w:t>17,364,448.06</w:t>
      </w:r>
    </w:p>
    <w:p>
      <w:pPr>
        <w:pStyle w:val="BodyText"/>
        <w:spacing w:line="240" w:lineRule="auto" w:before="135"/>
        <w:ind w:right="293"/>
        <w:jc w:val="left"/>
      </w:pPr>
      <w:r>
        <w:rPr/>
        <w:t>元。</w:t>
      </w:r>
    </w:p>
    <w:p>
      <w:pPr>
        <w:pStyle w:val="BodyText"/>
        <w:spacing w:line="379" w:lineRule="auto" w:before="192"/>
        <w:ind w:right="3293"/>
        <w:jc w:val="left"/>
      </w:pPr>
      <w:r>
        <w:rPr>
          <w:rFonts w:ascii="Times New Roman" w:hAnsi="Times New Roman" w:cs="Times New Roman" w:eastAsia="Times New Roman" w:hint="default"/>
        </w:rPr>
        <w:t>2</w:t>
      </w:r>
      <w:r>
        <w:rPr/>
        <w:t>．固定资产减值准备计提原因和依据说明 期末未发现固定资产存在明显减值迹象，故未计提减值准备。 </w:t>
      </w:r>
      <w:r>
        <w:rPr>
          <w:rFonts w:ascii="Times New Roman" w:hAnsi="Times New Roman" w:cs="Times New Roman" w:eastAsia="Times New Roman" w:hint="default"/>
        </w:rPr>
        <w:t>3</w:t>
      </w:r>
      <w:r>
        <w:rPr/>
        <w:t>．期末无经营租赁租出的固定资产。</w:t>
      </w:r>
    </w:p>
    <w:p>
      <w:pPr>
        <w:spacing w:line="240" w:lineRule="auto" w:before="7"/>
        <w:rPr>
          <w:rFonts w:ascii="宋体" w:hAnsi="宋体" w:cs="宋体" w:eastAsia="宋体" w:hint="default"/>
          <w:sz w:val="21"/>
          <w:szCs w:val="21"/>
        </w:rPr>
      </w:pPr>
    </w:p>
    <w:p>
      <w:pPr>
        <w:pStyle w:val="Heading2"/>
        <w:spacing w:line="240" w:lineRule="auto"/>
        <w:ind w:right="293"/>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29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5"/>
        <w:rPr>
          <w:rFonts w:ascii="宋体" w:hAnsi="宋体" w:cs="宋体" w:eastAsia="宋体" w:hint="default"/>
          <w:b/>
          <w:bCs/>
          <w:sz w:val="29"/>
          <w:szCs w:val="29"/>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成都办公楼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14,912,976.25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7" w:right="0"/>
              <w:jc w:val="center"/>
              <w:rPr>
                <w:rFonts w:ascii="Times New Roman" w:hAnsi="Times New Roman" w:cs="Times New Roman" w:eastAsia="Times New Roman" w:hint="default"/>
                <w:sz w:val="21"/>
                <w:szCs w:val="21"/>
              </w:rPr>
            </w:pPr>
            <w:r>
              <w:rPr>
                <w:rFonts w:ascii="Times New Roman"/>
                <w:sz w:val="21"/>
              </w:rPr>
              <w:t>14,912,976.25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247,641.52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247,641.52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14,912,976.25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Times New Roman" w:hAnsi="Times New Roman" w:cs="Times New Roman" w:eastAsia="Times New Roman" w:hint="default"/>
                <w:sz w:val="21"/>
                <w:szCs w:val="21"/>
              </w:rPr>
            </w:pPr>
            <w:r>
              <w:rPr>
                <w:rFonts w:ascii="Times New Roman"/>
                <w:sz w:val="21"/>
              </w:rPr>
              <w:t>14,912,976.25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247,641.52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247,641.52</w:t>
            </w:r>
          </w:p>
        </w:tc>
      </w:tr>
    </w:tbl>
    <w:p>
      <w:pPr>
        <w:pStyle w:val="BodyText"/>
        <w:spacing w:line="386" w:lineRule="auto" w:before="79"/>
        <w:ind w:right="3293"/>
        <w:jc w:val="left"/>
      </w:pPr>
      <w:r>
        <w:rPr/>
        <w:t>其他说明 期末未发现在建工程存在明显减值迹象，故未计提减值准备。</w:t>
      </w:r>
    </w:p>
    <w:p>
      <w:pPr>
        <w:spacing w:after="0" w:line="386"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Heading2"/>
        <w:spacing w:line="240" w:lineRule="auto" w:before="26"/>
        <w:ind w:right="293"/>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29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right="173"/>
        <w:jc w:val="left"/>
      </w:pPr>
      <w:r>
        <w:rPr/>
        <w:t>公司是否需遵守《深圳证券交易所创业板行业信息披露指引第</w:t>
      </w:r>
      <w:r>
        <w:rPr>
          <w:spacing w:val="-60"/>
        </w:rPr>
        <w:t> </w:t>
      </w:r>
      <w:r>
        <w:rPr>
          <w:rFonts w:ascii="Times New Roman" w:hAnsi="Times New Roman" w:cs="Times New Roman" w:eastAsia="Times New Roman" w:hint="default"/>
        </w:rPr>
        <w:t>5 </w:t>
      </w:r>
      <w:r>
        <w:rPr/>
        <w:t>号</w:t>
      </w:r>
      <w:r>
        <w:rPr>
          <w:rFonts w:ascii="Times New Roman" w:hAnsi="Times New Roman" w:cs="Times New Roman" w:eastAsia="Times New Roman" w:hint="default"/>
        </w:rPr>
        <w:t>——</w:t>
      </w:r>
      <w:r>
        <w:rPr/>
        <w:t>上市公司从事互联网 游戏业务》的披露要求</w:t>
      </w:r>
    </w:p>
    <w:p>
      <w:pPr>
        <w:pStyle w:val="BodyText"/>
        <w:spacing w:line="240" w:lineRule="auto" w:before="96"/>
        <w:ind w:right="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240" w:lineRule="auto" w:before="4"/>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77" w:footer="980" w:top="1100" w:bottom="1160" w:left="980" w:right="980"/>
        </w:sectPr>
      </w:pPr>
    </w:p>
    <w:p>
      <w:pPr>
        <w:pStyle w:val="BodyText"/>
        <w:spacing w:line="240" w:lineRule="auto" w:before="26"/>
        <w:ind w:right="-20"/>
        <w:jc w:val="left"/>
      </w:pPr>
      <w:r>
        <w:rPr/>
        <w:t>前五名游戏情况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6"/>
          <w:szCs w:val="16"/>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80"/>
          <w:cols w:num="2" w:equalWidth="0">
            <w:col w:w="1834" w:space="6861"/>
            <w:col w:w="1255"/>
          </w:cols>
        </w:sectPr>
      </w:pP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6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77"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66"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D0CECE"/>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软件</w:t>
            </w:r>
          </w:p>
        </w:tc>
        <w:tc>
          <w:tcPr>
            <w:tcW w:w="1594" w:type="dxa"/>
            <w:tcBorders>
              <w:top w:val="single" w:sz="4" w:space="0" w:color="000000"/>
              <w:left w:val="single" w:sz="12" w:space="0" w:color="D0CECE"/>
              <w:bottom w:val="single" w:sz="4" w:space="0" w:color="000000"/>
              <w:right w:val="single" w:sz="4" w:space="0" w:color="000000"/>
            </w:tcBorders>
            <w:shd w:val="clear" w:color="auto" w:fill="D2D2D2"/>
          </w:tcPr>
          <w:p>
            <w:pPr>
              <w:pStyle w:val="TableParagraph"/>
              <w:spacing w:line="240" w:lineRule="auto" w:before="29"/>
              <w:ind w:right="4"/>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23,702,309.02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5,959,100.00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107,649,956.49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137,311,365.51</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）购置</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831,916.77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831,916.77</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）内部</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52,385,410.72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52,385,410.72</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7" w:firstLine="612"/>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）企业</w:t>
            </w:r>
            <w:r>
              <w:rPr>
                <w:rFonts w:ascii="宋体" w:hAnsi="宋体" w:cs="宋体" w:eastAsia="宋体" w:hint="default"/>
                <w:w w:val="100"/>
                <w:sz w:val="21"/>
                <w:szCs w:val="21"/>
              </w:rPr>
              <w:t> </w:t>
            </w:r>
            <w:r>
              <w:rPr>
                <w:rFonts w:ascii="宋体" w:hAnsi="宋体" w:cs="宋体" w:eastAsia="宋体" w:hint="default"/>
                <w:sz w:val="21"/>
                <w:szCs w:val="21"/>
              </w:rPr>
              <w:t>合并增加</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5,435,293.38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5,435,293.38</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56" w:lineRule="auto" w:before="28"/>
              <w:ind w:left="22" w:right="136" w:firstLine="21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23,702,309.02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5,959,100.00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166,302,577.36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195,963,986.38</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296,278.86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2,501,798.16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49,457,230.92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52,255,307.94</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56" w:lineRule="auto" w:before="28"/>
              <w:ind w:left="22"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592,557.72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365,794.89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22,012,524.26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22,970,876.87</w:t>
            </w:r>
          </w:p>
        </w:tc>
      </w:tr>
      <w:tr>
        <w:trPr>
          <w:trHeight w:val="404" w:hRule="exact"/>
        </w:trPr>
        <w:tc>
          <w:tcPr>
            <w:tcW w:w="15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592,557.72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365,794.89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21,211,730.88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22,170,083.49</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800,793.38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800,793.38</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56" w:lineRule="auto" w:before="28"/>
              <w:ind w:left="22"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888,836.58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2,867,593.05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71,469,755.18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75,226,184.81</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980" w:right="980"/>
        </w:sectPr>
      </w:pPr>
    </w:p>
    <w:p>
      <w:pPr>
        <w:spacing w:line="240" w:lineRule="auto" w:before="8"/>
        <w:rPr>
          <w:rFonts w:ascii="宋体" w:hAnsi="宋体" w:cs="宋体" w:eastAsia="宋体" w:hint="default"/>
          <w:sz w:val="24"/>
          <w:szCs w:val="24"/>
        </w:rPr>
      </w:pPr>
    </w:p>
    <w:tbl>
      <w:tblPr>
        <w:tblW w:w="0" w:type="auto"/>
        <w:jc w:val="left"/>
        <w:tblInd w:w="82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56" w:lineRule="auto" w:before="28"/>
              <w:ind w:left="24"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30"/>
              <w:ind w:left="635"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56" w:lineRule="auto" w:before="28"/>
              <w:ind w:left="24"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4"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22,813,472.44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3,091,506.95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94,832,822.18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120,737,801.57</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1"/>
              <w:ind w:left="24"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23,406,030.16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3,457,301.84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58,192,725.57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85,056,057.57</w:t>
            </w:r>
          </w:p>
        </w:tc>
      </w:tr>
    </w:tbl>
    <w:p>
      <w:pPr>
        <w:pStyle w:val="BodyText"/>
        <w:spacing w:line="386" w:lineRule="auto" w:before="79"/>
        <w:ind w:left="833" w:right="3973"/>
        <w:jc w:val="left"/>
      </w:pPr>
      <w:r>
        <w:rPr/>
        <w:t>其他说明 期末未发现无形资产存在明显减值迹象，故未计提减值准备。</w:t>
      </w:r>
    </w:p>
    <w:p>
      <w:pPr>
        <w:spacing w:line="240" w:lineRule="auto" w:before="9"/>
        <w:rPr>
          <w:rFonts w:ascii="宋体" w:hAnsi="宋体" w:cs="宋体" w:eastAsia="宋体" w:hint="default"/>
          <w:sz w:val="23"/>
          <w:szCs w:val="23"/>
        </w:rPr>
      </w:pPr>
    </w:p>
    <w:p>
      <w:pPr>
        <w:pStyle w:val="Heading2"/>
        <w:spacing w:line="240" w:lineRule="auto"/>
        <w:ind w:left="833" w:right="3973"/>
        <w:jc w:val="left"/>
        <w:rPr>
          <w:b w:val="0"/>
          <w:bCs w:val="0"/>
        </w:rPr>
      </w:pPr>
      <w:r>
        <w:rPr>
          <w:rFonts w:ascii="Times New Roman" w:hAnsi="Times New Roman" w:cs="Times New Roman" w:eastAsia="Times New Roman" w:hint="default"/>
        </w:rPr>
        <w:t>15</w:t>
      </w:r>
      <w:r>
        <w:rPr/>
        <w:t>、开发支出</w:t>
      </w:r>
      <w:r>
        <w:rPr>
          <w:b w:val="0"/>
          <w:bCs w:val="0"/>
        </w:rPr>
      </w:r>
    </w:p>
    <w:p>
      <w:pPr>
        <w:spacing w:line="240" w:lineRule="auto" w:before="6"/>
        <w:rPr>
          <w:rFonts w:ascii="宋体" w:hAnsi="宋体" w:cs="宋体" w:eastAsia="宋体" w:hint="default"/>
          <w:b/>
          <w:bCs/>
          <w:sz w:val="26"/>
          <w:szCs w:val="26"/>
        </w:rPr>
      </w:pPr>
    </w:p>
    <w:p>
      <w:pPr>
        <w:spacing w:before="36"/>
        <w:ind w:left="0" w:right="8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052"/>
        <w:gridCol w:w="1357"/>
        <w:gridCol w:w="1419"/>
        <w:gridCol w:w="1063"/>
        <w:gridCol w:w="1064"/>
        <w:gridCol w:w="1277"/>
        <w:gridCol w:w="1417"/>
        <w:gridCol w:w="1064"/>
        <w:gridCol w:w="1349"/>
      </w:tblGrid>
      <w:tr>
        <w:trPr>
          <w:trHeight w:val="403" w:hRule="exact"/>
        </w:trPr>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38"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7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43"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34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63" w:lineRule="exact"/>
              <w:ind w:left="3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63" w:lineRule="exact"/>
              <w:ind w:left="2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9" w:space="0" w:color="D2D2D2"/>
              <w:right w:val="single" w:sz="13" w:space="0" w:color="D2D2D2"/>
            </w:tcBorders>
            <w:shd w:val="clear" w:color="auto" w:fill="D0CECE"/>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422" w:right="103" w:hanging="315"/>
              <w:jc w:val="left"/>
              <w:rPr>
                <w:rFonts w:ascii="宋体" w:hAnsi="宋体" w:cs="宋体" w:eastAsia="宋体" w:hint="default"/>
                <w:sz w:val="21"/>
                <w:szCs w:val="21"/>
              </w:rPr>
            </w:pPr>
            <w:r>
              <w:rPr>
                <w:rFonts w:ascii="宋体" w:hAnsi="宋体" w:cs="宋体" w:eastAsia="宋体" w:hint="default"/>
                <w:sz w:val="21"/>
                <w:szCs w:val="21"/>
              </w:rPr>
              <w:t>确认为无形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10" w:space="0" w:color="D2D2D2"/>
              <w:right w:val="single" w:sz="9" w:space="0" w:color="D2D2D2"/>
            </w:tcBorders>
            <w:shd w:val="clear" w:color="auto" w:fill="D0CECE"/>
          </w:tcPr>
          <w:p>
            <w:pPr/>
          </w:p>
        </w:tc>
        <w:tc>
          <w:tcPr>
            <w:tcW w:w="1349" w:type="dxa"/>
            <w:vMerge w:val="restart"/>
            <w:tcBorders>
              <w:top w:val="nil" w:sz="6" w:space="0" w:color="auto"/>
              <w:left w:val="single" w:sz="4" w:space="0" w:color="000000"/>
              <w:right w:val="single" w:sz="4" w:space="0" w:color="000000"/>
            </w:tcBorders>
            <w:shd w:val="clear" w:color="auto" w:fill="D2D2D2"/>
          </w:tcPr>
          <w:p>
            <w:pPr>
              <w:pStyle w:val="TableParagraph"/>
              <w:spacing w:line="263" w:lineRule="exact"/>
              <w:ind w:left="24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0" w:hRule="exact"/>
        </w:trPr>
        <w:tc>
          <w:tcPr>
            <w:tcW w:w="1052"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22" w:space="0" w:color="D2D2D2"/>
              <w:right w:val="single" w:sz="22" w:space="0" w:color="D2D2D2"/>
            </w:tcBorders>
          </w:tcPr>
          <w:p>
            <w:pPr>
              <w:pStyle w:val="TableParagraph"/>
              <w:spacing w:line="240" w:lineRule="auto" w:before="28"/>
              <w:ind w:left="5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内部开发支出</w:t>
            </w:r>
            <w:r>
              <w:rPr>
                <w:rFonts w:ascii="宋体" w:hAnsi="宋体" w:cs="宋体" w:eastAsia="宋体" w:hint="default"/>
                <w:sz w:val="21"/>
                <w:szCs w:val="21"/>
              </w:rPr>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64" w:type="dxa"/>
            <w:vMerge/>
            <w:tcBorders>
              <w:left w:val="single" w:sz="9" w:space="0" w:color="D2D2D2"/>
              <w:right w:val="single" w:sz="13" w:space="0" w:color="D2D2D2"/>
            </w:tcBorders>
            <w:shd w:val="clear" w:color="auto" w:fill="D0CECE"/>
          </w:tcPr>
          <w:p>
            <w:pPr/>
          </w:p>
        </w:tc>
        <w:tc>
          <w:tcPr>
            <w:tcW w:w="1277"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4" w:right="0"/>
              <w:jc w:val="left"/>
              <w:rPr>
                <w:rFonts w:ascii="宋体" w:hAnsi="宋体" w:cs="宋体" w:eastAsia="宋体" w:hint="default"/>
                <w:sz w:val="21"/>
                <w:szCs w:val="21"/>
              </w:rPr>
            </w:pPr>
            <w:r>
              <w:rPr>
                <w:rFonts w:ascii="宋体" w:hAnsi="宋体" w:cs="宋体" w:eastAsia="宋体" w:hint="default"/>
                <w:sz w:val="21"/>
                <w:szCs w:val="21"/>
              </w:rPr>
              <w:t>转入当期损益</w:t>
            </w:r>
          </w:p>
        </w:tc>
        <w:tc>
          <w:tcPr>
            <w:tcW w:w="1064" w:type="dxa"/>
            <w:vMerge/>
            <w:tcBorders>
              <w:left w:val="single" w:sz="10" w:space="0" w:color="D2D2D2"/>
              <w:right w:val="single" w:sz="9" w:space="0" w:color="D2D2D2"/>
            </w:tcBorders>
            <w:shd w:val="clear" w:color="auto" w:fill="D0CECE"/>
          </w:tcPr>
          <w:p>
            <w:pPr/>
          </w:p>
        </w:tc>
        <w:tc>
          <w:tcPr>
            <w:tcW w:w="134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52" w:type="dxa"/>
            <w:vMerge w:val="restart"/>
            <w:tcBorders>
              <w:top w:val="nil" w:sz="6" w:space="0" w:color="auto"/>
              <w:left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
        </w:tc>
        <w:tc>
          <w:tcPr>
            <w:tcW w:w="1419" w:type="dxa"/>
            <w:vMerge/>
            <w:tcBorders>
              <w:left w:val="single" w:sz="22" w:space="0" w:color="D2D2D2"/>
              <w:bottom w:val="nil" w:sz="6" w:space="0" w:color="auto"/>
              <w:right w:val="single" w:sz="22" w:space="0" w:color="D2D2D2"/>
            </w:tcBorders>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9" w:space="0" w:color="D2D2D2"/>
              <w:right w:val="single" w:sz="13" w:space="0" w:color="D2D2D2"/>
            </w:tcBorders>
            <w:shd w:val="clear" w:color="auto" w:fill="D0CECE"/>
          </w:tcPr>
          <w:p>
            <w:pPr/>
          </w:p>
        </w:tc>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10" w:space="0" w:color="D2D2D2"/>
              <w:right w:val="single" w:sz="9" w:space="0" w:color="D2D2D2"/>
            </w:tcBorders>
            <w:shd w:val="clear" w:color="auto" w:fill="D0CECE"/>
          </w:tcPr>
          <w:p>
            <w:pPr/>
          </w:p>
        </w:tc>
        <w:tc>
          <w:tcPr>
            <w:tcW w:w="134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52" w:type="dxa"/>
            <w:vMerge/>
            <w:tcBorders>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9" w:space="0" w:color="D2D2D2"/>
              <w:bottom w:val="single" w:sz="4" w:space="0" w:color="000000"/>
              <w:right w:val="single" w:sz="13" w:space="0" w:color="D2D2D2"/>
            </w:tcBorders>
            <w:shd w:val="clear" w:color="auto" w:fill="D0CECE"/>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10" w:space="0" w:color="D2D2D2"/>
              <w:bottom w:val="single" w:sz="4" w:space="0" w:color="000000"/>
              <w:right w:val="single" w:sz="9" w:space="0" w:color="D2D2D2"/>
            </w:tcBorders>
            <w:shd w:val="clear" w:color="auto" w:fill="D0CECE"/>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80"/>
              <w:jc w:val="left"/>
              <w:rPr>
                <w:rFonts w:ascii="Times New Roman" w:hAnsi="Times New Roman" w:cs="Times New Roman" w:eastAsia="Times New Roman" w:hint="default"/>
                <w:sz w:val="21"/>
                <w:szCs w:val="21"/>
              </w:rPr>
            </w:pPr>
            <w:r>
              <w:rPr>
                <w:rFonts w:ascii="Times New Roman"/>
                <w:sz w:val="21"/>
              </w:rPr>
              <w:t>SuperMapi</w:t>
            </w:r>
            <w:r>
              <w:rPr>
                <w:rFonts w:ascii="Times New Roman"/>
                <w:spacing w:val="-50"/>
                <w:sz w:val="21"/>
              </w:rPr>
              <w:t> </w:t>
            </w:r>
            <w:r>
              <w:rPr>
                <w:rFonts w:ascii="Times New Roman"/>
                <w:spacing w:val="-50"/>
                <w:sz w:val="21"/>
              </w:rPr>
            </w:r>
            <w:r>
              <w:rPr>
                <w:rFonts w:ascii="Times New Roman"/>
                <w:sz w:val="21"/>
              </w:rPr>
              <w:t>Objects9X</w:t>
            </w:r>
          </w:p>
        </w:tc>
        <w:tc>
          <w:tcPr>
            <w:tcW w:w="1357" w:type="dxa"/>
            <w:tcBorders>
              <w:top w:val="single" w:sz="4" w:space="0" w:color="000000"/>
              <w:left w:val="single" w:sz="12" w:space="0" w:color="D0CECE"/>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2"/>
                <w:sz w:val="21"/>
              </w:rPr>
              <w:t>11,616,356.52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9,941,961.57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21,482,522.00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75,796.09</w:t>
            </w:r>
          </w:p>
        </w:tc>
      </w:tr>
      <w:tr>
        <w:trPr>
          <w:trHeight w:val="713"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7" w:lineRule="auto" w:before="75"/>
              <w:ind w:left="22" w:right="80"/>
              <w:jc w:val="left"/>
              <w:rPr>
                <w:rFonts w:ascii="Times New Roman" w:hAnsi="Times New Roman" w:cs="Times New Roman" w:eastAsia="Times New Roman" w:hint="default"/>
                <w:sz w:val="21"/>
                <w:szCs w:val="21"/>
              </w:rPr>
            </w:pPr>
            <w:r>
              <w:rPr>
                <w:rFonts w:ascii="Times New Roman"/>
                <w:sz w:val="21"/>
              </w:rPr>
              <w:t>SuperMapi</w:t>
            </w:r>
            <w:r>
              <w:rPr>
                <w:rFonts w:ascii="Times New Roman"/>
                <w:spacing w:val="-50"/>
                <w:sz w:val="21"/>
              </w:rPr>
              <w:t> </w:t>
            </w:r>
            <w:r>
              <w:rPr>
                <w:rFonts w:ascii="Times New Roman"/>
                <w:spacing w:val="-50"/>
                <w:sz w:val="21"/>
              </w:rPr>
            </w:r>
            <w:r>
              <w:rPr>
                <w:rFonts w:ascii="Times New Roman"/>
                <w:sz w:val="21"/>
              </w:rPr>
              <w:t>Mobile9X</w:t>
            </w:r>
          </w:p>
        </w:tc>
        <w:tc>
          <w:tcPr>
            <w:tcW w:w="1357" w:type="dxa"/>
            <w:tcBorders>
              <w:top w:val="single" w:sz="4" w:space="0" w:color="000000"/>
              <w:left w:val="single" w:sz="12" w:space="0" w:color="D0CECE"/>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2,324,623.35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2,294,818.91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4,164,074.92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455,367.34</w:t>
            </w:r>
          </w:p>
        </w:tc>
      </w:tr>
      <w:tr>
        <w:trPr>
          <w:trHeight w:val="715"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58"/>
              <w:jc w:val="left"/>
              <w:rPr>
                <w:rFonts w:ascii="Times New Roman" w:hAnsi="Times New Roman" w:cs="Times New Roman" w:eastAsia="Times New Roman" w:hint="default"/>
                <w:sz w:val="21"/>
                <w:szCs w:val="21"/>
              </w:rPr>
            </w:pPr>
            <w:r>
              <w:rPr>
                <w:rFonts w:ascii="Times New Roman"/>
                <w:sz w:val="21"/>
              </w:rPr>
              <w:t>SuperMapi</w:t>
            </w:r>
            <w:r>
              <w:rPr>
                <w:rFonts w:ascii="Times New Roman"/>
                <w:spacing w:val="-50"/>
                <w:sz w:val="21"/>
              </w:rPr>
              <w:t> </w:t>
            </w:r>
            <w:r>
              <w:rPr>
                <w:rFonts w:ascii="Times New Roman"/>
                <w:spacing w:val="-50"/>
                <w:sz w:val="21"/>
              </w:rPr>
            </w:r>
            <w:r>
              <w:rPr>
                <w:rFonts w:ascii="Times New Roman"/>
                <w:sz w:val="21"/>
              </w:rPr>
              <w:t>Desktop9X</w:t>
            </w:r>
          </w:p>
        </w:tc>
        <w:tc>
          <w:tcPr>
            <w:tcW w:w="1357" w:type="dxa"/>
            <w:tcBorders>
              <w:top w:val="single" w:sz="4" w:space="0" w:color="000000"/>
              <w:left w:val="single" w:sz="12" w:space="0" w:color="D0CECE"/>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3,233,404.91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2,729,802.62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5,463,871.79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499,335.74</w:t>
            </w:r>
          </w:p>
        </w:tc>
      </w:tr>
      <w:tr>
        <w:trPr>
          <w:trHeight w:val="713"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7" w:lineRule="auto" w:before="75"/>
              <w:ind w:left="22" w:right="80"/>
              <w:jc w:val="left"/>
              <w:rPr>
                <w:rFonts w:ascii="Times New Roman" w:hAnsi="Times New Roman" w:cs="Times New Roman" w:eastAsia="Times New Roman" w:hint="default"/>
                <w:sz w:val="21"/>
                <w:szCs w:val="21"/>
              </w:rPr>
            </w:pPr>
            <w:r>
              <w:rPr>
                <w:rFonts w:ascii="Times New Roman"/>
                <w:sz w:val="21"/>
              </w:rPr>
              <w:t>SuperMapi</w:t>
            </w:r>
            <w:r>
              <w:rPr>
                <w:rFonts w:ascii="Times New Roman"/>
                <w:spacing w:val="-50"/>
                <w:sz w:val="21"/>
              </w:rPr>
              <w:t> </w:t>
            </w:r>
            <w:r>
              <w:rPr>
                <w:rFonts w:ascii="Times New Roman"/>
                <w:spacing w:val="-50"/>
                <w:sz w:val="21"/>
              </w:rPr>
            </w:r>
            <w:r>
              <w:rPr>
                <w:rFonts w:ascii="Times New Roman"/>
                <w:sz w:val="21"/>
              </w:rPr>
              <w:t>Server9X</w:t>
            </w:r>
          </w:p>
        </w:tc>
        <w:tc>
          <w:tcPr>
            <w:tcW w:w="1357" w:type="dxa"/>
            <w:tcBorders>
              <w:top w:val="single" w:sz="4" w:space="0" w:color="000000"/>
              <w:left w:val="single" w:sz="12" w:space="0" w:color="D0CECE"/>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5,964,292.38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6,987,684.38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10,684,712.64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2,267,264.12</w:t>
            </w:r>
          </w:p>
        </w:tc>
      </w:tr>
      <w:tr>
        <w:trPr>
          <w:trHeight w:val="716"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80"/>
              <w:jc w:val="left"/>
              <w:rPr>
                <w:rFonts w:ascii="Times New Roman" w:hAnsi="Times New Roman" w:cs="Times New Roman" w:eastAsia="Times New Roman" w:hint="default"/>
                <w:sz w:val="21"/>
                <w:szCs w:val="21"/>
              </w:rPr>
            </w:pPr>
            <w:r>
              <w:rPr>
                <w:rFonts w:ascii="Times New Roman"/>
                <w:sz w:val="21"/>
              </w:rPr>
              <w:t>SuperMapi</w:t>
            </w:r>
            <w:r>
              <w:rPr>
                <w:rFonts w:ascii="Times New Roman"/>
                <w:spacing w:val="-50"/>
                <w:sz w:val="21"/>
              </w:rPr>
              <w:t> </w:t>
            </w:r>
            <w:r>
              <w:rPr>
                <w:rFonts w:ascii="Times New Roman"/>
                <w:spacing w:val="-50"/>
                <w:sz w:val="21"/>
              </w:rPr>
            </w:r>
            <w:r>
              <w:rPr>
                <w:rFonts w:ascii="Times New Roman"/>
                <w:sz w:val="21"/>
              </w:rPr>
              <w:t>Express9X</w:t>
            </w:r>
          </w:p>
        </w:tc>
        <w:tc>
          <w:tcPr>
            <w:tcW w:w="1357" w:type="dxa"/>
            <w:tcBorders>
              <w:top w:val="single" w:sz="4" w:space="0" w:color="000000"/>
              <w:left w:val="single" w:sz="12" w:space="0" w:color="D0CECE"/>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946,768.10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1,002,298.07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1,745,299.68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203,766.49</w:t>
            </w:r>
          </w:p>
        </w:tc>
      </w:tr>
      <w:tr>
        <w:trPr>
          <w:trHeight w:val="713"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7" w:lineRule="auto" w:before="75"/>
              <w:ind w:left="22" w:right="80"/>
              <w:jc w:val="left"/>
              <w:rPr>
                <w:rFonts w:ascii="Times New Roman" w:hAnsi="Times New Roman" w:cs="Times New Roman" w:eastAsia="Times New Roman" w:hint="default"/>
                <w:sz w:val="21"/>
                <w:szCs w:val="21"/>
              </w:rPr>
            </w:pPr>
            <w:r>
              <w:rPr>
                <w:rFonts w:ascii="Times New Roman"/>
                <w:sz w:val="21"/>
              </w:rPr>
              <w:t>SuperMapi</w:t>
            </w:r>
            <w:r>
              <w:rPr>
                <w:rFonts w:ascii="Times New Roman"/>
                <w:spacing w:val="-50"/>
                <w:sz w:val="21"/>
              </w:rPr>
              <w:t> </w:t>
            </w:r>
            <w:r>
              <w:rPr>
                <w:rFonts w:ascii="Times New Roman"/>
                <w:spacing w:val="-50"/>
                <w:sz w:val="21"/>
              </w:rPr>
            </w:r>
            <w:r>
              <w:rPr>
                <w:rFonts w:ascii="Times New Roman"/>
                <w:sz w:val="21"/>
              </w:rPr>
              <w:t>Portal9X</w:t>
            </w:r>
          </w:p>
        </w:tc>
        <w:tc>
          <w:tcPr>
            <w:tcW w:w="1357" w:type="dxa"/>
            <w:tcBorders>
              <w:top w:val="single" w:sz="4" w:space="0" w:color="000000"/>
              <w:left w:val="single" w:sz="12" w:space="0" w:color="D0CECE"/>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1,595,755.66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1,522,891.83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2,687,293.85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431,353.64</w:t>
            </w:r>
          </w:p>
        </w:tc>
      </w:tr>
      <w:tr>
        <w:trPr>
          <w:trHeight w:val="1027"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23"/>
              <w:jc w:val="both"/>
              <w:rPr>
                <w:rFonts w:ascii="Times New Roman" w:hAnsi="Times New Roman" w:cs="Times New Roman" w:eastAsia="Times New Roman" w:hint="default"/>
                <w:sz w:val="21"/>
                <w:szCs w:val="21"/>
              </w:rPr>
            </w:pPr>
            <w:r>
              <w:rPr>
                <w:rFonts w:ascii="Times New Roman"/>
                <w:sz w:val="21"/>
              </w:rPr>
              <w:t>SuperMapi</w:t>
            </w:r>
            <w:r>
              <w:rPr>
                <w:rFonts w:ascii="Times New Roman"/>
                <w:spacing w:val="-50"/>
                <w:sz w:val="21"/>
              </w:rPr>
              <w:t> </w:t>
            </w:r>
            <w:r>
              <w:rPr>
                <w:rFonts w:ascii="Times New Roman"/>
                <w:spacing w:val="-50"/>
                <w:sz w:val="21"/>
              </w:rPr>
            </w:r>
            <w:r>
              <w:rPr>
                <w:rFonts w:ascii="Times New Roman"/>
                <w:sz w:val="21"/>
              </w:rPr>
              <w:t>CloudMana</w:t>
            </w:r>
            <w:r>
              <w:rPr>
                <w:rFonts w:ascii="Times New Roman"/>
                <w:w w:val="100"/>
                <w:sz w:val="21"/>
              </w:rPr>
              <w:t> </w:t>
            </w:r>
            <w:r>
              <w:rPr>
                <w:rFonts w:ascii="Times New Roman"/>
                <w:sz w:val="21"/>
              </w:rPr>
              <w:t>ger9X</w:t>
            </w:r>
          </w:p>
        </w:tc>
        <w:tc>
          <w:tcPr>
            <w:tcW w:w="1357" w:type="dxa"/>
            <w:tcBorders>
              <w:top w:val="single" w:sz="4" w:space="0" w:color="000000"/>
              <w:left w:val="single" w:sz="12" w:space="0" w:color="D0CECE"/>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1,342,239.07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1,011,501.53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2,353,740.60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4"/>
              <w:ind w:left="22" w:right="0"/>
              <w:jc w:val="left"/>
              <w:rPr>
                <w:rFonts w:ascii="Times New Roman" w:hAnsi="Times New Roman" w:cs="Times New Roman" w:eastAsia="Times New Roman" w:hint="default"/>
                <w:sz w:val="21"/>
                <w:szCs w:val="21"/>
              </w:rPr>
            </w:pPr>
            <w:r>
              <w:rPr>
                <w:rFonts w:ascii="Times New Roman"/>
                <w:sz w:val="21"/>
              </w:rPr>
              <w:t>SuperMapS</w:t>
            </w:r>
          </w:p>
        </w:tc>
        <w:tc>
          <w:tcPr>
            <w:tcW w:w="1357" w:type="dxa"/>
            <w:tcBorders>
              <w:top w:val="single" w:sz="4" w:space="0" w:color="000000"/>
              <w:left w:val="single" w:sz="12" w:space="0" w:color="D0CECE"/>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858,806.95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21,667.62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880,474.57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300" w:right="300"/>
        </w:sectPr>
      </w:pPr>
    </w:p>
    <w:p>
      <w:pPr>
        <w:spacing w:line="240" w:lineRule="auto" w:before="8"/>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052"/>
        <w:gridCol w:w="1357"/>
        <w:gridCol w:w="1419"/>
        <w:gridCol w:w="1063"/>
        <w:gridCol w:w="1064"/>
        <w:gridCol w:w="1277"/>
        <w:gridCol w:w="1417"/>
        <w:gridCol w:w="1064"/>
        <w:gridCol w:w="1349"/>
      </w:tblGrid>
      <w:tr>
        <w:trPr>
          <w:trHeight w:val="363"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GS8.1</w:t>
            </w:r>
          </w:p>
        </w:tc>
        <w:tc>
          <w:tcPr>
            <w:tcW w:w="1357" w:type="dxa"/>
            <w:tcBorders>
              <w:top w:val="single" w:sz="4" w:space="0" w:color="000000"/>
              <w:left w:val="single" w:sz="12" w:space="0" w:color="D0CECE"/>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23"/>
              <w:jc w:val="left"/>
              <w:rPr>
                <w:rFonts w:ascii="Times New Roman" w:hAnsi="Times New Roman" w:cs="Times New Roman" w:eastAsia="Times New Roman" w:hint="default"/>
                <w:sz w:val="21"/>
                <w:szCs w:val="21"/>
              </w:rPr>
            </w:pPr>
            <w:r>
              <w:rPr>
                <w:rFonts w:ascii="Times New Roman"/>
                <w:sz w:val="21"/>
              </w:rPr>
              <w:t>SuperMapS</w:t>
            </w:r>
            <w:r>
              <w:rPr>
                <w:rFonts w:ascii="Times New Roman"/>
                <w:w w:val="100"/>
                <w:sz w:val="21"/>
              </w:rPr>
              <w:t> </w:t>
            </w:r>
            <w:r>
              <w:rPr>
                <w:rFonts w:ascii="Times New Roman"/>
                <w:sz w:val="21"/>
              </w:rPr>
              <w:t>GS9.0</w:t>
            </w:r>
          </w:p>
        </w:tc>
        <w:tc>
          <w:tcPr>
            <w:tcW w:w="1357" w:type="dxa"/>
            <w:tcBorders>
              <w:top w:val="single" w:sz="4" w:space="0" w:color="000000"/>
              <w:left w:val="single" w:sz="12" w:space="0" w:color="D0CECE"/>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1,411,126.53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1,411,126.53</w:t>
            </w:r>
          </w:p>
        </w:tc>
      </w:tr>
      <w:tr>
        <w:trPr>
          <w:trHeight w:val="715"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80"/>
              <w:jc w:val="left"/>
              <w:rPr>
                <w:rFonts w:ascii="Times New Roman" w:hAnsi="Times New Roman" w:cs="Times New Roman" w:eastAsia="Times New Roman" w:hint="default"/>
                <w:sz w:val="21"/>
                <w:szCs w:val="21"/>
              </w:rPr>
            </w:pPr>
            <w:r>
              <w:rPr>
                <w:rFonts w:ascii="Times New Roman"/>
                <w:sz w:val="21"/>
              </w:rPr>
              <w:t>SuperMapi</w:t>
            </w:r>
            <w:r>
              <w:rPr>
                <w:rFonts w:ascii="Times New Roman"/>
                <w:spacing w:val="-50"/>
                <w:sz w:val="21"/>
              </w:rPr>
              <w:t> </w:t>
            </w:r>
            <w:r>
              <w:rPr>
                <w:rFonts w:ascii="Times New Roman"/>
                <w:spacing w:val="-50"/>
                <w:sz w:val="21"/>
              </w:rPr>
            </w:r>
            <w:r>
              <w:rPr>
                <w:rFonts w:ascii="Times New Roman"/>
                <w:sz w:val="21"/>
              </w:rPr>
              <w:t>Objects9.1</w:t>
            </w:r>
          </w:p>
        </w:tc>
        <w:tc>
          <w:tcPr>
            <w:tcW w:w="1357" w:type="dxa"/>
            <w:tcBorders>
              <w:top w:val="single" w:sz="4" w:space="0" w:color="000000"/>
              <w:left w:val="single" w:sz="12" w:space="0" w:color="D0CECE"/>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1,172,379.08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1,172,379.08</w:t>
            </w:r>
          </w:p>
        </w:tc>
      </w:tr>
      <w:tr>
        <w:trPr>
          <w:trHeight w:val="713"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80"/>
              <w:jc w:val="left"/>
              <w:rPr>
                <w:rFonts w:ascii="Times New Roman" w:hAnsi="Times New Roman" w:cs="Times New Roman" w:eastAsia="Times New Roman" w:hint="default"/>
                <w:sz w:val="21"/>
                <w:szCs w:val="21"/>
              </w:rPr>
            </w:pPr>
            <w:r>
              <w:rPr>
                <w:rFonts w:ascii="Times New Roman"/>
                <w:sz w:val="21"/>
              </w:rPr>
              <w:t>SuperMapi</w:t>
            </w:r>
            <w:r>
              <w:rPr>
                <w:rFonts w:ascii="Times New Roman"/>
                <w:spacing w:val="-50"/>
                <w:sz w:val="21"/>
              </w:rPr>
              <w:t> </w:t>
            </w:r>
            <w:r>
              <w:rPr>
                <w:rFonts w:ascii="Times New Roman"/>
                <w:spacing w:val="-50"/>
                <w:sz w:val="21"/>
              </w:rPr>
            </w:r>
            <w:r>
              <w:rPr>
                <w:rFonts w:ascii="Times New Roman"/>
                <w:sz w:val="21"/>
              </w:rPr>
              <w:t>Mobile9.1</w:t>
            </w:r>
          </w:p>
        </w:tc>
        <w:tc>
          <w:tcPr>
            <w:tcW w:w="1357" w:type="dxa"/>
            <w:tcBorders>
              <w:top w:val="single" w:sz="4" w:space="0" w:color="000000"/>
              <w:left w:val="single" w:sz="12" w:space="0" w:color="D0CECE"/>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236,605.60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236,605.60</w:t>
            </w:r>
          </w:p>
        </w:tc>
      </w:tr>
      <w:tr>
        <w:trPr>
          <w:trHeight w:val="715"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52"/>
              <w:jc w:val="left"/>
              <w:rPr>
                <w:rFonts w:ascii="Times New Roman" w:hAnsi="Times New Roman" w:cs="Times New Roman" w:eastAsia="Times New Roman" w:hint="default"/>
                <w:sz w:val="21"/>
                <w:szCs w:val="21"/>
              </w:rPr>
            </w:pPr>
            <w:r>
              <w:rPr>
                <w:rFonts w:ascii="Times New Roman"/>
                <w:sz w:val="21"/>
              </w:rPr>
              <w:t>SuperMapi</w:t>
            </w:r>
            <w:r>
              <w:rPr>
                <w:rFonts w:ascii="Times New Roman"/>
                <w:spacing w:val="-50"/>
                <w:sz w:val="21"/>
              </w:rPr>
              <w:t> </w:t>
            </w:r>
            <w:r>
              <w:rPr>
                <w:rFonts w:ascii="Times New Roman"/>
                <w:spacing w:val="-50"/>
                <w:sz w:val="21"/>
              </w:rPr>
            </w:r>
            <w:r>
              <w:rPr>
                <w:rFonts w:ascii="Times New Roman"/>
                <w:sz w:val="21"/>
              </w:rPr>
              <w:t>Desktop9.1</w:t>
            </w:r>
          </w:p>
        </w:tc>
        <w:tc>
          <w:tcPr>
            <w:tcW w:w="1357" w:type="dxa"/>
            <w:tcBorders>
              <w:top w:val="single" w:sz="4" w:space="0" w:color="000000"/>
              <w:left w:val="single" w:sz="12" w:space="0" w:color="D0CECE"/>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1,193,409.56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1,193,409.56</w:t>
            </w:r>
          </w:p>
        </w:tc>
      </w:tr>
      <w:tr>
        <w:trPr>
          <w:trHeight w:val="1025"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80"/>
              <w:jc w:val="both"/>
              <w:rPr>
                <w:rFonts w:ascii="Times New Roman" w:hAnsi="Times New Roman" w:cs="Times New Roman" w:eastAsia="Times New Roman" w:hint="default"/>
                <w:sz w:val="21"/>
                <w:szCs w:val="21"/>
              </w:rPr>
            </w:pPr>
            <w:r>
              <w:rPr>
                <w:rFonts w:ascii="Times New Roman"/>
                <w:sz w:val="21"/>
              </w:rPr>
              <w:t>SuperMapi</w:t>
            </w:r>
            <w:r>
              <w:rPr>
                <w:rFonts w:ascii="Times New Roman"/>
                <w:spacing w:val="-50"/>
                <w:sz w:val="21"/>
              </w:rPr>
              <w:t> </w:t>
            </w:r>
            <w:r>
              <w:rPr>
                <w:rFonts w:ascii="Times New Roman"/>
                <w:spacing w:val="-50"/>
                <w:sz w:val="21"/>
              </w:rPr>
            </w:r>
            <w:r>
              <w:rPr>
                <w:rFonts w:ascii="Times New Roman"/>
                <w:sz w:val="21"/>
              </w:rPr>
              <w:t>Serverandi</w:t>
            </w:r>
            <w:r>
              <w:rPr>
                <w:rFonts w:ascii="Times New Roman"/>
                <w:w w:val="100"/>
                <w:sz w:val="21"/>
              </w:rPr>
              <w:t> </w:t>
            </w:r>
            <w:r>
              <w:rPr>
                <w:rFonts w:ascii="Times New Roman"/>
                <w:sz w:val="21"/>
              </w:rPr>
              <w:t>Express9.1</w:t>
            </w:r>
          </w:p>
        </w:tc>
        <w:tc>
          <w:tcPr>
            <w:tcW w:w="1357" w:type="dxa"/>
            <w:tcBorders>
              <w:top w:val="single" w:sz="4" w:space="0" w:color="000000"/>
              <w:left w:val="single" w:sz="12" w:space="0" w:color="D0CECE"/>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2,839,837.44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2,839,837.44</w:t>
            </w:r>
          </w:p>
        </w:tc>
      </w:tr>
      <w:tr>
        <w:trPr>
          <w:trHeight w:val="715"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80"/>
              <w:jc w:val="left"/>
              <w:rPr>
                <w:rFonts w:ascii="Times New Roman" w:hAnsi="Times New Roman" w:cs="Times New Roman" w:eastAsia="Times New Roman" w:hint="default"/>
                <w:sz w:val="21"/>
                <w:szCs w:val="21"/>
              </w:rPr>
            </w:pPr>
            <w:r>
              <w:rPr>
                <w:rFonts w:ascii="Times New Roman"/>
                <w:sz w:val="21"/>
              </w:rPr>
              <w:t>SuperMapi</w:t>
            </w:r>
            <w:r>
              <w:rPr>
                <w:rFonts w:ascii="Times New Roman"/>
                <w:spacing w:val="-50"/>
                <w:sz w:val="21"/>
              </w:rPr>
              <w:t> </w:t>
            </w:r>
            <w:r>
              <w:rPr>
                <w:rFonts w:ascii="Times New Roman"/>
                <w:spacing w:val="-50"/>
                <w:sz w:val="21"/>
              </w:rPr>
            </w:r>
            <w:r>
              <w:rPr>
                <w:rFonts w:ascii="Times New Roman"/>
                <w:sz w:val="21"/>
              </w:rPr>
              <w:t>Portal9.1</w:t>
            </w:r>
          </w:p>
        </w:tc>
        <w:tc>
          <w:tcPr>
            <w:tcW w:w="1357" w:type="dxa"/>
            <w:tcBorders>
              <w:top w:val="single" w:sz="4" w:space="0" w:color="000000"/>
              <w:left w:val="single" w:sz="12" w:space="0" w:color="D0CECE"/>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192,200.93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192,200.93</w:t>
            </w:r>
          </w:p>
        </w:tc>
      </w:tr>
      <w:tr>
        <w:trPr>
          <w:trHeight w:val="1025"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80"/>
              <w:jc w:val="both"/>
              <w:rPr>
                <w:rFonts w:ascii="Times New Roman" w:hAnsi="Times New Roman" w:cs="Times New Roman" w:eastAsia="Times New Roman" w:hint="default"/>
                <w:sz w:val="21"/>
                <w:szCs w:val="21"/>
              </w:rPr>
            </w:pPr>
            <w:r>
              <w:rPr>
                <w:rFonts w:ascii="Times New Roman"/>
                <w:sz w:val="21"/>
              </w:rPr>
              <w:t>SuperMapi</w:t>
            </w:r>
            <w:r>
              <w:rPr>
                <w:rFonts w:ascii="Times New Roman"/>
                <w:spacing w:val="-50"/>
                <w:sz w:val="21"/>
              </w:rPr>
              <w:t> </w:t>
            </w:r>
            <w:r>
              <w:rPr>
                <w:rFonts w:ascii="Times New Roman"/>
                <w:spacing w:val="-50"/>
                <w:sz w:val="21"/>
              </w:rPr>
            </w:r>
            <w:r>
              <w:rPr>
                <w:rFonts w:ascii="Times New Roman"/>
                <w:sz w:val="21"/>
              </w:rPr>
              <w:t>Manager9.</w:t>
            </w:r>
            <w:r>
              <w:rPr>
                <w:rFonts w:ascii="Times New Roman"/>
                <w:spacing w:val="-50"/>
                <w:sz w:val="21"/>
              </w:rPr>
              <w:t> </w:t>
            </w:r>
            <w:r>
              <w:rPr>
                <w:rFonts w:ascii="Times New Roman"/>
                <w:spacing w:val="-50"/>
                <w:sz w:val="21"/>
              </w:rPr>
            </w:r>
            <w:r>
              <w:rPr>
                <w:rFonts w:ascii="Times New Roman"/>
                <w:sz w:val="21"/>
              </w:rPr>
              <w:t>1</w:t>
            </w:r>
          </w:p>
        </w:tc>
        <w:tc>
          <w:tcPr>
            <w:tcW w:w="1357" w:type="dxa"/>
            <w:tcBorders>
              <w:top w:val="single" w:sz="4" w:space="0" w:color="000000"/>
              <w:left w:val="single" w:sz="12" w:space="0" w:color="D0CECE"/>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138,232.05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138,232.05</w:t>
            </w:r>
          </w:p>
        </w:tc>
      </w:tr>
      <w:tr>
        <w:trPr>
          <w:trHeight w:val="715"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73" w:lineRule="auto" w:before="28"/>
              <w:ind w:left="22" w:right="174"/>
              <w:jc w:val="left"/>
              <w:rPr>
                <w:rFonts w:ascii="宋体" w:hAnsi="宋体" w:cs="宋体" w:eastAsia="宋体" w:hint="default"/>
                <w:sz w:val="21"/>
                <w:szCs w:val="21"/>
              </w:rPr>
            </w:pPr>
            <w:r>
              <w:rPr>
                <w:rFonts w:ascii="宋体" w:hAnsi="宋体" w:cs="宋体" w:eastAsia="宋体" w:hint="default"/>
                <w:sz w:val="21"/>
                <w:szCs w:val="21"/>
              </w:rPr>
              <w:t>费用化研</w:t>
            </w:r>
            <w:r>
              <w:rPr>
                <w:rFonts w:ascii="宋体" w:hAnsi="宋体" w:cs="宋体" w:eastAsia="宋体" w:hint="default"/>
                <w:w w:val="100"/>
                <w:sz w:val="21"/>
                <w:szCs w:val="21"/>
              </w:rPr>
              <w:t> </w:t>
            </w:r>
            <w:r>
              <w:rPr>
                <w:rFonts w:ascii="宋体" w:hAnsi="宋体" w:cs="宋体" w:eastAsia="宋体" w:hint="default"/>
                <w:sz w:val="21"/>
                <w:szCs w:val="21"/>
              </w:rPr>
              <w:t>发支出</w:t>
            </w:r>
          </w:p>
        </w:tc>
        <w:tc>
          <w:tcPr>
            <w:tcW w:w="1357" w:type="dxa"/>
            <w:tcBorders>
              <w:top w:val="single" w:sz="4" w:space="0" w:color="000000"/>
              <w:left w:val="single" w:sz="12" w:space="0" w:color="D0CECE"/>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175,436,778.11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175,436,778.11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16"/>
              <w:jc w:val="left"/>
              <w:rPr>
                <w:rFonts w:ascii="Times New Roman" w:hAnsi="Times New Roman" w:cs="Times New Roman" w:eastAsia="Times New Roman" w:hint="default"/>
                <w:sz w:val="21"/>
                <w:szCs w:val="21"/>
              </w:rPr>
            </w:pPr>
            <w:r>
              <w:rPr>
                <w:rFonts w:ascii="Times New Roman"/>
                <w:sz w:val="21"/>
              </w:rPr>
              <w:t>SuperBase</w:t>
            </w:r>
            <w:r>
              <w:rPr>
                <w:rFonts w:ascii="Times New Roman"/>
                <w:w w:val="100"/>
                <w:sz w:val="21"/>
              </w:rPr>
              <w:t> </w:t>
            </w:r>
            <w:r>
              <w:rPr>
                <w:rFonts w:ascii="Times New Roman"/>
                <w:sz w:val="21"/>
              </w:rPr>
              <w:t>Map</w:t>
            </w:r>
            <w:r>
              <w:rPr>
                <w:rFonts w:ascii="Times New Roman"/>
                <w:spacing w:val="2"/>
                <w:sz w:val="21"/>
              </w:rPr>
              <w:t> </w:t>
            </w:r>
            <w:r>
              <w:rPr>
                <w:rFonts w:ascii="Times New Roman"/>
                <w:sz w:val="21"/>
              </w:rPr>
              <w:t>701</w:t>
            </w:r>
          </w:p>
        </w:tc>
        <w:tc>
          <w:tcPr>
            <w:tcW w:w="1357" w:type="dxa"/>
            <w:tcBorders>
              <w:top w:val="single" w:sz="4" w:space="0" w:color="000000"/>
              <w:left w:val="single" w:sz="12" w:space="0" w:color="D0CECE"/>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965,198.11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965,198.11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16"/>
              <w:jc w:val="left"/>
              <w:rPr>
                <w:rFonts w:ascii="Times New Roman" w:hAnsi="Times New Roman" w:cs="Times New Roman" w:eastAsia="Times New Roman" w:hint="default"/>
                <w:sz w:val="21"/>
                <w:szCs w:val="21"/>
              </w:rPr>
            </w:pPr>
            <w:r>
              <w:rPr>
                <w:rFonts w:ascii="Times New Roman"/>
                <w:sz w:val="21"/>
              </w:rPr>
              <w:t>SuperBase</w:t>
            </w:r>
            <w:r>
              <w:rPr>
                <w:rFonts w:ascii="Times New Roman"/>
                <w:w w:val="100"/>
                <w:sz w:val="21"/>
              </w:rPr>
              <w:t> </w:t>
            </w:r>
            <w:r>
              <w:rPr>
                <w:rFonts w:ascii="Times New Roman"/>
                <w:sz w:val="21"/>
              </w:rPr>
              <w:t>Map Pro</w:t>
            </w:r>
          </w:p>
        </w:tc>
        <w:tc>
          <w:tcPr>
            <w:tcW w:w="1357" w:type="dxa"/>
            <w:tcBorders>
              <w:top w:val="single" w:sz="4" w:space="0" w:color="000000"/>
              <w:left w:val="single" w:sz="12" w:space="0" w:color="D0CECE"/>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4,374,280.63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4,374,280.63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09"/>
              <w:jc w:val="left"/>
              <w:rPr>
                <w:rFonts w:ascii="Times New Roman" w:hAnsi="Times New Roman" w:cs="Times New Roman" w:eastAsia="Times New Roman" w:hint="default"/>
                <w:sz w:val="21"/>
                <w:szCs w:val="21"/>
              </w:rPr>
            </w:pPr>
            <w:r>
              <w:rPr>
                <w:rFonts w:ascii="Times New Roman"/>
                <w:sz w:val="21"/>
              </w:rPr>
              <w:t>LifeupInfo</w:t>
            </w:r>
            <w:r>
              <w:rPr>
                <w:rFonts w:ascii="Times New Roman"/>
                <w:w w:val="100"/>
                <w:sz w:val="21"/>
              </w:rPr>
              <w:t> </w:t>
            </w:r>
            <w:r>
              <w:rPr>
                <w:rFonts w:ascii="Times New Roman"/>
                <w:sz w:val="21"/>
              </w:rPr>
              <w:t>701</w:t>
            </w:r>
          </w:p>
        </w:tc>
        <w:tc>
          <w:tcPr>
            <w:tcW w:w="1357" w:type="dxa"/>
            <w:tcBorders>
              <w:top w:val="single" w:sz="4" w:space="0" w:color="000000"/>
              <w:left w:val="single" w:sz="12" w:space="0" w:color="D0CECE"/>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2,143,479.57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2,143,479.57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AnpyQ703</w:t>
            </w:r>
          </w:p>
        </w:tc>
        <w:tc>
          <w:tcPr>
            <w:tcW w:w="1357" w:type="dxa"/>
            <w:tcBorders>
              <w:top w:val="single" w:sz="4" w:space="0" w:color="000000"/>
              <w:left w:val="single" w:sz="12" w:space="0" w:color="D0CECE"/>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1"/>
                <w:sz w:val="21"/>
              </w:rPr>
              <w:t>2,904,809.84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2,904,809.84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3"/>
              <w:jc w:val="left"/>
              <w:rPr>
                <w:rFonts w:ascii="Times New Roman" w:hAnsi="Times New Roman" w:cs="Times New Roman" w:eastAsia="Times New Roman" w:hint="default"/>
                <w:sz w:val="21"/>
                <w:szCs w:val="21"/>
              </w:rPr>
            </w:pPr>
            <w:r>
              <w:rPr>
                <w:rFonts w:ascii="Times New Roman" w:hAnsi="Times New Roman"/>
                <w:sz w:val="21"/>
              </w:rPr>
              <w:t>Lifeup·Onli</w:t>
            </w:r>
            <w:r>
              <w:rPr>
                <w:rFonts w:ascii="Times New Roman" w:hAnsi="Times New Roman"/>
                <w:w w:val="100"/>
                <w:sz w:val="21"/>
              </w:rPr>
              <w:t> </w:t>
            </w:r>
            <w:r>
              <w:rPr>
                <w:rFonts w:ascii="Times New Roman" w:hAnsi="Times New Roman"/>
                <w:sz w:val="21"/>
              </w:rPr>
              <w:t>ne</w:t>
            </w:r>
          </w:p>
        </w:tc>
        <w:tc>
          <w:tcPr>
            <w:tcW w:w="1357" w:type="dxa"/>
            <w:tcBorders>
              <w:top w:val="single" w:sz="4" w:space="0" w:color="000000"/>
              <w:left w:val="single" w:sz="12" w:space="0" w:color="D0CECE"/>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6,852,965.00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6,852,965.00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38"/>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8C704</w:t>
            </w:r>
          </w:p>
        </w:tc>
        <w:tc>
          <w:tcPr>
            <w:tcW w:w="1357" w:type="dxa"/>
            <w:tcBorders>
              <w:top w:val="single" w:sz="4" w:space="0" w:color="000000"/>
              <w:left w:val="single" w:sz="12" w:space="0" w:color="D0CECE"/>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1,536,626.93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1,637,011.07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2,834,276.17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339,361.83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SuperMap</w:t>
            </w:r>
          </w:p>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開発</w:t>
            </w:r>
          </w:p>
        </w:tc>
        <w:tc>
          <w:tcPr>
            <w:tcW w:w="1357" w:type="dxa"/>
            <w:tcBorders>
              <w:top w:val="single" w:sz="4" w:space="0" w:color="000000"/>
              <w:left w:val="single" w:sz="12" w:space="0" w:color="D0CECE"/>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89,144.50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89,144.50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1"/>
                <w:sz w:val="21"/>
              </w:rPr>
              <w:t>46,748,751.52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209,770,206.90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52,385,410.72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193,016,873.09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11,116,674.61</w:t>
            </w:r>
          </w:p>
        </w:tc>
      </w:tr>
    </w:tbl>
    <w:p>
      <w:pPr>
        <w:pStyle w:val="BodyText"/>
        <w:spacing w:line="386" w:lineRule="auto" w:before="79"/>
        <w:ind w:left="833" w:right="9493"/>
        <w:jc w:val="left"/>
      </w:pPr>
      <w:r>
        <w:rPr/>
        <w:t>其他说明 无</w:t>
      </w:r>
    </w:p>
    <w:p>
      <w:pPr>
        <w:spacing w:after="0" w:line="386" w:lineRule="auto"/>
        <w:jc w:val="left"/>
        <w:sectPr>
          <w:pgSz w:w="11910" w:h="16840"/>
          <w:pgMar w:header="877" w:footer="980" w:top="1100" w:bottom="1160" w:left="300" w:right="300"/>
        </w:sectPr>
      </w:pPr>
    </w:p>
    <w:p>
      <w:pPr>
        <w:spacing w:line="240" w:lineRule="auto" w:before="7"/>
        <w:rPr>
          <w:rFonts w:ascii="宋体" w:hAnsi="宋体" w:cs="宋体" w:eastAsia="宋体" w:hint="default"/>
          <w:sz w:val="25"/>
          <w:szCs w:val="25"/>
        </w:rPr>
      </w:pPr>
    </w:p>
    <w:p>
      <w:pPr>
        <w:pStyle w:val="Heading2"/>
        <w:spacing w:line="240" w:lineRule="auto" w:before="26"/>
        <w:ind w:right="293"/>
        <w:jc w:val="left"/>
        <w:rPr>
          <w:b w:val="0"/>
          <w:bCs w:val="0"/>
        </w:rPr>
      </w:pPr>
      <w:r>
        <w:rPr>
          <w:rFonts w:ascii="Times New Roman" w:hAnsi="Times New Roman" w:cs="Times New Roman" w:eastAsia="Times New Roman" w:hint="default"/>
        </w:rPr>
        <w:t>16</w:t>
      </w:r>
      <w:r>
        <w:rPr/>
        <w:t>、商誉</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29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9"/>
        <w:gridCol w:w="1368"/>
        <w:gridCol w:w="1366"/>
      </w:tblGrid>
      <w:tr>
        <w:trPr>
          <w:trHeight w:val="396"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74"/>
              <w:ind w:left="46" w:right="45"/>
              <w:jc w:val="center"/>
              <w:rPr>
                <w:rFonts w:ascii="宋体" w:hAnsi="宋体" w:cs="宋体" w:eastAsia="宋体" w:hint="default"/>
                <w:sz w:val="21"/>
                <w:szCs w:val="21"/>
              </w:rPr>
            </w:pPr>
            <w:r>
              <w:rPr>
                <w:rFonts w:ascii="宋体" w:hAnsi="宋体" w:cs="宋体" w:eastAsia="宋体" w:hint="default"/>
                <w:spacing w:val="-1"/>
                <w:sz w:val="21"/>
                <w:szCs w:val="21"/>
              </w:rPr>
              <w:t>被投资单位名</w:t>
            </w:r>
            <w:r>
              <w:rPr>
                <w:rFonts w:ascii="宋体" w:hAnsi="宋体" w:cs="宋体" w:eastAsia="宋体" w:hint="default"/>
                <w:w w:val="100"/>
                <w:sz w:val="21"/>
                <w:szCs w:val="21"/>
              </w:rPr>
              <w:t> </w:t>
            </w:r>
            <w:r>
              <w:rPr>
                <w:rFonts w:ascii="宋体" w:hAnsi="宋体" w:cs="宋体" w:eastAsia="宋体" w:hint="default"/>
                <w:spacing w:val="-1"/>
                <w:sz w:val="21"/>
                <w:szCs w:val="21"/>
              </w:rPr>
              <w:t>称或形成商誉</w:t>
            </w:r>
            <w:r>
              <w:rPr>
                <w:rFonts w:ascii="宋体" w:hAnsi="宋体" w:cs="宋体" w:eastAsia="宋体" w:hint="default"/>
                <w:w w:val="100"/>
                <w:sz w:val="21"/>
                <w:szCs w:val="21"/>
              </w:rPr>
              <w:t> </w:t>
            </w:r>
            <w:r>
              <w:rPr>
                <w:rFonts w:ascii="宋体" w:hAnsi="宋体" w:cs="宋体" w:eastAsia="宋体" w:hint="default"/>
                <w:sz w:val="21"/>
                <w:szCs w:val="21"/>
              </w:rPr>
              <w:t>的事项</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367" w:type="dxa"/>
            <w:vMerge/>
            <w:tcBorders>
              <w:left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70" w:lineRule="exact"/>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573" w:right="45" w:hanging="526"/>
              <w:jc w:val="left"/>
              <w:rPr>
                <w:rFonts w:ascii="宋体" w:hAnsi="宋体" w:cs="宋体" w:eastAsia="宋体" w:hint="default"/>
                <w:sz w:val="21"/>
                <w:szCs w:val="21"/>
              </w:rPr>
            </w:pPr>
            <w:r>
              <w:rPr>
                <w:rFonts w:ascii="宋体" w:hAnsi="宋体" w:cs="宋体" w:eastAsia="宋体" w:hint="default"/>
                <w:sz w:val="21"/>
                <w:szCs w:val="21"/>
              </w:rPr>
              <w:t>企业合并形成</w:t>
            </w:r>
            <w:r>
              <w:rPr>
                <w:rFonts w:ascii="宋体" w:hAnsi="宋体" w:cs="宋体" w:eastAsia="宋体" w:hint="default"/>
                <w:w w:val="100"/>
                <w:sz w:val="21"/>
                <w:szCs w:val="21"/>
              </w:rPr>
              <w:t> </w:t>
            </w:r>
            <w:r>
              <w:rPr>
                <w:rFonts w:ascii="宋体" w:hAnsi="宋体" w:cs="宋体" w:eastAsia="宋体" w:hint="default"/>
                <w:sz w:val="21"/>
                <w:szCs w:val="21"/>
              </w:rPr>
              <w:t>的</w:t>
            </w:r>
          </w:p>
        </w:tc>
        <w:tc>
          <w:tcPr>
            <w:tcW w:w="1366" w:type="dxa"/>
            <w:vMerge w:val="restart"/>
            <w:tcBorders>
              <w:top w:val="single" w:sz="4" w:space="0" w:color="000000"/>
              <w:left w:val="single" w:sz="12" w:space="0" w:color="D2D2D2"/>
              <w:right w:val="single" w:sz="9" w:space="0" w:color="D2D2D2"/>
            </w:tcBorders>
            <w:shd w:val="clear" w:color="auto" w:fill="D0CECE"/>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10" w:space="0" w:color="D2D2D2"/>
            </w:tcBorders>
            <w:shd w:val="clear" w:color="auto" w:fill="D0CECE"/>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70" w:lineRule="exact"/>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2" w:hRule="exact"/>
        </w:trPr>
        <w:tc>
          <w:tcPr>
            <w:tcW w:w="1367"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6" w:type="dxa"/>
            <w:vMerge/>
            <w:tcBorders>
              <w:left w:val="single" w:sz="12" w:space="0" w:color="D2D2D2"/>
              <w:right w:val="single" w:sz="9" w:space="0" w:color="D2D2D2"/>
            </w:tcBorders>
            <w:shd w:val="clear" w:color="auto" w:fill="D0CECE"/>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368" w:type="dxa"/>
            <w:vMerge/>
            <w:tcBorders>
              <w:left w:val="single" w:sz="9" w:space="0" w:color="D2D2D2"/>
              <w:right w:val="single" w:sz="10" w:space="0" w:color="D2D2D2"/>
            </w:tcBorders>
            <w:shd w:val="clear" w:color="auto" w:fill="D0CECE"/>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7" w:type="dxa"/>
            <w:vMerge/>
            <w:tcBorders>
              <w:left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6" w:type="dxa"/>
            <w:vMerge/>
            <w:tcBorders>
              <w:left w:val="single" w:sz="12" w:space="0" w:color="D2D2D2"/>
              <w:right w:val="single" w:sz="9" w:space="0" w:color="D2D2D2"/>
            </w:tcBorders>
            <w:shd w:val="clear" w:color="auto" w:fill="D0CECE"/>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9" w:space="0" w:color="D2D2D2"/>
              <w:right w:val="single" w:sz="10" w:space="0" w:color="D2D2D2"/>
            </w:tcBorders>
            <w:shd w:val="clear" w:color="auto" w:fill="D0CECE"/>
          </w:tcPr>
          <w:p>
            <w:pPr/>
          </w:p>
        </w:tc>
        <w:tc>
          <w:tcPr>
            <w:tcW w:w="136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12" w:space="0" w:color="D2D2D2"/>
              <w:bottom w:val="single" w:sz="4" w:space="0" w:color="000000"/>
              <w:right w:val="single" w:sz="9" w:space="0" w:color="D2D2D2"/>
            </w:tcBorders>
            <w:shd w:val="clear" w:color="auto" w:fill="D0CECE"/>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10" w:space="0" w:color="D2D2D2"/>
            </w:tcBorders>
            <w:shd w:val="clear" w:color="auto" w:fill="D0CECE"/>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22" w:space="0" w:color="D2D2D2"/>
              <w:left w:val="single" w:sz="4" w:space="0" w:color="000000"/>
              <w:bottom w:val="single" w:sz="4" w:space="0" w:color="000000"/>
              <w:right w:val="single" w:sz="4" w:space="0" w:color="000000"/>
            </w:tcBorders>
            <w:shd w:val="clear" w:color="auto" w:fill="D0CECE"/>
          </w:tcPr>
          <w:p>
            <w:pPr>
              <w:pStyle w:val="TableParagraph"/>
              <w:spacing w:line="240" w:lineRule="auto" w:before="5"/>
              <w:ind w:right="489"/>
              <w:jc w:val="right"/>
              <w:rPr>
                <w:rFonts w:ascii="宋体" w:hAnsi="宋体" w:cs="宋体" w:eastAsia="宋体" w:hint="default"/>
                <w:sz w:val="21"/>
                <w:szCs w:val="21"/>
              </w:rPr>
            </w:pPr>
            <w:r>
              <w:rPr>
                <w:rFonts w:ascii="宋体" w:hAnsi="宋体" w:cs="宋体" w:eastAsia="宋体" w:hint="default"/>
                <w:spacing w:val="-1"/>
                <w:sz w:val="21"/>
                <w:szCs w:val="21"/>
              </w:rPr>
              <w:t>日本超图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1,312,138.80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1,312,138.80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right="489"/>
              <w:jc w:val="right"/>
              <w:rPr>
                <w:rFonts w:ascii="宋体" w:hAnsi="宋体" w:cs="宋体" w:eastAsia="宋体" w:hint="default"/>
                <w:sz w:val="21"/>
                <w:szCs w:val="21"/>
              </w:rPr>
            </w:pPr>
            <w:r>
              <w:rPr>
                <w:rFonts w:ascii="宋体" w:hAnsi="宋体" w:cs="宋体" w:eastAsia="宋体" w:hint="default"/>
                <w:spacing w:val="-1"/>
                <w:sz w:val="21"/>
                <w:szCs w:val="21"/>
              </w:rPr>
              <w:t>上海南康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61,192,082.38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61,192,082.38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489"/>
              <w:jc w:val="right"/>
              <w:rPr>
                <w:rFonts w:ascii="宋体" w:hAnsi="宋体" w:cs="宋体" w:eastAsia="宋体" w:hint="default"/>
                <w:sz w:val="21"/>
                <w:szCs w:val="21"/>
              </w:rPr>
            </w:pPr>
            <w:r>
              <w:rPr>
                <w:rFonts w:ascii="宋体" w:hAnsi="宋体" w:cs="宋体" w:eastAsia="宋体" w:hint="default"/>
                <w:spacing w:val="-1"/>
                <w:sz w:val="21"/>
                <w:szCs w:val="21"/>
              </w:rPr>
              <w:t>南京国图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389,006,423.3</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389,006,423.3</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right="489"/>
              <w:jc w:val="right"/>
              <w:rPr>
                <w:rFonts w:ascii="宋体" w:hAnsi="宋体" w:cs="宋体" w:eastAsia="宋体" w:hint="default"/>
                <w:sz w:val="21"/>
                <w:szCs w:val="21"/>
              </w:rPr>
            </w:pPr>
            <w:r>
              <w:rPr>
                <w:rFonts w:ascii="宋体" w:hAnsi="宋体" w:cs="宋体" w:eastAsia="宋体" w:hint="default"/>
                <w:spacing w:val="-1"/>
                <w:sz w:val="21"/>
                <w:szCs w:val="21"/>
              </w:rPr>
              <w:t>北京安图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77,789,956.54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77,789,956.54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89"/>
              <w:jc w:val="right"/>
              <w:rPr>
                <w:rFonts w:ascii="宋体" w:hAnsi="宋体" w:cs="宋体" w:eastAsia="宋体" w:hint="default"/>
                <w:sz w:val="21"/>
                <w:szCs w:val="21"/>
              </w:rPr>
            </w:pPr>
            <w:r>
              <w:rPr>
                <w:rFonts w:ascii="宋体" w:hAnsi="宋体" w:cs="宋体" w:eastAsia="宋体" w:hint="default"/>
                <w:spacing w:val="-1"/>
                <w:sz w:val="21"/>
                <w:szCs w:val="21"/>
              </w:rPr>
              <w:t>上海数慧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179,281,414.9</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179,281,414.9</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65"/>
              <w:jc w:val="right"/>
              <w:rPr>
                <w:rFonts w:ascii="宋体" w:hAnsi="宋体" w:cs="宋体" w:eastAsia="宋体" w:hint="default"/>
                <w:sz w:val="21"/>
                <w:szCs w:val="21"/>
              </w:rPr>
            </w:pPr>
            <w:r>
              <w:rPr>
                <w:rFonts w:ascii="宋体" w:hAnsi="宋体" w:cs="宋体" w:eastAsia="宋体" w:hint="default"/>
                <w:sz w:val="21"/>
                <w:szCs w:val="21"/>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529,300,601.0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179,281,414.9</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708,582,016.0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5</w:t>
            </w:r>
          </w:p>
        </w:tc>
      </w:tr>
    </w:tbl>
    <w:p>
      <w:pPr>
        <w:spacing w:line="240" w:lineRule="auto" w:before="12"/>
        <w:rPr>
          <w:rFonts w:ascii="宋体" w:hAnsi="宋体" w:cs="宋体" w:eastAsia="宋体" w:hint="default"/>
          <w:sz w:val="23"/>
          <w:szCs w:val="23"/>
        </w:rPr>
      </w:pPr>
    </w:p>
    <w:p>
      <w:pPr>
        <w:pStyle w:val="Heading2"/>
        <w:spacing w:line="240" w:lineRule="auto" w:before="26"/>
        <w:ind w:right="29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36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0"/>
              <w:ind w:left="48" w:right="45"/>
              <w:jc w:val="center"/>
              <w:rPr>
                <w:rFonts w:ascii="宋体" w:hAnsi="宋体" w:cs="宋体" w:eastAsia="宋体" w:hint="default"/>
                <w:sz w:val="21"/>
                <w:szCs w:val="21"/>
              </w:rPr>
            </w:pPr>
            <w:r>
              <w:rPr>
                <w:rFonts w:ascii="宋体" w:hAnsi="宋体" w:cs="宋体" w:eastAsia="宋体" w:hint="default"/>
                <w:spacing w:val="-1"/>
                <w:sz w:val="21"/>
                <w:szCs w:val="21"/>
              </w:rPr>
              <w:t>被投资单位名</w:t>
            </w:r>
            <w:r>
              <w:rPr>
                <w:rFonts w:ascii="宋体" w:hAnsi="宋体" w:cs="宋体" w:eastAsia="宋体" w:hint="default"/>
                <w:w w:val="100"/>
                <w:sz w:val="21"/>
                <w:szCs w:val="21"/>
              </w:rPr>
              <w:t> </w:t>
            </w:r>
            <w:r>
              <w:rPr>
                <w:rFonts w:ascii="宋体" w:hAnsi="宋体" w:cs="宋体" w:eastAsia="宋体" w:hint="default"/>
                <w:spacing w:val="-1"/>
                <w:sz w:val="21"/>
                <w:szCs w:val="21"/>
              </w:rPr>
              <w:t>称或形成商誉</w:t>
            </w:r>
            <w:r>
              <w:rPr>
                <w:rFonts w:ascii="宋体" w:hAnsi="宋体" w:cs="宋体" w:eastAsia="宋体" w:hint="default"/>
                <w:w w:val="100"/>
                <w:sz w:val="21"/>
                <w:szCs w:val="21"/>
              </w:rPr>
              <w:t> </w:t>
            </w:r>
            <w:r>
              <w:rPr>
                <w:rFonts w:ascii="宋体" w:hAnsi="宋体" w:cs="宋体" w:eastAsia="宋体" w:hint="default"/>
                <w:sz w:val="21"/>
                <w:szCs w:val="21"/>
              </w:rPr>
              <w:t>的事项</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7" w:hRule="exact"/>
        </w:trPr>
        <w:tc>
          <w:tcPr>
            <w:tcW w:w="1368" w:type="dxa"/>
            <w:vMerge/>
            <w:tcBorders>
              <w:left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61" w:lineRule="exact"/>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12" w:space="0" w:color="D2D2D2"/>
              <w:right w:val="single" w:sz="4" w:space="0" w:color="000000"/>
            </w:tcBorders>
            <w:shd w:val="clear" w:color="auto" w:fill="D0CECE"/>
          </w:tcPr>
          <w:p>
            <w:pPr/>
          </w:p>
        </w:tc>
        <w:tc>
          <w:tcPr>
            <w:tcW w:w="1369"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368" w:type="dxa"/>
            <w:vMerge w:val="restart"/>
            <w:tcBorders>
              <w:top w:val="single" w:sz="4" w:space="0" w:color="000000"/>
              <w:left w:val="single" w:sz="4" w:space="0" w:color="000000"/>
              <w:right w:val="single" w:sz="10" w:space="0" w:color="D2D2D2"/>
            </w:tcBorders>
            <w:shd w:val="clear" w:color="auto" w:fill="D0CECE"/>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61" w:lineRule="exact"/>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2" w:hRule="exact"/>
        </w:trPr>
        <w:tc>
          <w:tcPr>
            <w:tcW w:w="1368"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366" w:type="dxa"/>
            <w:vMerge/>
            <w:tcBorders>
              <w:left w:val="single" w:sz="12" w:space="0" w:color="D2D2D2"/>
              <w:right w:val="single" w:sz="4" w:space="0" w:color="000000"/>
            </w:tcBorders>
            <w:shd w:val="clear" w:color="auto" w:fill="D0CECE"/>
          </w:tcPr>
          <w:p>
            <w:pPr/>
          </w:p>
        </w:tc>
        <w:tc>
          <w:tcPr>
            <w:tcW w:w="1369" w:type="dxa"/>
            <w:vMerge/>
            <w:tcBorders>
              <w:left w:val="single" w:sz="4" w:space="0" w:color="000000"/>
              <w:right w:val="single" w:sz="4" w:space="0" w:color="000000"/>
            </w:tcBorders>
            <w:shd w:val="clear" w:color="auto" w:fill="D0CECE"/>
          </w:tcPr>
          <w:p>
            <w:pPr/>
          </w:p>
        </w:tc>
        <w:tc>
          <w:tcPr>
            <w:tcW w:w="1368" w:type="dxa"/>
            <w:vMerge/>
            <w:tcBorders>
              <w:left w:val="single" w:sz="4" w:space="0" w:color="000000"/>
              <w:right w:val="single" w:sz="10" w:space="0" w:color="D2D2D2"/>
            </w:tcBorders>
            <w:shd w:val="clear" w:color="auto" w:fill="D0CECE"/>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12" w:space="0" w:color="D2D2D2"/>
              <w:bottom w:val="single" w:sz="4" w:space="0" w:color="000000"/>
              <w:right w:val="single" w:sz="4" w:space="0" w:color="000000"/>
            </w:tcBorders>
            <w:shd w:val="clear" w:color="auto" w:fill="D0CECE"/>
          </w:tcPr>
          <w:p>
            <w:pPr/>
          </w:p>
        </w:tc>
        <w:tc>
          <w:tcPr>
            <w:tcW w:w="1369" w:type="dxa"/>
            <w:vMerge/>
            <w:tcBorders>
              <w:left w:val="single" w:sz="4" w:space="0" w:color="000000"/>
              <w:bottom w:val="single" w:sz="4" w:space="0" w:color="000000"/>
              <w:right w:val="single" w:sz="4" w:space="0" w:color="000000"/>
            </w:tcBorders>
            <w:shd w:val="clear" w:color="auto" w:fill="D0CECE"/>
          </w:tcPr>
          <w:p>
            <w:pPr/>
          </w:p>
        </w:tc>
        <w:tc>
          <w:tcPr>
            <w:tcW w:w="1368" w:type="dxa"/>
            <w:vMerge/>
            <w:tcBorders>
              <w:left w:val="single" w:sz="4" w:space="0" w:color="000000"/>
              <w:bottom w:val="single" w:sz="4" w:space="0" w:color="000000"/>
              <w:right w:val="single" w:sz="10" w:space="0" w:color="D2D2D2"/>
            </w:tcBorders>
            <w:shd w:val="clear" w:color="auto" w:fill="D0CECE"/>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right="489"/>
              <w:jc w:val="right"/>
              <w:rPr>
                <w:rFonts w:ascii="宋体" w:hAnsi="宋体" w:cs="宋体" w:eastAsia="宋体" w:hint="default"/>
                <w:sz w:val="21"/>
                <w:szCs w:val="21"/>
              </w:rPr>
            </w:pPr>
            <w:r>
              <w:rPr>
                <w:rFonts w:ascii="宋体" w:hAnsi="宋体" w:cs="宋体" w:eastAsia="宋体" w:hint="default"/>
                <w:spacing w:val="-1"/>
                <w:sz w:val="21"/>
                <w:szCs w:val="21"/>
              </w:rPr>
              <w:t>日本超图</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1,312,138.80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1,312,138.80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465"/>
              <w:jc w:val="right"/>
              <w:rPr>
                <w:rFonts w:ascii="宋体" w:hAnsi="宋体" w:cs="宋体" w:eastAsia="宋体" w:hint="default"/>
                <w:sz w:val="21"/>
                <w:szCs w:val="21"/>
              </w:rPr>
            </w:pPr>
            <w:r>
              <w:rPr>
                <w:rFonts w:ascii="宋体" w:hAnsi="宋体" w:cs="宋体" w:eastAsia="宋体" w:hint="default"/>
                <w:sz w:val="21"/>
                <w:szCs w:val="21"/>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1,312,138.80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1,312,138.80</w:t>
            </w:r>
          </w:p>
        </w:tc>
      </w:tr>
    </w:tbl>
    <w:p>
      <w:pPr>
        <w:pStyle w:val="BodyText"/>
        <w:spacing w:line="386" w:lineRule="auto" w:before="79"/>
        <w:ind w:right="3533"/>
        <w:jc w:val="left"/>
      </w:pPr>
      <w:r>
        <w:rPr/>
        <w:t>说明商誉减值测试过程、参数及商誉减值损失的确认方法： 本期形成的商誉说明：</w:t>
      </w:r>
    </w:p>
    <w:p>
      <w:pPr>
        <w:pStyle w:val="BodyText"/>
        <w:spacing w:line="357" w:lineRule="auto" w:before="7"/>
        <w:ind w:right="138" w:firstLine="420"/>
        <w:jc w:val="left"/>
      </w:pPr>
      <w:r>
        <w:rPr>
          <w:spacing w:val="2"/>
        </w:rPr>
        <w:t>本年新增商誉为收购上海数慧形成的非同一控制下企业合并产生的商誉，详见本财务报 </w:t>
      </w:r>
      <w:r>
        <w:rPr/>
        <w:t>表附注六</w:t>
      </w:r>
      <w:r>
        <w:rPr>
          <w:rFonts w:ascii="Times New Roman" w:hAnsi="Times New Roman" w:cs="Times New Roman" w:eastAsia="Times New Roman" w:hint="default"/>
        </w:rPr>
        <w:t>(1</w:t>
      </w:r>
      <w:r>
        <w:rPr>
          <w:rFonts w:ascii="Times New Roman" w:hAnsi="Times New Roman" w:cs="Times New Roman" w:eastAsia="Times New Roman" w:hint="default"/>
        </w:rPr>
        <w:t>)“</w:t>
      </w:r>
      <w:r>
        <w:rPr/>
        <w:t>非同一控制下企业合并</w:t>
      </w:r>
      <w:r>
        <w:rPr>
          <w:rFonts w:ascii="Times New Roman" w:hAnsi="Times New Roman" w:cs="Times New Roman" w:eastAsia="Times New Roman" w:hint="default"/>
        </w:rPr>
        <w:t>”</w:t>
      </w:r>
      <w:r>
        <w:rPr/>
        <w:t>之相关说明。</w:t>
      </w:r>
    </w:p>
    <w:p>
      <w:pPr>
        <w:pStyle w:val="BodyText"/>
        <w:spacing w:line="357" w:lineRule="auto" w:before="5"/>
        <w:ind w:left="573" w:right="138" w:hanging="420"/>
        <w:jc w:val="left"/>
      </w:pPr>
      <w:r>
        <w:rPr/>
        <w:t>商誉减值测试及减值准备计提方法： </w:t>
      </w:r>
      <w:r>
        <w:rPr>
          <w:spacing w:val="2"/>
        </w:rPr>
        <w:t>公司将日本超图、上海南康、南京国图、北京安图、和上海数慧分别作为资产组及资产</w:t>
      </w:r>
      <w:r>
        <w:rPr/>
      </w:r>
    </w:p>
    <w:p>
      <w:pPr>
        <w:pStyle w:val="BodyText"/>
        <w:spacing w:line="357" w:lineRule="auto" w:before="36"/>
        <w:ind w:right="158"/>
        <w:jc w:val="both"/>
      </w:pPr>
      <w:r>
        <w:rPr/>
        <w:t>组组合，把收购所形成的商誉分别分摊到相关资产组及资产组组合进行减值测试。公司基于</w:t>
      </w:r>
      <w:r>
        <w:rPr>
          <w:spacing w:val="-91"/>
        </w:rPr>
        <w:t> </w:t>
      </w:r>
      <w:r>
        <w:rPr>
          <w:spacing w:val="-91"/>
        </w:rPr>
      </w:r>
      <w:r>
        <w:rPr/>
        <w:t>历史实际经营数据、行业的发展趋势、国内国际的经济形势等制定最近一期财务预算和未来</w:t>
      </w:r>
      <w:r>
        <w:rPr>
          <w:spacing w:val="-91"/>
        </w:rPr>
        <w:t> </w:t>
      </w:r>
      <w:r>
        <w:rPr>
          <w:spacing w:val="-91"/>
        </w:rPr>
      </w:r>
      <w:r>
        <w:rPr/>
        <w:t>规划目标，预期收入增长率不超过相关行业的平均长期增长率，预算毛利率和费用率根据过</w:t>
      </w:r>
    </w:p>
    <w:p>
      <w:pPr>
        <w:spacing w:after="0" w:line="357" w:lineRule="auto"/>
        <w:jc w:val="both"/>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38" w:lineRule="auto" w:before="26"/>
        <w:ind w:right="97"/>
        <w:jc w:val="left"/>
      </w:pPr>
      <w:r>
        <w:rPr/>
        <w:t>往表现确定，编制未来</w:t>
      </w:r>
      <w:r>
        <w:rPr>
          <w:rFonts w:ascii="Times New Roman" w:hAnsi="Times New Roman" w:cs="Times New Roman" w:eastAsia="Times New Roman" w:hint="default"/>
        </w:rPr>
        <w:t>5</w:t>
      </w:r>
      <w:r>
        <w:rPr/>
        <w:t>年的净利润及现金流量预测，并假设</w:t>
      </w:r>
      <w:r>
        <w:rPr>
          <w:rFonts w:ascii="Times New Roman" w:hAnsi="Times New Roman" w:cs="Times New Roman" w:eastAsia="Times New Roman" w:hint="default"/>
        </w:rPr>
        <w:t>5</w:t>
      </w:r>
      <w:r>
        <w:rPr/>
        <w:t>年之后现金流量维持不变。日</w:t>
      </w:r>
      <w:r>
        <w:rPr>
          <w:spacing w:val="-87"/>
        </w:rPr>
        <w:t> </w:t>
      </w:r>
      <w:r>
        <w:rPr>
          <w:spacing w:val="-87"/>
        </w:rPr>
      </w:r>
      <w:r>
        <w:rPr>
          <w:spacing w:val="-11"/>
        </w:rPr>
        <w:t>本超图、上海南康、南京国图、北京安图、和上海数慧现金流量预测所用的税后折现率是</w:t>
      </w:r>
      <w:r>
        <w:rPr>
          <w:rFonts w:ascii="Times New Roman" w:hAnsi="Times New Roman" w:cs="Times New Roman" w:eastAsia="Times New Roman" w:hint="default"/>
          <w:spacing w:val="-11"/>
        </w:rPr>
        <w:t>14.97%</w:t>
      </w:r>
      <w:r>
        <w:rPr>
          <w:spacing w:val="-11"/>
        </w:rPr>
        <w:t>、</w:t>
      </w:r>
      <w:r>
        <w:rPr>
          <w:spacing w:val="-78"/>
        </w:rPr>
        <w:t> </w:t>
      </w:r>
      <w:r>
        <w:rPr>
          <w:rFonts w:ascii="Times New Roman" w:hAnsi="Times New Roman" w:cs="Times New Roman" w:eastAsia="Times New Roman" w:hint="default"/>
        </w:rPr>
        <w:t>16.08%</w:t>
      </w:r>
      <w:r>
        <w:rPr/>
        <w:t>、、</w:t>
      </w:r>
      <w:r>
        <w:rPr>
          <w:rFonts w:ascii="Times New Roman" w:hAnsi="Times New Roman" w:cs="Times New Roman" w:eastAsia="Times New Roman" w:hint="default"/>
        </w:rPr>
        <w:t>16.08%</w:t>
      </w:r>
      <w:r>
        <w:rPr/>
        <w:t>、</w:t>
      </w:r>
      <w:r>
        <w:rPr>
          <w:rFonts w:ascii="Times New Roman" w:hAnsi="Times New Roman" w:cs="Times New Roman" w:eastAsia="Times New Roman" w:hint="default"/>
        </w:rPr>
        <w:t>16.08%</w:t>
      </w:r>
      <w:r>
        <w:rPr/>
        <w:t>、</w:t>
      </w:r>
      <w:r>
        <w:rPr>
          <w:rFonts w:ascii="Times New Roman" w:hAnsi="Times New Roman" w:cs="Times New Roman" w:eastAsia="Times New Roman" w:hint="default"/>
        </w:rPr>
        <w:t>16.08%</w:t>
      </w:r>
      <w:r>
        <w:rPr/>
        <w:t>。</w:t>
      </w:r>
    </w:p>
    <w:p>
      <w:pPr>
        <w:pStyle w:val="BodyText"/>
        <w:spacing w:line="338" w:lineRule="auto" w:before="27"/>
        <w:ind w:right="215" w:firstLine="420"/>
        <w:jc w:val="left"/>
      </w:pPr>
      <w:r>
        <w:rPr/>
        <w:t>根据减值测试的结果，本期期末日本超图商誉发生减值</w:t>
      </w:r>
      <w:r>
        <w:rPr>
          <w:rFonts w:ascii="Times New Roman" w:hAnsi="Times New Roman" w:cs="Times New Roman" w:eastAsia="Times New Roman" w:hint="default"/>
        </w:rPr>
        <w:t>1,312,138.80</w:t>
      </w:r>
      <w:r>
        <w:rPr/>
        <w:t>元；上海南康、南京 国图、北京安图、和上海数慧本期未发生减值，未计提减值准备。（上期期末：无）。</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BodyText"/>
        <w:spacing w:line="386" w:lineRule="auto" w:before="0"/>
        <w:ind w:right="9013"/>
        <w:jc w:val="left"/>
      </w:pPr>
      <w:r>
        <w:rPr/>
        <w:t>其他说明 无</w:t>
      </w:r>
    </w:p>
    <w:p>
      <w:pPr>
        <w:spacing w:line="240" w:lineRule="auto" w:before="7"/>
        <w:rPr>
          <w:rFonts w:ascii="宋体" w:hAnsi="宋体" w:cs="宋体" w:eastAsia="宋体" w:hint="default"/>
          <w:sz w:val="23"/>
          <w:szCs w:val="23"/>
        </w:rPr>
      </w:pPr>
    </w:p>
    <w:p>
      <w:pPr>
        <w:pStyle w:val="Heading2"/>
        <w:spacing w:line="240" w:lineRule="auto"/>
        <w:ind w:right="215"/>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5"/>
        <w:rPr>
          <w:rFonts w:ascii="宋体" w:hAnsi="宋体" w:cs="宋体" w:eastAsia="宋体" w:hint="default"/>
          <w:b/>
          <w:bCs/>
          <w:sz w:val="29"/>
          <w:szCs w:val="29"/>
        </w:rPr>
      </w:pPr>
    </w:p>
    <w:p>
      <w:pPr>
        <w:spacing w:before="0"/>
        <w:ind w:left="0" w:right="3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房屋装修等</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1,340,424.78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1,484,718.39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1,432,790.99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1,392,352.18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333,790.03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74,175.60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259,614.43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1,674,214.81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1,484,718.39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1,506,966.59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1,651,966.61</w:t>
            </w:r>
          </w:p>
        </w:tc>
      </w:tr>
    </w:tbl>
    <w:p>
      <w:pPr>
        <w:pStyle w:val="BodyText"/>
        <w:spacing w:line="386" w:lineRule="auto" w:before="79"/>
        <w:ind w:right="9013"/>
        <w:jc w:val="left"/>
      </w:pPr>
      <w:r>
        <w:rPr/>
        <w:t>其他说明 无</w:t>
      </w:r>
    </w:p>
    <w:p>
      <w:pPr>
        <w:spacing w:line="240" w:lineRule="auto" w:before="7"/>
        <w:rPr>
          <w:rFonts w:ascii="宋体" w:hAnsi="宋体" w:cs="宋体" w:eastAsia="宋体" w:hint="default"/>
          <w:sz w:val="23"/>
          <w:szCs w:val="23"/>
        </w:rPr>
      </w:pPr>
    </w:p>
    <w:p>
      <w:pPr>
        <w:pStyle w:val="Heading2"/>
        <w:spacing w:line="240" w:lineRule="auto"/>
        <w:ind w:right="215"/>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215"/>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8"/>
        <w:rPr>
          <w:rFonts w:ascii="宋体" w:hAnsi="宋体" w:cs="宋体" w:eastAsia="宋体" w:hint="default"/>
          <w:b/>
          <w:bCs/>
          <w:sz w:val="26"/>
          <w:szCs w:val="26"/>
        </w:rPr>
      </w:pPr>
    </w:p>
    <w:p>
      <w:pPr>
        <w:spacing w:before="36"/>
        <w:ind w:left="0" w:right="3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24"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1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85,824,848.85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10,033,762.56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80,172,130.67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9,048,485.39</w:t>
            </w: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182"/>
              <w:jc w:val="left"/>
              <w:rPr>
                <w:rFonts w:ascii="宋体" w:hAnsi="宋体" w:cs="宋体" w:eastAsia="宋体" w:hint="default"/>
                <w:sz w:val="21"/>
                <w:szCs w:val="21"/>
              </w:rPr>
            </w:pPr>
            <w:r>
              <w:rPr>
                <w:rFonts w:ascii="宋体" w:hAnsi="宋体" w:cs="宋体" w:eastAsia="宋体" w:hint="default"/>
                <w:sz w:val="21"/>
                <w:szCs w:val="21"/>
              </w:rPr>
              <w:t>内部交易未实现利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82"/>
              <w:jc w:val="left"/>
              <w:rPr>
                <w:rFonts w:ascii="宋体" w:hAnsi="宋体" w:cs="宋体" w:eastAsia="宋体" w:hint="default"/>
                <w:sz w:val="21"/>
                <w:szCs w:val="21"/>
              </w:rPr>
            </w:pPr>
            <w:r>
              <w:rPr>
                <w:rFonts w:ascii="宋体" w:hAnsi="宋体" w:cs="宋体" w:eastAsia="宋体" w:hint="default"/>
                <w:sz w:val="21"/>
                <w:szCs w:val="21"/>
              </w:rPr>
              <w:t>无形资产的所得税</w:t>
            </w:r>
            <w:r>
              <w:rPr>
                <w:rFonts w:ascii="宋体" w:hAnsi="宋体" w:cs="宋体" w:eastAsia="宋体" w:hint="default"/>
                <w:w w:val="100"/>
                <w:sz w:val="21"/>
                <w:szCs w:val="21"/>
              </w:rPr>
              <w:t> </w:t>
            </w:r>
            <w:r>
              <w:rPr>
                <w:rFonts w:ascii="宋体" w:hAnsi="宋体" w:cs="宋体" w:eastAsia="宋体" w:hint="default"/>
                <w:sz w:val="21"/>
                <w:szCs w:val="21"/>
              </w:rPr>
              <w:t>影响</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1,966,666.80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295,000.02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4,766,695.83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596,669.59</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2"/>
              <w:jc w:val="left"/>
              <w:rPr>
                <w:rFonts w:ascii="宋体" w:hAnsi="宋体" w:cs="宋体" w:eastAsia="宋体" w:hint="default"/>
                <w:sz w:val="21"/>
                <w:szCs w:val="21"/>
              </w:rPr>
            </w:pPr>
            <w:r>
              <w:rPr>
                <w:rFonts w:ascii="宋体" w:hAnsi="宋体" w:cs="宋体" w:eastAsia="宋体" w:hint="default"/>
                <w:sz w:val="21"/>
                <w:szCs w:val="21"/>
              </w:rPr>
              <w:t>应付职工薪酬的所</w:t>
            </w:r>
            <w:r>
              <w:rPr>
                <w:rFonts w:ascii="宋体" w:hAnsi="宋体" w:cs="宋体" w:eastAsia="宋体" w:hint="default"/>
                <w:w w:val="100"/>
                <w:sz w:val="21"/>
                <w:szCs w:val="21"/>
              </w:rPr>
              <w:t> </w:t>
            </w:r>
            <w:r>
              <w:rPr>
                <w:rFonts w:ascii="宋体" w:hAnsi="宋体" w:cs="宋体" w:eastAsia="宋体" w:hint="default"/>
                <w:sz w:val="21"/>
                <w:szCs w:val="21"/>
              </w:rPr>
              <w:t>得税影响</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5,464,300.00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546,430.00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7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7" w:right="0"/>
              <w:jc w:val="left"/>
              <w:rPr>
                <w:rFonts w:ascii="Times New Roman" w:hAnsi="Times New Roman" w:cs="Times New Roman" w:eastAsia="Times New Roman" w:hint="default"/>
                <w:sz w:val="21"/>
                <w:szCs w:val="21"/>
              </w:rPr>
            </w:pPr>
            <w:r>
              <w:rPr>
                <w:rFonts w:ascii="Times New Roman"/>
                <w:sz w:val="21"/>
              </w:rPr>
              <w:t>93,255,815.65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4" w:right="0"/>
              <w:jc w:val="left"/>
              <w:rPr>
                <w:rFonts w:ascii="Times New Roman" w:hAnsi="Times New Roman" w:cs="Times New Roman" w:eastAsia="Times New Roman" w:hint="default"/>
                <w:sz w:val="21"/>
                <w:szCs w:val="21"/>
              </w:rPr>
            </w:pPr>
            <w:r>
              <w:rPr>
                <w:rFonts w:ascii="Times New Roman"/>
                <w:sz w:val="21"/>
              </w:rPr>
              <w:t>10,875,192.58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4" w:right="0"/>
              <w:jc w:val="left"/>
              <w:rPr>
                <w:rFonts w:ascii="Times New Roman" w:hAnsi="Times New Roman" w:cs="Times New Roman" w:eastAsia="Times New Roman" w:hint="default"/>
                <w:sz w:val="21"/>
                <w:szCs w:val="21"/>
              </w:rPr>
            </w:pPr>
            <w:r>
              <w:rPr>
                <w:rFonts w:ascii="Times New Roman"/>
                <w:sz w:val="21"/>
              </w:rPr>
              <w:t>84,938,826.50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79" w:right="0"/>
              <w:jc w:val="left"/>
              <w:rPr>
                <w:rFonts w:ascii="Times New Roman" w:hAnsi="Times New Roman" w:cs="Times New Roman" w:eastAsia="Times New Roman" w:hint="default"/>
                <w:sz w:val="21"/>
                <w:szCs w:val="21"/>
              </w:rPr>
            </w:pPr>
            <w:r>
              <w:rPr>
                <w:rFonts w:ascii="Times New Roman"/>
                <w:sz w:val="21"/>
              </w:rPr>
              <w:t>9,645,154.98</w:t>
            </w:r>
          </w:p>
        </w:tc>
      </w:tr>
    </w:tbl>
    <w:p>
      <w:pPr>
        <w:spacing w:line="240" w:lineRule="auto" w:before="12"/>
        <w:rPr>
          <w:rFonts w:ascii="宋体" w:hAnsi="宋体" w:cs="宋体" w:eastAsia="宋体" w:hint="default"/>
          <w:sz w:val="23"/>
          <w:szCs w:val="23"/>
        </w:rPr>
      </w:pPr>
    </w:p>
    <w:p>
      <w:pPr>
        <w:pStyle w:val="Heading2"/>
        <w:spacing w:line="240" w:lineRule="auto" w:before="26"/>
        <w:ind w:right="29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24"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12"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82"/>
              <w:jc w:val="left"/>
              <w:rPr>
                <w:rFonts w:ascii="宋体" w:hAnsi="宋体" w:cs="宋体" w:eastAsia="宋体" w:hint="default"/>
                <w:sz w:val="21"/>
                <w:szCs w:val="21"/>
              </w:rPr>
            </w:pPr>
            <w:r>
              <w:rPr>
                <w:rFonts w:ascii="宋体" w:hAnsi="宋体" w:cs="宋体" w:eastAsia="宋体" w:hint="default"/>
                <w:sz w:val="21"/>
                <w:szCs w:val="21"/>
              </w:rPr>
              <w:t>非同一控制企业合</w:t>
            </w:r>
            <w:r>
              <w:rPr>
                <w:rFonts w:ascii="宋体" w:hAnsi="宋体" w:cs="宋体" w:eastAsia="宋体" w:hint="default"/>
                <w:w w:val="100"/>
                <w:sz w:val="21"/>
                <w:szCs w:val="21"/>
              </w:rPr>
              <w:t> </w:t>
            </w:r>
            <w:r>
              <w:rPr>
                <w:rFonts w:ascii="宋体" w:hAnsi="宋体" w:cs="宋体" w:eastAsia="宋体" w:hint="default"/>
                <w:sz w:val="21"/>
                <w:szCs w:val="21"/>
              </w:rPr>
              <w:t>并资产评估增值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82"/>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z w:val="21"/>
                <w:szCs w:val="21"/>
              </w:rPr>
              <w:t>公允价值变动</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2"/>
              <w:jc w:val="left"/>
              <w:rPr>
                <w:rFonts w:ascii="宋体" w:hAnsi="宋体" w:cs="宋体" w:eastAsia="宋体" w:hint="default"/>
                <w:sz w:val="21"/>
                <w:szCs w:val="21"/>
              </w:rPr>
            </w:pPr>
            <w:r>
              <w:rPr>
                <w:rFonts w:ascii="宋体" w:hAnsi="宋体" w:cs="宋体" w:eastAsia="宋体" w:hint="default"/>
                <w:sz w:val="21"/>
                <w:szCs w:val="21"/>
              </w:rPr>
              <w:t>无形资产的所得税</w:t>
            </w:r>
            <w:r>
              <w:rPr>
                <w:rFonts w:ascii="宋体" w:hAnsi="宋体" w:cs="宋体" w:eastAsia="宋体" w:hint="default"/>
                <w:w w:val="100"/>
                <w:sz w:val="21"/>
                <w:szCs w:val="21"/>
              </w:rPr>
              <w:t> </w:t>
            </w:r>
            <w:r>
              <w:rPr>
                <w:rFonts w:ascii="宋体" w:hAnsi="宋体" w:cs="宋体" w:eastAsia="宋体" w:hint="default"/>
                <w:sz w:val="21"/>
                <w:szCs w:val="21"/>
              </w:rPr>
              <w:t>影响</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13,124,027.58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1,968,604.13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14,797,461.00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2,219,619.15</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13,124,027.58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1,968,604.13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14,797,461.00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2,219,619.15</w:t>
            </w:r>
          </w:p>
        </w:tc>
      </w:tr>
    </w:tbl>
    <w:p>
      <w:pPr>
        <w:spacing w:line="240" w:lineRule="auto" w:before="12"/>
        <w:rPr>
          <w:rFonts w:ascii="宋体" w:hAnsi="宋体" w:cs="宋体" w:eastAsia="宋体" w:hint="default"/>
          <w:sz w:val="23"/>
          <w:szCs w:val="23"/>
        </w:rPr>
      </w:pPr>
    </w:p>
    <w:p>
      <w:pPr>
        <w:pStyle w:val="Heading2"/>
        <w:spacing w:line="240" w:lineRule="auto" w:before="26"/>
        <w:ind w:right="293"/>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1,726,776.96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843,282.37</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4,734,481.17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5,955,087.70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6,461,258.13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6,798,370.07</w:t>
            </w:r>
          </w:p>
        </w:tc>
      </w:tr>
    </w:tbl>
    <w:p>
      <w:pPr>
        <w:spacing w:line="240" w:lineRule="auto" w:before="12"/>
        <w:rPr>
          <w:rFonts w:ascii="宋体" w:hAnsi="宋体" w:cs="宋体" w:eastAsia="宋体" w:hint="default"/>
          <w:sz w:val="23"/>
          <w:szCs w:val="23"/>
        </w:rPr>
      </w:pPr>
    </w:p>
    <w:p>
      <w:pPr>
        <w:pStyle w:val="Heading2"/>
        <w:spacing w:line="240" w:lineRule="auto" w:before="26"/>
        <w:ind w:right="293"/>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5"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21"/>
                <w:szCs w:val="21"/>
              </w:rPr>
            </w:pPr>
            <w:r>
              <w:rPr>
                <w:rFonts w:ascii="Times New Roman"/>
                <w:sz w:val="21"/>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28,481.55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28,481.55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414,909.00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414,909.00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Times New Roman" w:hAnsi="Times New Roman" w:cs="Times New Roman" w:eastAsia="Times New Roman" w:hint="default"/>
                <w:sz w:val="21"/>
                <w:szCs w:val="21"/>
              </w:rPr>
            </w:pPr>
            <w:r>
              <w:rPr>
                <w:rFonts w:ascii="Times New Roman"/>
                <w:sz w:val="21"/>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5"/>
              <w:jc w:val="right"/>
              <w:rPr>
                <w:rFonts w:ascii="Times New Roman" w:hAnsi="Times New Roman" w:cs="Times New Roman" w:eastAsia="Times New Roman" w:hint="default"/>
                <w:sz w:val="21"/>
                <w:szCs w:val="21"/>
              </w:rPr>
            </w:pPr>
            <w:r>
              <w:rPr>
                <w:rFonts w:ascii="Times New Roman"/>
                <w:spacing w:val="-1"/>
                <w:sz w:val="21"/>
              </w:rPr>
              <w:t>2,562,601.00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pacing w:val="-2"/>
                <w:sz w:val="21"/>
              </w:rPr>
              <w:t>5,511,697.15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1,728,489.62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4,734,481.17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7"/>
              <w:ind w:right="8"/>
              <w:jc w:val="right"/>
              <w:rPr>
                <w:rFonts w:ascii="Times New Roman" w:hAnsi="Times New Roman" w:cs="Times New Roman" w:eastAsia="Times New Roman" w:hint="default"/>
                <w:sz w:val="21"/>
                <w:szCs w:val="21"/>
              </w:rPr>
            </w:pPr>
            <w:r>
              <w:rPr>
                <w:rFonts w:ascii="Times New Roman"/>
                <w:spacing w:val="-1"/>
                <w:sz w:val="21"/>
              </w:rPr>
              <w:t>5,955,087.70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386" w:lineRule="auto" w:before="79"/>
        <w:ind w:right="8573"/>
        <w:jc w:val="left"/>
      </w:pPr>
      <w:r>
        <w:rPr/>
        <w:t>其他说明： 无</w:t>
      </w:r>
    </w:p>
    <w:p>
      <w:pPr>
        <w:spacing w:after="0" w:line="386"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Heading2"/>
        <w:spacing w:line="240" w:lineRule="auto" w:before="26"/>
        <w:ind w:right="293"/>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预付购房款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1,230,000.00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1,230,000.00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8" w:lineRule="auto" w:before="79"/>
        <w:ind w:right="8573"/>
        <w:jc w:val="left"/>
      </w:pPr>
      <w:r>
        <w:rPr/>
        <w:t>其他说明： 无</w:t>
      </w:r>
    </w:p>
    <w:p>
      <w:pPr>
        <w:spacing w:line="240" w:lineRule="auto" w:before="5"/>
        <w:rPr>
          <w:rFonts w:ascii="宋体" w:hAnsi="宋体" w:cs="宋体" w:eastAsia="宋体" w:hint="default"/>
          <w:sz w:val="23"/>
          <w:szCs w:val="23"/>
        </w:rPr>
      </w:pPr>
    </w:p>
    <w:p>
      <w:pPr>
        <w:pStyle w:val="Heading2"/>
        <w:spacing w:line="240" w:lineRule="auto"/>
        <w:ind w:right="293"/>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29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10,100,000.00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5,055,848.52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5,270,108.86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5,055,848.52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15,370,108.86</w:t>
            </w:r>
          </w:p>
        </w:tc>
      </w:tr>
    </w:tbl>
    <w:p>
      <w:pPr>
        <w:pStyle w:val="BodyText"/>
        <w:spacing w:line="379" w:lineRule="auto" w:before="79"/>
        <w:ind w:right="3880"/>
        <w:jc w:val="left"/>
      </w:pPr>
      <w:r>
        <w:rPr/>
        <w:t>短期借款分类的说明： 外币借款情况详见附注五</w:t>
      </w:r>
      <w:r>
        <w:rPr>
          <w:rFonts w:ascii="Times New Roman" w:hAnsi="Times New Roman" w:cs="Times New Roman" w:eastAsia="Times New Roman" w:hint="default"/>
        </w:rPr>
        <w:t>(56</w:t>
      </w:r>
      <w:r>
        <w:rPr>
          <w:rFonts w:ascii="Times New Roman" w:hAnsi="Times New Roman" w:cs="Times New Roman" w:eastAsia="Times New Roman" w:hint="default"/>
        </w:rPr>
        <w:t>)“</w:t>
      </w:r>
      <w:r>
        <w:rPr/>
        <w:t>外币货币性项目</w:t>
      </w:r>
      <w:r>
        <w:rPr>
          <w:rFonts w:ascii="Times New Roman" w:hAnsi="Times New Roman" w:cs="Times New Roman" w:eastAsia="Times New Roman" w:hint="default"/>
        </w:rPr>
        <w:t>”</w:t>
      </w:r>
      <w:r>
        <w:rPr/>
        <w:t>之说明。 其他说明：</w:t>
      </w:r>
    </w:p>
    <w:p>
      <w:pPr>
        <w:pStyle w:val="BodyText"/>
        <w:spacing w:line="240" w:lineRule="auto" w:before="53"/>
        <w:ind w:right="293"/>
        <w:jc w:val="left"/>
      </w:pPr>
      <w:r>
        <w:rPr/>
        <w:t>无</w:t>
      </w:r>
    </w:p>
    <w:p>
      <w:pPr>
        <w:spacing w:line="240" w:lineRule="auto" w:before="11"/>
        <w:rPr>
          <w:rFonts w:ascii="宋体" w:hAnsi="宋体" w:cs="宋体" w:eastAsia="宋体" w:hint="default"/>
          <w:sz w:val="34"/>
          <w:szCs w:val="34"/>
        </w:rPr>
      </w:pPr>
    </w:p>
    <w:p>
      <w:pPr>
        <w:pStyle w:val="Heading2"/>
        <w:spacing w:line="240" w:lineRule="auto"/>
        <w:ind w:right="293"/>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6"/>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9"/>
        <w:ind w:right="293"/>
        <w:jc w:val="left"/>
      </w:pPr>
      <w:r>
        <w:rPr/>
        <w:t>本期末已到期未支付的应付票据总额为</w:t>
      </w:r>
      <w:r>
        <w:rPr>
          <w:spacing w:val="-60"/>
        </w:rPr>
        <w:t> </w:t>
      </w:r>
      <w:r>
        <w:rPr>
          <w:rFonts w:ascii="Times New Roman" w:hAnsi="Times New Roman" w:cs="Times New Roman" w:eastAsia="Times New Roman" w:hint="default"/>
        </w:rPr>
        <w:t>0.00 </w:t>
      </w:r>
      <w:r>
        <w:rPr/>
        <w:t>元。</w:t>
      </w:r>
    </w:p>
    <w:p>
      <w:pPr>
        <w:spacing w:after="0" w:line="240" w:lineRule="auto"/>
        <w:jc w:val="left"/>
        <w:sectPr>
          <w:pgSz w:w="11910" w:h="16840"/>
          <w:pgMar w:header="877" w:footer="980" w:top="1100" w:bottom="1160" w:left="980" w:right="980"/>
        </w:sectPr>
      </w:pPr>
    </w:p>
    <w:p>
      <w:pPr>
        <w:spacing w:line="240" w:lineRule="auto" w:before="10"/>
        <w:rPr>
          <w:rFonts w:ascii="宋体" w:hAnsi="宋体" w:cs="宋体" w:eastAsia="宋体" w:hint="default"/>
          <w:sz w:val="25"/>
          <w:szCs w:val="25"/>
        </w:rPr>
      </w:pPr>
    </w:p>
    <w:p>
      <w:pPr>
        <w:pStyle w:val="Heading2"/>
        <w:spacing w:line="240" w:lineRule="auto" w:before="26"/>
        <w:ind w:right="293"/>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2"/>
        <w:rPr>
          <w:rFonts w:ascii="宋体" w:hAnsi="宋体" w:cs="宋体" w:eastAsia="宋体" w:hint="default"/>
          <w:b/>
          <w:bCs/>
          <w:sz w:val="33"/>
          <w:szCs w:val="33"/>
        </w:rPr>
      </w:pPr>
    </w:p>
    <w:p>
      <w:pPr>
        <w:pStyle w:val="Heading2"/>
        <w:spacing w:line="240" w:lineRule="auto"/>
        <w:ind w:right="29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225,953,802.54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188,178,335.93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225,953,802.54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188,178,335.93</w:t>
            </w:r>
          </w:p>
        </w:tc>
      </w:tr>
    </w:tbl>
    <w:p>
      <w:pPr>
        <w:pStyle w:val="BodyText"/>
        <w:spacing w:line="240" w:lineRule="auto" w:before="79"/>
        <w:ind w:right="293"/>
        <w:jc w:val="left"/>
      </w:pPr>
      <w:r>
        <w:rPr/>
        <w:t>其他说明：</w:t>
      </w:r>
    </w:p>
    <w:p>
      <w:pPr>
        <w:pStyle w:val="BodyText"/>
        <w:spacing w:line="240" w:lineRule="auto" w:before="195"/>
        <w:ind w:right="293"/>
        <w:jc w:val="left"/>
      </w:pPr>
      <w:r>
        <w:rPr>
          <w:rFonts w:ascii="Times New Roman" w:hAnsi="Times New Roman" w:cs="Times New Roman" w:eastAsia="Times New Roman" w:hint="default"/>
        </w:rPr>
        <w:t>1</w:t>
      </w:r>
      <w:r>
        <w:rPr/>
        <w:t>．期末无账龄超过</w:t>
      </w:r>
      <w:r>
        <w:rPr>
          <w:spacing w:val="-61"/>
        </w:rPr>
        <w:t> </w:t>
      </w:r>
      <w:r>
        <w:rPr>
          <w:rFonts w:ascii="Times New Roman" w:hAnsi="Times New Roman" w:cs="Times New Roman" w:eastAsia="Times New Roman" w:hint="default"/>
        </w:rPr>
        <w:t>1 </w:t>
      </w:r>
      <w:r>
        <w:rPr/>
        <w:t>年的大额应付账款。</w:t>
      </w:r>
    </w:p>
    <w:p>
      <w:pPr>
        <w:pStyle w:val="BodyText"/>
        <w:spacing w:line="240" w:lineRule="auto" w:before="174"/>
        <w:ind w:right="293"/>
        <w:jc w:val="left"/>
      </w:pPr>
      <w:r>
        <w:rPr>
          <w:rFonts w:ascii="Times New Roman" w:hAnsi="Times New Roman" w:cs="Times New Roman" w:eastAsia="Times New Roman" w:hint="default"/>
        </w:rPr>
        <w:t>2</w:t>
      </w:r>
      <w:r>
        <w:rPr/>
        <w:t>．外币应付账款情况详见附注五</w:t>
      </w:r>
      <w:r>
        <w:rPr>
          <w:rFonts w:ascii="Times New Roman" w:hAnsi="Times New Roman" w:cs="Times New Roman" w:eastAsia="Times New Roman" w:hint="default"/>
        </w:rPr>
        <w:t>(</w:t>
      </w:r>
      <w:r>
        <w:rPr/>
        <w:t>五十六</w:t>
      </w:r>
      <w:r>
        <w:rPr>
          <w:rFonts w:ascii="Times New Roman" w:hAnsi="Times New Roman" w:cs="Times New Roman" w:eastAsia="Times New Roman" w:hint="default"/>
        </w:rPr>
        <w:t>)</w:t>
      </w:r>
      <w:r>
        <w:rPr/>
        <w:t>“外币货币性项目”之说明。</w:t>
      </w:r>
    </w:p>
    <w:p>
      <w:pPr>
        <w:spacing w:line="240" w:lineRule="auto" w:before="6"/>
        <w:rPr>
          <w:rFonts w:ascii="宋体" w:hAnsi="宋体" w:cs="宋体" w:eastAsia="宋体" w:hint="default"/>
          <w:sz w:val="33"/>
          <w:szCs w:val="33"/>
        </w:rPr>
      </w:pPr>
    </w:p>
    <w:p>
      <w:pPr>
        <w:pStyle w:val="Heading2"/>
        <w:spacing w:line="240" w:lineRule="auto"/>
        <w:ind w:right="293"/>
        <w:jc w:val="left"/>
        <w:rPr>
          <w:b w:val="0"/>
          <w:bCs w:val="0"/>
        </w:rPr>
      </w:pPr>
      <w:r>
        <w:rPr>
          <w:rFonts w:ascii="Times New Roman" w:hAnsi="Times New Roman" w:cs="Times New Roman" w:eastAsia="Times New Roman" w:hint="default"/>
        </w:rPr>
        <w:t>23</w:t>
      </w:r>
      <w:r>
        <w:rPr/>
        <w:t>、预收款项</w:t>
      </w:r>
      <w:r>
        <w:rPr>
          <w:b w:val="0"/>
          <w:bCs w:val="0"/>
        </w:rPr>
      </w:r>
    </w:p>
    <w:p>
      <w:pPr>
        <w:spacing w:line="240" w:lineRule="auto" w:before="2"/>
        <w:rPr>
          <w:rFonts w:ascii="宋体" w:hAnsi="宋体" w:cs="宋体" w:eastAsia="宋体" w:hint="default"/>
          <w:b/>
          <w:bCs/>
          <w:sz w:val="33"/>
          <w:szCs w:val="33"/>
        </w:rPr>
      </w:pPr>
    </w:p>
    <w:p>
      <w:pPr>
        <w:pStyle w:val="Heading2"/>
        <w:spacing w:line="240" w:lineRule="auto"/>
        <w:ind w:right="29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项目预收款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179,897,572.96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91,649,043.88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179,897,572.96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91,649,043.88</w:t>
            </w:r>
          </w:p>
        </w:tc>
      </w:tr>
    </w:tbl>
    <w:p>
      <w:pPr>
        <w:pStyle w:val="BodyText"/>
        <w:spacing w:line="240" w:lineRule="auto" w:before="79"/>
        <w:ind w:right="293"/>
        <w:jc w:val="left"/>
      </w:pPr>
      <w:r>
        <w:rPr/>
        <w:t>其他说明</w:t>
      </w:r>
    </w:p>
    <w:p>
      <w:pPr>
        <w:pStyle w:val="BodyText"/>
        <w:spacing w:line="240" w:lineRule="auto" w:before="192"/>
        <w:ind w:right="293"/>
        <w:jc w:val="left"/>
      </w:pPr>
      <w:r>
        <w:rPr/>
        <w:t>期末无账龄超过</w:t>
      </w:r>
      <w:r>
        <w:rPr>
          <w:spacing w:val="-61"/>
        </w:rPr>
        <w:t> </w:t>
      </w:r>
      <w:r>
        <w:rPr>
          <w:rFonts w:ascii="Times New Roman" w:hAnsi="Times New Roman" w:cs="Times New Roman" w:eastAsia="Times New Roman" w:hint="default"/>
        </w:rPr>
        <w:t>1 </w:t>
      </w:r>
      <w:r>
        <w:rPr/>
        <w:t>年的大额预收款项。</w:t>
      </w:r>
    </w:p>
    <w:p>
      <w:pPr>
        <w:spacing w:line="240" w:lineRule="auto" w:before="6"/>
        <w:rPr>
          <w:rFonts w:ascii="宋体" w:hAnsi="宋体" w:cs="宋体" w:eastAsia="宋体" w:hint="default"/>
          <w:sz w:val="33"/>
          <w:szCs w:val="33"/>
        </w:rPr>
      </w:pPr>
    </w:p>
    <w:p>
      <w:pPr>
        <w:pStyle w:val="Heading2"/>
        <w:spacing w:line="240" w:lineRule="auto"/>
        <w:ind w:right="293"/>
        <w:jc w:val="left"/>
        <w:rPr>
          <w:b w:val="0"/>
          <w:bCs w:val="0"/>
        </w:rPr>
      </w:pPr>
      <w:r>
        <w:rPr>
          <w:rFonts w:ascii="Times New Roman" w:hAnsi="Times New Roman" w:cs="Times New Roman" w:eastAsia="Times New Roman" w:hint="default"/>
        </w:rPr>
        <w:t>24</w:t>
      </w:r>
      <w:r>
        <w:rPr/>
        <w:t>、应付职工薪酬</w:t>
      </w:r>
      <w:r>
        <w:rPr>
          <w:b w:val="0"/>
          <w:bCs w:val="0"/>
        </w:rPr>
      </w:r>
    </w:p>
    <w:p>
      <w:pPr>
        <w:spacing w:line="240" w:lineRule="auto" w:before="2"/>
        <w:rPr>
          <w:rFonts w:ascii="宋体" w:hAnsi="宋体" w:cs="宋体" w:eastAsia="宋体" w:hint="default"/>
          <w:b/>
          <w:bCs/>
          <w:sz w:val="33"/>
          <w:szCs w:val="33"/>
        </w:rPr>
      </w:pPr>
    </w:p>
    <w:p>
      <w:pPr>
        <w:pStyle w:val="Heading2"/>
        <w:spacing w:line="240" w:lineRule="auto"/>
        <w:ind w:right="29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9"/>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43,506,316.66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486,381,742.23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433,945,890.51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95,942,168.38</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7"/>
              <w:jc w:val="left"/>
              <w:rPr>
                <w:rFonts w:ascii="宋体" w:hAnsi="宋体" w:cs="宋体" w:eastAsia="宋体" w:hint="default"/>
                <w:sz w:val="21"/>
                <w:szCs w:val="21"/>
              </w:rPr>
            </w:pPr>
            <w:r>
              <w:rPr>
                <w:rFonts w:ascii="宋体" w:hAnsi="宋体" w:cs="宋体" w:eastAsia="宋体" w:hint="default"/>
                <w:spacing w:val="-12"/>
                <w:w w:val="100"/>
                <w:sz w:val="21"/>
                <w:szCs w:val="21"/>
              </w:rPr>
              <w:t>二、离职后福利</w:t>
            </w:r>
            <w:r>
              <w:rPr>
                <w:rFonts w:ascii="Times New Roman" w:hAnsi="Times New Roman" w:cs="Times New Roman" w:eastAsia="Times New Roman" w:hint="default"/>
                <w:spacing w:val="-12"/>
                <w:w w:val="100"/>
                <w:sz w:val="21"/>
                <w:szCs w:val="21"/>
              </w:rPr>
              <w:t>-</w:t>
            </w:r>
            <w:r>
              <w:rPr>
                <w:rFonts w:ascii="宋体" w:hAnsi="宋体" w:cs="宋体" w:eastAsia="宋体" w:hint="default"/>
                <w:spacing w:val="-12"/>
                <w:w w:val="100"/>
                <w:sz w:val="21"/>
                <w:szCs w:val="21"/>
              </w:rPr>
              <w:t>设定</w:t>
            </w:r>
            <w:r>
              <w:rPr>
                <w:rFonts w:ascii="宋体" w:hAnsi="宋体" w:cs="宋体" w:eastAsia="宋体" w:hint="default"/>
                <w:spacing w:val="-103"/>
                <w:w w:val="100"/>
                <w:sz w:val="21"/>
                <w:szCs w:val="21"/>
              </w:rPr>
              <w:t> </w:t>
            </w:r>
            <w:r>
              <w:rPr>
                <w:rFonts w:ascii="宋体" w:hAnsi="宋体" w:cs="宋体" w:eastAsia="宋体" w:hint="default"/>
                <w:sz w:val="21"/>
                <w:szCs w:val="21"/>
              </w:rPr>
              <w:t>提存计划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1,227,631.41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28,946,219.97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27,720,915.23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2,452,936.15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637,609.60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637,609.60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7"/>
              <w:jc w:val="left"/>
              <w:rPr>
                <w:rFonts w:ascii="宋体" w:hAnsi="宋体" w:cs="宋体" w:eastAsia="宋体" w:hint="default"/>
                <w:sz w:val="21"/>
                <w:szCs w:val="21"/>
              </w:rPr>
            </w:pPr>
            <w:r>
              <w:rPr>
                <w:rFonts w:ascii="宋体" w:hAnsi="宋体" w:cs="宋体" w:eastAsia="宋体" w:hint="default"/>
                <w:spacing w:val="-5"/>
                <w:sz w:val="21"/>
                <w:szCs w:val="21"/>
              </w:rPr>
              <w:t>四、一年内到期的其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他福利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7" w:right="0"/>
              <w:jc w:val="left"/>
              <w:rPr>
                <w:rFonts w:ascii="Times New Roman" w:hAnsi="Times New Roman" w:cs="Times New Roman" w:eastAsia="Times New Roman" w:hint="default"/>
                <w:sz w:val="21"/>
                <w:szCs w:val="21"/>
              </w:rPr>
            </w:pPr>
            <w:r>
              <w:rPr>
                <w:rFonts w:ascii="Times New Roman"/>
                <w:sz w:val="21"/>
              </w:rPr>
              <w:t>44,733,948.07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68" w:right="0"/>
              <w:jc w:val="left"/>
              <w:rPr>
                <w:rFonts w:ascii="Times New Roman" w:hAnsi="Times New Roman" w:cs="Times New Roman" w:eastAsia="Times New Roman" w:hint="default"/>
                <w:sz w:val="21"/>
                <w:szCs w:val="21"/>
              </w:rPr>
            </w:pPr>
            <w:r>
              <w:rPr>
                <w:rFonts w:ascii="Times New Roman"/>
                <w:sz w:val="21"/>
              </w:rPr>
              <w:t>515,965,571.80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68" w:right="0"/>
              <w:jc w:val="left"/>
              <w:rPr>
                <w:rFonts w:ascii="Times New Roman" w:hAnsi="Times New Roman" w:cs="Times New Roman" w:eastAsia="Times New Roman" w:hint="default"/>
                <w:sz w:val="21"/>
                <w:szCs w:val="21"/>
              </w:rPr>
            </w:pPr>
            <w:r>
              <w:rPr>
                <w:rFonts w:ascii="Times New Roman"/>
                <w:sz w:val="21"/>
              </w:rPr>
              <w:t>462,304,415.34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4" w:right="0"/>
              <w:jc w:val="left"/>
              <w:rPr>
                <w:rFonts w:ascii="Times New Roman" w:hAnsi="Times New Roman" w:cs="Times New Roman" w:eastAsia="Times New Roman" w:hint="default"/>
                <w:sz w:val="21"/>
                <w:szCs w:val="21"/>
              </w:rPr>
            </w:pPr>
            <w:r>
              <w:rPr>
                <w:rFonts w:ascii="Times New Roman"/>
                <w:sz w:val="21"/>
              </w:rPr>
              <w:t>98,395,104.53</w:t>
            </w:r>
          </w:p>
        </w:tc>
      </w:tr>
    </w:tbl>
    <w:p>
      <w:pPr>
        <w:spacing w:line="240" w:lineRule="auto" w:before="12"/>
        <w:rPr>
          <w:rFonts w:ascii="宋体" w:hAnsi="宋体" w:cs="宋体" w:eastAsia="宋体" w:hint="default"/>
          <w:sz w:val="23"/>
          <w:szCs w:val="23"/>
        </w:rPr>
      </w:pPr>
    </w:p>
    <w:p>
      <w:pPr>
        <w:pStyle w:val="Heading2"/>
        <w:spacing w:line="240" w:lineRule="auto" w:before="26"/>
        <w:ind w:right="29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7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、工资、奖金、津</w:t>
            </w:r>
            <w:r>
              <w:rPr>
                <w:rFonts w:ascii="宋体" w:hAnsi="宋体" w:cs="宋体" w:eastAsia="宋体" w:hint="default"/>
                <w:w w:val="100"/>
                <w:sz w:val="21"/>
                <w:szCs w:val="21"/>
              </w:rPr>
              <w:t> </w:t>
            </w:r>
            <w:r>
              <w:rPr>
                <w:rFonts w:ascii="宋体" w:hAnsi="宋体" w:cs="宋体" w:eastAsia="宋体" w:hint="default"/>
                <w:sz w:val="21"/>
                <w:szCs w:val="21"/>
              </w:rPr>
              <w:t>贴和补贴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41,380,322.53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368,548,633.64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317,081,910.68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92,847,045.49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12,656,953.76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12,656,953.76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506,057.61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15,122,688.13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14,432,488.95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1,196,256.79</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pacing w:val="-7"/>
                <w:sz w:val="21"/>
                <w:szCs w:val="21"/>
              </w:rPr>
              <w:t>其中：医疗保险</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440,437.99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13,478,100.55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12,858,004.82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1,060,533.72</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工伤保</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19,164.46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392,498.91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369,137.53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42,525.84</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生育保</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46,455.16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1,252,088.67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1,205,346.60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93,197.23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828,110.14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17,425,295.17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16,712,060.45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1,541,344.86</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76"/>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、工会经费和职工</w:t>
            </w:r>
            <w:r>
              <w:rPr>
                <w:rFonts w:ascii="宋体" w:hAnsi="宋体" w:cs="宋体" w:eastAsia="宋体" w:hint="default"/>
                <w:w w:val="100"/>
                <w:sz w:val="21"/>
                <w:szCs w:val="21"/>
              </w:rPr>
              <w:t> </w:t>
            </w:r>
            <w:r>
              <w:rPr>
                <w:rFonts w:ascii="宋体" w:hAnsi="宋体" w:cs="宋体" w:eastAsia="宋体" w:hint="default"/>
                <w:sz w:val="21"/>
                <w:szCs w:val="21"/>
              </w:rPr>
              <w:t>教育经费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791,826.38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4,768,934.55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5,203,239.69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357,521.24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76"/>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、短期利润分享计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、其他短期薪酬</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67,859,236.98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67,859,236.98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43,506,316.66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486,381,742.23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433,945,890.51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95,942,168.38</w:t>
            </w:r>
          </w:p>
        </w:tc>
      </w:tr>
    </w:tbl>
    <w:p>
      <w:pPr>
        <w:spacing w:line="240" w:lineRule="auto" w:before="12"/>
        <w:rPr>
          <w:rFonts w:ascii="宋体" w:hAnsi="宋体" w:cs="宋体" w:eastAsia="宋体" w:hint="default"/>
          <w:sz w:val="23"/>
          <w:szCs w:val="23"/>
        </w:rPr>
      </w:pPr>
    </w:p>
    <w:p>
      <w:pPr>
        <w:pStyle w:val="Heading2"/>
        <w:spacing w:line="240" w:lineRule="auto" w:before="26"/>
        <w:ind w:right="29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1,178,667.24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27,782,438.83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26,588,160.24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2,372,945.83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48,964.17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1,163,781.14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1,132,754.99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79,990.32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1,227,631.41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28,946,219.97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27,720,915.23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2,452,936.15</w:t>
            </w:r>
          </w:p>
        </w:tc>
      </w:tr>
    </w:tbl>
    <w:p>
      <w:pPr>
        <w:pStyle w:val="BodyText"/>
        <w:spacing w:line="388" w:lineRule="auto" w:before="79"/>
        <w:ind w:right="1373"/>
        <w:jc w:val="left"/>
      </w:pPr>
      <w:r>
        <w:rPr/>
        <w:t>其他说明： 设定提存计划为职工缴纳的基本养老保险费、失业保险费，按照政府规定缴纳。</w:t>
      </w:r>
    </w:p>
    <w:p>
      <w:pPr>
        <w:spacing w:after="0" w:line="388"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Heading2"/>
        <w:spacing w:line="240" w:lineRule="auto" w:before="26"/>
        <w:ind w:right="293"/>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12,912,708.28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11,228,565.53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16,647,189.41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17,409,264.46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3,724,377.75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2,712,997.25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1,064,887.57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786,458.40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570,138.55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484,861.31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254,821.14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76,898.70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356,076.58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495,032.26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35,530,199.28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33,194,077.91</w:t>
            </w:r>
          </w:p>
        </w:tc>
      </w:tr>
    </w:tbl>
    <w:p>
      <w:pPr>
        <w:pStyle w:val="BodyText"/>
        <w:spacing w:line="386" w:lineRule="auto" w:before="79"/>
        <w:ind w:right="8573"/>
        <w:jc w:val="left"/>
      </w:pPr>
      <w:r>
        <w:rPr/>
        <w:t>其他说明： 无</w:t>
      </w:r>
    </w:p>
    <w:p>
      <w:pPr>
        <w:spacing w:line="240" w:lineRule="auto" w:before="7"/>
        <w:rPr>
          <w:rFonts w:ascii="宋体" w:hAnsi="宋体" w:cs="宋体" w:eastAsia="宋体" w:hint="default"/>
          <w:sz w:val="23"/>
          <w:szCs w:val="23"/>
        </w:rPr>
      </w:pPr>
    </w:p>
    <w:p>
      <w:pPr>
        <w:pStyle w:val="Heading2"/>
        <w:spacing w:line="240" w:lineRule="auto"/>
        <w:ind w:right="293"/>
        <w:jc w:val="left"/>
        <w:rPr>
          <w:b w:val="0"/>
          <w:bCs w:val="0"/>
        </w:rPr>
      </w:pPr>
      <w:r>
        <w:rPr>
          <w:rFonts w:ascii="Times New Roman" w:hAnsi="Times New Roman" w:cs="Times New Roman" w:eastAsia="Times New Roman" w:hint="default"/>
        </w:rPr>
        <w:t>26</w:t>
      </w:r>
      <w:r>
        <w:rPr/>
        <w:t>、应付利息</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15"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96"/>
              <w:jc w:val="left"/>
              <w:rPr>
                <w:rFonts w:ascii="宋体" w:hAnsi="宋体" w:cs="宋体" w:eastAsia="宋体" w:hint="default"/>
                <w:sz w:val="21"/>
                <w:szCs w:val="21"/>
              </w:rPr>
            </w:pPr>
            <w:r>
              <w:rPr>
                <w:rFonts w:ascii="宋体" w:hAnsi="宋体" w:cs="宋体" w:eastAsia="宋体" w:hint="default"/>
                <w:spacing w:val="-2"/>
                <w:sz w:val="21"/>
                <w:szCs w:val="21"/>
              </w:rPr>
              <w:t>分期付息到期还本的长期借款利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38"/>
              <w:jc w:val="left"/>
              <w:rPr>
                <w:rFonts w:ascii="宋体" w:hAnsi="宋体" w:cs="宋体" w:eastAsia="宋体" w:hint="default"/>
                <w:sz w:val="21"/>
                <w:szCs w:val="21"/>
              </w:rPr>
            </w:pPr>
            <w:r>
              <w:rPr>
                <w:rFonts w:ascii="宋体" w:hAnsi="宋体" w:cs="宋体" w:eastAsia="宋体" w:hint="default"/>
                <w:spacing w:val="-2"/>
                <w:sz w:val="21"/>
                <w:szCs w:val="21"/>
              </w:rPr>
              <w:t>划分为金融负债的优先股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永续债</w:t>
            </w:r>
            <w:r>
              <w:rPr>
                <w:rFonts w:ascii="宋体" w:hAnsi="宋体" w:cs="宋体" w:eastAsia="宋体" w:hint="default"/>
                <w:spacing w:val="-74"/>
                <w:sz w:val="21"/>
                <w:szCs w:val="21"/>
              </w:rPr>
              <w:t> </w:t>
            </w:r>
            <w:r>
              <w:rPr>
                <w:rFonts w:ascii="宋体" w:hAnsi="宋体" w:cs="宋体" w:eastAsia="宋体" w:hint="default"/>
                <w:sz w:val="21"/>
                <w:szCs w:val="21"/>
              </w:rPr>
              <w:t>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借款利息</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27,706.05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84,073.81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27,706.05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84,073.81</w:t>
            </w:r>
          </w:p>
        </w:tc>
      </w:tr>
    </w:tbl>
    <w:p>
      <w:pPr>
        <w:pStyle w:val="BodyText"/>
        <w:spacing w:line="386" w:lineRule="auto" w:before="79"/>
        <w:ind w:right="3400"/>
        <w:jc w:val="left"/>
      </w:pPr>
      <w:r>
        <w:rPr/>
        <w:t>其他说明： 外币应付利息情况详见附注五</w:t>
      </w:r>
      <w:r>
        <w:rPr>
          <w:rFonts w:ascii="Times New Roman" w:hAnsi="Times New Roman" w:cs="Times New Roman" w:eastAsia="Times New Roman" w:hint="default"/>
        </w:rPr>
        <w:t>(56</w:t>
      </w:r>
      <w:r>
        <w:rPr>
          <w:rFonts w:ascii="Times New Roman" w:hAnsi="Times New Roman" w:cs="Times New Roman" w:eastAsia="Times New Roman" w:hint="default"/>
        </w:rPr>
        <w:t>)“</w:t>
      </w:r>
      <w:r>
        <w:rPr/>
        <w:t>外币货币性项目</w:t>
      </w:r>
      <w:r>
        <w:rPr>
          <w:rFonts w:ascii="Times New Roman" w:hAnsi="Times New Roman" w:cs="Times New Roman" w:eastAsia="Times New Roman" w:hint="default"/>
        </w:rPr>
        <w:t>”</w:t>
      </w:r>
      <w:r>
        <w:rPr/>
        <w:t>之说明。</w:t>
      </w:r>
    </w:p>
    <w:p>
      <w:pPr>
        <w:spacing w:line="240" w:lineRule="auto" w:before="12"/>
        <w:rPr>
          <w:rFonts w:ascii="宋体" w:hAnsi="宋体" w:cs="宋体" w:eastAsia="宋体" w:hint="default"/>
          <w:sz w:val="20"/>
          <w:szCs w:val="20"/>
        </w:rPr>
      </w:pPr>
    </w:p>
    <w:p>
      <w:pPr>
        <w:pStyle w:val="Heading2"/>
        <w:spacing w:line="240" w:lineRule="auto"/>
        <w:ind w:right="293"/>
        <w:jc w:val="left"/>
        <w:rPr>
          <w:b w:val="0"/>
          <w:bCs w:val="0"/>
        </w:rPr>
      </w:pPr>
      <w:r>
        <w:rPr>
          <w:rFonts w:ascii="Times New Roman" w:hAnsi="Times New Roman" w:cs="Times New Roman" w:eastAsia="Times New Roman" w:hint="default"/>
        </w:rPr>
        <w:t>27</w:t>
      </w:r>
      <w:r>
        <w:rPr/>
        <w:t>、应付股利</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right"/>
        <w:rPr>
          <w:rFonts w:ascii="宋体" w:hAnsi="宋体" w:cs="宋体" w:eastAsia="宋体" w:hint="default"/>
          <w:sz w:val="21"/>
          <w:szCs w:val="21"/>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36,612.00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2,430,206.26</w:t>
            </w: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38"/>
              <w:jc w:val="left"/>
              <w:rPr>
                <w:rFonts w:ascii="宋体" w:hAnsi="宋体" w:cs="宋体" w:eastAsia="宋体" w:hint="default"/>
                <w:sz w:val="21"/>
                <w:szCs w:val="21"/>
              </w:rPr>
            </w:pPr>
            <w:r>
              <w:rPr>
                <w:rFonts w:ascii="宋体" w:hAnsi="宋体" w:cs="宋体" w:eastAsia="宋体" w:hint="default"/>
                <w:spacing w:val="-2"/>
                <w:sz w:val="21"/>
                <w:szCs w:val="21"/>
              </w:rPr>
              <w:t>划分为权益工具的优先股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永续债</w:t>
            </w:r>
            <w:r>
              <w:rPr>
                <w:rFonts w:ascii="宋体" w:hAnsi="宋体" w:cs="宋体" w:eastAsia="宋体" w:hint="default"/>
                <w:spacing w:val="-74"/>
                <w:sz w:val="21"/>
                <w:szCs w:val="21"/>
              </w:rPr>
              <w:t> </w:t>
            </w:r>
            <w:r>
              <w:rPr>
                <w:rFonts w:ascii="宋体" w:hAnsi="宋体" w:cs="宋体" w:eastAsia="宋体" w:hint="default"/>
                <w:sz w:val="21"/>
                <w:szCs w:val="21"/>
              </w:rPr>
              <w:t>股利</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36,612.00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2,430,206.26</w:t>
            </w:r>
          </w:p>
        </w:tc>
      </w:tr>
    </w:tbl>
    <w:p>
      <w:pPr>
        <w:pStyle w:val="BodyText"/>
        <w:spacing w:line="386" w:lineRule="auto" w:before="79"/>
        <w:ind w:right="8813"/>
        <w:jc w:val="left"/>
      </w:pPr>
      <w:r>
        <w:rPr/>
        <w:t>其他说明 无</w:t>
      </w:r>
    </w:p>
    <w:p>
      <w:pPr>
        <w:spacing w:line="240" w:lineRule="auto" w:before="7"/>
        <w:rPr>
          <w:rFonts w:ascii="宋体" w:hAnsi="宋体" w:cs="宋体" w:eastAsia="宋体" w:hint="default"/>
          <w:sz w:val="23"/>
          <w:szCs w:val="23"/>
        </w:rPr>
      </w:pPr>
    </w:p>
    <w:p>
      <w:pPr>
        <w:pStyle w:val="Heading2"/>
        <w:spacing w:line="240" w:lineRule="auto"/>
        <w:ind w:right="293"/>
        <w:jc w:val="left"/>
        <w:rPr>
          <w:b w:val="0"/>
          <w:bCs w:val="0"/>
        </w:rPr>
      </w:pPr>
      <w:r>
        <w:rPr>
          <w:rFonts w:ascii="Times New Roman" w:hAnsi="Times New Roman" w:cs="Times New Roman" w:eastAsia="Times New Roman" w:hint="default"/>
        </w:rPr>
        <w:t>28</w:t>
      </w:r>
      <w:r>
        <w:rPr/>
        <w:t>、其他应付款</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293"/>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486,000.00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21,893,014.35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19,198,291.19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34,940,350.37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9,033,895.99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10,217,420.20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5,026,743.70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2,332,143.49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33,744,930.88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69,382,928.41</w:t>
            </w:r>
          </w:p>
        </w:tc>
      </w:tr>
    </w:tbl>
    <w:p>
      <w:pPr>
        <w:pStyle w:val="BodyText"/>
        <w:spacing w:line="240" w:lineRule="auto" w:before="79"/>
        <w:ind w:right="293"/>
        <w:jc w:val="left"/>
      </w:pPr>
      <w:r>
        <w:rPr/>
        <w:t>其他说明</w:t>
      </w:r>
    </w:p>
    <w:p>
      <w:pPr>
        <w:pStyle w:val="BodyText"/>
        <w:spacing w:line="240" w:lineRule="auto" w:before="192"/>
        <w:ind w:right="293"/>
        <w:jc w:val="left"/>
      </w:pPr>
      <w:r>
        <w:rPr>
          <w:rFonts w:ascii="宋体" w:hAnsi="宋体" w:cs="宋体" w:eastAsia="宋体" w:hint="default"/>
        </w:rPr>
        <w:t>1</w:t>
      </w:r>
      <w:r>
        <w:rPr/>
        <w:t>．期末无账龄超过</w:t>
      </w:r>
      <w:r>
        <w:rPr>
          <w:spacing w:val="-61"/>
        </w:rPr>
        <w:t> </w:t>
      </w:r>
      <w:r>
        <w:rPr>
          <w:rFonts w:ascii="宋体" w:hAnsi="宋体" w:cs="宋体" w:eastAsia="宋体" w:hint="default"/>
        </w:rPr>
        <w:t>1</w:t>
      </w:r>
      <w:r>
        <w:rPr>
          <w:rFonts w:ascii="宋体" w:hAnsi="宋体" w:cs="宋体" w:eastAsia="宋体" w:hint="default"/>
          <w:spacing w:val="-60"/>
        </w:rPr>
        <w:t> </w:t>
      </w:r>
      <w:r>
        <w:rPr/>
        <w:t>年的大额其他应付款。</w:t>
      </w:r>
    </w:p>
    <w:p>
      <w:pPr>
        <w:pStyle w:val="BodyText"/>
        <w:spacing w:line="240" w:lineRule="auto" w:before="194"/>
        <w:ind w:right="293"/>
        <w:jc w:val="left"/>
      </w:pPr>
      <w:r>
        <w:rPr>
          <w:rFonts w:ascii="宋体" w:hAnsi="宋体" w:cs="宋体" w:eastAsia="宋体" w:hint="default"/>
        </w:rPr>
        <w:t>2</w:t>
      </w:r>
      <w:r>
        <w:rPr/>
        <w:t>．外币其他应付款情况详见附注五</w:t>
      </w:r>
      <w:r>
        <w:rPr>
          <w:rFonts w:ascii="宋体" w:hAnsi="宋体" w:cs="宋体" w:eastAsia="宋体" w:hint="default"/>
        </w:rPr>
        <w:t>(56</w:t>
      </w:r>
      <w:r>
        <w:rPr/>
        <w:t>)“外币货币性项目”之说明。</w:t>
      </w:r>
    </w:p>
    <w:p>
      <w:pPr>
        <w:spacing w:line="240" w:lineRule="auto" w:before="9"/>
        <w:rPr>
          <w:rFonts w:ascii="宋体" w:hAnsi="宋体" w:cs="宋体" w:eastAsia="宋体" w:hint="default"/>
          <w:sz w:val="34"/>
          <w:szCs w:val="34"/>
        </w:rPr>
      </w:pPr>
    </w:p>
    <w:p>
      <w:pPr>
        <w:pStyle w:val="Heading2"/>
        <w:spacing w:line="240" w:lineRule="auto"/>
        <w:ind w:right="293"/>
        <w:jc w:val="left"/>
        <w:rPr>
          <w:b w:val="0"/>
          <w:bCs w:val="0"/>
        </w:rPr>
      </w:pPr>
      <w:r>
        <w:rPr>
          <w:rFonts w:ascii="Times New Roman" w:hAnsi="Times New Roman" w:cs="Times New Roman" w:eastAsia="Times New Roman" w:hint="default"/>
        </w:rPr>
        <w:t>29</w:t>
      </w:r>
      <w:r>
        <w:rPr/>
        <w:t>、一年内到期的非流动负债</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3,475,526.85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3,873,415.00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一年内到期的应付债券</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61,875,000.00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65,350,526.85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39,873,415.00</w:t>
            </w:r>
          </w:p>
        </w:tc>
      </w:tr>
    </w:tbl>
    <w:p>
      <w:pPr>
        <w:pStyle w:val="BodyText"/>
        <w:spacing w:line="386" w:lineRule="auto" w:before="79"/>
        <w:ind w:right="1720"/>
        <w:jc w:val="left"/>
      </w:pPr>
      <w:r>
        <w:rPr/>
        <w:t>其他说明： 外币一年内到期的非流动负债情况详见附注五</w:t>
      </w:r>
      <w:r>
        <w:rPr>
          <w:rFonts w:ascii="Times New Roman" w:hAnsi="Times New Roman" w:cs="Times New Roman" w:eastAsia="Times New Roman" w:hint="default"/>
        </w:rPr>
        <w:t>(56</w:t>
      </w:r>
      <w:r>
        <w:rPr>
          <w:rFonts w:ascii="Times New Roman" w:hAnsi="Times New Roman" w:cs="Times New Roman" w:eastAsia="Times New Roman" w:hint="default"/>
        </w:rPr>
        <w:t>)“</w:t>
      </w:r>
      <w:r>
        <w:rPr/>
        <w:t>外币货币性项目</w:t>
      </w:r>
      <w:r>
        <w:rPr>
          <w:rFonts w:ascii="Times New Roman" w:hAnsi="Times New Roman" w:cs="Times New Roman" w:eastAsia="Times New Roman" w:hint="default"/>
        </w:rPr>
        <w:t>”</w:t>
      </w:r>
      <w:r>
        <w:rPr/>
        <w:t>之说明。</w:t>
      </w:r>
    </w:p>
    <w:p>
      <w:pPr>
        <w:spacing w:after="0" w:line="386"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Heading2"/>
        <w:spacing w:line="240" w:lineRule="auto" w:before="26"/>
        <w:ind w:right="293"/>
        <w:jc w:val="left"/>
        <w:rPr>
          <w:b w:val="0"/>
          <w:bCs w:val="0"/>
        </w:rPr>
      </w:pPr>
      <w:r>
        <w:rPr>
          <w:rFonts w:ascii="Times New Roman" w:hAnsi="Times New Roman" w:cs="Times New Roman" w:eastAsia="Times New Roman" w:hint="default"/>
        </w:rPr>
        <w:t>30</w:t>
      </w:r>
      <w:r>
        <w:rPr/>
        <w:t>、其他流动负债</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455,638.22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455,638.22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6" w:lineRule="auto" w:before="79"/>
        <w:ind w:right="8573"/>
        <w:jc w:val="left"/>
      </w:pPr>
      <w:r>
        <w:rPr/>
        <w:t>其他说明： 无</w:t>
      </w:r>
    </w:p>
    <w:p>
      <w:pPr>
        <w:spacing w:line="240" w:lineRule="auto" w:before="7"/>
        <w:rPr>
          <w:rFonts w:ascii="宋体" w:hAnsi="宋体" w:cs="宋体" w:eastAsia="宋体" w:hint="default"/>
          <w:sz w:val="23"/>
          <w:szCs w:val="23"/>
        </w:rPr>
      </w:pPr>
    </w:p>
    <w:p>
      <w:pPr>
        <w:pStyle w:val="Heading2"/>
        <w:spacing w:line="240" w:lineRule="auto"/>
        <w:ind w:right="293"/>
        <w:jc w:val="left"/>
        <w:rPr>
          <w:b w:val="0"/>
          <w:bCs w:val="0"/>
        </w:rPr>
      </w:pPr>
      <w:r>
        <w:rPr>
          <w:rFonts w:ascii="Times New Roman" w:hAnsi="Times New Roman" w:cs="Times New Roman" w:eastAsia="Times New Roman" w:hint="default"/>
        </w:rPr>
        <w:t>31</w:t>
      </w:r>
      <w:r>
        <w:rPr/>
        <w:t>、长期借款</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29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5,588,253.81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5,715,477.03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5,588,253.81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5,715,477.03</w:t>
            </w:r>
          </w:p>
        </w:tc>
      </w:tr>
    </w:tbl>
    <w:p>
      <w:pPr>
        <w:pStyle w:val="BodyText"/>
        <w:spacing w:line="376" w:lineRule="auto" w:before="79"/>
        <w:ind w:right="3400"/>
        <w:jc w:val="left"/>
      </w:pPr>
      <w:r>
        <w:rPr/>
        <w:t>长期借款分类的说明： 外币长期借款情况详见附注五</w:t>
      </w:r>
      <w:r>
        <w:rPr>
          <w:rFonts w:ascii="Times New Roman" w:hAnsi="Times New Roman" w:cs="Times New Roman" w:eastAsia="Times New Roman" w:hint="default"/>
        </w:rPr>
        <w:t>(56</w:t>
      </w:r>
      <w:r>
        <w:rPr>
          <w:rFonts w:ascii="Times New Roman" w:hAnsi="Times New Roman" w:cs="Times New Roman" w:eastAsia="Times New Roman" w:hint="default"/>
        </w:rPr>
        <w:t>)“</w:t>
      </w:r>
      <w:r>
        <w:rPr/>
        <w:t>外币货币性项目</w:t>
      </w:r>
      <w:r>
        <w:rPr>
          <w:rFonts w:ascii="Times New Roman" w:hAnsi="Times New Roman" w:cs="Times New Roman" w:eastAsia="Times New Roman" w:hint="default"/>
        </w:rPr>
        <w:t>”</w:t>
      </w:r>
      <w:r>
        <w:rPr/>
        <w:t>之说明。 其他说明，包括利率区间：</w:t>
      </w:r>
    </w:p>
    <w:p>
      <w:pPr>
        <w:pStyle w:val="BodyText"/>
        <w:spacing w:line="240" w:lineRule="auto" w:before="58"/>
        <w:ind w:right="293"/>
        <w:jc w:val="left"/>
      </w:pPr>
      <w:r>
        <w:rPr/>
        <w:t>无</w:t>
      </w:r>
    </w:p>
    <w:p>
      <w:pPr>
        <w:spacing w:line="240" w:lineRule="auto" w:before="9"/>
        <w:rPr>
          <w:rFonts w:ascii="宋体" w:hAnsi="宋体" w:cs="宋体" w:eastAsia="宋体" w:hint="default"/>
          <w:sz w:val="34"/>
          <w:szCs w:val="34"/>
        </w:rPr>
      </w:pPr>
    </w:p>
    <w:p>
      <w:pPr>
        <w:pStyle w:val="Heading2"/>
        <w:spacing w:line="240" w:lineRule="auto"/>
        <w:ind w:right="293"/>
        <w:jc w:val="left"/>
        <w:rPr>
          <w:b w:val="0"/>
          <w:bCs w:val="0"/>
        </w:rPr>
      </w:pPr>
      <w:r>
        <w:rPr>
          <w:rFonts w:ascii="Times New Roman" w:hAnsi="Times New Roman" w:cs="Times New Roman" w:eastAsia="Times New Roman" w:hint="default"/>
        </w:rPr>
        <w:t>32</w:t>
      </w:r>
      <w:r>
        <w:rPr/>
        <w:t>、长期应付款</w:t>
      </w:r>
      <w:r>
        <w:rPr>
          <w:b w:val="0"/>
          <w:bCs w:val="0"/>
        </w:rPr>
      </w:r>
    </w:p>
    <w:p>
      <w:pPr>
        <w:spacing w:line="240" w:lineRule="auto" w:before="5"/>
        <w:rPr>
          <w:rFonts w:ascii="宋体" w:hAnsi="宋体" w:cs="宋体" w:eastAsia="宋体" w:hint="default"/>
          <w:b/>
          <w:bCs/>
          <w:sz w:val="33"/>
          <w:szCs w:val="33"/>
        </w:rPr>
      </w:pPr>
    </w:p>
    <w:p>
      <w:pPr>
        <w:pStyle w:val="Heading2"/>
        <w:spacing w:line="240" w:lineRule="auto"/>
        <w:ind w:right="29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股权转让款余额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233,000,000.00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108,000,000.00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减：未确认融资费用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9,875,977.90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4,087,816.68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减：一年内到期长期应付款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61,875,000.00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161,249,022.10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67,912,183.32</w:t>
            </w:r>
          </w:p>
        </w:tc>
      </w:tr>
    </w:tbl>
    <w:p>
      <w:pPr>
        <w:pStyle w:val="BodyText"/>
        <w:spacing w:line="386" w:lineRule="auto" w:before="79"/>
        <w:ind w:right="8753"/>
        <w:jc w:val="left"/>
      </w:pPr>
      <w:r>
        <w:rPr/>
        <w:t>其他说明： 无</w:t>
      </w:r>
    </w:p>
    <w:p>
      <w:pPr>
        <w:spacing w:line="240" w:lineRule="auto" w:before="7"/>
        <w:rPr>
          <w:rFonts w:ascii="宋体" w:hAnsi="宋体" w:cs="宋体" w:eastAsia="宋体" w:hint="default"/>
          <w:sz w:val="23"/>
          <w:szCs w:val="23"/>
        </w:rPr>
      </w:pPr>
    </w:p>
    <w:p>
      <w:pPr>
        <w:pStyle w:val="Heading2"/>
        <w:spacing w:line="240" w:lineRule="auto"/>
        <w:ind w:right="353"/>
        <w:jc w:val="left"/>
        <w:rPr>
          <w:b w:val="0"/>
          <w:bCs w:val="0"/>
        </w:rPr>
      </w:pPr>
      <w:r>
        <w:rPr>
          <w:rFonts w:ascii="Times New Roman" w:hAnsi="Times New Roman" w:cs="Times New Roman" w:eastAsia="Times New Roman" w:hint="default"/>
        </w:rPr>
        <w:t>33</w:t>
      </w:r>
      <w:r>
        <w:rPr/>
        <w:t>、递延收益</w:t>
      </w:r>
      <w:r>
        <w:rPr>
          <w:b w:val="0"/>
          <w:bCs w:val="0"/>
        </w:rPr>
      </w:r>
    </w:p>
    <w:p>
      <w:pPr>
        <w:spacing w:line="240" w:lineRule="auto" w:before="8"/>
        <w:rPr>
          <w:rFonts w:ascii="宋体" w:hAnsi="宋体" w:cs="宋体" w:eastAsia="宋体" w:hint="default"/>
          <w:b/>
          <w:bCs/>
          <w:sz w:val="26"/>
          <w:szCs w:val="26"/>
        </w:rPr>
      </w:pPr>
    </w:p>
    <w:p>
      <w:pPr>
        <w:spacing w:before="36"/>
        <w:ind w:left="0" w:right="3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67"/>
              <w:jc w:val="right"/>
              <w:rPr>
                <w:rFonts w:ascii="宋体" w:hAnsi="宋体" w:cs="宋体" w:eastAsia="宋体" w:hint="default"/>
                <w:sz w:val="21"/>
                <w:szCs w:val="21"/>
              </w:rPr>
            </w:pPr>
            <w:r>
              <w:rPr>
                <w:rFonts w:ascii="宋体" w:hAnsi="宋体" w:cs="宋体" w:eastAsia="宋体" w:hint="default"/>
                <w:spacing w:val="-1"/>
                <w:sz w:val="21"/>
                <w:szCs w:val="21"/>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1,390,495.43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588,268.15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802,227.28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95"/>
              <w:jc w:val="right"/>
              <w:rPr>
                <w:rFonts w:ascii="宋体" w:hAnsi="宋体" w:cs="宋体" w:eastAsia="宋体" w:hint="default"/>
                <w:sz w:val="21"/>
                <w:szCs w:val="21"/>
              </w:rPr>
            </w:pPr>
            <w:r>
              <w:rPr>
                <w:rFonts w:ascii="宋体" w:hAnsi="宋体" w:cs="宋体" w:eastAsia="宋体" w:hint="default"/>
                <w:spacing w:val="-1"/>
                <w:sz w:val="21"/>
                <w:szCs w:val="21"/>
              </w:rPr>
              <w:t>政府补助摊销</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1,390,495.43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588,268.15</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802,227.28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0" w:top="1100" w:bottom="1160" w:left="980" w:right="800"/>
        </w:sectPr>
      </w:pPr>
    </w:p>
    <w:p>
      <w:pPr>
        <w:pStyle w:val="BodyText"/>
        <w:spacing w:line="240" w:lineRule="auto" w:before="0"/>
        <w:ind w:right="-20"/>
        <w:jc w:val="left"/>
      </w:pPr>
      <w:r>
        <w:rPr/>
        <w:t>涉及政府补助的项目：</w:t>
      </w:r>
    </w:p>
    <w:p>
      <w:pPr>
        <w:spacing w:line="240" w:lineRule="auto" w:before="12"/>
        <w:rPr>
          <w:rFonts w:ascii="宋体" w:hAnsi="宋体" w:cs="宋体" w:eastAsia="宋体" w:hint="default"/>
          <w:sz w:val="28"/>
          <w:szCs w:val="28"/>
        </w:rPr>
      </w:pPr>
      <w:r>
        <w:rPr/>
        <w:br w:type="column"/>
      </w:r>
      <w:r>
        <w:rPr>
          <w:rFonts w:ascii="宋体"/>
          <w:sz w:val="28"/>
        </w:rPr>
      </w: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800"/>
          <w:cols w:num="2" w:equalWidth="0">
            <w:col w:w="2554" w:space="6141"/>
            <w:col w:w="1435"/>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063"/>
        <w:gridCol w:w="1347"/>
        <w:gridCol w:w="1063"/>
        <w:gridCol w:w="1064"/>
        <w:gridCol w:w="1063"/>
        <w:gridCol w:w="1064"/>
        <w:gridCol w:w="1063"/>
        <w:gridCol w:w="1063"/>
        <w:gridCol w:w="1064"/>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7" w:right="101"/>
              <w:jc w:val="left"/>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w w:val="100"/>
                <w:sz w:val="21"/>
                <w:szCs w:val="21"/>
              </w:rPr>
              <w:t> </w:t>
            </w:r>
            <w:r>
              <w:rPr>
                <w:rFonts w:ascii="宋体" w:hAnsi="宋体" w:cs="宋体" w:eastAsia="宋体" w:hint="default"/>
                <w:sz w:val="21"/>
                <w:szCs w:val="21"/>
              </w:rPr>
              <w:t>补助金额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7" w:right="101"/>
              <w:jc w:val="both"/>
              <w:rPr>
                <w:rFonts w:ascii="宋体" w:hAnsi="宋体" w:cs="宋体" w:eastAsia="宋体" w:hint="default"/>
                <w:sz w:val="21"/>
                <w:szCs w:val="21"/>
              </w:rPr>
            </w:pPr>
            <w:r>
              <w:rPr>
                <w:rFonts w:ascii="宋体" w:hAnsi="宋体" w:cs="宋体" w:eastAsia="宋体" w:hint="default"/>
                <w:sz w:val="21"/>
                <w:szCs w:val="21"/>
              </w:rPr>
              <w:t>本期计入</w:t>
            </w:r>
            <w:r>
              <w:rPr>
                <w:rFonts w:ascii="宋体" w:hAnsi="宋体" w:cs="宋体" w:eastAsia="宋体" w:hint="default"/>
                <w:w w:val="100"/>
                <w:sz w:val="21"/>
                <w:szCs w:val="21"/>
              </w:rPr>
              <w:t> </w:t>
            </w:r>
            <w:r>
              <w:rPr>
                <w:rFonts w:ascii="宋体" w:hAnsi="宋体" w:cs="宋体" w:eastAsia="宋体" w:hint="default"/>
                <w:sz w:val="21"/>
                <w:szCs w:val="21"/>
              </w:rPr>
              <w:t>营业外收</w:t>
            </w:r>
            <w:r>
              <w:rPr>
                <w:rFonts w:ascii="宋体" w:hAnsi="宋体" w:cs="宋体" w:eastAsia="宋体" w:hint="default"/>
                <w:w w:val="100"/>
                <w:sz w:val="21"/>
                <w:szCs w:val="21"/>
              </w:rPr>
              <w:t> </w:t>
            </w:r>
            <w:r>
              <w:rPr>
                <w:rFonts w:ascii="宋体" w:hAnsi="宋体" w:cs="宋体" w:eastAsia="宋体" w:hint="default"/>
                <w:sz w:val="21"/>
                <w:szCs w:val="21"/>
              </w:rPr>
              <w:t>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7" w:right="101"/>
              <w:jc w:val="center"/>
              <w:rPr>
                <w:rFonts w:ascii="宋体" w:hAnsi="宋体" w:cs="宋体" w:eastAsia="宋体" w:hint="default"/>
                <w:sz w:val="21"/>
                <w:szCs w:val="21"/>
              </w:rPr>
            </w:pPr>
            <w:r>
              <w:rPr>
                <w:rFonts w:ascii="宋体" w:hAnsi="宋体" w:cs="宋体" w:eastAsia="宋体" w:hint="default"/>
                <w:sz w:val="21"/>
                <w:szCs w:val="21"/>
              </w:rPr>
              <w:t>本期计入</w:t>
            </w:r>
            <w:r>
              <w:rPr>
                <w:rFonts w:ascii="宋体" w:hAnsi="宋体" w:cs="宋体" w:eastAsia="宋体" w:hint="default"/>
                <w:w w:val="100"/>
                <w:sz w:val="21"/>
                <w:szCs w:val="21"/>
              </w:rPr>
              <w:t> </w:t>
            </w:r>
            <w:r>
              <w:rPr>
                <w:rFonts w:ascii="宋体" w:hAnsi="宋体" w:cs="宋体" w:eastAsia="宋体" w:hint="default"/>
                <w:sz w:val="21"/>
                <w:szCs w:val="21"/>
              </w:rPr>
              <w:t>其他收益</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7" w:right="101"/>
              <w:jc w:val="center"/>
              <w:rPr>
                <w:rFonts w:ascii="宋体" w:hAnsi="宋体" w:cs="宋体" w:eastAsia="宋体" w:hint="default"/>
                <w:sz w:val="21"/>
                <w:szCs w:val="21"/>
              </w:rPr>
            </w:pPr>
            <w:r>
              <w:rPr>
                <w:rFonts w:ascii="宋体" w:hAnsi="宋体" w:cs="宋体" w:eastAsia="宋体" w:hint="default"/>
                <w:sz w:val="21"/>
                <w:szCs w:val="21"/>
              </w:rPr>
              <w:t>本期冲减</w:t>
            </w:r>
            <w:r>
              <w:rPr>
                <w:rFonts w:ascii="宋体" w:hAnsi="宋体" w:cs="宋体" w:eastAsia="宋体" w:hint="default"/>
                <w:w w:val="100"/>
                <w:sz w:val="21"/>
                <w:szCs w:val="21"/>
              </w:rPr>
              <w:t> </w:t>
            </w:r>
            <w:r>
              <w:rPr>
                <w:rFonts w:ascii="宋体" w:hAnsi="宋体" w:cs="宋体" w:eastAsia="宋体" w:hint="default"/>
                <w:sz w:val="21"/>
                <w:szCs w:val="21"/>
              </w:rPr>
              <w:t>成本费用</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79" w:right="72"/>
              <w:jc w:val="center"/>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pacing w:val="-1"/>
                <w:sz w:val="21"/>
                <w:szCs w:val="21"/>
              </w:rPr>
              <w:t>关</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与收益</w:t>
            </w:r>
            <w:r>
              <w:rPr>
                <w:rFonts w:ascii="宋体" w:hAnsi="宋体" w:cs="宋体" w:eastAsia="宋体" w:hint="default"/>
                <w:w w:val="100"/>
                <w:sz w:val="21"/>
                <w:szCs w:val="21"/>
              </w:rPr>
              <w:t> </w:t>
            </w:r>
            <w:r>
              <w:rPr>
                <w:rFonts w:ascii="宋体" w:hAnsi="宋体" w:cs="宋体" w:eastAsia="宋体" w:hint="default"/>
                <w:sz w:val="21"/>
                <w:szCs w:val="21"/>
              </w:rPr>
              <w:t>相关</w:t>
            </w:r>
          </w:p>
        </w:tc>
      </w:tr>
      <w:tr>
        <w:trPr>
          <w:trHeight w:val="227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云计算</w:t>
            </w:r>
            <w:r>
              <w:rPr>
                <w:rFonts w:ascii="宋体" w:hAnsi="宋体" w:cs="宋体" w:eastAsia="宋体" w:hint="default"/>
                <w:w w:val="100"/>
                <w:sz w:val="21"/>
                <w:szCs w:val="21"/>
              </w:rPr>
              <w:t> </w:t>
            </w:r>
            <w:r>
              <w:rPr>
                <w:rFonts w:ascii="宋体" w:hAnsi="宋体" w:cs="宋体" w:eastAsia="宋体" w:hint="default"/>
                <w:sz w:val="21"/>
                <w:szCs w:val="21"/>
              </w:rPr>
              <w:t>服务平台</w:t>
            </w:r>
            <w:r>
              <w:rPr>
                <w:rFonts w:ascii="宋体" w:hAnsi="宋体" w:cs="宋体" w:eastAsia="宋体" w:hint="default"/>
                <w:w w:val="100"/>
                <w:sz w:val="21"/>
                <w:szCs w:val="21"/>
              </w:rPr>
              <w:t> </w:t>
            </w:r>
            <w:r>
              <w:rPr>
                <w:rFonts w:ascii="宋体" w:hAnsi="宋体" w:cs="宋体" w:eastAsia="宋体" w:hint="default"/>
                <w:sz w:val="21"/>
                <w:szCs w:val="21"/>
              </w:rPr>
              <w:t>关键技术</w:t>
            </w:r>
            <w:r>
              <w:rPr>
                <w:rFonts w:ascii="宋体" w:hAnsi="宋体" w:cs="宋体" w:eastAsia="宋体" w:hint="default"/>
                <w:w w:val="100"/>
                <w:sz w:val="21"/>
                <w:szCs w:val="21"/>
              </w:rPr>
              <w:t> </w:t>
            </w:r>
            <w:r>
              <w:rPr>
                <w:rFonts w:ascii="宋体" w:hAnsi="宋体" w:cs="宋体" w:eastAsia="宋体" w:hint="default"/>
                <w:sz w:val="21"/>
                <w:szCs w:val="21"/>
              </w:rPr>
              <w:t>北京市工</w:t>
            </w:r>
            <w:r>
              <w:rPr>
                <w:rFonts w:ascii="宋体" w:hAnsi="宋体" w:cs="宋体" w:eastAsia="宋体" w:hint="default"/>
                <w:w w:val="100"/>
                <w:sz w:val="21"/>
                <w:szCs w:val="21"/>
              </w:rPr>
              <w:t> </w:t>
            </w:r>
            <w:r>
              <w:rPr>
                <w:rFonts w:ascii="宋体" w:hAnsi="宋体" w:cs="宋体" w:eastAsia="宋体" w:hint="default"/>
                <w:sz w:val="21"/>
                <w:szCs w:val="21"/>
              </w:rPr>
              <w:t>程试验室</w:t>
            </w:r>
            <w:r>
              <w:rPr>
                <w:rFonts w:ascii="宋体" w:hAnsi="宋体" w:cs="宋体" w:eastAsia="宋体" w:hint="default"/>
                <w:w w:val="100"/>
                <w:sz w:val="21"/>
                <w:szCs w:val="21"/>
              </w:rPr>
              <w:t> </w:t>
            </w:r>
            <w:r>
              <w:rPr>
                <w:rFonts w:ascii="宋体" w:hAnsi="宋体" w:cs="宋体" w:eastAsia="宋体" w:hint="default"/>
                <w:sz w:val="21"/>
                <w:szCs w:val="21"/>
              </w:rPr>
              <w:t>创新能力</w:t>
            </w:r>
            <w:r>
              <w:rPr>
                <w:rFonts w:ascii="宋体" w:hAnsi="宋体" w:cs="宋体" w:eastAsia="宋体" w:hint="default"/>
                <w:w w:val="100"/>
                <w:sz w:val="21"/>
                <w:szCs w:val="21"/>
              </w:rPr>
              <w:t> </w:t>
            </w:r>
            <w:r>
              <w:rPr>
                <w:rFonts w:ascii="宋体" w:hAnsi="宋体" w:cs="宋体" w:eastAsia="宋体" w:hint="default"/>
                <w:sz w:val="21"/>
                <w:szCs w:val="21"/>
              </w:rPr>
              <w:t>建设项目</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570,924.00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452,614.91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118,309.09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5"/>
              <w:jc w:val="both"/>
              <w:rPr>
                <w:rFonts w:ascii="宋体" w:hAnsi="宋体" w:cs="宋体" w:eastAsia="宋体" w:hint="default"/>
                <w:sz w:val="21"/>
                <w:szCs w:val="21"/>
              </w:rPr>
            </w:pPr>
            <w:r>
              <w:rPr>
                <w:rFonts w:ascii="宋体" w:hAnsi="宋体" w:cs="宋体" w:eastAsia="宋体" w:hint="default"/>
                <w:sz w:val="21"/>
                <w:szCs w:val="21"/>
              </w:rPr>
              <w:t>科技北京</w:t>
            </w:r>
            <w:r>
              <w:rPr>
                <w:rFonts w:ascii="宋体" w:hAnsi="宋体" w:cs="宋体" w:eastAsia="宋体" w:hint="default"/>
                <w:w w:val="100"/>
                <w:sz w:val="21"/>
                <w:szCs w:val="21"/>
              </w:rPr>
              <w:t> </w:t>
            </w:r>
            <w:r>
              <w:rPr>
                <w:rFonts w:ascii="宋体" w:hAnsi="宋体" w:cs="宋体" w:eastAsia="宋体" w:hint="default"/>
                <w:sz w:val="21"/>
                <w:szCs w:val="21"/>
              </w:rPr>
              <w:t>百名领军</w:t>
            </w:r>
            <w:r>
              <w:rPr>
                <w:rFonts w:ascii="宋体" w:hAnsi="宋体" w:cs="宋体" w:eastAsia="宋体" w:hint="default"/>
                <w:w w:val="100"/>
                <w:sz w:val="21"/>
                <w:szCs w:val="21"/>
              </w:rPr>
              <w:t> </w:t>
            </w:r>
            <w:r>
              <w:rPr>
                <w:rFonts w:ascii="宋体" w:hAnsi="宋体" w:cs="宋体" w:eastAsia="宋体" w:hint="default"/>
                <w:sz w:val="21"/>
                <w:szCs w:val="21"/>
              </w:rPr>
              <w:t>人才培养</w:t>
            </w:r>
            <w:r>
              <w:rPr>
                <w:rFonts w:ascii="宋体" w:hAnsi="宋体" w:cs="宋体" w:eastAsia="宋体" w:hint="default"/>
                <w:w w:val="100"/>
                <w:sz w:val="21"/>
                <w:szCs w:val="21"/>
              </w:rPr>
              <w:t> </w:t>
            </w:r>
            <w:r>
              <w:rPr>
                <w:rFonts w:ascii="宋体" w:hAnsi="宋体" w:cs="宋体" w:eastAsia="宋体" w:hint="default"/>
                <w:sz w:val="21"/>
                <w:szCs w:val="21"/>
              </w:rPr>
              <w:t>工程</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96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4" w:right="17"/>
              <w:jc w:val="left"/>
              <w:rPr>
                <w:rFonts w:ascii="Times New Roman" w:hAnsi="Times New Roman" w:cs="Times New Roman" w:eastAsia="Times New Roman" w:hint="default"/>
                <w:sz w:val="21"/>
                <w:szCs w:val="21"/>
              </w:rPr>
            </w:pPr>
            <w:r>
              <w:rPr>
                <w:rFonts w:ascii="宋体" w:hAnsi="宋体" w:cs="宋体" w:eastAsia="宋体" w:hint="default"/>
                <w:sz w:val="21"/>
                <w:szCs w:val="21"/>
              </w:rPr>
              <w:t>云端一体</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SuperMap</w:t>
            </w:r>
          </w:p>
          <w:p>
            <w:pPr>
              <w:pStyle w:val="TableParagraph"/>
              <w:spacing w:line="264"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软件平</w:t>
            </w:r>
          </w:p>
          <w:p>
            <w:pPr>
              <w:pStyle w:val="TableParagraph"/>
              <w:spacing w:line="273" w:lineRule="auto" w:before="21"/>
              <w:ind w:left="24" w:right="185"/>
              <w:jc w:val="left"/>
              <w:rPr>
                <w:rFonts w:ascii="宋体" w:hAnsi="宋体" w:cs="宋体" w:eastAsia="宋体" w:hint="default"/>
                <w:sz w:val="21"/>
                <w:szCs w:val="21"/>
              </w:rPr>
            </w:pPr>
            <w:r>
              <w:rPr>
                <w:rFonts w:ascii="宋体" w:hAnsi="宋体" w:cs="宋体" w:eastAsia="宋体" w:hint="default"/>
                <w:sz w:val="21"/>
                <w:szCs w:val="21"/>
              </w:rPr>
              <w:t>台研发及</w:t>
            </w:r>
            <w:r>
              <w:rPr>
                <w:rFonts w:ascii="宋体" w:hAnsi="宋体" w:cs="宋体" w:eastAsia="宋体" w:hint="default"/>
                <w:w w:val="100"/>
                <w:sz w:val="21"/>
                <w:szCs w:val="21"/>
              </w:rPr>
              <w:t> </w:t>
            </w:r>
            <w:r>
              <w:rPr>
                <w:rFonts w:ascii="宋体" w:hAnsi="宋体" w:cs="宋体" w:eastAsia="宋体" w:hint="default"/>
                <w:sz w:val="21"/>
                <w:szCs w:val="21"/>
              </w:rPr>
              <w:t>产业化</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719,571.43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35,653.24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683,918.19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401"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1,390,495.43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488,268.15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6" w:right="0"/>
              <w:jc w:val="left"/>
              <w:rPr>
                <w:rFonts w:ascii="Times New Roman" w:hAnsi="Times New Roman" w:cs="Times New Roman" w:eastAsia="Times New Roman" w:hint="default"/>
                <w:sz w:val="21"/>
                <w:szCs w:val="21"/>
              </w:rPr>
            </w:pPr>
            <w:r>
              <w:rPr>
                <w:rFonts w:ascii="Times New Roman"/>
                <w:sz w:val="21"/>
              </w:rPr>
              <w:t>802,227.28</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39"/>
        <w:ind w:right="353"/>
        <w:jc w:val="left"/>
      </w:pPr>
      <w:r>
        <w:rPr/>
        <w:t>无</w:t>
      </w:r>
    </w:p>
    <w:p>
      <w:pPr>
        <w:spacing w:after="0" w:line="240" w:lineRule="auto"/>
        <w:jc w:val="left"/>
        <w:sectPr>
          <w:type w:val="continuous"/>
          <w:pgSz w:w="11910" w:h="16840"/>
          <w:pgMar w:top="1100" w:bottom="1160" w:left="980" w:right="800"/>
        </w:sectPr>
      </w:pPr>
    </w:p>
    <w:p>
      <w:pPr>
        <w:spacing w:line="240" w:lineRule="auto" w:before="7"/>
        <w:rPr>
          <w:rFonts w:ascii="宋体" w:hAnsi="宋体" w:cs="宋体" w:eastAsia="宋体" w:hint="default"/>
          <w:sz w:val="25"/>
          <w:szCs w:val="25"/>
        </w:rPr>
      </w:pPr>
    </w:p>
    <w:p>
      <w:pPr>
        <w:pStyle w:val="Heading2"/>
        <w:spacing w:line="240" w:lineRule="auto" w:before="26"/>
        <w:ind w:right="293"/>
        <w:jc w:val="left"/>
        <w:rPr>
          <w:b w:val="0"/>
          <w:bCs w:val="0"/>
        </w:rPr>
      </w:pPr>
      <w:r>
        <w:rPr>
          <w:rFonts w:ascii="Times New Roman" w:hAnsi="Times New Roman" w:cs="Times New Roman" w:eastAsia="Times New Roman" w:hint="default"/>
        </w:rPr>
        <w:t>34</w:t>
      </w:r>
      <w:r>
        <w:rPr/>
        <w:t>、股本</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980" w:top="1100" w:bottom="1160" w:left="980" w:right="980"/>
        </w:sectPr>
      </w:pPr>
    </w:p>
    <w:p>
      <w:pPr>
        <w:pStyle w:val="BodyText"/>
        <w:spacing w:line="240" w:lineRule="auto" w:before="174"/>
        <w:ind w:right="-20"/>
        <w:jc w:val="left"/>
      </w:pPr>
      <w:r>
        <w:rPr/>
        <w:t>其他说明：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8"/>
          <w:szCs w:val="28"/>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1160" w:left="980" w:right="980"/>
          <w:cols w:num="2" w:equalWidth="0">
            <w:col w:w="1354" w:space="7446"/>
            <w:col w:w="1150"/>
          </w:cols>
        </w:sectPr>
      </w:pP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183"/>
        <w:gridCol w:w="1513"/>
        <w:gridCol w:w="881"/>
        <w:gridCol w:w="1196"/>
        <w:gridCol w:w="1198"/>
        <w:gridCol w:w="1196"/>
        <w:gridCol w:w="1195"/>
        <w:gridCol w:w="1198"/>
      </w:tblGrid>
      <w:tr>
        <w:trPr>
          <w:trHeight w:val="403"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1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183" w:type="dxa"/>
            <w:vMerge w:val="restart"/>
            <w:tcBorders>
              <w:top w:val="nil" w:sz="6" w:space="0" w:color="auto"/>
              <w:left w:val="single" w:sz="4" w:space="0" w:color="000000"/>
              <w:right w:val="single" w:sz="4" w:space="0" w:color="000000"/>
            </w:tcBorders>
            <w:shd w:val="clear" w:color="auto" w:fill="D2D2D2"/>
          </w:tcPr>
          <w:p>
            <w:pPr/>
          </w:p>
        </w:tc>
        <w:tc>
          <w:tcPr>
            <w:tcW w:w="1513"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88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24" w:right="120" w:hanging="209"/>
              <w:jc w:val="left"/>
              <w:rPr>
                <w:rFonts w:ascii="宋体" w:hAnsi="宋体" w:cs="宋体" w:eastAsia="宋体" w:hint="default"/>
                <w:sz w:val="21"/>
                <w:szCs w:val="21"/>
              </w:rPr>
            </w:pPr>
            <w:r>
              <w:rPr>
                <w:rFonts w:ascii="宋体" w:hAnsi="宋体" w:cs="宋体" w:eastAsia="宋体" w:hint="default"/>
                <w:sz w:val="21"/>
                <w:szCs w:val="21"/>
              </w:rPr>
              <w:t>发行新</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1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2" w:hRule="exact"/>
        </w:trPr>
        <w:tc>
          <w:tcPr>
            <w:tcW w:w="1183" w:type="dxa"/>
            <w:vMerge/>
            <w:tcBorders>
              <w:left w:val="single" w:sz="4" w:space="0" w:color="000000"/>
              <w:bottom w:val="nil" w:sz="6" w:space="0" w:color="auto"/>
              <w:right w:val="single" w:sz="4" w:space="0" w:color="000000"/>
            </w:tcBorders>
            <w:shd w:val="clear" w:color="auto" w:fill="D2D2D2"/>
          </w:tcPr>
          <w:p>
            <w:pPr/>
          </w:p>
        </w:tc>
        <w:tc>
          <w:tcPr>
            <w:tcW w:w="1513" w:type="dxa"/>
            <w:vMerge/>
            <w:tcBorders>
              <w:left w:val="single" w:sz="4" w:space="0" w:color="000000"/>
              <w:bottom w:val="nil" w:sz="6" w:space="0" w:color="auto"/>
              <w:right w:val="single" w:sz="4" w:space="0" w:color="000000"/>
            </w:tcBorders>
            <w:shd w:val="clear" w:color="auto" w:fill="D2D2D2"/>
          </w:tcPr>
          <w:p>
            <w:pPr/>
          </w:p>
        </w:tc>
        <w:tc>
          <w:tcPr>
            <w:tcW w:w="88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84"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8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183" w:type="dxa"/>
            <w:vMerge w:val="restart"/>
            <w:tcBorders>
              <w:top w:val="nil" w:sz="6" w:space="0" w:color="auto"/>
              <w:left w:val="single" w:sz="4" w:space="0" w:color="000000"/>
              <w:right w:val="single" w:sz="4" w:space="0" w:color="000000"/>
            </w:tcBorders>
            <w:shd w:val="clear" w:color="auto" w:fill="D2D2D2"/>
          </w:tcPr>
          <w:p>
            <w:pPr/>
          </w:p>
        </w:tc>
        <w:tc>
          <w:tcPr>
            <w:tcW w:w="1513" w:type="dxa"/>
            <w:vMerge w:val="restart"/>
            <w:tcBorders>
              <w:top w:val="nil" w:sz="6" w:space="0" w:color="auto"/>
              <w:left w:val="single" w:sz="4" w:space="0" w:color="000000"/>
              <w:right w:val="single" w:sz="4" w:space="0" w:color="000000"/>
            </w:tcBorders>
            <w:shd w:val="clear" w:color="auto" w:fill="D2D2D2"/>
          </w:tcPr>
          <w:p>
            <w:pPr/>
          </w:p>
        </w:tc>
        <w:tc>
          <w:tcPr>
            <w:tcW w:w="88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83" w:type="dxa"/>
            <w:vMerge/>
            <w:tcBorders>
              <w:left w:val="single" w:sz="4" w:space="0" w:color="000000"/>
              <w:bottom w:val="single" w:sz="4" w:space="0" w:color="000000"/>
              <w:right w:val="single" w:sz="4" w:space="0" w:color="000000"/>
            </w:tcBorders>
            <w:shd w:val="clear" w:color="auto" w:fill="D2D2D2"/>
          </w:tcPr>
          <w:p>
            <w:pPr/>
          </w:p>
        </w:tc>
        <w:tc>
          <w:tcPr>
            <w:tcW w:w="1513" w:type="dxa"/>
            <w:vMerge/>
            <w:tcBorders>
              <w:left w:val="single" w:sz="4" w:space="0" w:color="000000"/>
              <w:bottom w:val="single" w:sz="4" w:space="0" w:color="000000"/>
              <w:right w:val="single" w:sz="4" w:space="0" w:color="000000"/>
            </w:tcBorders>
            <w:shd w:val="clear" w:color="auto" w:fill="D2D2D2"/>
          </w:tcPr>
          <w:p>
            <w:pPr/>
          </w:p>
        </w:tc>
        <w:tc>
          <w:tcPr>
            <w:tcW w:w="88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3"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7" w:right="0"/>
              <w:jc w:val="left"/>
              <w:rPr>
                <w:rFonts w:ascii="Times New Roman" w:hAnsi="Times New Roman" w:cs="Times New Roman" w:eastAsia="Times New Roman" w:hint="default"/>
                <w:sz w:val="21"/>
                <w:szCs w:val="21"/>
              </w:rPr>
            </w:pPr>
            <w:r>
              <w:rPr>
                <w:rFonts w:ascii="Times New Roman"/>
                <w:sz w:val="21"/>
              </w:rPr>
              <w:t>449,578,967.00</w:t>
            </w:r>
          </w:p>
        </w:tc>
        <w:tc>
          <w:tcPr>
            <w:tcW w:w="881"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54" w:right="0"/>
              <w:jc w:val="left"/>
              <w:rPr>
                <w:rFonts w:ascii="Times New Roman" w:hAnsi="Times New Roman" w:cs="Times New Roman" w:eastAsia="Times New Roman" w:hint="default"/>
                <w:sz w:val="21"/>
                <w:szCs w:val="21"/>
              </w:rPr>
            </w:pPr>
            <w:r>
              <w:rPr>
                <w:rFonts w:ascii="Times New Roman"/>
                <w:sz w:val="21"/>
              </w:rPr>
              <w:t>-41,600.00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54" w:right="0"/>
              <w:jc w:val="left"/>
              <w:rPr>
                <w:rFonts w:ascii="Times New Roman" w:hAnsi="Times New Roman" w:cs="Times New Roman" w:eastAsia="Times New Roman" w:hint="default"/>
                <w:sz w:val="21"/>
                <w:szCs w:val="21"/>
              </w:rPr>
            </w:pPr>
            <w:r>
              <w:rPr>
                <w:rFonts w:ascii="Times New Roman"/>
                <w:sz w:val="21"/>
              </w:rPr>
              <w:t>-41,600.00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449,537,367.</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00</w:t>
            </w:r>
          </w:p>
        </w:tc>
      </w:tr>
      <w:tr>
        <w:trPr>
          <w:trHeight w:val="394" w:hRule="exact"/>
        </w:trPr>
        <w:tc>
          <w:tcPr>
            <w:tcW w:w="1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513" w:type="dxa"/>
            <w:vMerge/>
            <w:tcBorders>
              <w:left w:val="single" w:sz="9" w:space="0" w:color="D2D2D2"/>
              <w:right w:val="single" w:sz="4" w:space="0" w:color="000000"/>
            </w:tcBorders>
          </w:tcPr>
          <w:p>
            <w:pPr/>
          </w:p>
        </w:tc>
        <w:tc>
          <w:tcPr>
            <w:tcW w:w="88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3" w:type="dxa"/>
            <w:vMerge/>
            <w:tcBorders>
              <w:left w:val="single" w:sz="9" w:space="0" w:color="D2D2D2"/>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386" w:lineRule="auto" w:before="79"/>
        <w:ind w:right="4000"/>
        <w:jc w:val="left"/>
      </w:pPr>
      <w:r>
        <w:rPr/>
        <w:t>其他说明： 本期股本变动情况详见本附注一</w:t>
      </w:r>
      <w:r>
        <w:rPr>
          <w:rFonts w:ascii="Times New Roman" w:hAnsi="Times New Roman" w:cs="Times New Roman" w:eastAsia="Times New Roman" w:hint="default"/>
        </w:rPr>
        <w:t>(1</w:t>
      </w:r>
      <w:r>
        <w:rPr>
          <w:rFonts w:ascii="Times New Roman" w:hAnsi="Times New Roman" w:cs="Times New Roman" w:eastAsia="Times New Roman" w:hint="default"/>
        </w:rPr>
        <w:t>)“</w:t>
      </w:r>
      <w:r>
        <w:rPr/>
        <w:t>公司概况</w:t>
      </w:r>
      <w:r>
        <w:rPr>
          <w:rFonts w:ascii="Times New Roman" w:hAnsi="Times New Roman" w:cs="Times New Roman" w:eastAsia="Times New Roman" w:hint="default"/>
        </w:rPr>
        <w:t>”</w:t>
      </w:r>
      <w:r>
        <w:rPr/>
        <w:t>之说明。</w:t>
      </w:r>
    </w:p>
    <w:p>
      <w:pPr>
        <w:spacing w:line="240" w:lineRule="auto" w:before="12"/>
        <w:rPr>
          <w:rFonts w:ascii="宋体" w:hAnsi="宋体" w:cs="宋体" w:eastAsia="宋体" w:hint="default"/>
          <w:sz w:val="20"/>
          <w:szCs w:val="20"/>
        </w:rPr>
      </w:pPr>
    </w:p>
    <w:p>
      <w:pPr>
        <w:pStyle w:val="Heading2"/>
        <w:spacing w:line="240" w:lineRule="auto"/>
        <w:ind w:right="293"/>
        <w:jc w:val="left"/>
        <w:rPr>
          <w:b w:val="0"/>
          <w:bCs w:val="0"/>
        </w:rPr>
      </w:pPr>
      <w:r>
        <w:rPr>
          <w:rFonts w:ascii="Times New Roman" w:hAnsi="Times New Roman" w:cs="Times New Roman" w:eastAsia="Times New Roman" w:hint="default"/>
        </w:rPr>
        <w:t>35</w:t>
      </w:r>
      <w:r>
        <w:rPr/>
        <w:t>、资本公积</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194"/>
              <w:jc w:val="left"/>
              <w:rPr>
                <w:rFonts w:ascii="宋体" w:hAnsi="宋体" w:cs="宋体" w:eastAsia="宋体" w:hint="default"/>
                <w:sz w:val="21"/>
                <w:szCs w:val="21"/>
              </w:rPr>
            </w:pPr>
            <w:r>
              <w:rPr>
                <w:rFonts w:ascii="宋体" w:hAnsi="宋体" w:cs="宋体" w:eastAsia="宋体" w:hint="default"/>
                <w:sz w:val="21"/>
                <w:szCs w:val="21"/>
              </w:rPr>
              <w:t>资本溢价（股本溢</w:t>
            </w:r>
            <w:r>
              <w:rPr>
                <w:rFonts w:ascii="宋体" w:hAnsi="宋体" w:cs="宋体" w:eastAsia="宋体" w:hint="default"/>
                <w:w w:val="100"/>
                <w:sz w:val="21"/>
                <w:szCs w:val="21"/>
              </w:rPr>
              <w:t> </w:t>
            </w:r>
            <w:r>
              <w:rPr>
                <w:rFonts w:ascii="宋体" w:hAnsi="宋体" w:cs="宋体" w:eastAsia="宋体" w:hint="default"/>
                <w:sz w:val="21"/>
                <w:szCs w:val="21"/>
              </w:rPr>
              <w:t>价）</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812,930,390.50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29,078.40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812,901,312.10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16,522,396.11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372,799.79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16,895,195.90</w:t>
            </w:r>
          </w:p>
        </w:tc>
      </w:tr>
      <w:tr>
        <w:trPr>
          <w:trHeight w:val="10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1"/>
              <w:ind w:left="24" w:right="88"/>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
                <w:sz w:val="21"/>
                <w:szCs w:val="21"/>
              </w:rPr>
              <w:t> </w:t>
            </w:r>
            <w:r>
              <w:rPr>
                <w:rFonts w:ascii="宋体" w:hAnsi="宋体" w:cs="宋体" w:eastAsia="宋体" w:hint="default"/>
                <w:sz w:val="21"/>
                <w:szCs w:val="21"/>
              </w:rPr>
              <w:t>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入所有者权益的金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16,522,396.11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225,631.79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16,748,027.90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147,168.00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147,168.00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829,452,786.61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372,799.79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29,078.40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829,796,508.00</w:t>
            </w:r>
          </w:p>
        </w:tc>
      </w:tr>
    </w:tbl>
    <w:p>
      <w:pPr>
        <w:pStyle w:val="BodyText"/>
        <w:spacing w:line="240" w:lineRule="auto" w:before="79"/>
        <w:ind w:right="293"/>
        <w:jc w:val="left"/>
      </w:pPr>
      <w:r>
        <w:rPr/>
        <w:t>其他说明，包括本期增减变动情况、变动原因说明：</w:t>
      </w:r>
    </w:p>
    <w:p>
      <w:pPr>
        <w:pStyle w:val="BodyText"/>
        <w:spacing w:line="240" w:lineRule="auto" w:before="192"/>
        <w:ind w:right="293"/>
        <w:jc w:val="left"/>
      </w:pPr>
      <w:r>
        <w:rPr/>
        <w:t>资本公积</w:t>
      </w:r>
      <w:r>
        <w:rPr>
          <w:rFonts w:ascii="Times New Roman" w:hAnsi="Times New Roman" w:cs="Times New Roman" w:eastAsia="Times New Roman" w:hint="default"/>
        </w:rPr>
        <w:t>-</w:t>
      </w:r>
      <w:r>
        <w:rPr/>
        <w:t>股本溢价增减变动原因详见本附注一</w:t>
      </w:r>
      <w:r>
        <w:rPr>
          <w:rFonts w:ascii="Times New Roman" w:hAnsi="Times New Roman" w:cs="Times New Roman" w:eastAsia="Times New Roman" w:hint="default"/>
        </w:rPr>
        <w:t>(1</w:t>
      </w:r>
      <w:r>
        <w:rPr>
          <w:rFonts w:ascii="Times New Roman" w:hAnsi="Times New Roman" w:cs="Times New Roman" w:eastAsia="Times New Roman" w:hint="default"/>
        </w:rPr>
        <w:t>)“</w:t>
      </w:r>
      <w:r>
        <w:rPr/>
        <w:t>公司概况</w:t>
      </w:r>
      <w:r>
        <w:rPr>
          <w:rFonts w:ascii="Times New Roman" w:hAnsi="Times New Roman" w:cs="Times New Roman" w:eastAsia="Times New Roman" w:hint="default"/>
        </w:rPr>
        <w:t>”</w:t>
      </w:r>
      <w:r>
        <w:rPr/>
        <w:t>之说明。</w:t>
      </w:r>
    </w:p>
    <w:p>
      <w:pPr>
        <w:pStyle w:val="BodyText"/>
        <w:spacing w:line="345" w:lineRule="auto" w:before="135"/>
        <w:ind w:right="152"/>
        <w:jc w:val="left"/>
      </w:pPr>
      <w:r>
        <w:rPr>
          <w:spacing w:val="2"/>
        </w:rPr>
        <w:t>资本公积</w:t>
      </w:r>
      <w:r>
        <w:rPr>
          <w:rFonts w:ascii="Times New Roman" w:hAnsi="Times New Roman" w:cs="Times New Roman" w:eastAsia="Times New Roman" w:hint="default"/>
          <w:spacing w:val="2"/>
        </w:rPr>
        <w:t>-</w:t>
      </w:r>
      <w:r>
        <w:rPr>
          <w:spacing w:val="2"/>
        </w:rPr>
        <w:t>其他资本公积</w:t>
      </w:r>
      <w:r>
        <w:rPr>
          <w:rFonts w:ascii="Times New Roman" w:hAnsi="Times New Roman" w:cs="Times New Roman" w:eastAsia="Times New Roman" w:hint="default"/>
          <w:spacing w:val="2"/>
        </w:rPr>
        <w:t>-</w:t>
      </w:r>
      <w:r>
        <w:rPr>
          <w:spacing w:val="2"/>
        </w:rPr>
        <w:t>股份支付计入所有者权益金额增减变动系公司实施限制性股票激励</w:t>
      </w:r>
      <w:r>
        <w:rPr>
          <w:spacing w:val="-102"/>
        </w:rPr>
        <w:t> </w:t>
      </w:r>
      <w:r>
        <w:rPr>
          <w:spacing w:val="-102"/>
        </w:rPr>
      </w:r>
      <w:r>
        <w:rPr/>
        <w:t>计划，将取得职工提供的服务计入成本费用和资本公积（其他资本公积）所致。 </w:t>
      </w:r>
      <w:r>
        <w:rPr>
          <w:spacing w:val="-2"/>
        </w:rPr>
        <w:t>其他资本公积</w:t>
      </w:r>
      <w:r>
        <w:rPr>
          <w:rFonts w:ascii="Times New Roman" w:hAnsi="Times New Roman" w:cs="Times New Roman" w:eastAsia="Times New Roman" w:hint="default"/>
          <w:spacing w:val="-2"/>
        </w:rPr>
        <w:t>-</w:t>
      </w:r>
      <w:r>
        <w:rPr>
          <w:spacing w:val="-2"/>
        </w:rPr>
        <w:t>其他本期变动系公司参股之公司浙江中科其他权益变动，公司享有的净资产份</w:t>
      </w:r>
      <w:r>
        <w:rPr>
          <w:spacing w:val="-81"/>
        </w:rPr>
        <w:t> </w:t>
      </w:r>
      <w:r>
        <w:rPr>
          <w:spacing w:val="-81"/>
        </w:rPr>
      </w:r>
      <w:r>
        <w:rPr/>
        <w:t>额增加所致。</w:t>
      </w:r>
    </w:p>
    <w:p>
      <w:pPr>
        <w:spacing w:line="240" w:lineRule="auto" w:before="8"/>
        <w:rPr>
          <w:rFonts w:ascii="宋体" w:hAnsi="宋体" w:cs="宋体" w:eastAsia="宋体" w:hint="default"/>
          <w:sz w:val="26"/>
          <w:szCs w:val="26"/>
        </w:rPr>
      </w:pPr>
    </w:p>
    <w:p>
      <w:pPr>
        <w:pStyle w:val="Heading2"/>
        <w:spacing w:line="240" w:lineRule="auto"/>
        <w:ind w:right="293"/>
        <w:jc w:val="left"/>
        <w:rPr>
          <w:b w:val="0"/>
          <w:bCs w:val="0"/>
        </w:rPr>
      </w:pPr>
      <w:r>
        <w:rPr>
          <w:rFonts w:ascii="Times New Roman" w:hAnsi="Times New Roman" w:cs="Times New Roman" w:eastAsia="Times New Roman" w:hint="default"/>
        </w:rPr>
        <w:t>36</w:t>
      </w:r>
      <w:r>
        <w:rPr/>
        <w:t>、库存股</w:t>
      </w:r>
      <w:r>
        <w:rPr>
          <w:b w:val="0"/>
          <w:bCs w:val="0"/>
        </w:rPr>
      </w:r>
    </w:p>
    <w:p>
      <w:pPr>
        <w:spacing w:line="240" w:lineRule="auto" w:before="5"/>
        <w:rPr>
          <w:rFonts w:ascii="宋体" w:hAnsi="宋体" w:cs="宋体" w:eastAsia="宋体" w:hint="default"/>
          <w:b/>
          <w:bCs/>
          <w:sz w:val="29"/>
          <w:szCs w:val="29"/>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right"/>
        <w:rPr>
          <w:rFonts w:ascii="宋体" w:hAnsi="宋体" w:cs="宋体" w:eastAsia="宋体" w:hint="default"/>
          <w:sz w:val="21"/>
          <w:szCs w:val="21"/>
        </w:rPr>
        <w:sectPr>
          <w:type w:val="continuous"/>
          <w:pgSz w:w="11910" w:h="16840"/>
          <w:pgMar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94"/>
              <w:jc w:val="left"/>
              <w:rPr>
                <w:rFonts w:ascii="宋体" w:hAnsi="宋体" w:cs="宋体" w:eastAsia="宋体" w:hint="default"/>
                <w:sz w:val="21"/>
                <w:szCs w:val="21"/>
              </w:rPr>
            </w:pPr>
            <w:r>
              <w:rPr>
                <w:rFonts w:ascii="宋体" w:hAnsi="宋体" w:cs="宋体" w:eastAsia="宋体" w:hint="default"/>
                <w:sz w:val="21"/>
                <w:szCs w:val="21"/>
              </w:rPr>
              <w:t>限制性股票回购义</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21,893,014.35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21,407,014.35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486,000.00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21,893,014.35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21,407,014.35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486,000.00</w:t>
            </w:r>
          </w:p>
        </w:tc>
      </w:tr>
    </w:tbl>
    <w:p>
      <w:pPr>
        <w:pStyle w:val="BodyText"/>
        <w:spacing w:line="367" w:lineRule="auto" w:before="79"/>
        <w:ind w:right="95"/>
        <w:jc w:val="left"/>
      </w:pPr>
      <w:r>
        <w:rPr/>
        <w:t>其他说明，包括本期增减变动情况、变动原因说明： 公司发行限制性股票，在取得该款项时，就回购义务确认负债（作收购库存股处理），按照 </w:t>
      </w:r>
      <w:r>
        <w:rPr>
          <w:spacing w:val="-2"/>
        </w:rPr>
        <w:t>发行限制性股票的数量以及相应的回购价格计算确定的金额。限制性股票回购注销或解锁时，</w:t>
      </w:r>
      <w:r>
        <w:rPr/>
        <w:t> 冲减对应已确认的库存股金额。</w:t>
      </w:r>
    </w:p>
    <w:p>
      <w:pPr>
        <w:spacing w:line="240" w:lineRule="auto" w:before="0"/>
        <w:rPr>
          <w:rFonts w:ascii="宋体" w:hAnsi="宋体" w:cs="宋体" w:eastAsia="宋体" w:hint="default"/>
          <w:sz w:val="25"/>
          <w:szCs w:val="25"/>
        </w:rPr>
      </w:pPr>
    </w:p>
    <w:p>
      <w:pPr>
        <w:spacing w:line="571" w:lineRule="auto" w:before="0"/>
        <w:ind w:left="153" w:right="745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37</w:t>
      </w:r>
      <w:r>
        <w:rPr>
          <w:rFonts w:ascii="宋体" w:hAnsi="宋体" w:cs="宋体" w:eastAsia="宋体" w:hint="default"/>
          <w:b/>
          <w:bCs/>
          <w:sz w:val="24"/>
          <w:szCs w:val="24"/>
        </w:rPr>
        <w:t>、其他综合收益</w:t>
      </w:r>
      <w:r>
        <w:rPr>
          <w:rFonts w:ascii="宋体" w:hAnsi="宋体" w:cs="宋体" w:eastAsia="宋体" w:hint="default"/>
          <w:b/>
          <w:bCs/>
          <w:w w:val="99"/>
          <w:sz w:val="24"/>
          <w:szCs w:val="24"/>
        </w:rPr>
        <w:t> </w:t>
      </w:r>
      <w:r>
        <w:rPr>
          <w:rFonts w:ascii="宋体" w:hAnsi="宋体" w:cs="宋体" w:eastAsia="宋体" w:hint="default"/>
          <w:sz w:val="24"/>
          <w:szCs w:val="24"/>
        </w:rPr>
        <w:t>详见附注合并利润表。 </w:t>
      </w:r>
      <w:r>
        <w:rPr>
          <w:rFonts w:ascii="Times New Roman" w:hAnsi="Times New Roman" w:cs="Times New Roman" w:eastAsia="Times New Roman" w:hint="default"/>
          <w:b/>
          <w:bCs/>
          <w:sz w:val="24"/>
          <w:szCs w:val="24"/>
        </w:rPr>
        <w:t>38</w:t>
      </w:r>
      <w:r>
        <w:rPr>
          <w:rFonts w:ascii="宋体" w:hAnsi="宋体" w:cs="宋体" w:eastAsia="宋体" w:hint="default"/>
          <w:b/>
          <w:bCs/>
          <w:sz w:val="24"/>
          <w:szCs w:val="24"/>
        </w:rPr>
        <w:t>、盈余公积</w:t>
      </w:r>
      <w:r>
        <w:rPr>
          <w:rFonts w:ascii="宋体" w:hAnsi="宋体" w:cs="宋体" w:eastAsia="宋体" w:hint="default"/>
          <w:sz w:val="24"/>
          <w:szCs w:val="24"/>
        </w:rPr>
      </w:r>
    </w:p>
    <w:p>
      <w:pPr>
        <w:spacing w:before="15"/>
        <w:ind w:left="0" w:right="2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34,818,145.17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8,972,172.37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43,790,317.54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34,818,145.17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8,972,172.37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43,790,317.54</w:t>
            </w:r>
          </w:p>
        </w:tc>
      </w:tr>
    </w:tbl>
    <w:p>
      <w:pPr>
        <w:pStyle w:val="BodyText"/>
        <w:spacing w:line="388" w:lineRule="auto" w:before="79"/>
        <w:ind w:right="3853"/>
        <w:jc w:val="left"/>
      </w:pPr>
      <w:r>
        <w:rPr/>
        <w:t>盈余公积说明，包括本期增减变动情况、变动原因说明： 公司按</w:t>
      </w:r>
      <w:r>
        <w:rPr>
          <w:rFonts w:ascii="Times New Roman" w:hAnsi="Times New Roman" w:cs="Times New Roman" w:eastAsia="Times New Roman" w:hint="default"/>
        </w:rPr>
        <w:t>2017</w:t>
      </w:r>
      <w:r>
        <w:rPr/>
        <w:t>年度母公司净利润提取</w:t>
      </w:r>
      <w:r>
        <w:rPr>
          <w:rFonts w:ascii="Times New Roman" w:hAnsi="Times New Roman" w:cs="Times New Roman" w:eastAsia="Times New Roman" w:hint="default"/>
        </w:rPr>
        <w:t>10%</w:t>
      </w:r>
      <w:r>
        <w:rPr/>
        <w:t>的法定盈余公积。</w:t>
      </w:r>
    </w:p>
    <w:p>
      <w:pPr>
        <w:spacing w:line="240" w:lineRule="auto" w:before="9"/>
        <w:rPr>
          <w:rFonts w:ascii="宋体" w:hAnsi="宋体" w:cs="宋体" w:eastAsia="宋体" w:hint="default"/>
          <w:sz w:val="20"/>
          <w:szCs w:val="20"/>
        </w:rPr>
      </w:pPr>
    </w:p>
    <w:p>
      <w:pPr>
        <w:pStyle w:val="Heading2"/>
        <w:spacing w:line="240" w:lineRule="auto"/>
        <w:ind w:right="98"/>
        <w:jc w:val="left"/>
        <w:rPr>
          <w:b w:val="0"/>
          <w:bCs w:val="0"/>
        </w:rPr>
      </w:pPr>
      <w:r>
        <w:rPr>
          <w:rFonts w:ascii="Times New Roman" w:hAnsi="Times New Roman" w:cs="Times New Roman" w:eastAsia="Times New Roman" w:hint="default"/>
        </w:rPr>
        <w:t>39</w:t>
      </w:r>
      <w:r>
        <w:rPr/>
        <w:t>、未分配利润</w:t>
      </w:r>
      <w:r>
        <w:rPr>
          <w:b w:val="0"/>
          <w:bCs w:val="0"/>
        </w:rPr>
      </w:r>
    </w:p>
    <w:p>
      <w:pPr>
        <w:spacing w:line="240" w:lineRule="auto" w:before="9"/>
        <w:rPr>
          <w:rFonts w:ascii="宋体" w:hAnsi="宋体" w:cs="宋体" w:eastAsia="宋体" w:hint="default"/>
          <w:b/>
          <w:bCs/>
          <w:sz w:val="26"/>
          <w:szCs w:val="26"/>
        </w:rPr>
      </w:pPr>
    </w:p>
    <w:p>
      <w:pPr>
        <w:spacing w:before="36"/>
        <w:ind w:left="0" w:right="2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03"/>
        <w:gridCol w:w="2935"/>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327,852,167.21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226,281,467.76</w:t>
            </w:r>
          </w:p>
        </w:tc>
      </w:tr>
      <w:tr>
        <w:trPr>
          <w:trHeight w:val="715"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8"/>
              <w:jc w:val="left"/>
              <w:rPr>
                <w:rFonts w:ascii="宋体" w:hAnsi="宋体" w:cs="宋体" w:eastAsia="宋体" w:hint="default"/>
                <w:sz w:val="21"/>
                <w:szCs w:val="21"/>
              </w:rPr>
            </w:pPr>
            <w:r>
              <w:rPr>
                <w:rFonts w:ascii="宋体" w:hAnsi="宋体" w:cs="宋体" w:eastAsia="宋体" w:hint="default"/>
                <w:spacing w:val="-4"/>
                <w:sz w:val="21"/>
                <w:szCs w:val="21"/>
              </w:rPr>
              <w:t>调整期初未分配利润合计数（调增</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，调</w:t>
            </w:r>
            <w:r>
              <w:rPr>
                <w:rFonts w:ascii="宋体" w:hAnsi="宋体" w:cs="宋体" w:eastAsia="宋体" w:hint="default"/>
                <w:spacing w:val="-67"/>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935"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327,852,167.21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226,281,467.76</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90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13"/>
        <w:gridCol w:w="2935"/>
        <w:gridCol w:w="2919"/>
      </w:tblGrid>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196,266,033.25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127,450,223.24</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8,972,172.37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5"/>
              <w:jc w:val="right"/>
              <w:rPr>
                <w:rFonts w:ascii="Times New Roman" w:hAnsi="Times New Roman" w:cs="Times New Roman" w:eastAsia="Times New Roman" w:hint="default"/>
                <w:sz w:val="21"/>
                <w:szCs w:val="21"/>
              </w:rPr>
            </w:pPr>
            <w:r>
              <w:rPr>
                <w:rFonts w:ascii="Times New Roman"/>
                <w:spacing w:val="-1"/>
                <w:sz w:val="21"/>
              </w:rPr>
              <w:t>6,500,476.59</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935"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935"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27,170,256.76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19,379,047.20</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935"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-48,890.12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488,024,661.45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327,852,167.21</w:t>
            </w:r>
          </w:p>
        </w:tc>
      </w:tr>
    </w:tbl>
    <w:p>
      <w:pPr>
        <w:pStyle w:val="BodyText"/>
        <w:spacing w:line="240" w:lineRule="auto" w:before="79"/>
        <w:ind w:right="293"/>
        <w:jc w:val="left"/>
      </w:pPr>
      <w:r>
        <w:rPr/>
        <w:t>调整期初未分配利润明细：</w:t>
      </w:r>
    </w:p>
    <w:p>
      <w:pPr>
        <w:pStyle w:val="BodyText"/>
        <w:spacing w:line="240" w:lineRule="auto" w:before="193"/>
        <w:ind w:right="293"/>
        <w:jc w:val="left"/>
      </w:pPr>
      <w:r>
        <w:rPr>
          <w:rFonts w:ascii="Times New Roman" w:hAnsi="Times New Roman" w:cs="Times New Roman" w:eastAsia="Times New Roman" w:hint="default"/>
        </w:rPr>
        <w:t>1)</w:t>
      </w:r>
      <w:r>
        <w:rPr/>
        <w:t>、由于《企业会计准则》及其相关新规定进行追溯调整，影响期初未分配利润</w:t>
      </w:r>
      <w:r>
        <w:rPr>
          <w:spacing w:val="-60"/>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6"/>
        <w:ind w:right="293"/>
        <w:jc w:val="left"/>
      </w:pPr>
      <w:r>
        <w:rPr>
          <w:rFonts w:ascii="Times New Roman" w:hAnsi="Times New Roman" w:cs="Times New Roman" w:eastAsia="Times New Roman" w:hint="default"/>
        </w:rPr>
        <w:t>2)</w:t>
      </w:r>
      <w:r>
        <w:rPr/>
        <w:t>、由于会计政策变更，影响期初未分配利润</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6"/>
        <w:ind w:right="293"/>
        <w:jc w:val="left"/>
      </w:pPr>
      <w:r>
        <w:rPr>
          <w:rFonts w:ascii="Times New Roman" w:hAnsi="Times New Roman" w:cs="Times New Roman" w:eastAsia="Times New Roman" w:hint="default"/>
        </w:rPr>
        <w:t>3)</w:t>
      </w:r>
      <w:r>
        <w:rPr/>
        <w:t>、由于重大会计差错更正，影响期初未分配利润</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4"/>
        <w:ind w:right="293"/>
        <w:jc w:val="left"/>
      </w:pPr>
      <w:r>
        <w:rPr>
          <w:rFonts w:ascii="Times New Roman" w:hAnsi="Times New Roman" w:cs="Times New Roman" w:eastAsia="Times New Roman" w:hint="default"/>
        </w:rPr>
        <w:t>4)</w:t>
      </w:r>
      <w:r>
        <w:rPr/>
        <w:t>、由于同一控制导致的合并范围变更，影响期初未分配利润</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6"/>
        <w:ind w:right="293"/>
        <w:jc w:val="left"/>
      </w:pPr>
      <w:r>
        <w:rPr>
          <w:rFonts w:ascii="Times New Roman" w:hAnsi="Times New Roman" w:cs="Times New Roman" w:eastAsia="Times New Roman" w:hint="default"/>
        </w:rPr>
        <w:t>5)</w:t>
      </w:r>
      <w:r>
        <w:rPr/>
        <w:t>、其他调整合计影响期初未分配利润</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33"/>
          <w:szCs w:val="33"/>
        </w:rPr>
      </w:pPr>
    </w:p>
    <w:p>
      <w:pPr>
        <w:pStyle w:val="Heading2"/>
        <w:spacing w:line="240" w:lineRule="auto"/>
        <w:ind w:right="293"/>
        <w:jc w:val="left"/>
        <w:rPr>
          <w:b w:val="0"/>
          <w:bCs w:val="0"/>
        </w:rPr>
      </w:pPr>
      <w:r>
        <w:rPr>
          <w:rFonts w:ascii="Times New Roman" w:hAnsi="Times New Roman" w:cs="Times New Roman" w:eastAsia="Times New Roman" w:hint="default"/>
        </w:rPr>
        <w:t>40</w:t>
      </w:r>
      <w:r>
        <w:rPr/>
        <w:t>、营业收入和营业成本</w:t>
      </w:r>
      <w:r>
        <w:rPr>
          <w:b w:val="0"/>
          <w:bCs w:val="0"/>
        </w:rPr>
      </w:r>
    </w:p>
    <w:p>
      <w:pPr>
        <w:spacing w:line="240" w:lineRule="auto" w:before="3"/>
        <w:rPr>
          <w:rFonts w:ascii="宋体" w:hAnsi="宋体" w:cs="宋体" w:eastAsia="宋体" w:hint="default"/>
          <w:b/>
          <w:bCs/>
          <w:sz w:val="29"/>
          <w:szCs w:val="29"/>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1,230,785,737.30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505,957,386.76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816,844,927.44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300,670,160.23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18,972,811.16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3,991,524.76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16,305,717.81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4,415,212.62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1,249,758,548.46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509,948,911.52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833,150,645.25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305,085,372.85</w:t>
            </w:r>
          </w:p>
        </w:tc>
      </w:tr>
    </w:tbl>
    <w:p>
      <w:pPr>
        <w:spacing w:line="240" w:lineRule="auto" w:before="12"/>
        <w:rPr>
          <w:rFonts w:ascii="宋体" w:hAnsi="宋体" w:cs="宋体" w:eastAsia="宋体" w:hint="default"/>
          <w:sz w:val="23"/>
          <w:szCs w:val="23"/>
        </w:rPr>
      </w:pPr>
    </w:p>
    <w:p>
      <w:pPr>
        <w:pStyle w:val="Heading2"/>
        <w:spacing w:line="240" w:lineRule="auto" w:before="26"/>
        <w:ind w:right="293"/>
        <w:jc w:val="left"/>
        <w:rPr>
          <w:b w:val="0"/>
          <w:bCs w:val="0"/>
        </w:rPr>
      </w:pPr>
      <w:r>
        <w:rPr>
          <w:rFonts w:ascii="Times New Roman" w:hAnsi="Times New Roman" w:cs="Times New Roman" w:eastAsia="Times New Roman" w:hint="default"/>
        </w:rPr>
        <w:t>41</w:t>
      </w:r>
      <w:r>
        <w:rPr/>
        <w:t>、税金及附加</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3,413,176.81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2,533,036.52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1,801,673.73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1,166,918.23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4,484,337.38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1,487,045.91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370,869.63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820,102.14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634,983.32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1,657,852.94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280,461.63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12,177,143.00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6,473,315.24</w:t>
            </w:r>
          </w:p>
        </w:tc>
      </w:tr>
    </w:tbl>
    <w:p>
      <w:pPr>
        <w:pStyle w:val="BodyText"/>
        <w:spacing w:line="386" w:lineRule="auto" w:before="79"/>
        <w:ind w:right="5720"/>
        <w:jc w:val="left"/>
      </w:pPr>
      <w:r>
        <w:rPr/>
        <w:t>其他说明： 计缴标准详见本附注四</w:t>
      </w:r>
      <w:r>
        <w:rPr>
          <w:rFonts w:ascii="Times New Roman" w:hAnsi="Times New Roman" w:cs="Times New Roman" w:eastAsia="Times New Roman" w:hint="default"/>
        </w:rPr>
        <w:t>“</w:t>
      </w:r>
      <w:r>
        <w:rPr/>
        <w:t>税项</w:t>
      </w:r>
      <w:r>
        <w:rPr>
          <w:rFonts w:ascii="Times New Roman" w:hAnsi="Times New Roman" w:cs="Times New Roman" w:eastAsia="Times New Roman" w:hint="default"/>
        </w:rPr>
        <w:t>”</w:t>
      </w:r>
      <w:r>
        <w:rPr/>
        <w:t>之说明。</w:t>
      </w:r>
    </w:p>
    <w:p>
      <w:pPr>
        <w:spacing w:line="240" w:lineRule="auto" w:before="13"/>
        <w:rPr>
          <w:rFonts w:ascii="宋体" w:hAnsi="宋体" w:cs="宋体" w:eastAsia="宋体" w:hint="default"/>
          <w:sz w:val="20"/>
          <w:szCs w:val="20"/>
        </w:rPr>
      </w:pPr>
    </w:p>
    <w:p>
      <w:pPr>
        <w:pStyle w:val="Heading2"/>
        <w:spacing w:line="240" w:lineRule="auto"/>
        <w:ind w:right="293"/>
        <w:jc w:val="left"/>
        <w:rPr>
          <w:b w:val="0"/>
          <w:bCs w:val="0"/>
        </w:rPr>
      </w:pPr>
      <w:r>
        <w:rPr>
          <w:rFonts w:ascii="Times New Roman" w:hAnsi="Times New Roman" w:cs="Times New Roman" w:eastAsia="Times New Roman" w:hint="default"/>
        </w:rPr>
        <w:t>42</w:t>
      </w:r>
      <w:r>
        <w:rPr/>
        <w:t>、销售费用</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工资、奖金等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71,997,398.14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49,675,008.19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28,549,616.32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18,383,201.09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829,732.07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922,927.52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545,848.23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285,727.47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14,755.20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21,980.62</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26,488,239.03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22,111,997.95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5,628,265.59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4,226,573.58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办公及其他费用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14,411,688.45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16,102,814.70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2,812,774.22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829,873.33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3,961,830.71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1,368,267.49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155,240,147.96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113,928,371.94</w:t>
            </w:r>
          </w:p>
        </w:tc>
      </w:tr>
    </w:tbl>
    <w:p>
      <w:pPr>
        <w:pStyle w:val="BodyText"/>
        <w:spacing w:line="388" w:lineRule="auto" w:before="79"/>
        <w:ind w:right="8573"/>
        <w:jc w:val="left"/>
      </w:pPr>
      <w:r>
        <w:rPr/>
        <w:t>其他说明： 无</w:t>
      </w:r>
    </w:p>
    <w:p>
      <w:pPr>
        <w:spacing w:line="240" w:lineRule="auto" w:before="5"/>
        <w:rPr>
          <w:rFonts w:ascii="宋体" w:hAnsi="宋体" w:cs="宋体" w:eastAsia="宋体" w:hint="default"/>
          <w:sz w:val="23"/>
          <w:szCs w:val="23"/>
        </w:rPr>
      </w:pPr>
    </w:p>
    <w:p>
      <w:pPr>
        <w:pStyle w:val="Heading2"/>
        <w:spacing w:line="240" w:lineRule="auto"/>
        <w:ind w:right="293"/>
        <w:jc w:val="left"/>
        <w:rPr>
          <w:b w:val="0"/>
          <w:bCs w:val="0"/>
        </w:rPr>
      </w:pPr>
      <w:r>
        <w:rPr>
          <w:rFonts w:ascii="Times New Roman" w:hAnsi="Times New Roman" w:cs="Times New Roman" w:eastAsia="Times New Roman" w:hint="default"/>
        </w:rPr>
        <w:t>43</w:t>
      </w:r>
      <w:r>
        <w:rPr/>
        <w:t>、管理费用</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工资、奖金等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103,416,654.24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59,048,177.88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研究开发费用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175,436,778.11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133,285,800.00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10,594,283.51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19,430,177.83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2,673,755.78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3,227,435.93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31,531,454.22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21,711,679.19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13,191,897.02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9,045,439.72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4,747,947.44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3,812,179.21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9,659,752.54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10,281,733.73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4,944,221.24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3,260,672.65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办公及其他费用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23,004,328.41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19,732,991.87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限制性股票费用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225,631.79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725,707.60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6,296,239.14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2,233,875.75</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开发支出费用化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17,580,094.98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403,303,038.42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285,795,871.36</w:t>
            </w:r>
          </w:p>
        </w:tc>
      </w:tr>
    </w:tbl>
    <w:p>
      <w:pPr>
        <w:pStyle w:val="BodyText"/>
        <w:spacing w:line="386" w:lineRule="auto" w:before="79"/>
        <w:ind w:right="8573"/>
        <w:jc w:val="left"/>
      </w:pPr>
      <w:r>
        <w:rPr/>
        <w:t>其他说明： 无</w:t>
      </w:r>
    </w:p>
    <w:p>
      <w:pPr>
        <w:spacing w:line="240" w:lineRule="auto" w:before="7"/>
        <w:rPr>
          <w:rFonts w:ascii="宋体" w:hAnsi="宋体" w:cs="宋体" w:eastAsia="宋体" w:hint="default"/>
          <w:sz w:val="23"/>
          <w:szCs w:val="23"/>
        </w:rPr>
      </w:pPr>
    </w:p>
    <w:p>
      <w:pPr>
        <w:pStyle w:val="Heading2"/>
        <w:spacing w:line="240" w:lineRule="auto"/>
        <w:ind w:right="293"/>
        <w:jc w:val="left"/>
        <w:rPr>
          <w:b w:val="0"/>
          <w:bCs w:val="0"/>
        </w:rPr>
      </w:pPr>
      <w:r>
        <w:rPr>
          <w:rFonts w:ascii="Times New Roman" w:hAnsi="Times New Roman" w:cs="Times New Roman" w:eastAsia="Times New Roman" w:hint="default"/>
        </w:rPr>
        <w:t>44</w:t>
      </w:r>
      <w:r>
        <w:rPr/>
        <w:t>、财务费用</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7,009,575.60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4,185,736.67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4,088,098.52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3,380,203.37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305,031.87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73.40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357,076.66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144,354.60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2,973,521.87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949,814.50</w:t>
            </w:r>
          </w:p>
        </w:tc>
      </w:tr>
    </w:tbl>
    <w:p>
      <w:pPr>
        <w:pStyle w:val="BodyText"/>
        <w:spacing w:line="386" w:lineRule="auto" w:before="79"/>
        <w:ind w:right="8573"/>
        <w:jc w:val="left"/>
      </w:pPr>
      <w:r>
        <w:rPr/>
        <w:t>其他说明： 无</w:t>
      </w:r>
    </w:p>
    <w:p>
      <w:pPr>
        <w:spacing w:line="240" w:lineRule="auto" w:before="7"/>
        <w:rPr>
          <w:rFonts w:ascii="宋体" w:hAnsi="宋体" w:cs="宋体" w:eastAsia="宋体" w:hint="default"/>
          <w:sz w:val="23"/>
          <w:szCs w:val="23"/>
        </w:rPr>
      </w:pPr>
    </w:p>
    <w:p>
      <w:pPr>
        <w:pStyle w:val="Heading2"/>
        <w:spacing w:line="240" w:lineRule="auto"/>
        <w:ind w:right="293"/>
        <w:jc w:val="left"/>
        <w:rPr>
          <w:b w:val="0"/>
          <w:bCs w:val="0"/>
        </w:rPr>
      </w:pPr>
      <w:r>
        <w:rPr>
          <w:rFonts w:ascii="Times New Roman" w:hAnsi="Times New Roman" w:cs="Times New Roman" w:eastAsia="Times New Roman" w:hint="default"/>
        </w:rPr>
        <w:t>45</w:t>
      </w:r>
      <w:r>
        <w:rPr/>
        <w:t>、资产减值损失</w:t>
      </w:r>
      <w:r>
        <w:rPr>
          <w:b w:val="0"/>
          <w:bCs w:val="0"/>
        </w:rPr>
      </w:r>
    </w:p>
    <w:p>
      <w:pPr>
        <w:spacing w:line="240" w:lineRule="auto" w:before="9"/>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2059" w:right="0"/>
              <w:jc w:val="left"/>
              <w:rPr>
                <w:rFonts w:ascii="Times New Roman" w:hAnsi="Times New Roman" w:cs="Times New Roman" w:eastAsia="Times New Roman" w:hint="default"/>
                <w:sz w:val="21"/>
                <w:szCs w:val="21"/>
              </w:rPr>
            </w:pPr>
            <w:r>
              <w:rPr>
                <w:rFonts w:ascii="Times New Roman"/>
                <w:sz w:val="21"/>
              </w:rPr>
              <w:t>1,243,273.60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6" w:right="0"/>
              <w:jc w:val="left"/>
              <w:rPr>
                <w:rFonts w:ascii="Times New Roman" w:hAnsi="Times New Roman" w:cs="Times New Roman" w:eastAsia="Times New Roman" w:hint="default"/>
                <w:sz w:val="21"/>
                <w:szCs w:val="21"/>
              </w:rPr>
            </w:pPr>
            <w:r>
              <w:rPr>
                <w:rFonts w:ascii="Times New Roman"/>
                <w:sz w:val="21"/>
              </w:rPr>
              <w:t>11,068,490.42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76"/>
        <w:gridCol w:w="3203"/>
        <w:gridCol w:w="3191"/>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1,312,138.80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2,555,412.40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6" w:right="0"/>
              <w:jc w:val="left"/>
              <w:rPr>
                <w:rFonts w:ascii="Times New Roman" w:hAnsi="Times New Roman" w:cs="Times New Roman" w:eastAsia="Times New Roman" w:hint="default"/>
                <w:sz w:val="21"/>
                <w:szCs w:val="21"/>
              </w:rPr>
            </w:pPr>
            <w:r>
              <w:rPr>
                <w:rFonts w:ascii="Times New Roman"/>
                <w:sz w:val="21"/>
              </w:rPr>
              <w:t>11,068,490.42</w:t>
            </w:r>
          </w:p>
        </w:tc>
      </w:tr>
    </w:tbl>
    <w:p>
      <w:pPr>
        <w:pStyle w:val="BodyText"/>
        <w:spacing w:line="386" w:lineRule="auto" w:before="79"/>
        <w:ind w:right="8573"/>
        <w:jc w:val="left"/>
      </w:pPr>
      <w:r>
        <w:rPr/>
        <w:t>其他说明： 无</w:t>
      </w:r>
    </w:p>
    <w:p>
      <w:pPr>
        <w:spacing w:line="240" w:lineRule="auto" w:before="7"/>
        <w:rPr>
          <w:rFonts w:ascii="宋体" w:hAnsi="宋体" w:cs="宋体" w:eastAsia="宋体" w:hint="default"/>
          <w:sz w:val="23"/>
          <w:szCs w:val="23"/>
        </w:rPr>
      </w:pPr>
    </w:p>
    <w:p>
      <w:pPr>
        <w:pStyle w:val="Heading2"/>
        <w:spacing w:line="240" w:lineRule="auto"/>
        <w:ind w:right="293"/>
        <w:jc w:val="left"/>
        <w:rPr>
          <w:b w:val="0"/>
          <w:bCs w:val="0"/>
        </w:rPr>
      </w:pPr>
      <w:r>
        <w:rPr>
          <w:rFonts w:ascii="Times New Roman" w:hAnsi="Times New Roman" w:cs="Times New Roman" w:eastAsia="Times New Roman" w:hint="default"/>
        </w:rPr>
        <w:t>46</w:t>
      </w:r>
      <w:r>
        <w:rPr/>
        <w:t>、投资收益</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9"/>
      </w:tblGrid>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2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701,216.26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-294,092.13</w:t>
            </w: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8"/>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益的金融资产在持有期间的投资收益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48"/>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期损益的金融资产取得的投资收益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8"/>
              <w:jc w:val="left"/>
              <w:rPr>
                <w:rFonts w:ascii="宋体" w:hAnsi="宋体" w:cs="宋体" w:eastAsia="宋体" w:hint="default"/>
                <w:sz w:val="21"/>
                <w:szCs w:val="21"/>
              </w:rPr>
            </w:pPr>
            <w:r>
              <w:rPr>
                <w:rFonts w:ascii="宋体" w:hAnsi="宋体" w:cs="宋体" w:eastAsia="宋体" w:hint="default"/>
                <w:spacing w:val="-2"/>
                <w:sz w:val="21"/>
                <w:szCs w:val="21"/>
              </w:rPr>
              <w:t>持有至到期投资在持有期间的投资收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48"/>
              <w:jc w:val="left"/>
              <w:rPr>
                <w:rFonts w:ascii="宋体" w:hAnsi="宋体" w:cs="宋体" w:eastAsia="宋体" w:hint="default"/>
                <w:sz w:val="21"/>
                <w:szCs w:val="21"/>
              </w:rPr>
            </w:pPr>
            <w:r>
              <w:rPr>
                <w:rFonts w:ascii="宋体" w:hAnsi="宋体" w:cs="宋体" w:eastAsia="宋体" w:hint="default"/>
                <w:spacing w:val="-2"/>
                <w:sz w:val="21"/>
                <w:szCs w:val="21"/>
              </w:rPr>
              <w:t>可供出售金融资产在持有期间的投资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241.04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48"/>
              <w:jc w:val="left"/>
              <w:rPr>
                <w:rFonts w:ascii="宋体" w:hAnsi="宋体" w:cs="宋体" w:eastAsia="宋体" w:hint="default"/>
                <w:sz w:val="21"/>
                <w:szCs w:val="21"/>
              </w:rPr>
            </w:pPr>
            <w:r>
              <w:rPr>
                <w:rFonts w:ascii="宋体" w:hAnsi="宋体" w:cs="宋体" w:eastAsia="宋体" w:hint="default"/>
                <w:spacing w:val="-2"/>
                <w:sz w:val="21"/>
                <w:szCs w:val="21"/>
              </w:rPr>
              <w:t>处置可供出售金融资产取得的投资收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189,333.83</w:t>
            </w:r>
          </w:p>
        </w:tc>
      </w:tr>
      <w:tr>
        <w:trPr>
          <w:trHeight w:val="71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48"/>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丧失控制权后，剩余股权按公允价值</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重新计量产生的利得</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8,385,947.38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2,268,495.34</w:t>
            </w: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9,087,404.68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2,163,737.04</w:t>
            </w:r>
          </w:p>
        </w:tc>
      </w:tr>
    </w:tbl>
    <w:p>
      <w:pPr>
        <w:pStyle w:val="BodyText"/>
        <w:spacing w:line="240" w:lineRule="auto" w:before="79"/>
        <w:ind w:right="293"/>
        <w:jc w:val="left"/>
      </w:pPr>
      <w:r>
        <w:rPr/>
        <w:t>其他说明：</w:t>
      </w:r>
    </w:p>
    <w:p>
      <w:pPr>
        <w:spacing w:after="0" w:line="240"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240" w:lineRule="auto" w:before="26"/>
        <w:ind w:right="0"/>
        <w:jc w:val="left"/>
      </w:pPr>
      <w:r>
        <w:rPr/>
        <w:t>按权益法核算的长期股权投资收益</w:t>
      </w:r>
    </w:p>
    <w:p>
      <w:pPr>
        <w:spacing w:line="240" w:lineRule="auto" w:before="11"/>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2136"/>
        <w:gridCol w:w="1947"/>
        <w:gridCol w:w="1985"/>
        <w:gridCol w:w="3582"/>
      </w:tblGrid>
      <w:tr>
        <w:trPr>
          <w:trHeight w:val="348"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35"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0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上年数</w:t>
            </w:r>
          </w:p>
        </w:tc>
        <w:tc>
          <w:tcPr>
            <w:tcW w:w="3582"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本期比上年增减变动的原因</w:t>
            </w:r>
          </w:p>
        </w:tc>
      </w:tr>
      <w:tr>
        <w:trPr>
          <w:trHeight w:val="346"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浙江中科</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893" w:right="0"/>
              <w:jc w:val="left"/>
              <w:rPr>
                <w:rFonts w:ascii="Times New Roman" w:hAnsi="Times New Roman" w:cs="Times New Roman" w:eastAsia="Times New Roman" w:hint="default"/>
                <w:sz w:val="21"/>
                <w:szCs w:val="21"/>
              </w:rPr>
            </w:pPr>
            <w:r>
              <w:rPr>
                <w:rFonts w:ascii="Times New Roman"/>
                <w:sz w:val="21"/>
              </w:rPr>
              <w:t>701,216.26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53" w:right="-1"/>
              <w:jc w:val="left"/>
              <w:rPr>
                <w:rFonts w:ascii="Times New Roman" w:hAnsi="Times New Roman" w:cs="Times New Roman" w:eastAsia="Times New Roman" w:hint="default"/>
                <w:sz w:val="21"/>
                <w:szCs w:val="21"/>
              </w:rPr>
            </w:pPr>
            <w:r>
              <w:rPr>
                <w:rFonts w:ascii="Times New Roman"/>
                <w:sz w:val="21"/>
              </w:rPr>
              <w:t>-294,092.13</w:t>
            </w:r>
          </w:p>
        </w:tc>
        <w:tc>
          <w:tcPr>
            <w:tcW w:w="3582"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本期盈利增加</w:t>
            </w:r>
          </w:p>
        </w:tc>
      </w:tr>
    </w:tbl>
    <w:p>
      <w:pPr>
        <w:spacing w:line="240" w:lineRule="auto" w:before="11"/>
        <w:rPr>
          <w:rFonts w:ascii="宋体" w:hAnsi="宋体" w:cs="宋体" w:eastAsia="宋体" w:hint="default"/>
          <w:sz w:val="24"/>
          <w:szCs w:val="24"/>
        </w:rPr>
      </w:pPr>
    </w:p>
    <w:p>
      <w:pPr>
        <w:pStyle w:val="BodyText"/>
        <w:spacing w:line="240" w:lineRule="auto" w:before="26"/>
        <w:ind w:right="0"/>
        <w:jc w:val="left"/>
      </w:pPr>
      <w:r>
        <w:rPr/>
        <w:t>本公司不存在投资收益汇回的重大限制。</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47</w:t>
      </w:r>
      <w:r>
        <w:rPr/>
        <w:t>、资产处置收益</w:t>
      </w:r>
      <w:r>
        <w:rPr>
          <w:b w:val="0"/>
          <w:bCs w:val="0"/>
        </w:rPr>
      </w:r>
    </w:p>
    <w:p>
      <w:pPr>
        <w:spacing w:line="240" w:lineRule="auto" w:before="8"/>
        <w:rPr>
          <w:rFonts w:ascii="宋体" w:hAnsi="宋体" w:cs="宋体" w:eastAsia="宋体" w:hint="default"/>
          <w:b/>
          <w:bCs/>
          <w:sz w:val="26"/>
          <w:szCs w:val="26"/>
        </w:rPr>
      </w:pPr>
    </w:p>
    <w:p>
      <w:pPr>
        <w:spacing w:before="36"/>
        <w:ind w:left="0" w:right="5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9"/>
              <w:ind w:left="24" w:right="209"/>
              <w:jc w:val="left"/>
              <w:rPr>
                <w:rFonts w:ascii="宋体" w:hAnsi="宋体" w:cs="宋体" w:eastAsia="宋体" w:hint="default"/>
                <w:sz w:val="21"/>
                <w:szCs w:val="21"/>
              </w:rPr>
            </w:pPr>
            <w:r>
              <w:rPr>
                <w:rFonts w:ascii="宋体" w:hAnsi="宋体" w:cs="宋体" w:eastAsia="宋体" w:hint="default"/>
                <w:spacing w:val="-2"/>
                <w:sz w:val="21"/>
                <w:szCs w:val="21"/>
              </w:rPr>
              <w:t>处置未划分为持有待售的非流动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资产时确认的收益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-186,929.10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-235,963.91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-186,929.10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-235,963.91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48</w:t>
      </w:r>
      <w:r>
        <w:rPr/>
        <w:t>、其他收益</w:t>
      </w:r>
      <w:r>
        <w:rPr>
          <w:b w:val="0"/>
          <w:bCs w:val="0"/>
        </w:rPr>
      </w:r>
    </w:p>
    <w:p>
      <w:pPr>
        <w:spacing w:line="240" w:lineRule="auto" w:before="7"/>
        <w:rPr>
          <w:rFonts w:ascii="宋体" w:hAnsi="宋体" w:cs="宋体" w:eastAsia="宋体" w:hint="default"/>
          <w:b/>
          <w:bCs/>
          <w:sz w:val="20"/>
          <w:szCs w:val="20"/>
        </w:rPr>
      </w:pPr>
    </w:p>
    <w:p>
      <w:pPr>
        <w:spacing w:before="36"/>
        <w:ind w:left="0" w:right="5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政府财政补贴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1,468,768.15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24,312,498.70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25,781,266.85</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49</w:t>
      </w:r>
      <w:r>
        <w:rPr/>
        <w:t>、营业外收入</w:t>
      </w:r>
      <w:r>
        <w:rPr>
          <w:b w:val="0"/>
          <w:bCs w:val="0"/>
        </w:rPr>
      </w:r>
    </w:p>
    <w:p>
      <w:pPr>
        <w:spacing w:line="240" w:lineRule="auto" w:before="10"/>
        <w:rPr>
          <w:rFonts w:ascii="宋体" w:hAnsi="宋体" w:cs="宋体" w:eastAsia="宋体" w:hint="default"/>
          <w:b/>
          <w:bCs/>
          <w:sz w:val="20"/>
          <w:szCs w:val="20"/>
        </w:rPr>
      </w:pPr>
    </w:p>
    <w:p>
      <w:pPr>
        <w:spacing w:before="36"/>
        <w:ind w:left="0" w:right="5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77"/>
        <w:gridCol w:w="2396"/>
        <w:gridCol w:w="2393"/>
        <w:gridCol w:w="2393"/>
      </w:tblGrid>
      <w:tr>
        <w:trPr>
          <w:trHeight w:val="161" w:hRule="exact"/>
        </w:trPr>
        <w:tc>
          <w:tcPr>
            <w:tcW w:w="237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981" w:right="31" w:hanging="946"/>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金额</w:t>
            </w:r>
          </w:p>
        </w:tc>
      </w:tr>
      <w:tr>
        <w:trPr>
          <w:trHeight w:val="394" w:hRule="exact"/>
        </w:trPr>
        <w:tc>
          <w:tcPr>
            <w:tcW w:w="23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6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6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2,938,388.20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33,557,326.27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2,938,388.20</w:t>
            </w:r>
          </w:p>
        </w:tc>
      </w:tr>
      <w:tr>
        <w:trPr>
          <w:trHeight w:val="40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个税手续费返还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1,956,176.48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1,956,176.48</w:t>
            </w:r>
          </w:p>
        </w:tc>
      </w:tr>
      <w:tr>
        <w:trPr>
          <w:trHeight w:val="40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214,142.16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632,514.60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214,142.16</w:t>
            </w:r>
          </w:p>
        </w:tc>
      </w:tr>
      <w:tr>
        <w:trPr>
          <w:trHeight w:val="401"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5,108,706.84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34,189,840.87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5,108,706.84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600"/>
        </w:sectPr>
      </w:pPr>
    </w:p>
    <w:p>
      <w:pPr>
        <w:pStyle w:val="BodyText"/>
        <w:spacing w:line="240" w:lineRule="auto" w:before="79"/>
        <w:ind w:right="-20"/>
        <w:jc w:val="left"/>
      </w:pPr>
      <w:r>
        <w:rPr/>
        <w:t>计入当期损益的政府补助：</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600"/>
          <w:cols w:num="2" w:equalWidth="0">
            <w:col w:w="3034" w:space="5661"/>
            <w:col w:w="1635"/>
          </w:cols>
        </w:sectPr>
      </w:pPr>
    </w:p>
    <w:p>
      <w:pPr>
        <w:spacing w:line="240" w:lineRule="auto" w:before="7"/>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55"/>
        <w:gridCol w:w="1062"/>
        <w:gridCol w:w="1064"/>
        <w:gridCol w:w="1063"/>
        <w:gridCol w:w="1064"/>
        <w:gridCol w:w="1062"/>
        <w:gridCol w:w="1276"/>
        <w:gridCol w:w="1347"/>
        <w:gridCol w:w="1050"/>
      </w:tblGrid>
      <w:tr>
        <w:trPr>
          <w:trHeight w:val="383"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6"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6" w:right="0"/>
              <w:jc w:val="left"/>
              <w:rPr>
                <w:rFonts w:ascii="宋体" w:hAnsi="宋体" w:cs="宋体" w:eastAsia="宋体" w:hint="default"/>
                <w:sz w:val="21"/>
                <w:szCs w:val="21"/>
              </w:rPr>
            </w:pPr>
            <w:r>
              <w:rPr>
                <w:rFonts w:ascii="宋体" w:hAnsi="宋体" w:cs="宋体" w:eastAsia="宋体" w:hint="default"/>
                <w:sz w:val="21"/>
                <w:szCs w:val="21"/>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性质类型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08" w:right="0"/>
              <w:jc w:val="left"/>
              <w:rPr>
                <w:rFonts w:ascii="宋体" w:hAnsi="宋体" w:cs="宋体" w:eastAsia="宋体" w:hint="default"/>
                <w:sz w:val="21"/>
                <w:szCs w:val="21"/>
              </w:rPr>
            </w:pPr>
            <w:r>
              <w:rPr>
                <w:rFonts w:ascii="宋体" w:hAnsi="宋体" w:cs="宋体" w:eastAsia="宋体" w:hint="default"/>
                <w:sz w:val="21"/>
                <w:szCs w:val="21"/>
              </w:rPr>
              <w:t>补贴是否</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07" w:right="0"/>
              <w:jc w:val="left"/>
              <w:rPr>
                <w:rFonts w:ascii="宋体" w:hAnsi="宋体" w:cs="宋体" w:eastAsia="宋体" w:hint="default"/>
                <w:sz w:val="21"/>
                <w:szCs w:val="21"/>
              </w:rPr>
            </w:pPr>
            <w:r>
              <w:rPr>
                <w:rFonts w:ascii="宋体" w:hAnsi="宋体" w:cs="宋体" w:eastAsia="宋体" w:hint="default"/>
                <w:sz w:val="21"/>
                <w:szCs w:val="21"/>
              </w:rPr>
              <w:t>是否特殊</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06" w:right="0"/>
              <w:jc w:val="left"/>
              <w:rPr>
                <w:rFonts w:ascii="宋体" w:hAnsi="宋体" w:cs="宋体" w:eastAsia="宋体" w:hint="default"/>
                <w:sz w:val="21"/>
                <w:szCs w:val="21"/>
              </w:rPr>
            </w:pPr>
            <w:r>
              <w:rPr>
                <w:rFonts w:ascii="宋体" w:hAnsi="宋体" w:cs="宋体" w:eastAsia="宋体" w:hint="default"/>
                <w:sz w:val="21"/>
                <w:szCs w:val="21"/>
              </w:rPr>
              <w:t>本期发生金</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08" w:right="0"/>
              <w:jc w:val="left"/>
              <w:rPr>
                <w:rFonts w:ascii="宋体" w:hAnsi="宋体" w:cs="宋体" w:eastAsia="宋体" w:hint="default"/>
                <w:sz w:val="21"/>
                <w:szCs w:val="21"/>
              </w:rPr>
            </w:pPr>
            <w:r>
              <w:rPr>
                <w:rFonts w:ascii="宋体" w:hAnsi="宋体" w:cs="宋体" w:eastAsia="宋体" w:hint="default"/>
                <w:sz w:val="21"/>
                <w:szCs w:val="21"/>
              </w:rPr>
              <w:t>与资产相</w:t>
            </w:r>
          </w:p>
        </w:tc>
      </w:tr>
    </w:tbl>
    <w:p>
      <w:pPr>
        <w:spacing w:after="0" w:line="240" w:lineRule="auto"/>
        <w:jc w:val="left"/>
        <w:rPr>
          <w:rFonts w:ascii="宋体" w:hAnsi="宋体" w:cs="宋体" w:eastAsia="宋体" w:hint="default"/>
          <w:sz w:val="21"/>
          <w:szCs w:val="21"/>
        </w:rPr>
        <w:sectPr>
          <w:type w:val="continuous"/>
          <w:pgSz w:w="11910" w:h="16840"/>
          <w:pgMar w:top="1100" w:bottom="1160" w:left="980" w:right="60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277"/>
        <w:gridCol w:w="1344"/>
        <w:gridCol w:w="1063"/>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17" w:right="99" w:hanging="210"/>
              <w:jc w:val="left"/>
              <w:rPr>
                <w:rFonts w:ascii="宋体" w:hAnsi="宋体" w:cs="宋体" w:eastAsia="宋体" w:hint="default"/>
                <w:sz w:val="21"/>
                <w:szCs w:val="21"/>
              </w:rPr>
            </w:pPr>
            <w:r>
              <w:rPr>
                <w:rFonts w:ascii="宋体" w:hAnsi="宋体" w:cs="宋体" w:eastAsia="宋体" w:hint="default"/>
                <w:sz w:val="21"/>
                <w:szCs w:val="21"/>
              </w:rPr>
              <w:t>影响当年</w:t>
            </w:r>
            <w:r>
              <w:rPr>
                <w:rFonts w:ascii="宋体" w:hAnsi="宋体" w:cs="宋体" w:eastAsia="宋体" w:hint="default"/>
                <w:w w:val="100"/>
                <w:sz w:val="21"/>
                <w:szCs w:val="21"/>
              </w:rPr>
              <w:t> </w:t>
            </w:r>
            <w:r>
              <w:rPr>
                <w:rFonts w:ascii="宋体" w:hAnsi="宋体" w:cs="宋体" w:eastAsia="宋体" w:hint="default"/>
                <w:sz w:val="21"/>
                <w:szCs w:val="21"/>
              </w:rPr>
              <w:t>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319" w:right="69" w:hanging="238"/>
              <w:jc w:val="left"/>
              <w:rPr>
                <w:rFonts w:ascii="宋体" w:hAnsi="宋体" w:cs="宋体" w:eastAsia="宋体" w:hint="default"/>
                <w:sz w:val="21"/>
                <w:szCs w:val="21"/>
              </w:rPr>
            </w:pPr>
            <w:r>
              <w:rPr>
                <w:rFonts w:ascii="宋体" w:hAnsi="宋体" w:cs="宋体" w:eastAsia="宋体" w:hint="default"/>
                <w:sz w:val="21"/>
                <w:szCs w:val="21"/>
              </w:rPr>
              <w:t>关</w:t>
            </w:r>
            <w:r>
              <w:rPr>
                <w:rFonts w:ascii="Times New Roman" w:hAnsi="Times New Roman" w:cs="Times New Roman" w:eastAsia="Times New Roman" w:hint="default"/>
                <w:sz w:val="21"/>
                <w:szCs w:val="21"/>
              </w:rPr>
              <w:t>/</w:t>
            </w:r>
            <w:r>
              <w:rPr>
                <w:rFonts w:ascii="宋体" w:hAnsi="宋体" w:cs="宋体" w:eastAsia="宋体" w:hint="default"/>
                <w:sz w:val="21"/>
                <w:szCs w:val="21"/>
              </w:rPr>
              <w:t>与收益</w:t>
            </w:r>
            <w:r>
              <w:rPr>
                <w:rFonts w:ascii="宋体" w:hAnsi="宋体" w:cs="宋体" w:eastAsia="宋体" w:hint="default"/>
                <w:w w:val="100"/>
                <w:sz w:val="21"/>
                <w:szCs w:val="21"/>
              </w:rPr>
              <w:t> </w:t>
            </w:r>
            <w:r>
              <w:rPr>
                <w:rFonts w:ascii="宋体" w:hAnsi="宋体" w:cs="宋体" w:eastAsia="宋体" w:hint="default"/>
                <w:sz w:val="21"/>
                <w:szCs w:val="21"/>
              </w:rPr>
              <w:t>相关</w:t>
            </w:r>
          </w:p>
        </w:tc>
      </w:tr>
      <w:tr>
        <w:trPr>
          <w:trHeight w:val="289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73" w:lineRule="auto"/>
              <w:ind w:left="24" w:right="187"/>
              <w:jc w:val="both"/>
              <w:rPr>
                <w:rFonts w:ascii="宋体" w:hAnsi="宋体" w:cs="宋体" w:eastAsia="宋体" w:hint="default"/>
                <w:sz w:val="21"/>
                <w:szCs w:val="21"/>
              </w:rPr>
            </w:pPr>
            <w:r>
              <w:rPr>
                <w:rFonts w:ascii="宋体" w:hAnsi="宋体" w:cs="宋体" w:eastAsia="宋体" w:hint="default"/>
                <w:sz w:val="21"/>
                <w:szCs w:val="21"/>
              </w:rPr>
              <w:t>软件销售</w:t>
            </w:r>
            <w:r>
              <w:rPr>
                <w:rFonts w:ascii="宋体" w:hAnsi="宋体" w:cs="宋体" w:eastAsia="宋体" w:hint="default"/>
                <w:w w:val="100"/>
                <w:sz w:val="21"/>
                <w:szCs w:val="21"/>
              </w:rPr>
              <w:t> </w:t>
            </w:r>
            <w:r>
              <w:rPr>
                <w:rFonts w:ascii="宋体" w:hAnsi="宋体" w:cs="宋体" w:eastAsia="宋体" w:hint="default"/>
                <w:sz w:val="21"/>
                <w:szCs w:val="21"/>
              </w:rPr>
              <w:t>增值税退</w:t>
            </w:r>
            <w:r>
              <w:rPr>
                <w:rFonts w:ascii="宋体" w:hAnsi="宋体" w:cs="宋体" w:eastAsia="宋体" w:hint="default"/>
                <w:w w:val="100"/>
                <w:sz w:val="21"/>
                <w:szCs w:val="21"/>
              </w:rPr>
              <w:t> </w:t>
            </w:r>
            <w:r>
              <w:rPr>
                <w:rFonts w:ascii="宋体" w:hAnsi="宋体" w:cs="宋体" w:eastAsia="宋体" w:hint="default"/>
                <w:sz w:val="21"/>
                <w:szCs w:val="21"/>
              </w:rPr>
              <w:t>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北京市财</w:t>
            </w:r>
            <w:r>
              <w:rPr>
                <w:rFonts w:ascii="宋体" w:hAnsi="宋体" w:cs="宋体" w:eastAsia="宋体" w:hint="default"/>
                <w:w w:val="100"/>
                <w:sz w:val="21"/>
                <w:szCs w:val="21"/>
              </w:rPr>
              <w:t> </w:t>
            </w:r>
            <w:r>
              <w:rPr>
                <w:rFonts w:ascii="宋体" w:hAnsi="宋体" w:cs="宋体" w:eastAsia="宋体" w:hint="default"/>
                <w:sz w:val="21"/>
                <w:szCs w:val="21"/>
              </w:rPr>
              <w:t>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3"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因从事国</w:t>
            </w:r>
            <w:r>
              <w:rPr>
                <w:rFonts w:ascii="宋体" w:hAnsi="宋体" w:cs="宋体" w:eastAsia="宋体" w:hint="default"/>
                <w:w w:val="100"/>
                <w:sz w:val="21"/>
                <w:szCs w:val="21"/>
              </w:rPr>
              <w:t> </w:t>
            </w:r>
            <w:r>
              <w:rPr>
                <w:rFonts w:ascii="宋体" w:hAnsi="宋体" w:cs="宋体" w:eastAsia="宋体" w:hint="default"/>
                <w:sz w:val="21"/>
                <w:szCs w:val="21"/>
              </w:rPr>
              <w:t>家鼓励和</w:t>
            </w:r>
            <w:r>
              <w:rPr>
                <w:rFonts w:ascii="宋体" w:hAnsi="宋体" w:cs="宋体" w:eastAsia="宋体" w:hint="default"/>
                <w:w w:val="100"/>
                <w:sz w:val="21"/>
                <w:szCs w:val="21"/>
              </w:rPr>
              <w:t> </w:t>
            </w:r>
            <w:r>
              <w:rPr>
                <w:rFonts w:ascii="宋体" w:hAnsi="宋体" w:cs="宋体" w:eastAsia="宋体" w:hint="default"/>
                <w:sz w:val="21"/>
                <w:szCs w:val="21"/>
              </w:rPr>
              <w:t>扶持特定</w:t>
            </w:r>
            <w:r>
              <w:rPr>
                <w:rFonts w:ascii="宋体" w:hAnsi="宋体" w:cs="宋体" w:eastAsia="宋体" w:hint="default"/>
                <w:w w:val="100"/>
                <w:sz w:val="21"/>
                <w:szCs w:val="21"/>
              </w:rPr>
              <w:t> </w:t>
            </w:r>
            <w:r>
              <w:rPr>
                <w:rFonts w:ascii="宋体" w:hAnsi="宋体" w:cs="宋体" w:eastAsia="宋体" w:hint="default"/>
                <w:spacing w:val="-10"/>
                <w:sz w:val="21"/>
                <w:szCs w:val="21"/>
              </w:rPr>
              <w:t>行业、产业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而获得的</w:t>
            </w:r>
            <w:r>
              <w:rPr>
                <w:rFonts w:ascii="宋体" w:hAnsi="宋体" w:cs="宋体" w:eastAsia="宋体" w:hint="default"/>
                <w:w w:val="100"/>
                <w:sz w:val="21"/>
                <w:szCs w:val="21"/>
              </w:rPr>
              <w:t> </w:t>
            </w:r>
            <w:r>
              <w:rPr>
                <w:rFonts w:ascii="宋体" w:hAnsi="宋体" w:cs="宋体" w:eastAsia="宋体" w:hint="default"/>
                <w:spacing w:val="-10"/>
                <w:sz w:val="21"/>
                <w:szCs w:val="21"/>
              </w:rPr>
              <w:t>补助（按国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家级政策</w:t>
            </w:r>
            <w:r>
              <w:rPr>
                <w:rFonts w:ascii="宋体" w:hAnsi="宋体" w:cs="宋体" w:eastAsia="宋体" w:hint="default"/>
                <w:w w:val="100"/>
                <w:sz w:val="21"/>
                <w:szCs w:val="21"/>
              </w:rPr>
              <w:t> </w:t>
            </w:r>
            <w:r>
              <w:rPr>
                <w:rFonts w:ascii="宋体" w:hAnsi="宋体" w:cs="宋体" w:eastAsia="宋体" w:hint="default"/>
                <w:sz w:val="21"/>
                <w:szCs w:val="21"/>
              </w:rPr>
              <w:t>规定依法</w:t>
            </w:r>
            <w:r>
              <w:rPr>
                <w:rFonts w:ascii="宋体" w:hAnsi="宋体" w:cs="宋体" w:eastAsia="宋体" w:hint="default"/>
                <w:w w:val="100"/>
                <w:sz w:val="21"/>
                <w:szCs w:val="21"/>
              </w:rPr>
              <w:t> </w:t>
            </w:r>
            <w:r>
              <w:rPr>
                <w:rFonts w:ascii="宋体" w:hAnsi="宋体" w:cs="宋体" w:eastAsia="宋体" w:hint="default"/>
                <w:sz w:val="21"/>
                <w:szCs w:val="21"/>
              </w:rPr>
              <w:t>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right="15"/>
              <w:jc w:val="right"/>
              <w:rPr>
                <w:rFonts w:ascii="Times New Roman" w:hAnsi="Times New Roman" w:cs="Times New Roman" w:eastAsia="Times New Roman" w:hint="default"/>
                <w:sz w:val="21"/>
                <w:szCs w:val="21"/>
              </w:rPr>
            </w:pPr>
            <w:r>
              <w:rPr>
                <w:rFonts w:ascii="Times New Roman"/>
                <w:spacing w:val="-1"/>
                <w:sz w:val="21"/>
              </w:rPr>
              <w:t>13,096,351.75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73" w:lineRule="auto"/>
              <w:ind w:left="26" w:right="182"/>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290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71" w:lineRule="auto"/>
              <w:ind w:left="24" w:right="163"/>
              <w:jc w:val="both"/>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云计</w:t>
            </w:r>
            <w:r>
              <w:rPr>
                <w:rFonts w:ascii="宋体" w:hAnsi="宋体" w:cs="宋体" w:eastAsia="宋体" w:hint="default"/>
                <w:w w:val="100"/>
                <w:sz w:val="21"/>
                <w:szCs w:val="21"/>
              </w:rPr>
              <w:t> </w:t>
            </w:r>
            <w:r>
              <w:rPr>
                <w:rFonts w:ascii="宋体" w:hAnsi="宋体" w:cs="宋体" w:eastAsia="宋体" w:hint="default"/>
                <w:sz w:val="21"/>
                <w:szCs w:val="21"/>
              </w:rPr>
              <w:t>算服务平</w:t>
            </w:r>
            <w:r>
              <w:rPr>
                <w:rFonts w:ascii="宋体" w:hAnsi="宋体" w:cs="宋体" w:eastAsia="宋体" w:hint="default"/>
                <w:w w:val="100"/>
                <w:sz w:val="21"/>
                <w:szCs w:val="21"/>
              </w:rPr>
              <w:t> </w:t>
            </w:r>
            <w:r>
              <w:rPr>
                <w:rFonts w:ascii="宋体" w:hAnsi="宋体" w:cs="宋体" w:eastAsia="宋体" w:hint="default"/>
                <w:sz w:val="21"/>
                <w:szCs w:val="21"/>
              </w:rPr>
              <w:t>台关键技</w:t>
            </w:r>
            <w:r>
              <w:rPr>
                <w:rFonts w:ascii="宋体" w:hAnsi="宋体" w:cs="宋体" w:eastAsia="宋体" w:hint="default"/>
                <w:w w:val="100"/>
                <w:sz w:val="21"/>
                <w:szCs w:val="21"/>
              </w:rPr>
              <w:t> </w:t>
            </w:r>
            <w:r>
              <w:rPr>
                <w:rFonts w:ascii="宋体" w:hAnsi="宋体" w:cs="宋体" w:eastAsia="宋体" w:hint="default"/>
                <w:sz w:val="21"/>
                <w:szCs w:val="21"/>
              </w:rPr>
              <w:t>术北京市</w:t>
            </w:r>
            <w:r>
              <w:rPr>
                <w:rFonts w:ascii="宋体" w:hAnsi="宋体" w:cs="宋体" w:eastAsia="宋体" w:hint="default"/>
                <w:w w:val="100"/>
                <w:sz w:val="21"/>
                <w:szCs w:val="21"/>
              </w:rPr>
              <w:t> </w:t>
            </w:r>
            <w:r>
              <w:rPr>
                <w:rFonts w:ascii="宋体" w:hAnsi="宋体" w:cs="宋体" w:eastAsia="宋体" w:hint="default"/>
                <w:sz w:val="21"/>
                <w:szCs w:val="21"/>
              </w:rPr>
              <w:t>工程实验</w:t>
            </w:r>
            <w:r>
              <w:rPr>
                <w:rFonts w:ascii="宋体" w:hAnsi="宋体" w:cs="宋体" w:eastAsia="宋体" w:hint="default"/>
                <w:w w:val="100"/>
                <w:sz w:val="21"/>
                <w:szCs w:val="21"/>
              </w:rPr>
              <w:t> </w:t>
            </w:r>
            <w:r>
              <w:rPr>
                <w:rFonts w:ascii="宋体" w:hAnsi="宋体" w:cs="宋体" w:eastAsia="宋体" w:hint="default"/>
                <w:sz w:val="21"/>
                <w:szCs w:val="21"/>
              </w:rPr>
              <w:t>室创新能</w:t>
            </w:r>
            <w:r>
              <w:rPr>
                <w:rFonts w:ascii="宋体" w:hAnsi="宋体" w:cs="宋体" w:eastAsia="宋体" w:hint="default"/>
                <w:w w:val="100"/>
                <w:sz w:val="21"/>
                <w:szCs w:val="21"/>
              </w:rPr>
              <w:t> </w:t>
            </w:r>
            <w:r>
              <w:rPr>
                <w:rFonts w:ascii="宋体" w:hAnsi="宋体" w:cs="宋体" w:eastAsia="宋体" w:hint="default"/>
                <w:sz w:val="21"/>
                <w:szCs w:val="21"/>
              </w:rPr>
              <w:t>力建设项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北京市科</w:t>
            </w:r>
            <w:r>
              <w:rPr>
                <w:rFonts w:ascii="宋体" w:hAnsi="宋体" w:cs="宋体" w:eastAsia="宋体" w:hint="default"/>
                <w:w w:val="100"/>
                <w:sz w:val="21"/>
                <w:szCs w:val="21"/>
              </w:rPr>
              <w:t> </w:t>
            </w:r>
            <w:r>
              <w:rPr>
                <w:rFonts w:ascii="宋体" w:hAnsi="宋体" w:cs="宋体" w:eastAsia="宋体" w:hint="default"/>
                <w:sz w:val="21"/>
                <w:szCs w:val="21"/>
              </w:rPr>
              <w:t>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23"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因从事国</w:t>
            </w:r>
            <w:r>
              <w:rPr>
                <w:rFonts w:ascii="宋体" w:hAnsi="宋体" w:cs="宋体" w:eastAsia="宋体" w:hint="default"/>
                <w:w w:val="100"/>
                <w:sz w:val="21"/>
                <w:szCs w:val="21"/>
              </w:rPr>
              <w:t> </w:t>
            </w:r>
            <w:r>
              <w:rPr>
                <w:rFonts w:ascii="宋体" w:hAnsi="宋体" w:cs="宋体" w:eastAsia="宋体" w:hint="default"/>
                <w:sz w:val="21"/>
                <w:szCs w:val="21"/>
              </w:rPr>
              <w:t>家鼓励和</w:t>
            </w:r>
            <w:r>
              <w:rPr>
                <w:rFonts w:ascii="宋体" w:hAnsi="宋体" w:cs="宋体" w:eastAsia="宋体" w:hint="default"/>
                <w:w w:val="100"/>
                <w:sz w:val="21"/>
                <w:szCs w:val="21"/>
              </w:rPr>
              <w:t> </w:t>
            </w:r>
            <w:r>
              <w:rPr>
                <w:rFonts w:ascii="宋体" w:hAnsi="宋体" w:cs="宋体" w:eastAsia="宋体" w:hint="default"/>
                <w:sz w:val="21"/>
                <w:szCs w:val="21"/>
              </w:rPr>
              <w:t>扶持特定</w:t>
            </w:r>
            <w:r>
              <w:rPr>
                <w:rFonts w:ascii="宋体" w:hAnsi="宋体" w:cs="宋体" w:eastAsia="宋体" w:hint="default"/>
                <w:w w:val="100"/>
                <w:sz w:val="21"/>
                <w:szCs w:val="21"/>
              </w:rPr>
              <w:t> </w:t>
            </w:r>
            <w:r>
              <w:rPr>
                <w:rFonts w:ascii="宋体" w:hAnsi="宋体" w:cs="宋体" w:eastAsia="宋体" w:hint="default"/>
                <w:spacing w:val="-10"/>
                <w:sz w:val="21"/>
                <w:szCs w:val="21"/>
              </w:rPr>
              <w:t>行业、产业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而获得的</w:t>
            </w:r>
            <w:r>
              <w:rPr>
                <w:rFonts w:ascii="宋体" w:hAnsi="宋体" w:cs="宋体" w:eastAsia="宋体" w:hint="default"/>
                <w:w w:val="100"/>
                <w:sz w:val="21"/>
                <w:szCs w:val="21"/>
              </w:rPr>
              <w:t> </w:t>
            </w:r>
            <w:r>
              <w:rPr>
                <w:rFonts w:ascii="宋体" w:hAnsi="宋体" w:cs="宋体" w:eastAsia="宋体" w:hint="default"/>
                <w:spacing w:val="-10"/>
                <w:sz w:val="21"/>
                <w:szCs w:val="21"/>
              </w:rPr>
              <w:t>补助（按国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家级政策</w:t>
            </w:r>
            <w:r>
              <w:rPr>
                <w:rFonts w:ascii="宋体" w:hAnsi="宋体" w:cs="宋体" w:eastAsia="宋体" w:hint="default"/>
                <w:w w:val="100"/>
                <w:sz w:val="21"/>
                <w:szCs w:val="21"/>
              </w:rPr>
              <w:t> </w:t>
            </w:r>
            <w:r>
              <w:rPr>
                <w:rFonts w:ascii="宋体" w:hAnsi="宋体" w:cs="宋体" w:eastAsia="宋体" w:hint="default"/>
                <w:sz w:val="21"/>
                <w:szCs w:val="21"/>
              </w:rPr>
              <w:t>规定依法</w:t>
            </w:r>
            <w:r>
              <w:rPr>
                <w:rFonts w:ascii="宋体" w:hAnsi="宋体" w:cs="宋体" w:eastAsia="宋体" w:hint="default"/>
                <w:w w:val="100"/>
                <w:sz w:val="21"/>
                <w:szCs w:val="21"/>
              </w:rPr>
              <w:t> </w:t>
            </w:r>
            <w:r>
              <w:rPr>
                <w:rFonts w:ascii="宋体" w:hAnsi="宋体" w:cs="宋体" w:eastAsia="宋体" w:hint="default"/>
                <w:sz w:val="21"/>
                <w:szCs w:val="21"/>
              </w:rPr>
              <w:t>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5"/>
              <w:jc w:val="right"/>
              <w:rPr>
                <w:rFonts w:ascii="Times New Roman" w:hAnsi="Times New Roman" w:cs="Times New Roman" w:eastAsia="Times New Roman" w:hint="default"/>
                <w:sz w:val="21"/>
                <w:szCs w:val="21"/>
              </w:rPr>
            </w:pPr>
            <w:r>
              <w:rPr>
                <w:rFonts w:ascii="Times New Roman"/>
                <w:spacing w:val="-1"/>
                <w:sz w:val="21"/>
              </w:rPr>
              <w:t>570,924.00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73" w:lineRule="auto"/>
              <w:ind w:left="26" w:right="182"/>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7"/>
              <w:jc w:val="both"/>
              <w:rPr>
                <w:rFonts w:ascii="宋体" w:hAnsi="宋体" w:cs="宋体" w:eastAsia="宋体" w:hint="default"/>
                <w:sz w:val="21"/>
                <w:szCs w:val="21"/>
              </w:rPr>
            </w:pPr>
            <w:r>
              <w:rPr>
                <w:rFonts w:ascii="宋体" w:hAnsi="宋体" w:cs="宋体" w:eastAsia="宋体" w:hint="default"/>
                <w:sz w:val="21"/>
                <w:szCs w:val="21"/>
              </w:rPr>
              <w:t>多尺度生</w:t>
            </w:r>
            <w:r>
              <w:rPr>
                <w:rFonts w:ascii="宋体" w:hAnsi="宋体" w:cs="宋体" w:eastAsia="宋体" w:hint="default"/>
                <w:w w:val="100"/>
                <w:sz w:val="21"/>
                <w:szCs w:val="21"/>
              </w:rPr>
              <w:t> </w:t>
            </w:r>
            <w:r>
              <w:rPr>
                <w:rFonts w:ascii="宋体" w:hAnsi="宋体" w:cs="宋体" w:eastAsia="宋体" w:hint="default"/>
                <w:sz w:val="21"/>
                <w:szCs w:val="21"/>
              </w:rPr>
              <w:t>态系统演</w:t>
            </w:r>
            <w:r>
              <w:rPr>
                <w:rFonts w:ascii="宋体" w:hAnsi="宋体" w:cs="宋体" w:eastAsia="宋体" w:hint="default"/>
                <w:w w:val="100"/>
                <w:sz w:val="21"/>
                <w:szCs w:val="21"/>
              </w:rPr>
              <w:t> </w:t>
            </w:r>
            <w:r>
              <w:rPr>
                <w:rFonts w:ascii="宋体" w:hAnsi="宋体" w:cs="宋体" w:eastAsia="宋体" w:hint="default"/>
                <w:sz w:val="21"/>
                <w:szCs w:val="21"/>
              </w:rPr>
              <w:t>变与未来</w:t>
            </w:r>
            <w:r>
              <w:rPr>
                <w:rFonts w:ascii="宋体" w:hAnsi="宋体" w:cs="宋体" w:eastAsia="宋体" w:hint="default"/>
                <w:w w:val="100"/>
                <w:sz w:val="21"/>
                <w:szCs w:val="21"/>
              </w:rPr>
              <w:t> </w:t>
            </w:r>
            <w:r>
              <w:rPr>
                <w:rFonts w:ascii="宋体" w:hAnsi="宋体" w:cs="宋体" w:eastAsia="宋体" w:hint="default"/>
                <w:sz w:val="21"/>
                <w:szCs w:val="21"/>
              </w:rPr>
              <w:t>情景模型</w:t>
            </w:r>
            <w:r>
              <w:rPr>
                <w:rFonts w:ascii="宋体" w:hAnsi="宋体" w:cs="宋体" w:eastAsia="宋体" w:hint="default"/>
                <w:w w:val="100"/>
                <w:sz w:val="21"/>
                <w:szCs w:val="21"/>
              </w:rPr>
              <w:t> </w:t>
            </w:r>
            <w:r>
              <w:rPr>
                <w:rFonts w:ascii="宋体" w:hAnsi="宋体" w:cs="宋体" w:eastAsia="宋体" w:hint="default"/>
                <w:sz w:val="21"/>
                <w:szCs w:val="21"/>
              </w:rPr>
              <w:t>模拟技术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科技部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因研究开</w:t>
            </w:r>
            <w:r>
              <w:rPr>
                <w:rFonts w:ascii="宋体" w:hAnsi="宋体" w:cs="宋体" w:eastAsia="宋体" w:hint="default"/>
                <w:w w:val="100"/>
                <w:sz w:val="21"/>
                <w:szCs w:val="21"/>
              </w:rPr>
              <w:t> </w:t>
            </w:r>
            <w:r>
              <w:rPr>
                <w:rFonts w:ascii="宋体" w:hAnsi="宋体" w:cs="宋体" w:eastAsia="宋体" w:hint="default"/>
                <w:spacing w:val="-10"/>
                <w:sz w:val="21"/>
                <w:szCs w:val="21"/>
              </w:rPr>
              <w:t>发、技术更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新及改造</w:t>
            </w:r>
            <w:r>
              <w:rPr>
                <w:rFonts w:ascii="宋体" w:hAnsi="宋体" w:cs="宋体" w:eastAsia="宋体" w:hint="default"/>
                <w:w w:val="100"/>
                <w:sz w:val="21"/>
                <w:szCs w:val="21"/>
              </w:rPr>
              <w:t> </w:t>
            </w:r>
            <w:r>
              <w:rPr>
                <w:rFonts w:ascii="宋体" w:hAnsi="宋体" w:cs="宋体" w:eastAsia="宋体" w:hint="default"/>
                <w:sz w:val="21"/>
                <w:szCs w:val="21"/>
              </w:rPr>
              <w:t>等获得的</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pacing w:val="-1"/>
                <w:sz w:val="21"/>
              </w:rPr>
              <w:t>2,944,180.61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26" w:right="182"/>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28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8"/>
              <w:ind w:left="24" w:right="187"/>
              <w:jc w:val="both"/>
              <w:rPr>
                <w:rFonts w:ascii="宋体" w:hAnsi="宋体" w:cs="宋体" w:eastAsia="宋体" w:hint="default"/>
                <w:sz w:val="21"/>
                <w:szCs w:val="21"/>
              </w:rPr>
            </w:pPr>
            <w:r>
              <w:rPr>
                <w:rFonts w:ascii="宋体" w:hAnsi="宋体" w:cs="宋体" w:eastAsia="宋体" w:hint="default"/>
                <w:sz w:val="21"/>
                <w:szCs w:val="21"/>
              </w:rPr>
              <w:t>科技北京</w:t>
            </w:r>
            <w:r>
              <w:rPr>
                <w:rFonts w:ascii="宋体" w:hAnsi="宋体" w:cs="宋体" w:eastAsia="宋体" w:hint="default"/>
                <w:w w:val="100"/>
                <w:sz w:val="21"/>
                <w:szCs w:val="21"/>
              </w:rPr>
              <w:t> </w:t>
            </w:r>
            <w:r>
              <w:rPr>
                <w:rFonts w:ascii="宋体" w:hAnsi="宋体" w:cs="宋体" w:eastAsia="宋体" w:hint="default"/>
                <w:sz w:val="21"/>
                <w:szCs w:val="21"/>
              </w:rPr>
              <w:t>百名领军</w:t>
            </w:r>
            <w:r>
              <w:rPr>
                <w:rFonts w:ascii="宋体" w:hAnsi="宋体" w:cs="宋体" w:eastAsia="宋体" w:hint="default"/>
                <w:w w:val="100"/>
                <w:sz w:val="21"/>
                <w:szCs w:val="21"/>
              </w:rPr>
              <w:t> </w:t>
            </w:r>
            <w:r>
              <w:rPr>
                <w:rFonts w:ascii="宋体" w:hAnsi="宋体" w:cs="宋体" w:eastAsia="宋体" w:hint="default"/>
                <w:sz w:val="21"/>
                <w:szCs w:val="21"/>
              </w:rPr>
              <w:t>人才培养</w:t>
            </w:r>
            <w:r>
              <w:rPr>
                <w:rFonts w:ascii="宋体" w:hAnsi="宋体" w:cs="宋体" w:eastAsia="宋体" w:hint="default"/>
                <w:w w:val="100"/>
                <w:sz w:val="21"/>
                <w:szCs w:val="21"/>
              </w:rPr>
              <w:t> </w:t>
            </w:r>
            <w:r>
              <w:rPr>
                <w:rFonts w:ascii="宋体" w:hAnsi="宋体" w:cs="宋体" w:eastAsia="宋体" w:hint="default"/>
                <w:sz w:val="21"/>
                <w:szCs w:val="21"/>
              </w:rPr>
              <w:t>工程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北京市科</w:t>
            </w:r>
            <w:r>
              <w:rPr>
                <w:rFonts w:ascii="宋体" w:hAnsi="宋体" w:cs="宋体" w:eastAsia="宋体" w:hint="default"/>
                <w:w w:val="100"/>
                <w:sz w:val="21"/>
                <w:szCs w:val="21"/>
              </w:rPr>
              <w:t> </w:t>
            </w:r>
            <w:r>
              <w:rPr>
                <w:rFonts w:ascii="宋体" w:hAnsi="宋体" w:cs="宋体" w:eastAsia="宋体" w:hint="default"/>
                <w:sz w:val="21"/>
                <w:szCs w:val="21"/>
              </w:rPr>
              <w:t>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3"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因从事国</w:t>
            </w:r>
            <w:r>
              <w:rPr>
                <w:rFonts w:ascii="宋体" w:hAnsi="宋体" w:cs="宋体" w:eastAsia="宋体" w:hint="default"/>
                <w:w w:val="100"/>
                <w:sz w:val="21"/>
                <w:szCs w:val="21"/>
              </w:rPr>
              <w:t> </w:t>
            </w:r>
            <w:r>
              <w:rPr>
                <w:rFonts w:ascii="宋体" w:hAnsi="宋体" w:cs="宋体" w:eastAsia="宋体" w:hint="default"/>
                <w:sz w:val="21"/>
                <w:szCs w:val="21"/>
              </w:rPr>
              <w:t>家鼓励和</w:t>
            </w:r>
            <w:r>
              <w:rPr>
                <w:rFonts w:ascii="宋体" w:hAnsi="宋体" w:cs="宋体" w:eastAsia="宋体" w:hint="default"/>
                <w:w w:val="100"/>
                <w:sz w:val="21"/>
                <w:szCs w:val="21"/>
              </w:rPr>
              <w:t> </w:t>
            </w:r>
            <w:r>
              <w:rPr>
                <w:rFonts w:ascii="宋体" w:hAnsi="宋体" w:cs="宋体" w:eastAsia="宋体" w:hint="default"/>
                <w:sz w:val="21"/>
                <w:szCs w:val="21"/>
              </w:rPr>
              <w:t>扶持特定</w:t>
            </w:r>
            <w:r>
              <w:rPr>
                <w:rFonts w:ascii="宋体" w:hAnsi="宋体" w:cs="宋体" w:eastAsia="宋体" w:hint="default"/>
                <w:w w:val="100"/>
                <w:sz w:val="21"/>
                <w:szCs w:val="21"/>
              </w:rPr>
              <w:t> </w:t>
            </w:r>
            <w:r>
              <w:rPr>
                <w:rFonts w:ascii="宋体" w:hAnsi="宋体" w:cs="宋体" w:eastAsia="宋体" w:hint="default"/>
                <w:spacing w:val="-10"/>
                <w:sz w:val="21"/>
                <w:szCs w:val="21"/>
              </w:rPr>
              <w:t>行业、产业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而获得的</w:t>
            </w:r>
            <w:r>
              <w:rPr>
                <w:rFonts w:ascii="宋体" w:hAnsi="宋体" w:cs="宋体" w:eastAsia="宋体" w:hint="default"/>
                <w:w w:val="100"/>
                <w:sz w:val="21"/>
                <w:szCs w:val="21"/>
              </w:rPr>
              <w:t> </w:t>
            </w:r>
            <w:r>
              <w:rPr>
                <w:rFonts w:ascii="宋体" w:hAnsi="宋体" w:cs="宋体" w:eastAsia="宋体" w:hint="default"/>
                <w:spacing w:val="-10"/>
                <w:sz w:val="21"/>
                <w:szCs w:val="21"/>
              </w:rPr>
              <w:t>补助（按国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家级政策</w:t>
            </w:r>
            <w:r>
              <w:rPr>
                <w:rFonts w:ascii="宋体" w:hAnsi="宋体" w:cs="宋体" w:eastAsia="宋体" w:hint="default"/>
                <w:w w:val="100"/>
                <w:sz w:val="21"/>
                <w:szCs w:val="21"/>
              </w:rPr>
              <w:t> </w:t>
            </w:r>
            <w:r>
              <w:rPr>
                <w:rFonts w:ascii="宋体" w:hAnsi="宋体" w:cs="宋体" w:eastAsia="宋体" w:hint="default"/>
                <w:sz w:val="21"/>
                <w:szCs w:val="21"/>
              </w:rPr>
              <w:t>规定依法</w:t>
            </w:r>
            <w:r>
              <w:rPr>
                <w:rFonts w:ascii="宋体" w:hAnsi="宋体" w:cs="宋体" w:eastAsia="宋体" w:hint="default"/>
                <w:w w:val="100"/>
                <w:sz w:val="21"/>
                <w:szCs w:val="21"/>
              </w:rPr>
              <w:t> </w:t>
            </w:r>
            <w:r>
              <w:rPr>
                <w:rFonts w:ascii="宋体" w:hAnsi="宋体" w:cs="宋体" w:eastAsia="宋体" w:hint="default"/>
                <w:sz w:val="21"/>
                <w:szCs w:val="21"/>
              </w:rPr>
              <w:t>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left="298" w:right="0"/>
              <w:jc w:val="left"/>
              <w:rPr>
                <w:rFonts w:ascii="Times New Roman" w:hAnsi="Times New Roman" w:cs="Times New Roman" w:eastAsia="Times New Roman" w:hint="default"/>
                <w:sz w:val="21"/>
                <w:szCs w:val="21"/>
              </w:rPr>
            </w:pPr>
            <w:r>
              <w:rPr>
                <w:rFonts w:ascii="Times New Roman"/>
                <w:sz w:val="21"/>
              </w:rPr>
              <w:t>100,000.00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right="15"/>
              <w:jc w:val="right"/>
              <w:rPr>
                <w:rFonts w:ascii="Times New Roman" w:hAnsi="Times New Roman" w:cs="Times New Roman" w:eastAsia="Times New Roman" w:hint="default"/>
                <w:sz w:val="21"/>
                <w:szCs w:val="21"/>
              </w:rPr>
            </w:pPr>
            <w:r>
              <w:rPr>
                <w:rFonts w:ascii="Times New Roman"/>
                <w:spacing w:val="-1"/>
                <w:sz w:val="21"/>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73" w:lineRule="auto"/>
              <w:ind w:left="26" w:right="182"/>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187"/>
              <w:jc w:val="both"/>
              <w:rPr>
                <w:rFonts w:ascii="宋体" w:hAnsi="宋体" w:cs="宋体" w:eastAsia="宋体" w:hint="default"/>
                <w:sz w:val="21"/>
                <w:szCs w:val="21"/>
              </w:rPr>
            </w:pPr>
            <w:r>
              <w:rPr>
                <w:rFonts w:ascii="宋体" w:hAnsi="宋体" w:cs="宋体" w:eastAsia="宋体" w:hint="default"/>
                <w:sz w:val="21"/>
                <w:szCs w:val="21"/>
              </w:rPr>
              <w:t>面向大数</w:t>
            </w:r>
            <w:r>
              <w:rPr>
                <w:rFonts w:ascii="宋体" w:hAnsi="宋体" w:cs="宋体" w:eastAsia="宋体" w:hint="default"/>
                <w:w w:val="100"/>
                <w:sz w:val="21"/>
                <w:szCs w:val="21"/>
              </w:rPr>
              <w:t> </w:t>
            </w:r>
            <w:r>
              <w:rPr>
                <w:rFonts w:ascii="宋体" w:hAnsi="宋体" w:cs="宋体" w:eastAsia="宋体" w:hint="default"/>
                <w:sz w:val="21"/>
                <w:szCs w:val="21"/>
              </w:rPr>
              <w:t>据的商业</w:t>
            </w:r>
            <w:r>
              <w:rPr>
                <w:rFonts w:ascii="宋体" w:hAnsi="宋体" w:cs="宋体" w:eastAsia="宋体" w:hint="default"/>
                <w:w w:val="100"/>
                <w:sz w:val="21"/>
                <w:szCs w:val="21"/>
              </w:rPr>
              <w:t> </w:t>
            </w:r>
            <w:r>
              <w:rPr>
                <w:rFonts w:ascii="宋体" w:hAnsi="宋体" w:cs="宋体" w:eastAsia="宋体" w:hint="default"/>
                <w:sz w:val="21"/>
                <w:szCs w:val="21"/>
              </w:rPr>
              <w:t>地理信息</w:t>
            </w:r>
            <w:r>
              <w:rPr>
                <w:rFonts w:ascii="宋体" w:hAnsi="宋体" w:cs="宋体" w:eastAsia="宋体" w:hint="default"/>
                <w:w w:val="100"/>
                <w:sz w:val="21"/>
                <w:szCs w:val="21"/>
              </w:rPr>
              <w:t> </w:t>
            </w:r>
            <w:r>
              <w:rPr>
                <w:rFonts w:ascii="宋体" w:hAnsi="宋体" w:cs="宋体" w:eastAsia="宋体" w:hint="default"/>
                <w:sz w:val="21"/>
                <w:szCs w:val="21"/>
              </w:rPr>
              <w:t>系统关键</w:t>
            </w:r>
            <w:r>
              <w:rPr>
                <w:rFonts w:ascii="宋体" w:hAnsi="宋体" w:cs="宋体" w:eastAsia="宋体" w:hint="default"/>
                <w:w w:val="100"/>
                <w:sz w:val="21"/>
                <w:szCs w:val="21"/>
              </w:rPr>
              <w:t> </w:t>
            </w:r>
            <w:r>
              <w:rPr>
                <w:rFonts w:ascii="宋体" w:hAnsi="宋体" w:cs="宋体" w:eastAsia="宋体" w:hint="default"/>
                <w:sz w:val="21"/>
                <w:szCs w:val="21"/>
              </w:rPr>
              <w:t>技术研究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北京市科</w:t>
            </w:r>
            <w:r>
              <w:rPr>
                <w:rFonts w:ascii="宋体" w:hAnsi="宋体" w:cs="宋体" w:eastAsia="宋体" w:hint="default"/>
                <w:w w:val="100"/>
                <w:sz w:val="21"/>
                <w:szCs w:val="21"/>
              </w:rPr>
              <w:t> </w:t>
            </w:r>
            <w:r>
              <w:rPr>
                <w:rFonts w:ascii="宋体" w:hAnsi="宋体" w:cs="宋体" w:eastAsia="宋体" w:hint="default"/>
                <w:sz w:val="21"/>
                <w:szCs w:val="21"/>
              </w:rPr>
              <w:t>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3" w:right="17"/>
              <w:jc w:val="left"/>
              <w:rPr>
                <w:rFonts w:ascii="宋体" w:hAnsi="宋体" w:cs="宋体" w:eastAsia="宋体" w:hint="default"/>
                <w:sz w:val="21"/>
                <w:szCs w:val="21"/>
              </w:rPr>
            </w:pPr>
            <w:r>
              <w:rPr>
                <w:rFonts w:ascii="宋体" w:hAnsi="宋体" w:cs="宋体" w:eastAsia="宋体" w:hint="default"/>
                <w:sz w:val="21"/>
                <w:szCs w:val="21"/>
              </w:rPr>
              <w:t>因研究开</w:t>
            </w:r>
            <w:r>
              <w:rPr>
                <w:rFonts w:ascii="宋体" w:hAnsi="宋体" w:cs="宋体" w:eastAsia="宋体" w:hint="default"/>
                <w:w w:val="100"/>
                <w:sz w:val="21"/>
                <w:szCs w:val="21"/>
              </w:rPr>
              <w:t> </w:t>
            </w:r>
            <w:r>
              <w:rPr>
                <w:rFonts w:ascii="宋体" w:hAnsi="宋体" w:cs="宋体" w:eastAsia="宋体" w:hint="default"/>
                <w:spacing w:val="-10"/>
                <w:sz w:val="21"/>
                <w:szCs w:val="21"/>
              </w:rPr>
              <w:t>发、技术更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新及改造</w:t>
            </w:r>
            <w:r>
              <w:rPr>
                <w:rFonts w:ascii="宋体" w:hAnsi="宋体" w:cs="宋体" w:eastAsia="宋体" w:hint="default"/>
                <w:w w:val="100"/>
                <w:sz w:val="21"/>
                <w:szCs w:val="21"/>
              </w:rPr>
              <w:t> </w:t>
            </w:r>
            <w:r>
              <w:rPr>
                <w:rFonts w:ascii="宋体" w:hAnsi="宋体" w:cs="宋体" w:eastAsia="宋体" w:hint="default"/>
                <w:sz w:val="21"/>
                <w:szCs w:val="21"/>
              </w:rPr>
              <w:t>等获得的</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pacing w:val="-1"/>
                <w:sz w:val="21"/>
              </w:rPr>
              <w:t>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26" w:right="182"/>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7"/>
              <w:jc w:val="both"/>
              <w:rPr>
                <w:rFonts w:ascii="宋体" w:hAnsi="宋体" w:cs="宋体" w:eastAsia="宋体" w:hint="default"/>
                <w:sz w:val="21"/>
                <w:szCs w:val="21"/>
              </w:rPr>
            </w:pPr>
            <w:r>
              <w:rPr>
                <w:rFonts w:ascii="宋体" w:hAnsi="宋体" w:cs="宋体" w:eastAsia="宋体" w:hint="default"/>
                <w:sz w:val="21"/>
                <w:szCs w:val="21"/>
              </w:rPr>
              <w:t>沿海重点</w:t>
            </w:r>
            <w:r>
              <w:rPr>
                <w:rFonts w:ascii="宋体" w:hAnsi="宋体" w:cs="宋体" w:eastAsia="宋体" w:hint="default"/>
                <w:w w:val="100"/>
                <w:sz w:val="21"/>
                <w:szCs w:val="21"/>
              </w:rPr>
              <w:t> </w:t>
            </w:r>
            <w:r>
              <w:rPr>
                <w:rFonts w:ascii="宋体" w:hAnsi="宋体" w:cs="宋体" w:eastAsia="宋体" w:hint="default"/>
                <w:sz w:val="21"/>
                <w:szCs w:val="21"/>
              </w:rPr>
              <w:t>保障区域</w:t>
            </w:r>
            <w:r>
              <w:rPr>
                <w:rFonts w:ascii="宋体" w:hAnsi="宋体" w:cs="宋体" w:eastAsia="宋体" w:hint="default"/>
                <w:w w:val="100"/>
                <w:sz w:val="21"/>
                <w:szCs w:val="21"/>
              </w:rPr>
              <w:t> </w:t>
            </w:r>
            <w:r>
              <w:rPr>
                <w:rFonts w:ascii="宋体" w:hAnsi="宋体" w:cs="宋体" w:eastAsia="宋体" w:hint="default"/>
                <w:sz w:val="21"/>
                <w:szCs w:val="21"/>
              </w:rPr>
              <w:t>精细化综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5"/>
              <w:ind w:left="23" w:right="185"/>
              <w:jc w:val="left"/>
              <w:rPr>
                <w:rFonts w:ascii="宋体" w:hAnsi="宋体" w:cs="宋体" w:eastAsia="宋体" w:hint="default"/>
                <w:sz w:val="21"/>
                <w:szCs w:val="21"/>
              </w:rPr>
            </w:pPr>
            <w:r>
              <w:rPr>
                <w:rFonts w:ascii="宋体" w:hAnsi="宋体" w:cs="宋体" w:eastAsia="宋体" w:hint="default"/>
                <w:sz w:val="21"/>
                <w:szCs w:val="21"/>
              </w:rPr>
              <w:t>国家气象</w:t>
            </w:r>
            <w:r>
              <w:rPr>
                <w:rFonts w:ascii="宋体" w:hAnsi="宋体" w:cs="宋体" w:eastAsia="宋体" w:hint="default"/>
                <w:w w:val="100"/>
                <w:sz w:val="21"/>
                <w:szCs w:val="21"/>
              </w:rPr>
              <w:t> </w:t>
            </w:r>
            <w:r>
              <w:rPr>
                <w:rFonts w:ascii="宋体" w:hAnsi="宋体" w:cs="宋体" w:eastAsia="宋体" w:hint="default"/>
                <w:sz w:val="21"/>
                <w:szCs w:val="21"/>
              </w:rPr>
              <w:t>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85"/>
              <w:jc w:val="both"/>
              <w:rPr>
                <w:rFonts w:ascii="宋体" w:hAnsi="宋体" w:cs="宋体" w:eastAsia="宋体" w:hint="default"/>
                <w:sz w:val="21"/>
                <w:szCs w:val="21"/>
              </w:rPr>
            </w:pPr>
            <w:r>
              <w:rPr>
                <w:rFonts w:ascii="宋体" w:hAnsi="宋体" w:cs="宋体" w:eastAsia="宋体" w:hint="default"/>
                <w:sz w:val="21"/>
                <w:szCs w:val="21"/>
              </w:rPr>
              <w:t>因从事国</w:t>
            </w:r>
            <w:r>
              <w:rPr>
                <w:rFonts w:ascii="宋体" w:hAnsi="宋体" w:cs="宋体" w:eastAsia="宋体" w:hint="default"/>
                <w:w w:val="100"/>
                <w:sz w:val="21"/>
                <w:szCs w:val="21"/>
              </w:rPr>
              <w:t> </w:t>
            </w:r>
            <w:r>
              <w:rPr>
                <w:rFonts w:ascii="宋体" w:hAnsi="宋体" w:cs="宋体" w:eastAsia="宋体" w:hint="default"/>
                <w:sz w:val="21"/>
                <w:szCs w:val="21"/>
              </w:rPr>
              <w:t>家鼓励和</w:t>
            </w:r>
            <w:r>
              <w:rPr>
                <w:rFonts w:ascii="宋体" w:hAnsi="宋体" w:cs="宋体" w:eastAsia="宋体" w:hint="default"/>
                <w:w w:val="100"/>
                <w:sz w:val="21"/>
                <w:szCs w:val="21"/>
              </w:rPr>
              <w:t> </w:t>
            </w:r>
            <w:r>
              <w:rPr>
                <w:rFonts w:ascii="宋体" w:hAnsi="宋体" w:cs="宋体" w:eastAsia="宋体" w:hint="default"/>
                <w:sz w:val="21"/>
                <w:szCs w:val="21"/>
              </w:rPr>
              <w:t>扶持特定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15"/>
              <w:jc w:val="right"/>
              <w:rPr>
                <w:rFonts w:ascii="Times New Roman" w:hAnsi="Times New Roman" w:cs="Times New Roman" w:eastAsia="Times New Roman" w:hint="default"/>
                <w:sz w:val="21"/>
                <w:szCs w:val="21"/>
              </w:rPr>
            </w:pPr>
            <w:r>
              <w:rPr>
                <w:rFonts w:ascii="Times New Roman"/>
                <w:spacing w:val="-1"/>
                <w:sz w:val="21"/>
              </w:rPr>
              <w:t>433,068.15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5"/>
              <w:ind w:left="26" w:right="182"/>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bl>
    <w:p>
      <w:pPr>
        <w:spacing w:after="0" w:line="273" w:lineRule="auto"/>
        <w:jc w:val="left"/>
        <w:rPr>
          <w:rFonts w:ascii="宋体" w:hAnsi="宋体" w:cs="宋体" w:eastAsia="宋体" w:hint="default"/>
          <w:sz w:val="21"/>
          <w:szCs w:val="21"/>
        </w:rPr>
        <w:sectPr>
          <w:pgSz w:w="11910" w:h="16840"/>
          <w:pgMar w:header="877" w:footer="980" w:top="1100" w:bottom="1160" w:left="980" w:right="5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277"/>
        <w:gridCol w:w="1344"/>
        <w:gridCol w:w="1063"/>
      </w:tblGrid>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7"/>
              <w:jc w:val="both"/>
              <w:rPr>
                <w:rFonts w:ascii="宋体" w:hAnsi="宋体" w:cs="宋体" w:eastAsia="宋体" w:hint="default"/>
                <w:sz w:val="21"/>
                <w:szCs w:val="21"/>
              </w:rPr>
            </w:pPr>
            <w:r>
              <w:rPr>
                <w:rFonts w:ascii="宋体" w:hAnsi="宋体" w:cs="宋体" w:eastAsia="宋体" w:hint="default"/>
                <w:sz w:val="21"/>
                <w:szCs w:val="21"/>
              </w:rPr>
              <w:t>合预报系</w:t>
            </w:r>
            <w:r>
              <w:rPr>
                <w:rFonts w:ascii="宋体" w:hAnsi="宋体" w:cs="宋体" w:eastAsia="宋体" w:hint="default"/>
                <w:w w:val="100"/>
                <w:sz w:val="21"/>
                <w:szCs w:val="21"/>
              </w:rPr>
              <w:t> </w:t>
            </w:r>
            <w:r>
              <w:rPr>
                <w:rFonts w:ascii="宋体" w:hAnsi="宋体" w:cs="宋体" w:eastAsia="宋体" w:hint="default"/>
                <w:sz w:val="21"/>
                <w:szCs w:val="21"/>
              </w:rPr>
              <w:t>统研究与</w:t>
            </w:r>
            <w:r>
              <w:rPr>
                <w:rFonts w:ascii="宋体" w:hAnsi="宋体" w:cs="宋体" w:eastAsia="宋体" w:hint="default"/>
                <w:w w:val="100"/>
                <w:sz w:val="21"/>
                <w:szCs w:val="21"/>
              </w:rPr>
              <w:t> </w:t>
            </w:r>
            <w:r>
              <w:rPr>
                <w:rFonts w:ascii="宋体" w:hAnsi="宋体" w:cs="宋体" w:eastAsia="宋体" w:hint="default"/>
                <w:sz w:val="21"/>
                <w:szCs w:val="21"/>
              </w:rPr>
              <w:t>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10"/>
                <w:sz w:val="21"/>
                <w:szCs w:val="21"/>
              </w:rPr>
              <w:t>行业、产业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而获得的</w:t>
            </w:r>
            <w:r>
              <w:rPr>
                <w:rFonts w:ascii="宋体" w:hAnsi="宋体" w:cs="宋体" w:eastAsia="宋体" w:hint="default"/>
                <w:w w:val="100"/>
                <w:sz w:val="21"/>
                <w:szCs w:val="21"/>
              </w:rPr>
              <w:t> </w:t>
            </w:r>
            <w:r>
              <w:rPr>
                <w:rFonts w:ascii="宋体" w:hAnsi="宋体" w:cs="宋体" w:eastAsia="宋体" w:hint="default"/>
                <w:spacing w:val="-10"/>
                <w:sz w:val="21"/>
                <w:szCs w:val="21"/>
              </w:rPr>
              <w:t>补助（按国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家级政策</w:t>
            </w:r>
            <w:r>
              <w:rPr>
                <w:rFonts w:ascii="宋体" w:hAnsi="宋体" w:cs="宋体" w:eastAsia="宋体" w:hint="default"/>
                <w:w w:val="100"/>
                <w:sz w:val="21"/>
                <w:szCs w:val="21"/>
              </w:rPr>
              <w:t> </w:t>
            </w:r>
            <w:r>
              <w:rPr>
                <w:rFonts w:ascii="宋体" w:hAnsi="宋体" w:cs="宋体" w:eastAsia="宋体" w:hint="default"/>
                <w:sz w:val="21"/>
                <w:szCs w:val="21"/>
              </w:rPr>
              <w:t>规定依法</w:t>
            </w:r>
            <w:r>
              <w:rPr>
                <w:rFonts w:ascii="宋体" w:hAnsi="宋体" w:cs="宋体" w:eastAsia="宋体" w:hint="default"/>
                <w:w w:val="100"/>
                <w:sz w:val="21"/>
                <w:szCs w:val="21"/>
              </w:rPr>
              <w:t> </w:t>
            </w:r>
            <w:r>
              <w:rPr>
                <w:rFonts w:ascii="宋体" w:hAnsi="宋体" w:cs="宋体" w:eastAsia="宋体" w:hint="default"/>
                <w:sz w:val="21"/>
                <w:szCs w:val="21"/>
              </w:rPr>
              <w:t>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4" w:right="187"/>
              <w:jc w:val="both"/>
              <w:rPr>
                <w:rFonts w:ascii="宋体" w:hAnsi="宋体" w:cs="宋体" w:eastAsia="宋体" w:hint="default"/>
                <w:sz w:val="21"/>
                <w:szCs w:val="21"/>
              </w:rPr>
            </w:pPr>
            <w:r>
              <w:rPr>
                <w:rFonts w:ascii="宋体" w:hAnsi="宋体" w:cs="宋体" w:eastAsia="宋体" w:hint="default"/>
                <w:sz w:val="21"/>
                <w:szCs w:val="21"/>
              </w:rPr>
              <w:t>空间数据</w:t>
            </w:r>
            <w:r>
              <w:rPr>
                <w:rFonts w:ascii="宋体" w:hAnsi="宋体" w:cs="宋体" w:eastAsia="宋体" w:hint="default"/>
                <w:w w:val="100"/>
                <w:sz w:val="21"/>
                <w:szCs w:val="21"/>
              </w:rPr>
              <w:t> </w:t>
            </w:r>
            <w:r>
              <w:rPr>
                <w:rFonts w:ascii="宋体" w:hAnsi="宋体" w:cs="宋体" w:eastAsia="宋体" w:hint="default"/>
                <w:sz w:val="21"/>
                <w:szCs w:val="21"/>
              </w:rPr>
              <w:t>存储标准</w:t>
            </w:r>
            <w:r>
              <w:rPr>
                <w:rFonts w:ascii="宋体" w:hAnsi="宋体" w:cs="宋体" w:eastAsia="宋体" w:hint="default"/>
                <w:w w:val="100"/>
                <w:sz w:val="21"/>
                <w:szCs w:val="21"/>
              </w:rPr>
              <w:t> </w:t>
            </w:r>
            <w:r>
              <w:rPr>
                <w:rFonts w:ascii="宋体" w:hAnsi="宋体" w:cs="宋体" w:eastAsia="宋体" w:hint="default"/>
                <w:sz w:val="21"/>
                <w:szCs w:val="21"/>
              </w:rPr>
              <w:t>格式检查</w:t>
            </w:r>
            <w:r>
              <w:rPr>
                <w:rFonts w:ascii="宋体" w:hAnsi="宋体" w:cs="宋体" w:eastAsia="宋体" w:hint="default"/>
                <w:w w:val="100"/>
                <w:sz w:val="21"/>
                <w:szCs w:val="21"/>
              </w:rPr>
              <w:t> </w:t>
            </w:r>
            <w:r>
              <w:rPr>
                <w:rFonts w:ascii="宋体" w:hAnsi="宋体" w:cs="宋体" w:eastAsia="宋体" w:hint="default"/>
                <w:sz w:val="21"/>
                <w:szCs w:val="21"/>
              </w:rPr>
              <w:t>软件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北京市科</w:t>
            </w:r>
            <w:r>
              <w:rPr>
                <w:rFonts w:ascii="宋体" w:hAnsi="宋体" w:cs="宋体" w:eastAsia="宋体" w:hint="default"/>
                <w:w w:val="100"/>
                <w:sz w:val="21"/>
                <w:szCs w:val="21"/>
              </w:rPr>
              <w:t> </w:t>
            </w:r>
            <w:r>
              <w:rPr>
                <w:rFonts w:ascii="宋体" w:hAnsi="宋体" w:cs="宋体" w:eastAsia="宋体" w:hint="default"/>
                <w:sz w:val="21"/>
                <w:szCs w:val="21"/>
              </w:rPr>
              <w:t>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因研究开</w:t>
            </w:r>
            <w:r>
              <w:rPr>
                <w:rFonts w:ascii="宋体" w:hAnsi="宋体" w:cs="宋体" w:eastAsia="宋体" w:hint="default"/>
                <w:w w:val="100"/>
                <w:sz w:val="21"/>
                <w:szCs w:val="21"/>
              </w:rPr>
              <w:t> </w:t>
            </w:r>
            <w:r>
              <w:rPr>
                <w:rFonts w:ascii="宋体" w:hAnsi="宋体" w:cs="宋体" w:eastAsia="宋体" w:hint="default"/>
                <w:spacing w:val="-10"/>
                <w:sz w:val="21"/>
                <w:szCs w:val="21"/>
              </w:rPr>
              <w:t>发、技术更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新及改造</w:t>
            </w:r>
            <w:r>
              <w:rPr>
                <w:rFonts w:ascii="宋体" w:hAnsi="宋体" w:cs="宋体" w:eastAsia="宋体" w:hint="default"/>
                <w:w w:val="100"/>
                <w:sz w:val="21"/>
                <w:szCs w:val="21"/>
              </w:rPr>
              <w:t> </w:t>
            </w:r>
            <w:r>
              <w:rPr>
                <w:rFonts w:ascii="宋体" w:hAnsi="宋体" w:cs="宋体" w:eastAsia="宋体" w:hint="default"/>
                <w:sz w:val="21"/>
                <w:szCs w:val="21"/>
              </w:rPr>
              <w:t>等获得的</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pacing w:val="-1"/>
                <w:sz w:val="21"/>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26" w:right="182"/>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21"/>
              <w:jc w:val="left"/>
              <w:rPr>
                <w:rFonts w:ascii="宋体" w:hAnsi="宋体" w:cs="宋体" w:eastAsia="宋体" w:hint="default"/>
                <w:sz w:val="21"/>
                <w:szCs w:val="21"/>
              </w:rPr>
            </w:pPr>
            <w:r>
              <w:rPr>
                <w:rFonts w:ascii="宋体" w:hAnsi="宋体" w:cs="宋体" w:eastAsia="宋体" w:hint="default"/>
                <w:sz w:val="21"/>
                <w:szCs w:val="21"/>
              </w:rPr>
              <w:t>面向海量</w:t>
            </w:r>
            <w:r>
              <w:rPr>
                <w:rFonts w:ascii="宋体" w:hAnsi="宋体" w:cs="宋体" w:eastAsia="宋体" w:hint="default"/>
                <w:w w:val="100"/>
                <w:sz w:val="21"/>
                <w:szCs w:val="21"/>
              </w:rPr>
              <w:t> </w:t>
            </w:r>
            <w:r>
              <w:rPr>
                <w:rFonts w:ascii="宋体" w:hAnsi="宋体" w:cs="宋体" w:eastAsia="宋体" w:hint="default"/>
                <w:sz w:val="21"/>
                <w:szCs w:val="21"/>
              </w:rPr>
              <w:t>地理信息</w:t>
            </w:r>
            <w:r>
              <w:rPr>
                <w:rFonts w:ascii="宋体" w:hAnsi="宋体" w:cs="宋体" w:eastAsia="宋体" w:hint="default"/>
                <w:w w:val="100"/>
                <w:sz w:val="21"/>
                <w:szCs w:val="21"/>
              </w:rPr>
              <w:t> </w:t>
            </w:r>
            <w:r>
              <w:rPr>
                <w:rFonts w:ascii="宋体" w:hAnsi="宋体" w:cs="宋体" w:eastAsia="宋体" w:hint="default"/>
                <w:sz w:val="21"/>
                <w:szCs w:val="21"/>
              </w:rPr>
              <w:t>数据存储</w:t>
            </w:r>
            <w:r>
              <w:rPr>
                <w:rFonts w:ascii="宋体" w:hAnsi="宋体" w:cs="宋体" w:eastAsia="宋体" w:hint="default"/>
                <w:w w:val="100"/>
                <w:sz w:val="21"/>
                <w:szCs w:val="21"/>
              </w:rPr>
              <w:t> </w:t>
            </w:r>
            <w:r>
              <w:rPr>
                <w:rFonts w:ascii="宋体" w:hAnsi="宋体" w:cs="宋体" w:eastAsia="宋体" w:hint="default"/>
                <w:sz w:val="21"/>
                <w:szCs w:val="21"/>
              </w:rPr>
              <w:t>和并行空</w:t>
            </w:r>
            <w:r>
              <w:rPr>
                <w:rFonts w:ascii="宋体" w:hAnsi="宋体" w:cs="宋体" w:eastAsia="宋体" w:hint="default"/>
                <w:w w:val="100"/>
                <w:sz w:val="21"/>
                <w:szCs w:val="21"/>
              </w:rPr>
              <w:t> </w:t>
            </w:r>
            <w:r>
              <w:rPr>
                <w:rFonts w:ascii="宋体" w:hAnsi="宋体" w:cs="宋体" w:eastAsia="宋体" w:hint="default"/>
                <w:sz w:val="21"/>
                <w:szCs w:val="21"/>
              </w:rPr>
              <w:t>间分析的</w:t>
            </w:r>
            <w:r>
              <w:rPr>
                <w:rFonts w:ascii="宋体" w:hAnsi="宋体" w:cs="宋体" w:eastAsia="宋体" w:hint="default"/>
                <w:w w:val="100"/>
                <w:sz w:val="21"/>
                <w:szCs w:val="21"/>
              </w:rPr>
              <w:t> </w:t>
            </w:r>
            <w:r>
              <w:rPr>
                <w:rFonts w:ascii="宋体" w:hAnsi="宋体" w:cs="宋体" w:eastAsia="宋体" w:hint="default"/>
                <w:sz w:val="21"/>
                <w:szCs w:val="21"/>
              </w:rPr>
              <w:t>高性能</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GIS</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系统研制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9"/>
              <w:ind w:left="23" w:right="185"/>
              <w:jc w:val="left"/>
              <w:rPr>
                <w:rFonts w:ascii="宋体" w:hAnsi="宋体" w:cs="宋体" w:eastAsia="宋体" w:hint="default"/>
                <w:sz w:val="21"/>
                <w:szCs w:val="21"/>
              </w:rPr>
            </w:pPr>
            <w:r>
              <w:rPr>
                <w:rFonts w:ascii="宋体" w:hAnsi="宋体" w:cs="宋体" w:eastAsia="宋体" w:hint="default"/>
                <w:sz w:val="21"/>
                <w:szCs w:val="21"/>
              </w:rPr>
              <w:t>北京市科</w:t>
            </w:r>
            <w:r>
              <w:rPr>
                <w:rFonts w:ascii="宋体" w:hAnsi="宋体" w:cs="宋体" w:eastAsia="宋体" w:hint="default"/>
                <w:w w:val="100"/>
                <w:sz w:val="21"/>
                <w:szCs w:val="21"/>
              </w:rPr>
              <w:t> </w:t>
            </w:r>
            <w:r>
              <w:rPr>
                <w:rFonts w:ascii="宋体" w:hAnsi="宋体" w:cs="宋体" w:eastAsia="宋体" w:hint="default"/>
                <w:sz w:val="21"/>
                <w:szCs w:val="21"/>
              </w:rPr>
              <w:t>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因研究开</w:t>
            </w:r>
            <w:r>
              <w:rPr>
                <w:rFonts w:ascii="宋体" w:hAnsi="宋体" w:cs="宋体" w:eastAsia="宋体" w:hint="default"/>
                <w:w w:val="100"/>
                <w:sz w:val="21"/>
                <w:szCs w:val="21"/>
              </w:rPr>
              <w:t> </w:t>
            </w:r>
            <w:r>
              <w:rPr>
                <w:rFonts w:ascii="宋体" w:hAnsi="宋体" w:cs="宋体" w:eastAsia="宋体" w:hint="default"/>
                <w:spacing w:val="-10"/>
                <w:sz w:val="21"/>
                <w:szCs w:val="21"/>
              </w:rPr>
              <w:t>发、技术更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新及改造</w:t>
            </w:r>
            <w:r>
              <w:rPr>
                <w:rFonts w:ascii="宋体" w:hAnsi="宋体" w:cs="宋体" w:eastAsia="宋体" w:hint="default"/>
                <w:w w:val="100"/>
                <w:sz w:val="21"/>
                <w:szCs w:val="21"/>
              </w:rPr>
              <w:t> </w:t>
            </w:r>
            <w:r>
              <w:rPr>
                <w:rFonts w:ascii="宋体" w:hAnsi="宋体" w:cs="宋体" w:eastAsia="宋体" w:hint="default"/>
                <w:sz w:val="21"/>
                <w:szCs w:val="21"/>
              </w:rPr>
              <w:t>等获得的</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pacing w:val="-1"/>
                <w:sz w:val="21"/>
              </w:rPr>
              <w:t>1,333,333.34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9"/>
              <w:ind w:left="26" w:right="182"/>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289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92" w:lineRule="auto"/>
              <w:ind w:left="24" w:right="19"/>
              <w:jc w:val="left"/>
              <w:rPr>
                <w:rFonts w:ascii="Times New Roman" w:hAnsi="Times New Roman" w:cs="Times New Roman" w:eastAsia="Times New Roman" w:hint="default"/>
                <w:sz w:val="21"/>
                <w:szCs w:val="21"/>
              </w:rPr>
            </w:pPr>
            <w:r>
              <w:rPr>
                <w:rFonts w:ascii="宋体" w:hAnsi="宋体" w:cs="宋体" w:eastAsia="宋体" w:hint="default"/>
                <w:sz w:val="21"/>
                <w:szCs w:val="21"/>
              </w:rPr>
              <w:t>云端一体</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SuperMap</w:t>
            </w:r>
          </w:p>
          <w:p>
            <w:pPr>
              <w:pStyle w:val="TableParagraph"/>
              <w:spacing w:line="264"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软件平</w:t>
            </w:r>
          </w:p>
          <w:p>
            <w:pPr>
              <w:pStyle w:val="TableParagraph"/>
              <w:spacing w:line="273" w:lineRule="auto" w:before="21"/>
              <w:ind w:left="24" w:right="187"/>
              <w:jc w:val="left"/>
              <w:rPr>
                <w:rFonts w:ascii="宋体" w:hAnsi="宋体" w:cs="宋体" w:eastAsia="宋体" w:hint="default"/>
                <w:sz w:val="21"/>
                <w:szCs w:val="21"/>
              </w:rPr>
            </w:pPr>
            <w:r>
              <w:rPr>
                <w:rFonts w:ascii="宋体" w:hAnsi="宋体" w:cs="宋体" w:eastAsia="宋体" w:hint="default"/>
                <w:sz w:val="21"/>
                <w:szCs w:val="21"/>
              </w:rPr>
              <w:t>台研发及</w:t>
            </w:r>
            <w:r>
              <w:rPr>
                <w:rFonts w:ascii="宋体" w:hAnsi="宋体" w:cs="宋体" w:eastAsia="宋体" w:hint="default"/>
                <w:w w:val="100"/>
                <w:sz w:val="21"/>
                <w:szCs w:val="21"/>
              </w:rPr>
              <w:t> </w:t>
            </w:r>
            <w:r>
              <w:rPr>
                <w:rFonts w:ascii="宋体" w:hAnsi="宋体" w:cs="宋体" w:eastAsia="宋体" w:hint="default"/>
                <w:sz w:val="21"/>
                <w:szCs w:val="21"/>
              </w:rPr>
              <w:t>产业化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北京市科</w:t>
            </w:r>
            <w:r>
              <w:rPr>
                <w:rFonts w:ascii="宋体" w:hAnsi="宋体" w:cs="宋体" w:eastAsia="宋体" w:hint="default"/>
                <w:w w:val="100"/>
                <w:sz w:val="21"/>
                <w:szCs w:val="21"/>
              </w:rPr>
              <w:t> </w:t>
            </w:r>
            <w:r>
              <w:rPr>
                <w:rFonts w:ascii="宋体" w:hAnsi="宋体" w:cs="宋体" w:eastAsia="宋体" w:hint="default"/>
                <w:sz w:val="21"/>
                <w:szCs w:val="21"/>
              </w:rPr>
              <w:t>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3"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因从事国</w:t>
            </w:r>
            <w:r>
              <w:rPr>
                <w:rFonts w:ascii="宋体" w:hAnsi="宋体" w:cs="宋体" w:eastAsia="宋体" w:hint="default"/>
                <w:w w:val="100"/>
                <w:sz w:val="21"/>
                <w:szCs w:val="21"/>
              </w:rPr>
              <w:t> </w:t>
            </w:r>
            <w:r>
              <w:rPr>
                <w:rFonts w:ascii="宋体" w:hAnsi="宋体" w:cs="宋体" w:eastAsia="宋体" w:hint="default"/>
                <w:sz w:val="21"/>
                <w:szCs w:val="21"/>
              </w:rPr>
              <w:t>家鼓励和</w:t>
            </w:r>
            <w:r>
              <w:rPr>
                <w:rFonts w:ascii="宋体" w:hAnsi="宋体" w:cs="宋体" w:eastAsia="宋体" w:hint="default"/>
                <w:w w:val="100"/>
                <w:sz w:val="21"/>
                <w:szCs w:val="21"/>
              </w:rPr>
              <w:t> </w:t>
            </w:r>
            <w:r>
              <w:rPr>
                <w:rFonts w:ascii="宋体" w:hAnsi="宋体" w:cs="宋体" w:eastAsia="宋体" w:hint="default"/>
                <w:sz w:val="21"/>
                <w:szCs w:val="21"/>
              </w:rPr>
              <w:t>扶持特定</w:t>
            </w:r>
            <w:r>
              <w:rPr>
                <w:rFonts w:ascii="宋体" w:hAnsi="宋体" w:cs="宋体" w:eastAsia="宋体" w:hint="default"/>
                <w:w w:val="100"/>
                <w:sz w:val="21"/>
                <w:szCs w:val="21"/>
              </w:rPr>
              <w:t> </w:t>
            </w:r>
            <w:r>
              <w:rPr>
                <w:rFonts w:ascii="宋体" w:hAnsi="宋体" w:cs="宋体" w:eastAsia="宋体" w:hint="default"/>
                <w:spacing w:val="-10"/>
                <w:sz w:val="21"/>
                <w:szCs w:val="21"/>
              </w:rPr>
              <w:t>行业、产业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而获得的</w:t>
            </w:r>
            <w:r>
              <w:rPr>
                <w:rFonts w:ascii="宋体" w:hAnsi="宋体" w:cs="宋体" w:eastAsia="宋体" w:hint="default"/>
                <w:w w:val="100"/>
                <w:sz w:val="21"/>
                <w:szCs w:val="21"/>
              </w:rPr>
              <w:t> </w:t>
            </w:r>
            <w:r>
              <w:rPr>
                <w:rFonts w:ascii="宋体" w:hAnsi="宋体" w:cs="宋体" w:eastAsia="宋体" w:hint="default"/>
                <w:spacing w:val="-10"/>
                <w:sz w:val="21"/>
                <w:szCs w:val="21"/>
              </w:rPr>
              <w:t>补助（按国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家级政策</w:t>
            </w:r>
            <w:r>
              <w:rPr>
                <w:rFonts w:ascii="宋体" w:hAnsi="宋体" w:cs="宋体" w:eastAsia="宋体" w:hint="default"/>
                <w:w w:val="100"/>
                <w:sz w:val="21"/>
                <w:szCs w:val="21"/>
              </w:rPr>
              <w:t> </w:t>
            </w:r>
            <w:r>
              <w:rPr>
                <w:rFonts w:ascii="宋体" w:hAnsi="宋体" w:cs="宋体" w:eastAsia="宋体" w:hint="default"/>
                <w:sz w:val="21"/>
                <w:szCs w:val="21"/>
              </w:rPr>
              <w:t>规定依法</w:t>
            </w:r>
            <w:r>
              <w:rPr>
                <w:rFonts w:ascii="宋体" w:hAnsi="宋体" w:cs="宋体" w:eastAsia="宋体" w:hint="default"/>
                <w:w w:val="100"/>
                <w:sz w:val="21"/>
                <w:szCs w:val="21"/>
              </w:rPr>
              <w:t> </w:t>
            </w:r>
            <w:r>
              <w:rPr>
                <w:rFonts w:ascii="宋体" w:hAnsi="宋体" w:cs="宋体" w:eastAsia="宋体" w:hint="default"/>
                <w:sz w:val="21"/>
                <w:szCs w:val="21"/>
              </w:rPr>
              <w:t>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right="15"/>
              <w:jc w:val="right"/>
              <w:rPr>
                <w:rFonts w:ascii="Times New Roman" w:hAnsi="Times New Roman" w:cs="Times New Roman" w:eastAsia="Times New Roman" w:hint="default"/>
                <w:sz w:val="21"/>
                <w:szCs w:val="21"/>
              </w:rPr>
            </w:pPr>
            <w:r>
              <w:rPr>
                <w:rFonts w:ascii="Times New Roman"/>
                <w:spacing w:val="-2"/>
                <w:sz w:val="21"/>
              </w:rPr>
              <w:t>119,928.57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73" w:lineRule="auto"/>
              <w:ind w:left="26" w:right="182"/>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290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8"/>
              <w:ind w:left="24" w:right="187"/>
              <w:jc w:val="both"/>
              <w:rPr>
                <w:rFonts w:ascii="宋体" w:hAnsi="宋体" w:cs="宋体" w:eastAsia="宋体" w:hint="default"/>
                <w:sz w:val="21"/>
                <w:szCs w:val="21"/>
              </w:rPr>
            </w:pPr>
            <w:r>
              <w:rPr>
                <w:rFonts w:ascii="宋体" w:hAnsi="宋体" w:cs="宋体" w:eastAsia="宋体" w:hint="default"/>
                <w:sz w:val="21"/>
                <w:szCs w:val="21"/>
              </w:rPr>
              <w:t>导航电子</w:t>
            </w:r>
            <w:r>
              <w:rPr>
                <w:rFonts w:ascii="宋体" w:hAnsi="宋体" w:cs="宋体" w:eastAsia="宋体" w:hint="default"/>
                <w:w w:val="100"/>
                <w:sz w:val="21"/>
                <w:szCs w:val="21"/>
              </w:rPr>
              <w:t> </w:t>
            </w:r>
            <w:r>
              <w:rPr>
                <w:rFonts w:ascii="宋体" w:hAnsi="宋体" w:cs="宋体" w:eastAsia="宋体" w:hint="default"/>
                <w:sz w:val="21"/>
                <w:szCs w:val="21"/>
              </w:rPr>
              <w:t>地图基础</w:t>
            </w:r>
            <w:r>
              <w:rPr>
                <w:rFonts w:ascii="宋体" w:hAnsi="宋体" w:cs="宋体" w:eastAsia="宋体" w:hint="default"/>
                <w:w w:val="100"/>
                <w:sz w:val="21"/>
                <w:szCs w:val="21"/>
              </w:rPr>
              <w:t> </w:t>
            </w:r>
            <w:r>
              <w:rPr>
                <w:rFonts w:ascii="宋体" w:hAnsi="宋体" w:cs="宋体" w:eastAsia="宋体" w:hint="default"/>
                <w:sz w:val="21"/>
                <w:szCs w:val="21"/>
              </w:rPr>
              <w:t>服务平台</w:t>
            </w:r>
          </w:p>
          <w:p>
            <w:pPr>
              <w:pStyle w:val="TableParagraph"/>
              <w:spacing w:line="240" w:lineRule="auto" w:before="7"/>
              <w:ind w:left="24" w:right="0"/>
              <w:jc w:val="both"/>
              <w:rPr>
                <w:rFonts w:ascii="宋体" w:hAnsi="宋体" w:cs="宋体" w:eastAsia="宋体" w:hint="default"/>
                <w:sz w:val="21"/>
                <w:szCs w:val="21"/>
              </w:rPr>
            </w:pPr>
            <w:r>
              <w:rPr>
                <w:rFonts w:ascii="宋体" w:hAnsi="宋体" w:cs="宋体" w:eastAsia="宋体" w:hint="default"/>
                <w:sz w:val="21"/>
                <w:szCs w:val="21"/>
              </w:rPr>
              <w:t>（民用）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总装北斗</w:t>
            </w:r>
            <w:r>
              <w:rPr>
                <w:rFonts w:ascii="宋体" w:hAnsi="宋体" w:cs="宋体" w:eastAsia="宋体" w:hint="default"/>
                <w:w w:val="100"/>
                <w:sz w:val="21"/>
                <w:szCs w:val="21"/>
              </w:rPr>
              <w:t> </w:t>
            </w:r>
            <w:r>
              <w:rPr>
                <w:rFonts w:ascii="宋体" w:hAnsi="宋体" w:cs="宋体" w:eastAsia="宋体" w:hint="default"/>
                <w:sz w:val="21"/>
                <w:szCs w:val="21"/>
              </w:rPr>
              <w:t>办</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3"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因从事国</w:t>
            </w:r>
            <w:r>
              <w:rPr>
                <w:rFonts w:ascii="宋体" w:hAnsi="宋体" w:cs="宋体" w:eastAsia="宋体" w:hint="default"/>
                <w:w w:val="100"/>
                <w:sz w:val="21"/>
                <w:szCs w:val="21"/>
              </w:rPr>
              <w:t> </w:t>
            </w:r>
            <w:r>
              <w:rPr>
                <w:rFonts w:ascii="宋体" w:hAnsi="宋体" w:cs="宋体" w:eastAsia="宋体" w:hint="default"/>
                <w:sz w:val="21"/>
                <w:szCs w:val="21"/>
              </w:rPr>
              <w:t>家鼓励和</w:t>
            </w:r>
            <w:r>
              <w:rPr>
                <w:rFonts w:ascii="宋体" w:hAnsi="宋体" w:cs="宋体" w:eastAsia="宋体" w:hint="default"/>
                <w:w w:val="100"/>
                <w:sz w:val="21"/>
                <w:szCs w:val="21"/>
              </w:rPr>
              <w:t> </w:t>
            </w:r>
            <w:r>
              <w:rPr>
                <w:rFonts w:ascii="宋体" w:hAnsi="宋体" w:cs="宋体" w:eastAsia="宋体" w:hint="default"/>
                <w:sz w:val="21"/>
                <w:szCs w:val="21"/>
              </w:rPr>
              <w:t>扶持特定</w:t>
            </w:r>
            <w:r>
              <w:rPr>
                <w:rFonts w:ascii="宋体" w:hAnsi="宋体" w:cs="宋体" w:eastAsia="宋体" w:hint="default"/>
                <w:w w:val="100"/>
                <w:sz w:val="21"/>
                <w:szCs w:val="21"/>
              </w:rPr>
              <w:t> </w:t>
            </w:r>
            <w:r>
              <w:rPr>
                <w:rFonts w:ascii="宋体" w:hAnsi="宋体" w:cs="宋体" w:eastAsia="宋体" w:hint="default"/>
                <w:spacing w:val="-10"/>
                <w:sz w:val="21"/>
                <w:szCs w:val="21"/>
              </w:rPr>
              <w:t>行业、产业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而获得的</w:t>
            </w:r>
            <w:r>
              <w:rPr>
                <w:rFonts w:ascii="宋体" w:hAnsi="宋体" w:cs="宋体" w:eastAsia="宋体" w:hint="default"/>
                <w:w w:val="100"/>
                <w:sz w:val="21"/>
                <w:szCs w:val="21"/>
              </w:rPr>
              <w:t> </w:t>
            </w:r>
            <w:r>
              <w:rPr>
                <w:rFonts w:ascii="宋体" w:hAnsi="宋体" w:cs="宋体" w:eastAsia="宋体" w:hint="default"/>
                <w:spacing w:val="-10"/>
                <w:sz w:val="21"/>
                <w:szCs w:val="21"/>
              </w:rPr>
              <w:t>补助（按国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家级政策</w:t>
            </w:r>
            <w:r>
              <w:rPr>
                <w:rFonts w:ascii="宋体" w:hAnsi="宋体" w:cs="宋体" w:eastAsia="宋体" w:hint="default"/>
                <w:w w:val="100"/>
                <w:sz w:val="21"/>
                <w:szCs w:val="21"/>
              </w:rPr>
              <w:t> </w:t>
            </w:r>
            <w:r>
              <w:rPr>
                <w:rFonts w:ascii="宋体" w:hAnsi="宋体" w:cs="宋体" w:eastAsia="宋体" w:hint="default"/>
                <w:sz w:val="21"/>
                <w:szCs w:val="21"/>
              </w:rPr>
              <w:t>规定依法</w:t>
            </w:r>
            <w:r>
              <w:rPr>
                <w:rFonts w:ascii="宋体" w:hAnsi="宋体" w:cs="宋体" w:eastAsia="宋体" w:hint="default"/>
                <w:w w:val="100"/>
                <w:sz w:val="21"/>
                <w:szCs w:val="21"/>
              </w:rPr>
              <w:t> </w:t>
            </w:r>
            <w:r>
              <w:rPr>
                <w:rFonts w:ascii="宋体" w:hAnsi="宋体" w:cs="宋体" w:eastAsia="宋体" w:hint="default"/>
                <w:sz w:val="21"/>
                <w:szCs w:val="21"/>
              </w:rPr>
              <w:t>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right="15"/>
              <w:jc w:val="right"/>
              <w:rPr>
                <w:rFonts w:ascii="Times New Roman" w:hAnsi="Times New Roman" w:cs="Times New Roman" w:eastAsia="Times New Roman" w:hint="default"/>
                <w:sz w:val="21"/>
                <w:szCs w:val="21"/>
              </w:rPr>
            </w:pPr>
            <w:r>
              <w:rPr>
                <w:rFonts w:ascii="Times New Roman"/>
                <w:spacing w:val="-1"/>
                <w:sz w:val="21"/>
              </w:rPr>
              <w:t>4,750,000.00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73" w:lineRule="auto"/>
              <w:ind w:left="26" w:right="182"/>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223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71" w:lineRule="auto"/>
              <w:ind w:left="24" w:right="187"/>
              <w:jc w:val="both"/>
              <w:rPr>
                <w:rFonts w:ascii="宋体" w:hAnsi="宋体" w:cs="宋体" w:eastAsia="宋体" w:hint="default"/>
                <w:sz w:val="21"/>
                <w:szCs w:val="21"/>
              </w:rPr>
            </w:pPr>
            <w:r>
              <w:rPr>
                <w:rFonts w:ascii="宋体" w:hAnsi="宋体" w:cs="宋体" w:eastAsia="宋体" w:hint="default"/>
                <w:sz w:val="21"/>
                <w:szCs w:val="21"/>
              </w:rPr>
              <w:t>融合大数</w:t>
            </w:r>
            <w:r>
              <w:rPr>
                <w:rFonts w:ascii="宋体" w:hAnsi="宋体" w:cs="宋体" w:eastAsia="宋体" w:hint="default"/>
                <w:w w:val="100"/>
                <w:sz w:val="21"/>
                <w:szCs w:val="21"/>
              </w:rPr>
              <w:t> </w:t>
            </w:r>
            <w:r>
              <w:rPr>
                <w:rFonts w:ascii="宋体" w:hAnsi="宋体" w:cs="宋体" w:eastAsia="宋体" w:hint="default"/>
                <w:sz w:val="21"/>
                <w:szCs w:val="21"/>
              </w:rPr>
              <w:t>据技术的</w:t>
            </w:r>
            <w:r>
              <w:rPr>
                <w:rFonts w:ascii="宋体" w:hAnsi="宋体" w:cs="宋体" w:eastAsia="宋体" w:hint="default"/>
                <w:w w:val="100"/>
                <w:sz w:val="21"/>
                <w:szCs w:val="21"/>
              </w:rPr>
              <w:t> </w:t>
            </w:r>
            <w:r>
              <w:rPr>
                <w:rFonts w:ascii="宋体" w:hAnsi="宋体" w:cs="宋体" w:eastAsia="宋体" w:hint="default"/>
                <w:sz w:val="21"/>
                <w:szCs w:val="21"/>
              </w:rPr>
              <w:t>新型规土</w:t>
            </w:r>
            <w:r>
              <w:rPr>
                <w:rFonts w:ascii="宋体" w:hAnsi="宋体" w:cs="宋体" w:eastAsia="宋体" w:hint="default"/>
                <w:w w:val="100"/>
                <w:sz w:val="21"/>
                <w:szCs w:val="21"/>
              </w:rPr>
              <w:t> </w:t>
            </w:r>
            <w:r>
              <w:rPr>
                <w:rFonts w:ascii="宋体" w:hAnsi="宋体" w:cs="宋体" w:eastAsia="宋体" w:hint="default"/>
                <w:sz w:val="21"/>
                <w:szCs w:val="21"/>
              </w:rPr>
              <w:t>房平台及</w:t>
            </w:r>
            <w:r>
              <w:rPr>
                <w:rFonts w:ascii="宋体" w:hAnsi="宋体" w:cs="宋体" w:eastAsia="宋体" w:hint="default"/>
                <w:w w:val="100"/>
                <w:sz w:val="21"/>
                <w:szCs w:val="21"/>
              </w:rPr>
              <w:t> </w:t>
            </w:r>
            <w:r>
              <w:rPr>
                <w:rFonts w:ascii="宋体" w:hAnsi="宋体" w:cs="宋体" w:eastAsia="宋体" w:hint="default"/>
                <w:sz w:val="21"/>
                <w:szCs w:val="21"/>
              </w:rPr>
              <w:t>应用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71" w:lineRule="auto"/>
              <w:ind w:left="23" w:right="185"/>
              <w:jc w:val="left"/>
              <w:rPr>
                <w:rFonts w:ascii="宋体" w:hAnsi="宋体" w:cs="宋体" w:eastAsia="宋体" w:hint="default"/>
                <w:sz w:val="21"/>
                <w:szCs w:val="21"/>
              </w:rPr>
            </w:pPr>
            <w:r>
              <w:rPr>
                <w:rFonts w:ascii="宋体" w:hAnsi="宋体" w:cs="宋体" w:eastAsia="宋体" w:hint="default"/>
                <w:sz w:val="21"/>
                <w:szCs w:val="21"/>
              </w:rPr>
              <w:t>北京市科</w:t>
            </w:r>
            <w:r>
              <w:rPr>
                <w:rFonts w:ascii="宋体" w:hAnsi="宋体" w:cs="宋体" w:eastAsia="宋体" w:hint="default"/>
                <w:w w:val="100"/>
                <w:sz w:val="21"/>
                <w:szCs w:val="21"/>
              </w:rPr>
              <w:t> </w:t>
            </w:r>
            <w:r>
              <w:rPr>
                <w:rFonts w:ascii="宋体" w:hAnsi="宋体" w:cs="宋体" w:eastAsia="宋体" w:hint="default"/>
                <w:sz w:val="21"/>
                <w:szCs w:val="21"/>
              </w:rPr>
              <w:t>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因从事国</w:t>
            </w:r>
            <w:r>
              <w:rPr>
                <w:rFonts w:ascii="宋体" w:hAnsi="宋体" w:cs="宋体" w:eastAsia="宋体" w:hint="default"/>
                <w:w w:val="100"/>
                <w:sz w:val="21"/>
                <w:szCs w:val="21"/>
              </w:rPr>
              <w:t> </w:t>
            </w:r>
            <w:r>
              <w:rPr>
                <w:rFonts w:ascii="宋体" w:hAnsi="宋体" w:cs="宋体" w:eastAsia="宋体" w:hint="default"/>
                <w:sz w:val="21"/>
                <w:szCs w:val="21"/>
              </w:rPr>
              <w:t>家鼓励和</w:t>
            </w:r>
            <w:r>
              <w:rPr>
                <w:rFonts w:ascii="宋体" w:hAnsi="宋体" w:cs="宋体" w:eastAsia="宋体" w:hint="default"/>
                <w:w w:val="100"/>
                <w:sz w:val="21"/>
                <w:szCs w:val="21"/>
              </w:rPr>
              <w:t> </w:t>
            </w:r>
            <w:r>
              <w:rPr>
                <w:rFonts w:ascii="宋体" w:hAnsi="宋体" w:cs="宋体" w:eastAsia="宋体" w:hint="default"/>
                <w:sz w:val="21"/>
                <w:szCs w:val="21"/>
              </w:rPr>
              <w:t>扶持特定</w:t>
            </w:r>
            <w:r>
              <w:rPr>
                <w:rFonts w:ascii="宋体" w:hAnsi="宋体" w:cs="宋体" w:eastAsia="宋体" w:hint="default"/>
                <w:w w:val="100"/>
                <w:sz w:val="21"/>
                <w:szCs w:val="21"/>
              </w:rPr>
              <w:t> </w:t>
            </w:r>
            <w:r>
              <w:rPr>
                <w:rFonts w:ascii="宋体" w:hAnsi="宋体" w:cs="宋体" w:eastAsia="宋体" w:hint="default"/>
                <w:spacing w:val="-10"/>
                <w:sz w:val="21"/>
                <w:szCs w:val="21"/>
              </w:rPr>
              <w:t>行业、产业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而获得的</w:t>
            </w:r>
            <w:r>
              <w:rPr>
                <w:rFonts w:ascii="宋体" w:hAnsi="宋体" w:cs="宋体" w:eastAsia="宋体" w:hint="default"/>
                <w:w w:val="100"/>
                <w:sz w:val="21"/>
                <w:szCs w:val="21"/>
              </w:rPr>
              <w:t> </w:t>
            </w:r>
            <w:r>
              <w:rPr>
                <w:rFonts w:ascii="宋体" w:hAnsi="宋体" w:cs="宋体" w:eastAsia="宋体" w:hint="default"/>
                <w:spacing w:val="-10"/>
                <w:sz w:val="21"/>
                <w:szCs w:val="21"/>
              </w:rPr>
              <w:t>补助（按国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家级政策</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pacing w:val="-1"/>
                <w:sz w:val="21"/>
              </w:rPr>
              <w:t>58,333.33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71" w:lineRule="auto"/>
              <w:ind w:left="26" w:right="182"/>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bl>
    <w:p>
      <w:pPr>
        <w:spacing w:after="0" w:line="271" w:lineRule="auto"/>
        <w:jc w:val="left"/>
        <w:rPr>
          <w:rFonts w:ascii="宋体" w:hAnsi="宋体" w:cs="宋体" w:eastAsia="宋体" w:hint="default"/>
          <w:sz w:val="21"/>
          <w:szCs w:val="21"/>
        </w:rPr>
        <w:sectPr>
          <w:pgSz w:w="11910" w:h="16840"/>
          <w:pgMar w:header="877" w:footer="980" w:top="1100" w:bottom="1160" w:left="980" w:right="5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277"/>
        <w:gridCol w:w="1344"/>
        <w:gridCol w:w="1063"/>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规定依法</w:t>
            </w:r>
            <w:r>
              <w:rPr>
                <w:rFonts w:ascii="宋体" w:hAnsi="宋体" w:cs="宋体" w:eastAsia="宋体" w:hint="default"/>
                <w:w w:val="100"/>
                <w:sz w:val="21"/>
                <w:szCs w:val="21"/>
              </w:rPr>
              <w:t> </w:t>
            </w:r>
            <w:r>
              <w:rPr>
                <w:rFonts w:ascii="宋体" w:hAnsi="宋体" w:cs="宋体" w:eastAsia="宋体" w:hint="default"/>
                <w:sz w:val="21"/>
                <w:szCs w:val="21"/>
              </w:rPr>
              <w:t>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06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24" w:right="-27"/>
              <w:jc w:val="left"/>
              <w:rPr>
                <w:rFonts w:ascii="宋体" w:hAnsi="宋体" w:cs="宋体" w:eastAsia="宋体" w:hint="default"/>
                <w:sz w:val="21"/>
                <w:szCs w:val="21"/>
              </w:rPr>
            </w:pPr>
            <w:r>
              <w:rPr>
                <w:rFonts w:ascii="宋体" w:hAnsi="宋体" w:cs="宋体" w:eastAsia="宋体" w:hint="default"/>
                <w:sz w:val="21"/>
                <w:szCs w:val="21"/>
              </w:rPr>
              <w:t>其他一次</w:t>
            </w:r>
            <w:r>
              <w:rPr>
                <w:rFonts w:ascii="宋体" w:hAnsi="宋体" w:cs="宋体" w:eastAsia="宋体" w:hint="default"/>
                <w:w w:val="100"/>
                <w:sz w:val="21"/>
                <w:szCs w:val="21"/>
              </w:rPr>
              <w:t> </w:t>
            </w:r>
            <w:r>
              <w:rPr>
                <w:rFonts w:ascii="宋体" w:hAnsi="宋体" w:cs="宋体" w:eastAsia="宋体" w:hint="default"/>
                <w:sz w:val="21"/>
                <w:szCs w:val="21"/>
              </w:rPr>
              <w:t>性计入当</w:t>
            </w:r>
            <w:r>
              <w:rPr>
                <w:rFonts w:ascii="宋体" w:hAnsi="宋体" w:cs="宋体" w:eastAsia="宋体" w:hint="default"/>
                <w:w w:val="100"/>
                <w:sz w:val="21"/>
                <w:szCs w:val="21"/>
              </w:rPr>
              <w:t> </w:t>
            </w:r>
            <w:r>
              <w:rPr>
                <w:rFonts w:ascii="宋体" w:hAnsi="宋体" w:cs="宋体" w:eastAsia="宋体" w:hint="default"/>
                <w:sz w:val="21"/>
                <w:szCs w:val="21"/>
              </w:rPr>
              <w:t>期损益的</w:t>
            </w:r>
            <w:r>
              <w:rPr>
                <w:rFonts w:ascii="宋体" w:hAnsi="宋体" w:cs="宋体" w:eastAsia="宋体" w:hint="default"/>
                <w:w w:val="100"/>
                <w:sz w:val="21"/>
                <w:szCs w:val="21"/>
              </w:rPr>
              <w:t> </w:t>
            </w:r>
            <w:r>
              <w:rPr>
                <w:rFonts w:ascii="宋体" w:hAnsi="宋体" w:cs="宋体" w:eastAsia="宋体" w:hint="default"/>
                <w:sz w:val="21"/>
                <w:szCs w:val="21"/>
              </w:rPr>
              <w:t>各种补贴、</w:t>
            </w:r>
            <w:r>
              <w:rPr>
                <w:rFonts w:ascii="宋体" w:hAnsi="宋体" w:cs="宋体" w:eastAsia="宋体" w:hint="default"/>
                <w:w w:val="100"/>
                <w:sz w:val="21"/>
                <w:szCs w:val="21"/>
              </w:rPr>
              <w:t> </w:t>
            </w:r>
            <w:r>
              <w:rPr>
                <w:rFonts w:ascii="宋体" w:hAnsi="宋体" w:cs="宋体" w:eastAsia="宋体" w:hint="default"/>
                <w:spacing w:val="-10"/>
                <w:sz w:val="21"/>
                <w:szCs w:val="21"/>
              </w:rPr>
              <w:t>奖励、扶持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资金</w:t>
            </w:r>
          </w:p>
        </w:tc>
        <w:tc>
          <w:tcPr>
            <w:tcW w:w="106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3"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因从事国</w:t>
            </w:r>
            <w:r>
              <w:rPr>
                <w:rFonts w:ascii="宋体" w:hAnsi="宋体" w:cs="宋体" w:eastAsia="宋体" w:hint="default"/>
                <w:w w:val="100"/>
                <w:sz w:val="21"/>
                <w:szCs w:val="21"/>
              </w:rPr>
              <w:t> </w:t>
            </w:r>
            <w:r>
              <w:rPr>
                <w:rFonts w:ascii="宋体" w:hAnsi="宋体" w:cs="宋体" w:eastAsia="宋体" w:hint="default"/>
                <w:sz w:val="21"/>
                <w:szCs w:val="21"/>
              </w:rPr>
              <w:t>家鼓励和</w:t>
            </w:r>
            <w:r>
              <w:rPr>
                <w:rFonts w:ascii="宋体" w:hAnsi="宋体" w:cs="宋体" w:eastAsia="宋体" w:hint="default"/>
                <w:w w:val="100"/>
                <w:sz w:val="21"/>
                <w:szCs w:val="21"/>
              </w:rPr>
              <w:t> </w:t>
            </w:r>
            <w:r>
              <w:rPr>
                <w:rFonts w:ascii="宋体" w:hAnsi="宋体" w:cs="宋体" w:eastAsia="宋体" w:hint="default"/>
                <w:sz w:val="21"/>
                <w:szCs w:val="21"/>
              </w:rPr>
              <w:t>扶持特定</w:t>
            </w:r>
            <w:r>
              <w:rPr>
                <w:rFonts w:ascii="宋体" w:hAnsi="宋体" w:cs="宋体" w:eastAsia="宋体" w:hint="default"/>
                <w:w w:val="100"/>
                <w:sz w:val="21"/>
                <w:szCs w:val="21"/>
              </w:rPr>
              <w:t> </w:t>
            </w:r>
            <w:r>
              <w:rPr>
                <w:rFonts w:ascii="宋体" w:hAnsi="宋体" w:cs="宋体" w:eastAsia="宋体" w:hint="default"/>
                <w:spacing w:val="-10"/>
                <w:sz w:val="21"/>
                <w:szCs w:val="21"/>
              </w:rPr>
              <w:t>行业、产业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而获得的</w:t>
            </w:r>
            <w:r>
              <w:rPr>
                <w:rFonts w:ascii="宋体" w:hAnsi="宋体" w:cs="宋体" w:eastAsia="宋体" w:hint="default"/>
                <w:w w:val="100"/>
                <w:sz w:val="21"/>
                <w:szCs w:val="21"/>
              </w:rPr>
              <w:t> </w:t>
            </w:r>
            <w:r>
              <w:rPr>
                <w:rFonts w:ascii="宋体" w:hAnsi="宋体" w:cs="宋体" w:eastAsia="宋体" w:hint="default"/>
                <w:spacing w:val="-10"/>
                <w:sz w:val="21"/>
                <w:szCs w:val="21"/>
              </w:rPr>
              <w:t>补助（按国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家级政策</w:t>
            </w:r>
            <w:r>
              <w:rPr>
                <w:rFonts w:ascii="宋体" w:hAnsi="宋体" w:cs="宋体" w:eastAsia="宋体" w:hint="default"/>
                <w:w w:val="100"/>
                <w:sz w:val="21"/>
                <w:szCs w:val="21"/>
              </w:rPr>
              <w:t> </w:t>
            </w:r>
            <w:r>
              <w:rPr>
                <w:rFonts w:ascii="宋体" w:hAnsi="宋体" w:cs="宋体" w:eastAsia="宋体" w:hint="default"/>
                <w:sz w:val="21"/>
                <w:szCs w:val="21"/>
              </w:rPr>
              <w:t>规定依法</w:t>
            </w:r>
            <w:r>
              <w:rPr>
                <w:rFonts w:ascii="宋体" w:hAnsi="宋体" w:cs="宋体" w:eastAsia="宋体" w:hint="default"/>
                <w:w w:val="100"/>
                <w:sz w:val="21"/>
                <w:szCs w:val="21"/>
              </w:rPr>
              <w:t> </w:t>
            </w:r>
            <w:r>
              <w:rPr>
                <w:rFonts w:ascii="宋体" w:hAnsi="宋体" w:cs="宋体" w:eastAsia="宋体" w:hint="default"/>
                <w:sz w:val="21"/>
                <w:szCs w:val="21"/>
              </w:rPr>
              <w:t>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right="20"/>
              <w:jc w:val="right"/>
              <w:rPr>
                <w:rFonts w:ascii="Times New Roman" w:hAnsi="Times New Roman" w:cs="Times New Roman" w:eastAsia="Times New Roman" w:hint="default"/>
                <w:sz w:val="21"/>
                <w:szCs w:val="21"/>
              </w:rPr>
            </w:pPr>
            <w:r>
              <w:rPr>
                <w:rFonts w:ascii="Times New Roman"/>
                <w:spacing w:val="-1"/>
                <w:sz w:val="21"/>
              </w:rPr>
              <w:t>2,838,388.20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right="15"/>
              <w:jc w:val="right"/>
              <w:rPr>
                <w:rFonts w:ascii="Times New Roman" w:hAnsi="Times New Roman" w:cs="Times New Roman" w:eastAsia="Times New Roman" w:hint="default"/>
                <w:sz w:val="21"/>
                <w:szCs w:val="21"/>
              </w:rPr>
            </w:pPr>
            <w:r>
              <w:rPr>
                <w:rFonts w:ascii="Times New Roman"/>
                <w:spacing w:val="-1"/>
                <w:sz w:val="21"/>
              </w:rPr>
              <w:t>9,761,206.52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73" w:lineRule="auto"/>
              <w:ind w:left="26" w:right="182"/>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40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2,938,388.20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33,557,326.27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386" w:lineRule="auto" w:before="79"/>
        <w:ind w:right="8853" w:firstLine="120"/>
        <w:jc w:val="left"/>
      </w:pPr>
      <w:r>
        <w:rPr/>
        <w:t>其他说明： 无</w:t>
      </w:r>
    </w:p>
    <w:p>
      <w:pPr>
        <w:spacing w:line="240" w:lineRule="auto" w:before="7"/>
        <w:rPr>
          <w:rFonts w:ascii="宋体" w:hAnsi="宋体" w:cs="宋体" w:eastAsia="宋体" w:hint="default"/>
          <w:sz w:val="23"/>
          <w:szCs w:val="23"/>
        </w:rPr>
      </w:pPr>
    </w:p>
    <w:p>
      <w:pPr>
        <w:pStyle w:val="Heading2"/>
        <w:spacing w:line="240" w:lineRule="auto"/>
        <w:ind w:right="5613"/>
        <w:jc w:val="left"/>
        <w:rPr>
          <w:b w:val="0"/>
          <w:bCs w:val="0"/>
        </w:rPr>
      </w:pPr>
      <w:r>
        <w:rPr>
          <w:rFonts w:ascii="Times New Roman" w:hAnsi="Times New Roman" w:cs="Times New Roman" w:eastAsia="Times New Roman" w:hint="default"/>
        </w:rPr>
        <w:t>50</w:t>
      </w:r>
      <w:r>
        <w:rPr/>
        <w:t>、营业外支出</w:t>
      </w:r>
      <w:r>
        <w:rPr>
          <w:b w:val="0"/>
          <w:bCs w:val="0"/>
        </w:rPr>
      </w:r>
    </w:p>
    <w:p>
      <w:pPr>
        <w:spacing w:line="240" w:lineRule="auto" w:before="8"/>
        <w:rPr>
          <w:rFonts w:ascii="宋体" w:hAnsi="宋体" w:cs="宋体" w:eastAsia="宋体" w:hint="default"/>
          <w:b/>
          <w:bCs/>
          <w:sz w:val="26"/>
          <w:szCs w:val="26"/>
        </w:rPr>
      </w:pPr>
    </w:p>
    <w:p>
      <w:pPr>
        <w:spacing w:before="36"/>
        <w:ind w:left="0" w:right="5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981" w:right="31" w:hanging="946"/>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金额</w:t>
            </w:r>
          </w:p>
        </w:tc>
      </w:tr>
      <w:tr>
        <w:trPr>
          <w:trHeight w:val="391" w:hRule="exact"/>
        </w:trPr>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6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6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53,809.28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104,999.59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53,809.28</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53,809.28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104,999.59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53,809.28</w:t>
            </w:r>
          </w:p>
        </w:tc>
      </w:tr>
    </w:tbl>
    <w:p>
      <w:pPr>
        <w:pStyle w:val="BodyText"/>
        <w:spacing w:line="386" w:lineRule="auto" w:before="79"/>
        <w:ind w:right="8973"/>
        <w:jc w:val="left"/>
      </w:pPr>
      <w:r>
        <w:rPr/>
        <w:t>其他说明： 无</w:t>
      </w:r>
    </w:p>
    <w:p>
      <w:pPr>
        <w:spacing w:line="240" w:lineRule="auto" w:before="7"/>
        <w:rPr>
          <w:rFonts w:ascii="宋体" w:hAnsi="宋体" w:cs="宋体" w:eastAsia="宋体" w:hint="default"/>
          <w:sz w:val="23"/>
          <w:szCs w:val="23"/>
        </w:rPr>
      </w:pPr>
    </w:p>
    <w:p>
      <w:pPr>
        <w:pStyle w:val="Heading2"/>
        <w:spacing w:line="240" w:lineRule="auto"/>
        <w:ind w:right="5613"/>
        <w:jc w:val="left"/>
        <w:rPr>
          <w:b w:val="0"/>
          <w:bCs w:val="0"/>
        </w:rPr>
      </w:pPr>
      <w:r>
        <w:rPr>
          <w:rFonts w:ascii="Times New Roman" w:hAnsi="Times New Roman" w:cs="Times New Roman" w:eastAsia="Times New Roman" w:hint="default"/>
        </w:rPr>
        <w:t>51</w:t>
      </w:r>
      <w:r>
        <w:rPr/>
        <w:t>、所得税费用</w:t>
      </w:r>
      <w:r>
        <w:rPr>
          <w:b w:val="0"/>
          <w:bCs w:val="0"/>
        </w:rPr>
      </w:r>
    </w:p>
    <w:p>
      <w:pPr>
        <w:spacing w:line="240" w:lineRule="auto" w:before="5"/>
        <w:rPr>
          <w:rFonts w:ascii="宋体" w:hAnsi="宋体" w:cs="宋体" w:eastAsia="宋体" w:hint="default"/>
          <w:b/>
          <w:bCs/>
          <w:sz w:val="33"/>
          <w:szCs w:val="33"/>
        </w:rPr>
      </w:pPr>
    </w:p>
    <w:p>
      <w:pPr>
        <w:pStyle w:val="Heading2"/>
        <w:spacing w:line="240" w:lineRule="auto"/>
        <w:ind w:right="561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8"/>
        <w:rPr>
          <w:rFonts w:ascii="宋体" w:hAnsi="宋体" w:cs="宋体" w:eastAsia="宋体" w:hint="default"/>
          <w:b/>
          <w:bCs/>
          <w:sz w:val="26"/>
          <w:szCs w:val="26"/>
        </w:rPr>
      </w:pPr>
    </w:p>
    <w:p>
      <w:pPr>
        <w:spacing w:before="36"/>
        <w:ind w:left="0" w:right="5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15,549,057.09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19,047,877.01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-1,392,954.40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1,045,642.41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5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76"/>
        <w:gridCol w:w="3203"/>
        <w:gridCol w:w="3191"/>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1954" w:right="0"/>
              <w:jc w:val="left"/>
              <w:rPr>
                <w:rFonts w:ascii="Times New Roman" w:hAnsi="Times New Roman" w:cs="Times New Roman" w:eastAsia="Times New Roman" w:hint="default"/>
                <w:sz w:val="21"/>
                <w:szCs w:val="21"/>
              </w:rPr>
            </w:pPr>
            <w:r>
              <w:rPr>
                <w:rFonts w:ascii="Times New Roman"/>
                <w:sz w:val="21"/>
              </w:rPr>
              <w:t>14,156,102.69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49" w:right="0"/>
              <w:jc w:val="left"/>
              <w:rPr>
                <w:rFonts w:ascii="Times New Roman" w:hAnsi="Times New Roman" w:cs="Times New Roman" w:eastAsia="Times New Roman" w:hint="default"/>
                <w:sz w:val="21"/>
                <w:szCs w:val="21"/>
              </w:rPr>
            </w:pPr>
            <w:r>
              <w:rPr>
                <w:rFonts w:ascii="Times New Roman"/>
                <w:sz w:val="21"/>
              </w:rPr>
              <w:t>20,093,519.42</w:t>
            </w:r>
          </w:p>
        </w:tc>
      </w:tr>
    </w:tbl>
    <w:p>
      <w:pPr>
        <w:spacing w:line="240" w:lineRule="auto" w:before="12"/>
        <w:rPr>
          <w:rFonts w:ascii="宋体" w:hAnsi="宋体" w:cs="宋体" w:eastAsia="宋体" w:hint="default"/>
          <w:sz w:val="23"/>
          <w:szCs w:val="23"/>
        </w:rPr>
      </w:pPr>
    </w:p>
    <w:p>
      <w:pPr>
        <w:pStyle w:val="Heading2"/>
        <w:spacing w:line="240" w:lineRule="auto" w:before="26"/>
        <w:ind w:right="29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203,297,013.28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20,329,701.33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1,133,626.69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-4,755,421.87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7,660,307.31</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07"/>
              <w:jc w:val="left"/>
              <w:rPr>
                <w:rFonts w:ascii="宋体" w:hAnsi="宋体" w:cs="宋体" w:eastAsia="宋体" w:hint="default"/>
                <w:sz w:val="21"/>
                <w:szCs w:val="21"/>
              </w:rPr>
            </w:pPr>
            <w:r>
              <w:rPr>
                <w:rFonts w:ascii="宋体" w:hAnsi="宋体" w:cs="宋体" w:eastAsia="宋体" w:hint="default"/>
                <w:spacing w:val="-2"/>
                <w:sz w:val="21"/>
                <w:szCs w:val="21"/>
              </w:rPr>
              <w:t>使用前期未确认递延所得税资产的可抵扣亏损的影</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777,571.54</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07"/>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本期未确认递延所得税资产的可抵扣暂时性差异或</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研发费用加计扣除影响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-10,919,560.68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投资收益的影响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-70,121.63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14,156,102.69</w:t>
            </w:r>
          </w:p>
        </w:tc>
      </w:tr>
    </w:tbl>
    <w:p>
      <w:pPr>
        <w:pStyle w:val="BodyText"/>
        <w:spacing w:line="388" w:lineRule="auto" w:before="80"/>
        <w:ind w:right="8813"/>
        <w:jc w:val="left"/>
      </w:pPr>
      <w:r>
        <w:rPr/>
        <w:t>其他说明 无</w:t>
      </w:r>
    </w:p>
    <w:p>
      <w:pPr>
        <w:spacing w:line="240" w:lineRule="auto" w:before="4"/>
        <w:rPr>
          <w:rFonts w:ascii="宋体" w:hAnsi="宋体" w:cs="宋体" w:eastAsia="宋体" w:hint="default"/>
          <w:sz w:val="23"/>
          <w:szCs w:val="23"/>
        </w:rPr>
      </w:pPr>
    </w:p>
    <w:p>
      <w:pPr>
        <w:pStyle w:val="Heading2"/>
        <w:spacing w:line="240" w:lineRule="auto"/>
        <w:ind w:right="293"/>
        <w:jc w:val="left"/>
        <w:rPr>
          <w:b w:val="0"/>
          <w:bCs w:val="0"/>
        </w:rPr>
      </w:pPr>
      <w:r>
        <w:rPr>
          <w:rFonts w:ascii="Times New Roman" w:hAnsi="Times New Roman" w:cs="Times New Roman" w:eastAsia="Times New Roman" w:hint="default"/>
        </w:rPr>
        <w:t>52</w:t>
      </w:r>
      <w:r>
        <w:rPr/>
        <w:t>、现金流量表项目</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29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3,818,888.20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11,660,706.52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4,088,098.52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3,380,203.37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个税手续费返还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1,956,176.48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收到往来款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76,454,820.34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64,361,571.39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房屋租赁收入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18,695,277.57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105,013,261.11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79,402,481.28</w:t>
            </w:r>
          </w:p>
        </w:tc>
      </w:tr>
    </w:tbl>
    <w:p>
      <w:pPr>
        <w:pStyle w:val="BodyText"/>
        <w:spacing w:line="240" w:lineRule="auto" w:before="79"/>
        <w:ind w:right="293"/>
        <w:jc w:val="left"/>
      </w:pPr>
      <w:r>
        <w:rPr/>
        <w:t>收到的其他与经营活动有关的现金说明：</w:t>
      </w:r>
    </w:p>
    <w:p>
      <w:pPr>
        <w:spacing w:after="0" w:line="240"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240" w:lineRule="auto" w:before="26"/>
        <w:ind w:right="293"/>
        <w:jc w:val="left"/>
      </w:pPr>
      <w:r>
        <w:rPr/>
        <w:t>无</w:t>
      </w:r>
    </w:p>
    <w:p>
      <w:pPr>
        <w:spacing w:line="240" w:lineRule="auto" w:before="9"/>
        <w:rPr>
          <w:rFonts w:ascii="宋体" w:hAnsi="宋体" w:cs="宋体" w:eastAsia="宋体" w:hint="default"/>
          <w:sz w:val="34"/>
          <w:szCs w:val="34"/>
        </w:rPr>
      </w:pPr>
    </w:p>
    <w:p>
      <w:pPr>
        <w:pStyle w:val="Heading2"/>
        <w:spacing w:line="240" w:lineRule="auto"/>
        <w:ind w:right="29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支付的往来款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153,423,350.48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77,838,009.15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办公费用及其他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207,956,437.08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138,469,145.43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357,076.66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144,354.60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361,736,864.22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216,451,509.18</w:t>
            </w:r>
          </w:p>
        </w:tc>
      </w:tr>
    </w:tbl>
    <w:p>
      <w:pPr>
        <w:pStyle w:val="BodyText"/>
        <w:spacing w:line="388" w:lineRule="auto" w:before="79"/>
        <w:ind w:right="5453"/>
        <w:jc w:val="left"/>
      </w:pPr>
      <w:r>
        <w:rPr/>
        <w:t>支付的其他与经营活动有关的现金说明： 无</w:t>
      </w:r>
    </w:p>
    <w:p>
      <w:pPr>
        <w:spacing w:line="240" w:lineRule="auto" w:before="4"/>
        <w:rPr>
          <w:rFonts w:ascii="宋体" w:hAnsi="宋体" w:cs="宋体" w:eastAsia="宋体" w:hint="default"/>
          <w:sz w:val="23"/>
          <w:szCs w:val="23"/>
        </w:rPr>
      </w:pPr>
    </w:p>
    <w:p>
      <w:pPr>
        <w:pStyle w:val="Heading2"/>
        <w:spacing w:line="240" w:lineRule="auto"/>
        <w:ind w:right="29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受限资金收回</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14,412,789.11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2,570,304.12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16,983,093.23</w:t>
            </w:r>
          </w:p>
        </w:tc>
      </w:tr>
    </w:tbl>
    <w:p>
      <w:pPr>
        <w:pStyle w:val="BodyText"/>
        <w:spacing w:line="388" w:lineRule="auto" w:before="79"/>
        <w:ind w:right="5453"/>
        <w:jc w:val="left"/>
      </w:pPr>
      <w:r>
        <w:rPr/>
        <w:t>收到的其他与投资活动有关的现金说明： 无</w:t>
      </w:r>
    </w:p>
    <w:p>
      <w:pPr>
        <w:spacing w:line="240" w:lineRule="auto" w:before="4"/>
        <w:rPr>
          <w:rFonts w:ascii="宋体" w:hAnsi="宋体" w:cs="宋体" w:eastAsia="宋体" w:hint="default"/>
          <w:sz w:val="23"/>
          <w:szCs w:val="23"/>
        </w:rPr>
      </w:pPr>
    </w:p>
    <w:p>
      <w:pPr>
        <w:pStyle w:val="Heading2"/>
        <w:spacing w:line="240" w:lineRule="auto"/>
        <w:ind w:right="29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支付收购子公司费用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1,050,000.00</w:t>
            </w:r>
          </w:p>
        </w:tc>
      </w:tr>
    </w:tbl>
    <w:p>
      <w:pPr>
        <w:pStyle w:val="BodyText"/>
        <w:spacing w:line="386" w:lineRule="auto" w:before="79"/>
        <w:ind w:right="5453"/>
        <w:jc w:val="left"/>
      </w:pPr>
      <w:r>
        <w:rPr/>
        <w:t>支付的其他与投资活动有关的现金说明： 无</w:t>
      </w:r>
    </w:p>
    <w:p>
      <w:pPr>
        <w:spacing w:after="0" w:line="386"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Heading2"/>
        <w:spacing w:line="240" w:lineRule="auto" w:before="26"/>
        <w:ind w:right="29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收回发行股份的保证金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187,797,182.75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187,797,182.75</w:t>
            </w:r>
          </w:p>
        </w:tc>
      </w:tr>
    </w:tbl>
    <w:p>
      <w:pPr>
        <w:pStyle w:val="BodyText"/>
        <w:spacing w:line="388" w:lineRule="auto" w:before="79"/>
        <w:ind w:right="5453"/>
        <w:jc w:val="left"/>
      </w:pPr>
      <w:r>
        <w:rPr/>
        <w:t>收到的其他与筹资活动有关的现金说明： 无</w:t>
      </w:r>
    </w:p>
    <w:p>
      <w:pPr>
        <w:spacing w:line="240" w:lineRule="auto" w:before="5"/>
        <w:rPr>
          <w:rFonts w:ascii="宋体" w:hAnsi="宋体" w:cs="宋体" w:eastAsia="宋体" w:hint="default"/>
          <w:sz w:val="23"/>
          <w:szCs w:val="23"/>
        </w:rPr>
      </w:pPr>
    </w:p>
    <w:p>
      <w:pPr>
        <w:pStyle w:val="Heading2"/>
        <w:spacing w:line="240" w:lineRule="auto"/>
        <w:ind w:right="29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支付发行股份的保证金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196,254,766.52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回购限制性股票款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70,678.40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支付保函保证金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3,304,956.25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3,375,634.65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196,254,766.52</w:t>
            </w:r>
          </w:p>
        </w:tc>
      </w:tr>
    </w:tbl>
    <w:p>
      <w:pPr>
        <w:pStyle w:val="BodyText"/>
        <w:spacing w:line="386" w:lineRule="auto" w:before="79"/>
        <w:ind w:right="5453"/>
        <w:jc w:val="left"/>
      </w:pPr>
      <w:r>
        <w:rPr/>
        <w:t>支付的其他与筹资活动有关的现金说明： 无</w:t>
      </w:r>
    </w:p>
    <w:p>
      <w:pPr>
        <w:spacing w:line="240" w:lineRule="auto" w:before="7"/>
        <w:rPr>
          <w:rFonts w:ascii="宋体" w:hAnsi="宋体" w:cs="宋体" w:eastAsia="宋体" w:hint="default"/>
          <w:sz w:val="23"/>
          <w:szCs w:val="23"/>
        </w:rPr>
      </w:pPr>
    </w:p>
    <w:p>
      <w:pPr>
        <w:pStyle w:val="Heading2"/>
        <w:spacing w:line="240" w:lineRule="auto"/>
        <w:ind w:right="293"/>
        <w:jc w:val="left"/>
        <w:rPr>
          <w:b w:val="0"/>
          <w:bCs w:val="0"/>
        </w:rPr>
      </w:pPr>
      <w:r>
        <w:rPr>
          <w:rFonts w:ascii="Times New Roman" w:hAnsi="Times New Roman" w:cs="Times New Roman" w:eastAsia="Times New Roman" w:hint="default"/>
        </w:rPr>
        <w:t>53</w:t>
      </w:r>
      <w:r>
        <w:rPr/>
        <w:t>、现金流量表补充资料</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29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62" w:hRule="exact"/>
        </w:trPr>
        <w:tc>
          <w:tcPr>
            <w:tcW w:w="3304" w:type="dxa"/>
            <w:vMerge w:val="restart"/>
            <w:tcBorders>
              <w:top w:val="single" w:sz="4" w:space="0" w:color="000000"/>
              <w:left w:val="single" w:sz="4" w:space="0" w:color="000000"/>
              <w:right w:val="single" w:sz="4" w:space="0" w:color="000000"/>
            </w:tcBorders>
            <w:shd w:val="clear" w:color="auto" w:fill="D2D2D2"/>
          </w:tcPr>
          <w:p>
            <w:pPr>
              <w:pStyle w:val="TableParagraph"/>
              <w:spacing w:line="256" w:lineRule="auto" w:before="29"/>
              <w:ind w:left="12" w:right="2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．将净利润调节为经营活动现金流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量：</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4"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189,140,910.59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125,768,503.93</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2,555,412.40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11,068,490.42</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7"/>
                <w:sz w:val="21"/>
                <w:szCs w:val="21"/>
              </w:rPr>
              <w:t>固定资产折旧、油气资产折耗、生产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20,815,276.06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16,441,529.99</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22,170,083.49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11,897,318.29</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1,506,966.59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428,152.74</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186,929.10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235,963.91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36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8"/>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pacing w:val="-75"/>
                <w:sz w:val="21"/>
                <w:szCs w:val="21"/>
              </w:rPr>
              <w:t> </w:t>
            </w:r>
            <w:r>
              <w:rPr>
                <w:rFonts w:ascii="宋体" w:hAnsi="宋体" w:cs="宋体" w:eastAsia="宋体" w:hint="default"/>
                <w:sz w:val="21"/>
                <w:szCs w:val="21"/>
              </w:rPr>
              <w:t>列）</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8"/>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pacing w:val="-75"/>
                <w:sz w:val="21"/>
                <w:szCs w:val="21"/>
              </w:rPr>
              <w:t> </w:t>
            </w:r>
            <w:r>
              <w:rPr>
                <w:rFonts w:ascii="宋体" w:hAnsi="宋体" w:cs="宋体" w:eastAsia="宋体" w:hint="default"/>
                <w:sz w:val="21"/>
                <w:szCs w:val="21"/>
              </w:rPr>
              <w:t>列）</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6,704,543.73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1,257,989.52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-9,087,404.68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-2,163,737.04</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50"/>
              <w:jc w:val="left"/>
              <w:rPr>
                <w:rFonts w:ascii="宋体" w:hAnsi="宋体" w:cs="宋体" w:eastAsia="宋体" w:hint="default"/>
                <w:sz w:val="21"/>
                <w:szCs w:val="21"/>
              </w:rPr>
            </w:pPr>
            <w:r>
              <w:rPr>
                <w:rFonts w:ascii="宋体" w:hAnsi="宋体" w:cs="宋体" w:eastAsia="宋体" w:hint="default"/>
                <w:spacing w:val="-2"/>
                <w:sz w:val="21"/>
                <w:szCs w:val="21"/>
              </w:rPr>
              <w:t>递延所得税资产减少（增加以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-1,230,037.60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1,115,072.59</w:t>
            </w:r>
          </w:p>
        </w:tc>
      </w:tr>
      <w:tr>
        <w:trPr>
          <w:trHeight w:val="71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50"/>
              <w:jc w:val="left"/>
              <w:rPr>
                <w:rFonts w:ascii="宋体" w:hAnsi="宋体" w:cs="宋体" w:eastAsia="宋体" w:hint="default"/>
                <w:sz w:val="21"/>
                <w:szCs w:val="21"/>
              </w:rPr>
            </w:pPr>
            <w:r>
              <w:rPr>
                <w:rFonts w:ascii="宋体" w:hAnsi="宋体" w:cs="宋体" w:eastAsia="宋体" w:hint="default"/>
                <w:spacing w:val="-2"/>
                <w:sz w:val="21"/>
                <w:szCs w:val="21"/>
              </w:rPr>
              <w:t>递延所得税负债增加（减少以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941,015.02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2,066,589.90</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-5,525,645.68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-1,414,870.84</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6"/>
              <w:jc w:val="left"/>
              <w:rPr>
                <w:rFonts w:ascii="宋体" w:hAnsi="宋体" w:cs="宋体" w:eastAsia="宋体"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-144,333,641.04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-112,830,857.70</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6"/>
              <w:jc w:val="left"/>
              <w:rPr>
                <w:rFonts w:ascii="宋体" w:hAnsi="宋体" w:cs="宋体" w:eastAsia="宋体"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199,624,221.96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169,299,985.28</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-34,107,797.03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249,360,832.91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223,170,130.99</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2D2D2"/>
          </w:tcPr>
          <w:p>
            <w:pPr>
              <w:pStyle w:val="TableParagraph"/>
              <w:spacing w:line="256" w:lineRule="auto" w:before="28"/>
              <w:ind w:left="12" w:right="2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．不涉及现金收支的重大投资和筹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资活动：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4"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465" w:right="0"/>
              <w:jc w:val="left"/>
              <w:rPr>
                <w:rFonts w:ascii="Times New Roman" w:hAnsi="Times New Roman" w:cs="Times New Roman" w:eastAsia="Times New Roman" w:hint="default"/>
                <w:sz w:val="21"/>
                <w:szCs w:val="21"/>
              </w:rPr>
            </w:pPr>
            <w:r>
              <w:rPr>
                <w:rFonts w:ascii="Times New Roman"/>
                <w:sz w:val="21"/>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517" w:right="0"/>
              <w:jc w:val="left"/>
              <w:rPr>
                <w:rFonts w:ascii="Times New Roman" w:hAnsi="Times New Roman" w:cs="Times New Roman" w:eastAsia="Times New Roman" w:hint="default"/>
                <w:sz w:val="21"/>
                <w:szCs w:val="21"/>
              </w:rPr>
            </w:pPr>
            <w:r>
              <w:rPr>
                <w:rFonts w:ascii="Times New Roman"/>
                <w:sz w:val="21"/>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465" w:right="0"/>
              <w:jc w:val="left"/>
              <w:rPr>
                <w:rFonts w:ascii="Times New Roman" w:hAnsi="Times New Roman" w:cs="Times New Roman" w:eastAsia="Times New Roman" w:hint="default"/>
                <w:sz w:val="21"/>
                <w:szCs w:val="21"/>
              </w:rPr>
            </w:pPr>
            <w:r>
              <w:rPr>
                <w:rFonts w:ascii="Times New Roman"/>
                <w:sz w:val="21"/>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517" w:right="0"/>
              <w:jc w:val="left"/>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547,811,070.28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522,110,563.26</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522,110,563.26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349,830,434.47</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25,700,507.02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172,280,128.79</w:t>
            </w:r>
          </w:p>
        </w:tc>
      </w:tr>
    </w:tbl>
    <w:p>
      <w:pPr>
        <w:spacing w:line="240" w:lineRule="auto" w:before="13"/>
        <w:rPr>
          <w:rFonts w:ascii="宋体" w:hAnsi="宋体" w:cs="宋体" w:eastAsia="宋体" w:hint="default"/>
          <w:sz w:val="23"/>
          <w:szCs w:val="23"/>
        </w:rPr>
      </w:pPr>
    </w:p>
    <w:p>
      <w:pPr>
        <w:pStyle w:val="Heading2"/>
        <w:spacing w:line="240" w:lineRule="auto" w:before="26"/>
        <w:ind w:right="29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69,000,000.00</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8"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其中：上海数慧</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69,000,000.00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10,810,728.73</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215" w:right="0"/>
              <w:jc w:val="left"/>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其中：上海数慧</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10,810,728.73</w:t>
            </w:r>
          </w:p>
        </w:tc>
      </w:tr>
      <w:tr>
        <w:trPr>
          <w:trHeight w:val="71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18"/>
              <w:jc w:val="left"/>
              <w:rPr>
                <w:rFonts w:ascii="宋体" w:hAnsi="宋体" w:cs="宋体" w:eastAsia="宋体" w:hint="default"/>
                <w:sz w:val="21"/>
                <w:szCs w:val="21"/>
              </w:rPr>
            </w:pPr>
            <w:r>
              <w:rPr>
                <w:rFonts w:ascii="宋体" w:hAnsi="宋体" w:cs="宋体" w:eastAsia="宋体" w:hint="default"/>
                <w:spacing w:val="-2"/>
                <w:sz w:val="21"/>
                <w:szCs w:val="21"/>
              </w:rPr>
              <w:t>加：以前期间发生的企业合并于本期支付的现金或现</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36,000,000.00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215" w:right="0"/>
              <w:jc w:val="left"/>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其中：上海南康</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北京安图</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21,000,000.00</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94,189,271.27</w:t>
            </w:r>
          </w:p>
        </w:tc>
      </w:tr>
    </w:tbl>
    <w:p>
      <w:pPr>
        <w:pStyle w:val="BodyText"/>
        <w:spacing w:line="386" w:lineRule="auto" w:before="79"/>
        <w:ind w:right="8573"/>
        <w:jc w:val="left"/>
      </w:pPr>
      <w:r>
        <w:rPr/>
        <w:t>其他说明： 无</w:t>
      </w:r>
    </w:p>
    <w:p>
      <w:pPr>
        <w:spacing w:line="240" w:lineRule="auto" w:before="7"/>
        <w:rPr>
          <w:rFonts w:ascii="宋体" w:hAnsi="宋体" w:cs="宋体" w:eastAsia="宋体" w:hint="default"/>
          <w:sz w:val="23"/>
          <w:szCs w:val="23"/>
        </w:rPr>
      </w:pPr>
    </w:p>
    <w:p>
      <w:pPr>
        <w:pStyle w:val="Heading2"/>
        <w:spacing w:line="240" w:lineRule="auto"/>
        <w:ind w:right="293"/>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547,811,070.28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522,110,563.26</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270,372.74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732,419.62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547,540,697.54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521,378,143.64</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547,811,070.28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522,110,563.26</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7"/>
                <w:w w:val="100"/>
                <w:sz w:val="21"/>
                <w:szCs w:val="21"/>
              </w:rPr>
              <w:t>其中：母公司或集团内子公司使用受</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限制的现金和现金等价物</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6" w:lineRule="auto" w:before="79"/>
        <w:ind w:right="6653"/>
        <w:jc w:val="left"/>
      </w:pPr>
      <w:r>
        <w:rPr/>
        <w:t>其他说明： 现金流量表补充资料的说明：</w:t>
      </w:r>
    </w:p>
    <w:p>
      <w:pPr>
        <w:pStyle w:val="BodyText"/>
        <w:spacing w:line="240" w:lineRule="auto" w:before="7"/>
        <w:ind w:left="513" w:right="202"/>
        <w:jc w:val="left"/>
      </w:pPr>
      <w:r>
        <w:rPr>
          <w:rFonts w:ascii="Times New Roman" w:hAnsi="Times New Roman" w:cs="Times New Roman" w:eastAsia="Times New Roman" w:hint="default"/>
        </w:rPr>
        <w:t>2017</w:t>
      </w:r>
      <w:r>
        <w:rPr/>
        <w:t>年度现金流量表中现金期末数为</w:t>
      </w:r>
      <w:r>
        <w:rPr>
          <w:rFonts w:ascii="Times New Roman" w:hAnsi="Times New Roman" w:cs="Times New Roman" w:eastAsia="Times New Roman" w:hint="default"/>
        </w:rPr>
        <w:t>547,811,070.28</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日资产负债表中货</w:t>
      </w:r>
    </w:p>
    <w:p>
      <w:pPr>
        <w:spacing w:after="0" w:line="240"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38" w:lineRule="auto" w:before="26"/>
        <w:ind w:right="138"/>
        <w:jc w:val="left"/>
      </w:pPr>
      <w:r>
        <w:rPr/>
        <w:t>币资金期末数为</w:t>
      </w:r>
      <w:r>
        <w:rPr>
          <w:rFonts w:ascii="Times New Roman" w:hAnsi="Times New Roman" w:cs="Times New Roman" w:eastAsia="Times New Roman" w:hint="default"/>
        </w:rPr>
        <w:t>561,680,511.43</w:t>
      </w:r>
      <w:r>
        <w:rPr/>
        <w:t>元，差额</w:t>
      </w:r>
      <w:r>
        <w:rPr>
          <w:rFonts w:ascii="Times New Roman" w:hAnsi="Times New Roman" w:cs="Times New Roman" w:eastAsia="Times New Roman" w:hint="default"/>
        </w:rPr>
        <w:t>13,869,441.15</w:t>
      </w:r>
      <w:r>
        <w:rPr/>
        <w:t>元，系现金流量表现金期末数扣除了不</w:t>
      </w:r>
      <w:r>
        <w:rPr>
          <w:spacing w:val="-87"/>
        </w:rPr>
        <w:t> </w:t>
      </w:r>
      <w:r>
        <w:rPr>
          <w:spacing w:val="-87"/>
        </w:rPr>
      </w:r>
      <w:r>
        <w:rPr/>
        <w:t>符合现金及现金等价物标准的保函保证金</w:t>
      </w:r>
      <w:r>
        <w:rPr>
          <w:rFonts w:ascii="Times New Roman" w:hAnsi="Times New Roman" w:cs="Times New Roman" w:eastAsia="Times New Roman" w:hint="default"/>
        </w:rPr>
        <w:t>13,869,441.15</w:t>
      </w:r>
      <w:r>
        <w:rPr/>
        <w:t>元。</w:t>
      </w:r>
    </w:p>
    <w:p>
      <w:pPr>
        <w:pStyle w:val="BodyText"/>
        <w:spacing w:line="338" w:lineRule="auto" w:before="27"/>
        <w:ind w:right="151" w:firstLine="360"/>
        <w:jc w:val="both"/>
      </w:pPr>
      <w:r>
        <w:rPr>
          <w:rFonts w:ascii="Times New Roman" w:hAnsi="Times New Roman" w:cs="Times New Roman" w:eastAsia="Times New Roman" w:hint="default"/>
        </w:rPr>
        <w:t>2016</w:t>
      </w:r>
      <w:r>
        <w:rPr/>
        <w:t>年度现金流量表中现金期末数为</w:t>
      </w:r>
      <w:r>
        <w:rPr>
          <w:rFonts w:ascii="Times New Roman" w:hAnsi="Times New Roman" w:cs="Times New Roman" w:eastAsia="Times New Roman" w:hint="default"/>
        </w:rPr>
        <w:t>522,110,563.26</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日资产负债表中货 币资金期末数为</w:t>
      </w:r>
      <w:r>
        <w:rPr>
          <w:rFonts w:ascii="Times New Roman" w:hAnsi="Times New Roman" w:cs="Times New Roman" w:eastAsia="Times New Roman" w:hint="default"/>
        </w:rPr>
        <w:t>532,675,048.16</w:t>
      </w:r>
      <w:r>
        <w:rPr/>
        <w:t>元，差额</w:t>
      </w:r>
      <w:r>
        <w:rPr>
          <w:rFonts w:ascii="Times New Roman" w:hAnsi="Times New Roman" w:cs="Times New Roman" w:eastAsia="Times New Roman" w:hint="default"/>
        </w:rPr>
        <w:t>10,564,484.90</w:t>
      </w:r>
      <w:r>
        <w:rPr/>
        <w:t>元，系现金流量表现金期末数扣除了不</w:t>
      </w:r>
      <w:r>
        <w:rPr>
          <w:spacing w:val="-87"/>
        </w:rPr>
        <w:t> </w:t>
      </w:r>
      <w:r>
        <w:rPr>
          <w:spacing w:val="-87"/>
        </w:rPr>
      </w:r>
      <w:r>
        <w:rPr/>
        <w:t>符合现金及现金等价物标准的保函保证金</w:t>
      </w:r>
      <w:r>
        <w:rPr>
          <w:rFonts w:ascii="Times New Roman" w:hAnsi="Times New Roman" w:cs="Times New Roman" w:eastAsia="Times New Roman" w:hint="default"/>
        </w:rPr>
        <w:t>10,564,484.90</w:t>
      </w:r>
      <w:r>
        <w:rPr/>
        <w:t>元。</w:t>
      </w:r>
    </w:p>
    <w:p>
      <w:pPr>
        <w:spacing w:line="240" w:lineRule="auto" w:before="13"/>
        <w:rPr>
          <w:rFonts w:ascii="宋体" w:hAnsi="宋体" w:cs="宋体" w:eastAsia="宋体" w:hint="default"/>
          <w:sz w:val="24"/>
          <w:szCs w:val="24"/>
        </w:rPr>
      </w:pPr>
    </w:p>
    <w:p>
      <w:pPr>
        <w:pStyle w:val="Heading2"/>
        <w:spacing w:line="240" w:lineRule="auto"/>
        <w:ind w:right="293"/>
        <w:jc w:val="left"/>
        <w:rPr>
          <w:b w:val="0"/>
          <w:bCs w:val="0"/>
        </w:rPr>
      </w:pPr>
      <w:r>
        <w:rPr>
          <w:rFonts w:ascii="Times New Roman" w:hAnsi="Times New Roman" w:cs="Times New Roman" w:eastAsia="Times New Roman" w:hint="default"/>
        </w:rPr>
        <w:t>54</w:t>
      </w:r>
      <w:r>
        <w:rPr/>
        <w:t>、所有权或使用权受到限制的资产</w:t>
      </w:r>
      <w:r>
        <w:rPr>
          <w:b w:val="0"/>
          <w:bCs w:val="0"/>
        </w:rPr>
      </w:r>
    </w:p>
    <w:p>
      <w:pPr>
        <w:spacing w:line="240" w:lineRule="auto" w:before="5"/>
        <w:rPr>
          <w:rFonts w:ascii="宋体" w:hAnsi="宋体" w:cs="宋体" w:eastAsia="宋体" w:hint="default"/>
          <w:b/>
          <w:bCs/>
          <w:sz w:val="29"/>
          <w:szCs w:val="29"/>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03"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13,869,441.15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75"/>
              <w:ind w:right="7"/>
              <w:jc w:val="right"/>
              <w:rPr>
                <w:rFonts w:ascii="Times New Roman" w:hAnsi="Times New Roman" w:cs="Times New Roman" w:eastAsia="Times New Roman" w:hint="default"/>
                <w:sz w:val="21"/>
                <w:szCs w:val="21"/>
              </w:rPr>
            </w:pPr>
            <w:r>
              <w:rPr>
                <w:rFonts w:ascii="Times New Roman"/>
                <w:spacing w:val="-1"/>
                <w:sz w:val="21"/>
              </w:rPr>
              <w:t>13,869,441.15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388" w:lineRule="auto" w:before="79"/>
        <w:ind w:right="8573"/>
        <w:jc w:val="left"/>
      </w:pPr>
      <w:r>
        <w:rPr/>
        <w:t>其他说明： 无</w:t>
      </w:r>
    </w:p>
    <w:p>
      <w:pPr>
        <w:spacing w:line="240" w:lineRule="auto" w:before="5"/>
        <w:rPr>
          <w:rFonts w:ascii="宋体" w:hAnsi="宋体" w:cs="宋体" w:eastAsia="宋体" w:hint="default"/>
          <w:sz w:val="23"/>
          <w:szCs w:val="23"/>
        </w:rPr>
      </w:pPr>
    </w:p>
    <w:p>
      <w:pPr>
        <w:pStyle w:val="Heading2"/>
        <w:spacing w:line="240" w:lineRule="auto"/>
        <w:ind w:right="293"/>
        <w:jc w:val="left"/>
        <w:rPr>
          <w:b w:val="0"/>
          <w:bCs w:val="0"/>
        </w:rPr>
      </w:pPr>
      <w:r>
        <w:rPr>
          <w:rFonts w:ascii="Times New Roman" w:hAnsi="Times New Roman" w:cs="Times New Roman" w:eastAsia="Times New Roman" w:hint="default"/>
        </w:rPr>
        <w:t>55</w:t>
      </w:r>
      <w:r>
        <w:rPr/>
        <w:t>、外币货币性项目</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29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484"/>
        <w:gridCol w:w="2304"/>
        <w:gridCol w:w="2391"/>
        <w:gridCol w:w="2391"/>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4" w:right="0"/>
              <w:jc w:val="left"/>
              <w:rPr>
                <w:rFonts w:ascii="宋体" w:hAnsi="宋体" w:cs="宋体" w:eastAsia="宋体" w:hint="default"/>
                <w:sz w:val="21"/>
                <w:szCs w:val="21"/>
              </w:rPr>
            </w:pPr>
            <w:r>
              <w:rPr>
                <w:rFonts w:ascii="宋体" w:hAnsi="宋体" w:cs="宋体" w:eastAsia="宋体" w:hint="default"/>
                <w:sz w:val="21"/>
                <w:szCs w:val="21"/>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4" w:right="0"/>
              <w:jc w:val="center"/>
              <w:rPr>
                <w:rFonts w:ascii="Times New Roman" w:hAnsi="Times New Roman" w:cs="Times New Roman" w:eastAsia="Times New Roman" w:hint="default"/>
                <w:sz w:val="21"/>
                <w:szCs w:val="21"/>
              </w:rPr>
            </w:pPr>
            <w:r>
              <w:rPr>
                <w:rFonts w:ascii="Times New Roman"/>
                <w:sz w:val="21"/>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10,157,807.06</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3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1,455,841.39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6.534200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9,512,758.81</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55"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3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25,167.73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7.802300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196,366.18</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3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32,108.41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0.835910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26,839.74</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30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7,287,845.00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0.057883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421,842.33</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4" w:right="0"/>
              <w:jc w:val="center"/>
              <w:rPr>
                <w:rFonts w:ascii="Times New Roman" w:hAnsi="Times New Roman" w:cs="Times New Roman" w:eastAsia="Times New Roman" w:hint="default"/>
                <w:sz w:val="21"/>
                <w:szCs w:val="21"/>
              </w:rPr>
            </w:pPr>
            <w:r>
              <w:rPr>
                <w:rFonts w:ascii="Times New Roman"/>
                <w:sz w:val="21"/>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997,205.95</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304"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304"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304"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3"/>
        <w:gridCol w:w="2304"/>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65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30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17,227,959.00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0.057883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997,205.95</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4" w:right="0"/>
              <w:jc w:val="center"/>
              <w:rPr>
                <w:rFonts w:ascii="Times New Roman" w:hAnsi="Times New Roman" w:cs="Times New Roman" w:eastAsia="Times New Roman" w:hint="default"/>
                <w:sz w:val="21"/>
                <w:szCs w:val="21"/>
              </w:rPr>
            </w:pPr>
            <w:r>
              <w:rPr>
                <w:rFonts w:ascii="Times New Roman"/>
                <w:sz w:val="21"/>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5,588,253.81</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304"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5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304"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304"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65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30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96,543,956.00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0.057883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5,588,253.81</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04" w:type="dxa"/>
            <w:tcBorders>
              <w:top w:val="single" w:sz="4" w:space="0" w:color="000000"/>
              <w:left w:val="single" w:sz="13"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128,558.20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30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2,221,001.00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0.057883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128,558.20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304" w:type="dxa"/>
            <w:tcBorders>
              <w:top w:val="single" w:sz="4" w:space="0" w:color="000000"/>
              <w:left w:val="single" w:sz="13"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5,055,848.52</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30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87,346,000.00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0.057883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5,055,848.52</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04" w:type="dxa"/>
            <w:tcBorders>
              <w:top w:val="single" w:sz="4" w:space="0" w:color="000000"/>
              <w:left w:val="single" w:sz="13"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654,020.09</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30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10,865,760.00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0.057883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628,942.79</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65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30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0.835910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25,077.30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304" w:type="dxa"/>
            <w:tcBorders>
              <w:top w:val="single" w:sz="4" w:space="0" w:color="000000"/>
              <w:left w:val="single" w:sz="13"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27,706.05</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30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478,656.00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0.057883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27,706.05</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04" w:type="dxa"/>
            <w:tcBorders>
              <w:top w:val="single" w:sz="4" w:space="0" w:color="000000"/>
              <w:left w:val="single" w:sz="13"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489,159.04</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30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3,556,459.00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0.057883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205,858.52</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759" w:right="0"/>
              <w:jc w:val="left"/>
              <w:rPr>
                <w:rFonts w:ascii="宋体" w:hAnsi="宋体" w:cs="宋体" w:eastAsia="宋体" w:hint="default"/>
                <w:sz w:val="21"/>
                <w:szCs w:val="21"/>
              </w:rPr>
            </w:pPr>
            <w:r>
              <w:rPr>
                <w:rFonts w:ascii="宋体" w:hAnsi="宋体" w:cs="宋体" w:eastAsia="宋体" w:hint="default"/>
                <w:spacing w:val="-3"/>
                <w:sz w:val="21"/>
                <w:szCs w:val="21"/>
              </w:rPr>
              <w:t>港币</w:t>
            </w:r>
            <w:r>
              <w:rPr>
                <w:rFonts w:ascii="宋体" w:hAnsi="宋体" w:cs="宋体" w:eastAsia="宋体" w:hint="default"/>
                <w:sz w:val="21"/>
                <w:szCs w:val="21"/>
              </w:rPr>
            </w:r>
          </w:p>
        </w:tc>
        <w:tc>
          <w:tcPr>
            <w:tcW w:w="230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338,912.70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0.835910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283,300.52</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304" w:type="dxa"/>
            <w:tcBorders>
              <w:top w:val="single" w:sz="4" w:space="0" w:color="000000"/>
              <w:left w:val="single" w:sz="13"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3,475,526.85</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30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60,044,000.00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0.057883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3,475,526.85</w:t>
            </w:r>
          </w:p>
        </w:tc>
      </w:tr>
    </w:tbl>
    <w:p>
      <w:pPr>
        <w:pStyle w:val="BodyText"/>
        <w:spacing w:line="386" w:lineRule="auto" w:before="79"/>
        <w:ind w:right="8573"/>
        <w:jc w:val="left"/>
      </w:pPr>
      <w:r>
        <w:rPr/>
        <w:t>其他说明： 无</w:t>
      </w:r>
    </w:p>
    <w:p>
      <w:pPr>
        <w:spacing w:line="240" w:lineRule="auto" w:before="7"/>
        <w:rPr>
          <w:rFonts w:ascii="宋体" w:hAnsi="宋体" w:cs="宋体" w:eastAsia="宋体" w:hint="default"/>
          <w:sz w:val="23"/>
          <w:szCs w:val="23"/>
        </w:rPr>
      </w:pPr>
    </w:p>
    <w:p>
      <w:pPr>
        <w:pStyle w:val="Heading2"/>
        <w:spacing w:line="338" w:lineRule="auto"/>
        <w:ind w:right="138"/>
        <w:jc w:val="left"/>
        <w:rPr>
          <w:b w:val="0"/>
          <w:bCs w:val="0"/>
        </w:rPr>
      </w:pPr>
      <w:r>
        <w:rPr>
          <w:spacing w:val="-3"/>
        </w:rPr>
        <w:t>（</w:t>
      </w:r>
      <w:r>
        <w:rPr>
          <w:rFonts w:ascii="Times New Roman" w:hAnsi="Times New Roman" w:cs="Times New Roman" w:eastAsia="Times New Roman" w:hint="default"/>
          <w:spacing w:val="-3"/>
        </w:rPr>
        <w:t>2</w:t>
      </w:r>
      <w:r>
        <w:rPr>
          <w:spacing w:val="-3"/>
        </w:rPr>
        <w:t>）境外经营实体说明，包括对于重要的境外经营实体，应披露其境外主要经营地、记账本</w:t>
      </w:r>
      <w:r>
        <w:rPr>
          <w:w w:val="99"/>
        </w:rPr>
        <w:t> </w:t>
      </w:r>
      <w:r>
        <w:rPr/>
        <w:t>位币及选择依据，记账本位币发生变化的还应披露原因。</w:t>
      </w:r>
      <w:r>
        <w:rPr>
          <w:b w:val="0"/>
          <w:bCs w:val="0"/>
        </w:rPr>
      </w:r>
    </w:p>
    <w:p>
      <w:pPr>
        <w:spacing w:line="240" w:lineRule="auto" w:before="2"/>
        <w:rPr>
          <w:rFonts w:ascii="宋体" w:hAnsi="宋体" w:cs="宋体" w:eastAsia="宋体" w:hint="default"/>
          <w:b/>
          <w:bCs/>
          <w:sz w:val="27"/>
          <w:szCs w:val="27"/>
        </w:rPr>
      </w:pPr>
    </w:p>
    <w:p>
      <w:pPr>
        <w:pStyle w:val="BodyText"/>
        <w:spacing w:line="367" w:lineRule="auto" w:before="0"/>
        <w:ind w:left="573" w:right="6233" w:hanging="4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本公司有如下境外经营实体：</w:t>
      </w:r>
    </w:p>
    <w:p>
      <w:pPr>
        <w:pStyle w:val="BodyText"/>
        <w:spacing w:line="338" w:lineRule="auto" w:before="26"/>
        <w:ind w:left="573" w:right="233"/>
        <w:jc w:val="left"/>
      </w:pPr>
      <w:r>
        <w:rPr>
          <w:rFonts w:ascii="Times New Roman" w:hAnsi="Times New Roman" w:cs="Times New Roman" w:eastAsia="Times New Roman" w:hint="default"/>
        </w:rPr>
        <w:t>(1)</w:t>
      </w:r>
      <w:r>
        <w:rPr/>
        <w:t>日本超图公司，主要经营地为日本，记账本位币为日元；</w:t>
      </w:r>
      <w:r>
        <w:rPr>
          <w:w w:val="99"/>
        </w:rPr>
        <w:t> </w:t>
      </w:r>
      <w:r>
        <w:rPr>
          <w:rFonts w:ascii="Times New Roman" w:hAnsi="Times New Roman" w:cs="Times New Roman" w:eastAsia="Times New Roman" w:hint="default"/>
        </w:rPr>
        <w:t>(2)</w:t>
      </w:r>
      <w:r>
        <w:rPr/>
        <w:t>超图国际公司，主要经营地为中国香港，记账本位币为港币。</w:t>
      </w:r>
      <w:r>
        <w:rPr>
          <w:w w:val="99"/>
        </w:rPr>
        <w:t> </w:t>
      </w:r>
      <w:r>
        <w:rPr/>
        <w:t>本公司之境外子公司根据其经营所处的主要经济环境中的货币确定日元、港币为其记账</w:t>
      </w:r>
    </w:p>
    <w:p>
      <w:pPr>
        <w:pStyle w:val="BodyText"/>
        <w:spacing w:line="240" w:lineRule="auto"/>
        <w:ind w:right="293"/>
        <w:jc w:val="left"/>
      </w:pPr>
      <w:r>
        <w:rPr/>
        <w:t>本位币，本期上述境外经营实体的记账本位币没有发生变化。</w:t>
      </w:r>
    </w:p>
    <w:p>
      <w:pPr>
        <w:spacing w:after="0" w:line="240"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9"/>
          <w:pgSz w:w="11910" w:h="16840"/>
          <w:pgMar w:footer="980" w:header="877" w:top="1100" w:bottom="1160" w:left="980" w:right="980"/>
        </w:sectPr>
      </w:pPr>
    </w:p>
    <w:p>
      <w:pPr>
        <w:pStyle w:val="Heading2"/>
        <w:spacing w:line="240" w:lineRule="auto" w:before="26"/>
        <w:ind w:right="0"/>
        <w:jc w:val="left"/>
        <w:rPr>
          <w:b w:val="0"/>
          <w:bCs w:val="0"/>
        </w:rPr>
      </w:pPr>
      <w:r>
        <w:rPr/>
        <w:t>八、合并范围的变更</w:t>
      </w:r>
      <w:r>
        <w:rPr>
          <w:b w:val="0"/>
          <w:bCs w:val="0"/>
        </w:rPr>
      </w:r>
    </w:p>
    <w:p>
      <w:pPr>
        <w:pStyle w:val="Heading2"/>
        <w:spacing w:line="240" w:lineRule="auto" w:before="154"/>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pStyle w:val="Heading2"/>
        <w:spacing w:line="240" w:lineRule="auto" w:before="135"/>
        <w:ind w:right="0"/>
        <w:jc w:val="left"/>
        <w:rPr>
          <w:b w:val="0"/>
          <w:bCs w:val="0"/>
        </w:rPr>
      </w:pPr>
      <w:r>
        <w:rPr>
          <w:w w:val="95"/>
        </w:rPr>
        <w:t>（</w:t>
      </w:r>
      <w:r>
        <w:rPr>
          <w:rFonts w:ascii="Times New Roman" w:hAnsi="Times New Roman" w:cs="Times New Roman" w:eastAsia="Times New Roman" w:hint="default"/>
          <w:w w:val="95"/>
        </w:rPr>
        <w:t>1</w:t>
      </w:r>
      <w:r>
        <w:rPr>
          <w:w w:val="95"/>
        </w:rPr>
        <w:t>）本期发生的非同一控制下企业合并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80"/>
          <w:cols w:num="2" w:equalWidth="0">
            <w:col w:w="4369" w:space="4325"/>
            <w:col w:w="1256"/>
          </w:cols>
        </w:sectPr>
      </w:pP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3"/>
        <w:gridCol w:w="1061"/>
      </w:tblGrid>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15" w:right="101" w:hanging="209"/>
              <w:jc w:val="left"/>
              <w:rPr>
                <w:rFonts w:ascii="宋体" w:hAnsi="宋体" w:cs="宋体" w:eastAsia="宋体" w:hint="default"/>
                <w:sz w:val="21"/>
                <w:szCs w:val="21"/>
              </w:rPr>
            </w:pPr>
            <w:r>
              <w:rPr>
                <w:rFonts w:ascii="宋体" w:hAnsi="宋体" w:cs="宋体" w:eastAsia="宋体" w:hint="default"/>
                <w:sz w:val="21"/>
                <w:szCs w:val="21"/>
              </w:rPr>
              <w:t>被购买方</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时点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17" w:right="103"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17" w:right="101" w:hanging="210"/>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05" w:right="101"/>
              <w:jc w:val="left"/>
              <w:rPr>
                <w:rFonts w:ascii="宋体" w:hAnsi="宋体" w:cs="宋体" w:eastAsia="宋体" w:hint="default"/>
                <w:sz w:val="21"/>
                <w:szCs w:val="21"/>
              </w:rPr>
            </w:pPr>
            <w:r>
              <w:rPr>
                <w:rFonts w:ascii="宋体" w:hAnsi="宋体" w:cs="宋体" w:eastAsia="宋体" w:hint="default"/>
                <w:sz w:val="21"/>
                <w:szCs w:val="21"/>
              </w:rPr>
              <w:t>购买日的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03"/>
              <w:jc w:val="center"/>
              <w:rPr>
                <w:rFonts w:ascii="宋体" w:hAnsi="宋体" w:cs="宋体" w:eastAsia="宋体" w:hint="default"/>
                <w:sz w:val="21"/>
                <w:szCs w:val="21"/>
              </w:rPr>
            </w:pPr>
            <w:r>
              <w:rPr>
                <w:rFonts w:ascii="宋体" w:hAnsi="宋体" w:cs="宋体" w:eastAsia="宋体" w:hint="default"/>
                <w:sz w:val="21"/>
                <w:szCs w:val="21"/>
              </w:rPr>
              <w:t>购买日至</w:t>
            </w:r>
            <w:r>
              <w:rPr>
                <w:rFonts w:ascii="宋体" w:hAnsi="宋体" w:cs="宋体" w:eastAsia="宋体" w:hint="default"/>
                <w:w w:val="100"/>
                <w:sz w:val="21"/>
                <w:szCs w:val="21"/>
              </w:rPr>
              <w:t> </w:t>
            </w:r>
            <w:r>
              <w:rPr>
                <w:rFonts w:ascii="宋体" w:hAnsi="宋体" w:cs="宋体" w:eastAsia="宋体" w:hint="default"/>
                <w:sz w:val="21"/>
                <w:szCs w:val="21"/>
              </w:rPr>
              <w:t>期末被购</w:t>
            </w:r>
            <w:r>
              <w:rPr>
                <w:rFonts w:ascii="宋体" w:hAnsi="宋体" w:cs="宋体" w:eastAsia="宋体" w:hint="default"/>
                <w:w w:val="100"/>
                <w:sz w:val="21"/>
                <w:szCs w:val="21"/>
              </w:rPr>
              <w:t> </w:t>
            </w:r>
            <w:r>
              <w:rPr>
                <w:rFonts w:ascii="宋体" w:hAnsi="宋体" w:cs="宋体" w:eastAsia="宋体" w:hint="default"/>
                <w:sz w:val="21"/>
                <w:szCs w:val="21"/>
              </w:rPr>
              <w:t>买方的收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01"/>
              <w:jc w:val="center"/>
              <w:rPr>
                <w:rFonts w:ascii="宋体" w:hAnsi="宋体" w:cs="宋体" w:eastAsia="宋体" w:hint="default"/>
                <w:sz w:val="21"/>
                <w:szCs w:val="21"/>
              </w:rPr>
            </w:pPr>
            <w:r>
              <w:rPr>
                <w:rFonts w:ascii="宋体" w:hAnsi="宋体" w:cs="宋体" w:eastAsia="宋体" w:hint="default"/>
                <w:sz w:val="21"/>
                <w:szCs w:val="21"/>
              </w:rPr>
              <w:t>购买日至</w:t>
            </w:r>
            <w:r>
              <w:rPr>
                <w:rFonts w:ascii="宋体" w:hAnsi="宋体" w:cs="宋体" w:eastAsia="宋体" w:hint="default"/>
                <w:w w:val="100"/>
                <w:sz w:val="21"/>
                <w:szCs w:val="21"/>
              </w:rPr>
              <w:t> </w:t>
            </w:r>
            <w:r>
              <w:rPr>
                <w:rFonts w:ascii="宋体" w:hAnsi="宋体" w:cs="宋体" w:eastAsia="宋体" w:hint="default"/>
                <w:sz w:val="21"/>
                <w:szCs w:val="21"/>
              </w:rPr>
              <w:t>期末被购</w:t>
            </w:r>
            <w:r>
              <w:rPr>
                <w:rFonts w:ascii="宋体" w:hAnsi="宋体" w:cs="宋体" w:eastAsia="宋体" w:hint="default"/>
                <w:w w:val="100"/>
                <w:sz w:val="21"/>
                <w:szCs w:val="21"/>
              </w:rPr>
              <w:t> </w:t>
            </w:r>
            <w:r>
              <w:rPr>
                <w:rFonts w:ascii="宋体" w:hAnsi="宋体" w:cs="宋体" w:eastAsia="宋体" w:hint="default"/>
                <w:sz w:val="21"/>
                <w:szCs w:val="21"/>
              </w:rPr>
              <w:t>买方的净</w:t>
            </w:r>
            <w:r>
              <w:rPr>
                <w:rFonts w:ascii="宋体" w:hAnsi="宋体" w:cs="宋体" w:eastAsia="宋体" w:hint="default"/>
                <w:w w:val="100"/>
                <w:sz w:val="21"/>
                <w:szCs w:val="21"/>
              </w:rPr>
              <w:t> </w:t>
            </w:r>
            <w:r>
              <w:rPr>
                <w:rFonts w:ascii="宋体" w:hAnsi="宋体" w:cs="宋体" w:eastAsia="宋体" w:hint="default"/>
                <w:sz w:val="21"/>
                <w:szCs w:val="21"/>
              </w:rPr>
              <w:t>利润</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上海数慧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6" w:right="0"/>
              <w:jc w:val="left"/>
              <w:rPr>
                <w:rFonts w:ascii="Times New Roman" w:hAnsi="Times New Roman" w:cs="Times New Roman" w:eastAsia="Times New Roman" w:hint="default"/>
                <w:sz w:val="21"/>
                <w:szCs w:val="21"/>
              </w:rPr>
            </w:pPr>
            <w:r>
              <w:rPr>
                <w:rFonts w:ascii="Times New Roman"/>
                <w:sz w:val="21"/>
              </w:rPr>
              <w:t>217,736,33</w:t>
            </w:r>
          </w:p>
          <w:p>
            <w:pPr>
              <w:pStyle w:val="TableParagraph"/>
              <w:spacing w:line="240" w:lineRule="auto" w:before="70"/>
              <w:ind w:left="665" w:right="0"/>
              <w:jc w:val="left"/>
              <w:rPr>
                <w:rFonts w:ascii="Times New Roman" w:hAnsi="Times New Roman" w:cs="Times New Roman" w:eastAsia="Times New Roman" w:hint="default"/>
                <w:sz w:val="21"/>
                <w:szCs w:val="21"/>
              </w:rPr>
            </w:pPr>
            <w:r>
              <w:rPr>
                <w:rFonts w:ascii="Times New Roman"/>
                <w:sz w:val="21"/>
              </w:rPr>
              <w:t>1.94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1" w:right="0"/>
              <w:jc w:val="left"/>
              <w:rPr>
                <w:rFonts w:ascii="Times New Roman" w:hAnsi="Times New Roman" w:cs="Times New Roman" w:eastAsia="Times New Roman" w:hint="default"/>
                <w:sz w:val="21"/>
                <w:szCs w:val="21"/>
              </w:rPr>
            </w:pPr>
            <w:r>
              <w:rPr>
                <w:rFonts w:ascii="Times New Roman"/>
                <w:sz w:val="21"/>
              </w:rPr>
              <w:t>115,442,73</w:t>
            </w:r>
          </w:p>
          <w:p>
            <w:pPr>
              <w:pStyle w:val="TableParagraph"/>
              <w:spacing w:line="240" w:lineRule="auto" w:before="70"/>
              <w:ind w:left="662" w:right="0"/>
              <w:jc w:val="left"/>
              <w:rPr>
                <w:rFonts w:ascii="Times New Roman" w:hAnsi="Times New Roman" w:cs="Times New Roman" w:eastAsia="Times New Roman" w:hint="default"/>
                <w:sz w:val="21"/>
                <w:szCs w:val="21"/>
              </w:rPr>
            </w:pPr>
            <w:r>
              <w:rPr>
                <w:rFonts w:ascii="Times New Roman"/>
                <w:sz w:val="21"/>
              </w:rPr>
              <w:t>2.34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28,874,020.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06</w:t>
            </w:r>
          </w:p>
        </w:tc>
      </w:tr>
    </w:tbl>
    <w:p>
      <w:pPr>
        <w:pStyle w:val="BodyText"/>
        <w:spacing w:line="240" w:lineRule="auto" w:before="80"/>
        <w:ind w:right="293"/>
        <w:jc w:val="left"/>
      </w:pPr>
      <w:r>
        <w:rPr/>
        <w:t>其他说明：</w:t>
      </w:r>
    </w:p>
    <w:p>
      <w:pPr>
        <w:pStyle w:val="BodyText"/>
        <w:spacing w:line="340" w:lineRule="auto" w:before="194"/>
        <w:ind w:right="202" w:firstLine="364"/>
        <w:jc w:val="left"/>
      </w:pPr>
      <w:r>
        <w:rPr/>
        <w:t>根据公司股东会决议，本公司与元哲起、曹健、苏乐平、上海磐恒投资管理有限公司、 上海醴泉投资管理有限公司、上海夏元投资管理有限公司等</w:t>
      </w:r>
      <w:r>
        <w:rPr>
          <w:rFonts w:ascii="Times New Roman" w:hAnsi="Times New Roman" w:cs="Times New Roman" w:eastAsia="Times New Roman" w:hint="default"/>
        </w:rPr>
        <w:t>6</w:t>
      </w:r>
      <w:r>
        <w:rPr/>
        <w:t>位股东于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日签订 的《股权转让合同》，本公司收购上述股东持有的上海数慧</w:t>
      </w:r>
      <w:r>
        <w:rPr>
          <w:rFonts w:ascii="Times New Roman" w:hAnsi="Times New Roman" w:cs="Times New Roman" w:eastAsia="Times New Roman" w:hint="default"/>
        </w:rPr>
        <w:t>100%</w:t>
      </w:r>
      <w:r>
        <w:rPr/>
        <w:t>股权。公司已于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11</w:t>
      </w:r>
      <w:r>
        <w:rPr/>
        <w:t>日支付上述第一期股权转让款</w:t>
      </w:r>
      <w:r>
        <w:rPr>
          <w:rFonts w:ascii="Times New Roman" w:hAnsi="Times New Roman" w:cs="Times New Roman" w:eastAsia="Times New Roman" w:hint="default"/>
        </w:rPr>
        <w:t>6,900.00</w:t>
      </w:r>
      <w:r>
        <w:rPr/>
        <w:t>万元，上海数慧于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日办妥工商变更 登记手续，同时上海数慧新的董事会于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日成立，在新一届董事会中本公司派出 董事已占多数，本公司在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月末已拥有该公司的实质控制权，故将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日确 定为购买日，自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日起将其纳入合并财务报表范围。</w:t>
      </w:r>
    </w:p>
    <w:p>
      <w:pPr>
        <w:pStyle w:val="Heading2"/>
        <w:spacing w:line="240" w:lineRule="auto" w:before="24"/>
        <w:ind w:right="29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before="84"/>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4848"/>
        <w:gridCol w:w="4849"/>
      </w:tblGrid>
      <w:tr>
        <w:trPr>
          <w:trHeight w:val="322"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合并成本</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上海数慧</w:t>
            </w:r>
          </w:p>
        </w:tc>
      </w:tr>
      <w:tr>
        <w:trPr>
          <w:trHeight w:val="322"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60"/>
              <w:jc w:val="right"/>
              <w:rPr>
                <w:rFonts w:ascii="Times New Roman" w:hAnsi="Times New Roman" w:cs="Times New Roman" w:eastAsia="Times New Roman" w:hint="default"/>
                <w:sz w:val="21"/>
                <w:szCs w:val="21"/>
              </w:rPr>
            </w:pPr>
            <w:r>
              <w:rPr>
                <w:rFonts w:ascii="Times New Roman"/>
                <w:spacing w:val="-1"/>
                <w:sz w:val="21"/>
              </w:rPr>
              <w:t>217,736,331.94</w:t>
            </w:r>
          </w:p>
        </w:tc>
      </w:tr>
      <w:tr>
        <w:trPr>
          <w:trHeight w:val="322"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非现金资产的公允价值</w:t>
            </w:r>
          </w:p>
        </w:tc>
        <w:tc>
          <w:tcPr>
            <w:tcW w:w="48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发行或承担的债务的公允价值</w:t>
            </w:r>
          </w:p>
        </w:tc>
        <w:tc>
          <w:tcPr>
            <w:tcW w:w="48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发行的权益性证券的公允价值</w:t>
            </w:r>
          </w:p>
        </w:tc>
        <w:tc>
          <w:tcPr>
            <w:tcW w:w="48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或有对价的公允价值</w:t>
            </w:r>
          </w:p>
        </w:tc>
        <w:tc>
          <w:tcPr>
            <w:tcW w:w="48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购买日之前持有的股权于购买日的公允价值</w:t>
            </w:r>
          </w:p>
        </w:tc>
        <w:tc>
          <w:tcPr>
            <w:tcW w:w="48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48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合并成本合计</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60"/>
              <w:jc w:val="right"/>
              <w:rPr>
                <w:rFonts w:ascii="Times New Roman" w:hAnsi="Times New Roman" w:cs="Times New Roman" w:eastAsia="Times New Roman" w:hint="default"/>
                <w:sz w:val="21"/>
                <w:szCs w:val="21"/>
              </w:rPr>
            </w:pPr>
            <w:r>
              <w:rPr>
                <w:rFonts w:ascii="Times New Roman"/>
                <w:spacing w:val="-1"/>
                <w:sz w:val="21"/>
              </w:rPr>
              <w:t>217,736,331.94</w:t>
            </w:r>
          </w:p>
        </w:tc>
      </w:tr>
      <w:tr>
        <w:trPr>
          <w:trHeight w:val="403"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12"/>
              <w:jc w:val="right"/>
              <w:rPr>
                <w:rFonts w:ascii="Times New Roman" w:hAnsi="Times New Roman" w:cs="Times New Roman" w:eastAsia="Times New Roman" w:hint="default"/>
                <w:sz w:val="21"/>
                <w:szCs w:val="21"/>
              </w:rPr>
            </w:pPr>
            <w:r>
              <w:rPr>
                <w:rFonts w:ascii="Times New Roman"/>
                <w:spacing w:val="-1"/>
                <w:sz w:val="21"/>
              </w:rPr>
              <w:t>38,454,916.95</w:t>
            </w:r>
          </w:p>
        </w:tc>
      </w:tr>
      <w:tr>
        <w:trPr>
          <w:trHeight w:val="713"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997" w:right="75" w:hanging="1920"/>
              <w:jc w:val="left"/>
              <w:rPr>
                <w:rFonts w:ascii="宋体" w:hAnsi="宋体" w:cs="宋体" w:eastAsia="宋体" w:hint="default"/>
                <w:sz w:val="21"/>
                <w:szCs w:val="21"/>
              </w:rPr>
            </w:pPr>
            <w:r>
              <w:rPr>
                <w:rFonts w:ascii="宋体" w:hAnsi="宋体" w:cs="宋体" w:eastAsia="宋体" w:hint="default"/>
                <w:spacing w:val="-2"/>
                <w:sz w:val="21"/>
                <w:szCs w:val="21"/>
              </w:rPr>
              <w:t>商誉</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合并成本小于取得的可辨认净资产公允价值份</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额的金额</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60"/>
              <w:jc w:val="right"/>
              <w:rPr>
                <w:rFonts w:ascii="Times New Roman" w:hAnsi="Times New Roman" w:cs="Times New Roman" w:eastAsia="Times New Roman" w:hint="default"/>
                <w:sz w:val="21"/>
                <w:szCs w:val="21"/>
              </w:rPr>
            </w:pPr>
            <w:r>
              <w:rPr>
                <w:rFonts w:ascii="Times New Roman"/>
                <w:spacing w:val="-1"/>
                <w:sz w:val="21"/>
              </w:rPr>
              <w:t>179,281,414.99</w:t>
            </w:r>
          </w:p>
        </w:tc>
      </w:tr>
    </w:tbl>
    <w:p>
      <w:pPr>
        <w:pStyle w:val="BodyText"/>
        <w:spacing w:line="388" w:lineRule="auto" w:before="79"/>
        <w:ind w:right="3533"/>
        <w:jc w:val="left"/>
      </w:pPr>
      <w:r>
        <w:rPr/>
        <w:t>合并成本公允价值的确定方法、或有对价及其变动的说明： 无</w:t>
      </w:r>
    </w:p>
    <w:p>
      <w:pPr>
        <w:spacing w:after="0" w:line="388" w:lineRule="auto"/>
        <w:jc w:val="left"/>
        <w:sectPr>
          <w:type w:val="continuous"/>
          <w:pgSz w:w="11910" w:h="16840"/>
          <w:pgMar w:top="1100" w:bottom="1160" w:left="980" w:right="980"/>
        </w:sectPr>
      </w:pPr>
    </w:p>
    <w:p>
      <w:pPr>
        <w:spacing w:line="240" w:lineRule="auto" w:before="7"/>
        <w:rPr>
          <w:rFonts w:ascii="宋体" w:hAnsi="宋体" w:cs="宋体" w:eastAsia="宋体" w:hint="default"/>
          <w:sz w:val="25"/>
          <w:szCs w:val="25"/>
        </w:rPr>
      </w:pPr>
    </w:p>
    <w:p>
      <w:pPr>
        <w:pStyle w:val="BodyText"/>
        <w:spacing w:line="388" w:lineRule="auto" w:before="26"/>
        <w:ind w:right="6893"/>
        <w:jc w:val="left"/>
      </w:pPr>
      <w:r>
        <w:rPr/>
        <w:t>大额商誉形成的主要原因： 无</w:t>
      </w:r>
    </w:p>
    <w:p>
      <w:pPr>
        <w:pStyle w:val="BodyText"/>
        <w:spacing w:line="240" w:lineRule="auto" w:before="46"/>
        <w:ind w:right="293"/>
        <w:jc w:val="left"/>
      </w:pPr>
      <w:r>
        <w:rPr/>
        <w:t>其他说明：</w:t>
      </w:r>
    </w:p>
    <w:p>
      <w:pPr>
        <w:spacing w:line="240" w:lineRule="auto" w:before="9"/>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20"/>
          <w:pgSz w:w="11910" w:h="16840"/>
          <w:pgMar w:footer="980" w:header="877" w:top="1100" w:bottom="1160" w:left="980" w:right="980"/>
          <w:pgNumType w:start="201"/>
        </w:sectPr>
      </w:pPr>
    </w:p>
    <w:p>
      <w:pPr>
        <w:pStyle w:val="BodyText"/>
        <w:spacing w:line="240" w:lineRule="auto" w:before="26"/>
        <w:ind w:right="-20"/>
        <w:jc w:val="left"/>
      </w:pPr>
      <w:r>
        <w:rPr/>
        <w:t>无</w:t>
      </w:r>
    </w:p>
    <w:p>
      <w:pPr>
        <w:pStyle w:val="Heading2"/>
        <w:spacing w:line="240" w:lineRule="auto" w:before="77"/>
        <w:ind w:right="-2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80"/>
          <w:cols w:num="2" w:equalWidth="0">
            <w:col w:w="4611" w:space="4083"/>
            <w:col w:w="1256"/>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179"/>
        <w:gridCol w:w="3203"/>
        <w:gridCol w:w="3191"/>
      </w:tblGrid>
      <w:tr>
        <w:trPr>
          <w:trHeight w:val="32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上海数慧</w:t>
            </w: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 w:right="0"/>
              <w:jc w:val="center"/>
              <w:rPr>
                <w:rFonts w:ascii="宋体" w:hAnsi="宋体" w:cs="宋体" w:eastAsia="宋体" w:hint="default"/>
                <w:sz w:val="21"/>
                <w:szCs w:val="21"/>
              </w:rPr>
            </w:pPr>
            <w:r>
              <w:rPr>
                <w:rFonts w:ascii="宋体" w:hAnsi="宋体" w:cs="宋体" w:eastAsia="宋体" w:hint="default"/>
                <w:sz w:val="21"/>
                <w:szCs w:val="21"/>
              </w:rPr>
              <w:t>购买日公允价值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3203" w:type="dxa"/>
            <w:tcBorders>
              <w:top w:val="single" w:sz="4" w:space="0" w:color="000000"/>
              <w:left w:val="single" w:sz="10"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5"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left="3" w:right="0"/>
              <w:jc w:val="center"/>
              <w:rPr>
                <w:rFonts w:ascii="Times New Roman" w:hAnsi="Times New Roman" w:cs="Times New Roman" w:eastAsia="Times New Roman" w:hint="default"/>
                <w:sz w:val="21"/>
                <w:szCs w:val="21"/>
              </w:rPr>
            </w:pPr>
            <w:r>
              <w:rPr>
                <w:rFonts w:ascii="Times New Roman"/>
                <w:sz w:val="21"/>
              </w:rPr>
              <w:t>10,810,728.73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Times New Roman" w:hAnsi="Times New Roman" w:cs="Times New Roman" w:eastAsia="Times New Roman" w:hint="default"/>
                <w:sz w:val="21"/>
                <w:szCs w:val="21"/>
              </w:rPr>
            </w:pPr>
            <w:r>
              <w:rPr>
                <w:rFonts w:ascii="Times New Roman"/>
                <w:sz w:val="21"/>
              </w:rPr>
              <w:t>10,810,728.73</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应收款项</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35,148,870.17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35,148,870.17</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2,249,045.32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2,249,045.32</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841,631.24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841,631.24</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5"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4,634,500.00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 w:right="0"/>
              <w:jc w:val="center"/>
              <w:rPr>
                <w:rFonts w:ascii="Times New Roman" w:hAnsi="Times New Roman" w:cs="Times New Roman" w:eastAsia="Times New Roman" w:hint="default"/>
                <w:sz w:val="21"/>
                <w:szCs w:val="21"/>
              </w:rPr>
            </w:pPr>
            <w:r>
              <w:rPr>
                <w:rFonts w:ascii="Times New Roman"/>
                <w:sz w:val="21"/>
              </w:rPr>
              <w:t>34,500.00</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其他资产</w:t>
            </w:r>
          </w:p>
        </w:tc>
        <w:tc>
          <w:tcPr>
            <w:tcW w:w="320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11,373,695.26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11,373,695.26</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3203" w:type="dxa"/>
            <w:tcBorders>
              <w:top w:val="single" w:sz="4" w:space="0" w:color="000000"/>
              <w:left w:val="single" w:sz="10" w:space="0" w:color="D9D9D9"/>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借款</w:t>
            </w:r>
          </w:p>
        </w:tc>
        <w:tc>
          <w:tcPr>
            <w:tcW w:w="320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5,000,000.00</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15" w:right="0"/>
              <w:jc w:val="center"/>
              <w:rPr>
                <w:rFonts w:ascii="宋体" w:hAnsi="宋体" w:cs="宋体" w:eastAsia="宋体" w:hint="default"/>
                <w:sz w:val="21"/>
                <w:szCs w:val="21"/>
              </w:rPr>
            </w:pPr>
            <w:r>
              <w:rPr>
                <w:rFonts w:ascii="宋体" w:hAnsi="宋体" w:cs="宋体" w:eastAsia="宋体" w:hint="default"/>
                <w:sz w:val="21"/>
                <w:szCs w:val="21"/>
              </w:rPr>
              <w:t>应付款项</w:t>
            </w:r>
          </w:p>
        </w:tc>
        <w:tc>
          <w:tcPr>
            <w:tcW w:w="320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2,088,883.15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2,088,883.15</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递延所得税负债</w:t>
            </w:r>
          </w:p>
        </w:tc>
        <w:tc>
          <w:tcPr>
            <w:tcW w:w="320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690,000.00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15"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320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1,516,679.65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1,516,679.65</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其他负债</w:t>
            </w:r>
          </w:p>
        </w:tc>
        <w:tc>
          <w:tcPr>
            <w:tcW w:w="320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17,307,990.97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17,307,990.97</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38,454,916.95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34,544,916.95</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减：少数股东权益</w:t>
            </w:r>
          </w:p>
        </w:tc>
        <w:tc>
          <w:tcPr>
            <w:tcW w:w="3203" w:type="dxa"/>
            <w:tcBorders>
              <w:top w:val="single" w:sz="4" w:space="0" w:color="000000"/>
              <w:left w:val="single" w:sz="10"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取得的净资产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38,454,916.95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34,544,916.95</w:t>
            </w:r>
          </w:p>
        </w:tc>
      </w:tr>
    </w:tbl>
    <w:p>
      <w:pPr>
        <w:pStyle w:val="BodyText"/>
        <w:spacing w:line="372" w:lineRule="auto" w:before="79"/>
        <w:ind w:right="173"/>
        <w:jc w:val="left"/>
      </w:pPr>
      <w:r>
        <w:rPr/>
        <w:t>可辨认资产、负债公允价值的确定方法： 公司收购上海数慧可辨认资产、负债的公允价值以评估机构评估结果及相关评估报告为基础 计算。</w:t>
      </w:r>
    </w:p>
    <w:p>
      <w:pPr>
        <w:pStyle w:val="BodyText"/>
        <w:spacing w:line="388" w:lineRule="auto" w:before="62"/>
        <w:ind w:right="5453"/>
        <w:jc w:val="left"/>
      </w:pPr>
      <w:r>
        <w:rPr/>
        <w:t>企业合并中承担的被购买方的或有负债： 无</w:t>
      </w:r>
    </w:p>
    <w:p>
      <w:pPr>
        <w:pStyle w:val="BodyText"/>
        <w:spacing w:line="386" w:lineRule="auto" w:before="46"/>
        <w:ind w:right="8573"/>
        <w:jc w:val="left"/>
      </w:pPr>
      <w:r>
        <w:rPr/>
        <w:t>其他说明： 无</w:t>
      </w:r>
    </w:p>
    <w:p>
      <w:pPr>
        <w:spacing w:after="0" w:line="386" w:lineRule="auto"/>
        <w:jc w:val="left"/>
        <w:sectPr>
          <w:type w:val="continuous"/>
          <w:pgSz w:w="11910" w:h="16840"/>
          <w:pgMar w:top="1100" w:bottom="1160" w:left="980" w:right="980"/>
        </w:sectPr>
      </w:pPr>
    </w:p>
    <w:p>
      <w:pPr>
        <w:spacing w:line="240" w:lineRule="auto" w:before="7"/>
        <w:rPr>
          <w:rFonts w:ascii="宋体" w:hAnsi="宋体" w:cs="宋体" w:eastAsia="宋体" w:hint="default"/>
          <w:sz w:val="25"/>
          <w:szCs w:val="25"/>
        </w:rPr>
      </w:pPr>
    </w:p>
    <w:p>
      <w:pPr>
        <w:pStyle w:val="Heading2"/>
        <w:spacing w:line="240" w:lineRule="auto" w:before="26"/>
        <w:ind w:right="293"/>
        <w:jc w:val="left"/>
        <w:rPr>
          <w:b w:val="0"/>
          <w:bCs w:val="0"/>
        </w:rPr>
      </w:pPr>
      <w:r>
        <w:rPr>
          <w:rFonts w:ascii="Times New Roman" w:hAnsi="Times New Roman" w:cs="Times New Roman" w:eastAsia="Times New Roman" w:hint="default"/>
        </w:rPr>
        <w:t>2</w:t>
      </w:r>
      <w:r>
        <w:rPr/>
        <w:t>、其他原因的合并范围变动</w:t>
      </w:r>
      <w:r>
        <w:rPr>
          <w:b w:val="0"/>
          <w:bCs w:val="0"/>
        </w:rPr>
      </w:r>
    </w:p>
    <w:p>
      <w:pPr>
        <w:pStyle w:val="BodyText"/>
        <w:spacing w:line="240" w:lineRule="auto" w:before="136"/>
        <w:ind w:left="573" w:right="293"/>
        <w:jc w:val="left"/>
      </w:pPr>
      <w:r>
        <w:rPr>
          <w:rFonts w:ascii="Times New Roman" w:hAnsi="Times New Roman" w:cs="Times New Roman" w:eastAsia="Times New Roman" w:hint="default"/>
        </w:rPr>
        <w:t>1</w:t>
      </w:r>
      <w:r>
        <w:rPr/>
        <w:t>．投资设立浙江超图信息技术有限公司</w:t>
      </w:r>
    </w:p>
    <w:p>
      <w:pPr>
        <w:pStyle w:val="BodyText"/>
        <w:spacing w:line="338" w:lineRule="auto" w:before="135"/>
        <w:ind w:right="151"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13</w:t>
      </w:r>
      <w:r>
        <w:rPr>
          <w:spacing w:val="-1"/>
        </w:rPr>
        <w:t>日，公司之子公司超图信息设立全资公司浙江超图信息技术有限公司，注册</w:t>
      </w:r>
      <w:r>
        <w:rPr/>
        <w:t> 资本为</w:t>
      </w:r>
      <w:r>
        <w:rPr>
          <w:rFonts w:ascii="Times New Roman" w:hAnsi="Times New Roman" w:cs="Times New Roman" w:eastAsia="Times New Roman" w:hint="default"/>
        </w:rPr>
        <w:t>150</w:t>
      </w:r>
      <w:r>
        <w:rPr/>
        <w:t>万元</w:t>
      </w:r>
      <w:r>
        <w:rPr>
          <w:rFonts w:ascii="Times New Roman" w:hAnsi="Times New Roman" w:cs="Times New Roman" w:eastAsia="Times New Roman" w:hint="default"/>
        </w:rPr>
        <w:t>,</w:t>
      </w:r>
      <w:r>
        <w:rPr/>
        <w:t>占其注册资本的</w:t>
      </w:r>
      <w:r>
        <w:rPr>
          <w:rFonts w:ascii="Times New Roman" w:hAnsi="Times New Roman" w:cs="Times New Roman" w:eastAsia="Times New Roman" w:hint="default"/>
        </w:rPr>
        <w:t>100%</w:t>
      </w:r>
      <w:r>
        <w:rPr/>
        <w:t>，拥有对其的实质控制权，故自该公司成立之日起，将</w:t>
      </w:r>
      <w:r>
        <w:rPr>
          <w:spacing w:val="-107"/>
        </w:rPr>
        <w:t> </w:t>
      </w:r>
      <w:r>
        <w:rPr>
          <w:spacing w:val="-107"/>
        </w:rPr>
      </w:r>
      <w:r>
        <w:rPr>
          <w:spacing w:val="-1"/>
        </w:rPr>
        <w:t>其纳入合并财务报表范围。截止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日，浙江超图的净资产为</w:t>
      </w:r>
      <w:r>
        <w:rPr>
          <w:rFonts w:ascii="Times New Roman" w:hAnsi="Times New Roman" w:cs="Times New Roman" w:eastAsia="Times New Roman" w:hint="default"/>
          <w:spacing w:val="-1"/>
        </w:rPr>
        <w:t>1,498,998.19</w:t>
      </w:r>
      <w:r>
        <w:rPr>
          <w:spacing w:val="-1"/>
        </w:rPr>
        <w:t>元，成立</w:t>
      </w:r>
      <w:r>
        <w:rPr>
          <w:spacing w:val="-93"/>
        </w:rPr>
        <w:t> </w:t>
      </w:r>
      <w:r>
        <w:rPr>
          <w:spacing w:val="-93"/>
        </w:rPr>
      </w:r>
      <w:r>
        <w:rPr/>
        <w:t>日至期末的净利润为</w:t>
      </w:r>
      <w:r>
        <w:rPr>
          <w:rFonts w:ascii="Times New Roman" w:hAnsi="Times New Roman" w:cs="Times New Roman" w:eastAsia="Times New Roman" w:hint="default"/>
        </w:rPr>
        <w:t>-1,001.81</w:t>
      </w:r>
      <w:r>
        <w:rPr/>
        <w:t>元。</w:t>
      </w:r>
    </w:p>
    <w:p>
      <w:pPr>
        <w:pStyle w:val="BodyText"/>
        <w:spacing w:line="240" w:lineRule="auto" w:before="27"/>
        <w:ind w:left="573" w:right="293"/>
        <w:jc w:val="left"/>
      </w:pPr>
      <w:r>
        <w:rPr>
          <w:rFonts w:ascii="Times New Roman" w:hAnsi="Times New Roman" w:cs="Times New Roman" w:eastAsia="Times New Roman" w:hint="default"/>
        </w:rPr>
        <w:t>2</w:t>
      </w:r>
      <w:r>
        <w:rPr/>
        <w:t>．投资设立河南超图信息技术有限公司</w:t>
      </w:r>
    </w:p>
    <w:p>
      <w:pPr>
        <w:pStyle w:val="BodyText"/>
        <w:spacing w:line="350" w:lineRule="auto" w:before="135"/>
        <w:ind w:right="173" w:firstLine="420"/>
        <w:jc w:val="left"/>
        <w:rPr>
          <w:rFonts w:ascii="宋体" w:hAnsi="宋体" w:cs="宋体" w:eastAsia="宋体"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日，公司之子公司超图信息设立全资公司河南超图信息技术有限公司，注册 资本为</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w:t>
      </w:r>
      <w:r>
        <w:rPr/>
        <w:t>占其注册资本的</w:t>
      </w:r>
      <w:r>
        <w:rPr>
          <w:rFonts w:ascii="Times New Roman" w:hAnsi="Times New Roman" w:cs="Times New Roman" w:eastAsia="Times New Roman" w:hint="default"/>
        </w:rPr>
        <w:t>100%</w:t>
      </w:r>
      <w:r>
        <w:rPr/>
        <w:t>，拥有对其的实质控制权，故自该公司成立之日起，</w:t>
      </w:r>
      <w:r>
        <w:rPr>
          <w:spacing w:val="-54"/>
        </w:rPr>
        <w:t> </w:t>
      </w:r>
      <w:r>
        <w:rPr>
          <w:spacing w:val="-54"/>
        </w:rPr>
      </w:r>
      <w:r>
        <w:rPr/>
        <w:t>将其纳入合并财务报表范围。截止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日，河南超图尚未开展业务。 </w:t>
      </w:r>
      <w:r>
        <w:rPr>
          <w:rFonts w:ascii="宋体" w:hAnsi="宋体" w:cs="宋体" w:eastAsia="宋体" w:hint="default"/>
          <w:b/>
          <w:bCs/>
        </w:rPr>
        <w:t>九、在其他主体中的权益</w:t>
      </w:r>
      <w:r>
        <w:rPr>
          <w:rFonts w:ascii="宋体" w:hAnsi="宋体" w:cs="宋体" w:eastAsia="宋体" w:hint="default"/>
        </w:rPr>
      </w:r>
    </w:p>
    <w:p>
      <w:pPr>
        <w:pStyle w:val="Heading2"/>
        <w:spacing w:line="240" w:lineRule="auto" w:before="36"/>
        <w:ind w:right="293"/>
        <w:jc w:val="left"/>
        <w:rPr>
          <w:b w:val="0"/>
          <w:bCs w:val="0"/>
        </w:rPr>
      </w:pPr>
      <w:r>
        <w:rPr>
          <w:rFonts w:ascii="Times New Roman" w:hAnsi="Times New Roman" w:cs="Times New Roman" w:eastAsia="Times New Roman" w:hint="default"/>
        </w:rPr>
        <w:t>1</w:t>
      </w:r>
      <w:r>
        <w:rPr/>
        <w:t>、在子公司中的权益</w:t>
      </w:r>
      <w:r>
        <w:rPr>
          <w:b w:val="0"/>
          <w:bCs w:val="0"/>
        </w:rPr>
      </w:r>
    </w:p>
    <w:p>
      <w:pPr>
        <w:pStyle w:val="Heading2"/>
        <w:spacing w:line="240" w:lineRule="auto" w:before="126"/>
        <w:ind w:right="29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2"/>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1135"/>
        <w:gridCol w:w="991"/>
        <w:gridCol w:w="1277"/>
        <w:gridCol w:w="1416"/>
        <w:gridCol w:w="1135"/>
        <w:gridCol w:w="1277"/>
        <w:gridCol w:w="2340"/>
      </w:tblGrid>
      <w:tr>
        <w:trPr>
          <w:trHeight w:val="478" w:hRule="exact"/>
        </w:trPr>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408" w:lineRule="auto" w:before="64"/>
              <w:ind w:left="386" w:right="65"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4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779"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23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746"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468" w:hRule="exact"/>
        </w:trPr>
        <w:tc>
          <w:tcPr>
            <w:tcW w:w="1135"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22"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234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芜湖联智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芜湖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芜湖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2"/>
              <w:jc w:val="right"/>
              <w:rPr>
                <w:rFonts w:ascii="Times New Roman" w:hAnsi="Times New Roman" w:cs="Times New Roman" w:eastAsia="Times New Roman" w:hint="default"/>
                <w:sz w:val="21"/>
                <w:szCs w:val="21"/>
              </w:rPr>
            </w:pPr>
            <w:r>
              <w:rPr>
                <w:rFonts w:ascii="Times New Roman"/>
                <w:sz w:val="21"/>
              </w:rPr>
              <w:t>100.00%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浙江超图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浙江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湖州</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2"/>
              <w:jc w:val="right"/>
              <w:rPr>
                <w:rFonts w:ascii="Times New Roman" w:hAnsi="Times New Roman" w:cs="Times New Roman" w:eastAsia="Times New Roman" w:hint="default"/>
                <w:sz w:val="21"/>
                <w:szCs w:val="21"/>
              </w:rPr>
            </w:pPr>
            <w:r>
              <w:rPr>
                <w:rFonts w:ascii="Times New Roman"/>
                <w:sz w:val="21"/>
              </w:rPr>
              <w:t>100.00%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河南超图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河南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郑州</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2"/>
              <w:jc w:val="right"/>
              <w:rPr>
                <w:rFonts w:ascii="Times New Roman" w:hAnsi="Times New Roman" w:cs="Times New Roman" w:eastAsia="Times New Roman" w:hint="default"/>
                <w:sz w:val="21"/>
                <w:szCs w:val="21"/>
              </w:rPr>
            </w:pPr>
            <w:r>
              <w:rPr>
                <w:rFonts w:ascii="Times New Roman"/>
                <w:sz w:val="21"/>
              </w:rPr>
              <w:t>100.00%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上海超途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山东超图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山东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潍坊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71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455" w:right="33" w:hanging="420"/>
              <w:jc w:val="left"/>
              <w:rPr>
                <w:rFonts w:ascii="宋体" w:hAnsi="宋体" w:cs="宋体" w:eastAsia="宋体" w:hint="default"/>
                <w:sz w:val="21"/>
                <w:szCs w:val="21"/>
              </w:rPr>
            </w:pPr>
            <w:r>
              <w:rPr>
                <w:rFonts w:ascii="宋体" w:hAnsi="宋体" w:cs="宋体" w:eastAsia="宋体" w:hint="default"/>
                <w:sz w:val="21"/>
                <w:szCs w:val="21"/>
              </w:rPr>
              <w:t>克拉玛依超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新疆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克拉玛依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超图国际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上海南康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非同一控制下企业合并</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超图数据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地图慧科技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05"/>
              <w:jc w:val="right"/>
              <w:rPr>
                <w:rFonts w:ascii="Times New Roman" w:hAnsi="Times New Roman" w:cs="Times New Roman" w:eastAsia="Times New Roman" w:hint="default"/>
                <w:sz w:val="21"/>
                <w:szCs w:val="21"/>
              </w:rPr>
            </w:pPr>
            <w:r>
              <w:rPr>
                <w:rFonts w:ascii="Times New Roman"/>
                <w:sz w:val="21"/>
              </w:rPr>
              <w:t>60.27%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南京国图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非同一控制下企业合并</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国图不动产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2"/>
              <w:jc w:val="right"/>
              <w:rPr>
                <w:rFonts w:ascii="Times New Roman" w:hAnsi="Times New Roman" w:cs="Times New Roman" w:eastAsia="Times New Roman" w:hint="default"/>
                <w:sz w:val="21"/>
                <w:szCs w:val="21"/>
              </w:rPr>
            </w:pPr>
            <w:r>
              <w:rPr>
                <w:rFonts w:ascii="Times New Roman"/>
                <w:sz w:val="21"/>
              </w:rPr>
              <w:t>100.00%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非同一控制下企业合并</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北京安图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非同一控制下企业合并</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安图影文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重庆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重庆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2"/>
              <w:jc w:val="right"/>
              <w:rPr>
                <w:rFonts w:ascii="Times New Roman" w:hAnsi="Times New Roman" w:cs="Times New Roman" w:eastAsia="Times New Roman" w:hint="default"/>
                <w:sz w:val="21"/>
                <w:szCs w:val="21"/>
              </w:rPr>
            </w:pPr>
            <w:r>
              <w:rPr>
                <w:rFonts w:ascii="Times New Roman"/>
                <w:sz w:val="21"/>
              </w:rPr>
              <w:t>100.00%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非同一控制下企业合并</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上海数慧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非同一控制下企业合并</w:t>
            </w:r>
          </w:p>
        </w:tc>
      </w:tr>
    </w:tbl>
    <w:p>
      <w:pPr>
        <w:spacing w:after="0" w:line="240" w:lineRule="auto"/>
        <w:jc w:val="center"/>
        <w:rPr>
          <w:rFonts w:ascii="宋体" w:hAnsi="宋体" w:cs="宋体" w:eastAsia="宋体" w:hint="default"/>
          <w:sz w:val="21"/>
          <w:szCs w:val="21"/>
        </w:rPr>
        <w:sectPr>
          <w:pgSz w:w="11910" w:h="16840"/>
          <w:pgMar w:header="877" w:footer="980"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135"/>
        <w:gridCol w:w="991"/>
        <w:gridCol w:w="1277"/>
        <w:gridCol w:w="1416"/>
        <w:gridCol w:w="1135"/>
        <w:gridCol w:w="1277"/>
        <w:gridCol w:w="2340"/>
      </w:tblGrid>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39"/>
              <w:jc w:val="right"/>
              <w:rPr>
                <w:rFonts w:ascii="宋体" w:hAnsi="宋体" w:cs="宋体" w:eastAsia="宋体" w:hint="default"/>
                <w:sz w:val="21"/>
                <w:szCs w:val="21"/>
              </w:rPr>
            </w:pPr>
            <w:r>
              <w:rPr>
                <w:rFonts w:ascii="宋体" w:hAnsi="宋体" w:cs="宋体" w:eastAsia="宋体" w:hint="default"/>
                <w:spacing w:val="-1"/>
                <w:sz w:val="21"/>
                <w:szCs w:val="21"/>
              </w:rPr>
              <w:t>日本超图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日本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2" w:right="0"/>
              <w:jc w:val="left"/>
              <w:rPr>
                <w:rFonts w:ascii="宋体" w:hAnsi="宋体" w:cs="宋体" w:eastAsia="宋体" w:hint="default"/>
                <w:sz w:val="21"/>
                <w:szCs w:val="21"/>
              </w:rPr>
            </w:pPr>
            <w:r>
              <w:rPr>
                <w:rFonts w:ascii="宋体" w:hAnsi="宋体" w:cs="宋体" w:eastAsia="宋体" w:hint="default"/>
                <w:sz w:val="21"/>
                <w:szCs w:val="21"/>
              </w:rPr>
              <w:t>东京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05"/>
              <w:jc w:val="right"/>
              <w:rPr>
                <w:rFonts w:ascii="Times New Roman" w:hAnsi="Times New Roman" w:cs="Times New Roman" w:eastAsia="Times New Roman" w:hint="default"/>
                <w:sz w:val="21"/>
                <w:szCs w:val="21"/>
              </w:rPr>
            </w:pPr>
            <w:r>
              <w:rPr>
                <w:rFonts w:ascii="Times New Roman"/>
                <w:sz w:val="21"/>
              </w:rPr>
              <w:t>59.24%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hAnsi="宋体" w:cs="宋体" w:eastAsia="宋体" w:hint="default"/>
                <w:sz w:val="21"/>
                <w:szCs w:val="21"/>
              </w:rPr>
              <w:t>非同一控制下企业合并</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39"/>
              <w:jc w:val="right"/>
              <w:rPr>
                <w:rFonts w:ascii="宋体" w:hAnsi="宋体" w:cs="宋体" w:eastAsia="宋体" w:hint="default"/>
                <w:sz w:val="21"/>
                <w:szCs w:val="21"/>
              </w:rPr>
            </w:pPr>
            <w:r>
              <w:rPr>
                <w:rFonts w:ascii="宋体" w:hAnsi="宋体" w:cs="宋体" w:eastAsia="宋体" w:hint="default"/>
                <w:spacing w:val="-1"/>
                <w:sz w:val="21"/>
                <w:szCs w:val="21"/>
              </w:rPr>
              <w:t>嘉兴兴球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浙江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22"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52"/>
              <w:jc w:val="right"/>
              <w:rPr>
                <w:rFonts w:ascii="Times New Roman" w:hAnsi="Times New Roman" w:cs="Times New Roman" w:eastAsia="Times New Roman" w:hint="default"/>
                <w:sz w:val="21"/>
                <w:szCs w:val="21"/>
              </w:rPr>
            </w:pPr>
            <w:r>
              <w:rPr>
                <w:rFonts w:ascii="Times New Roman"/>
                <w:sz w:val="21"/>
              </w:rPr>
              <w:t>100.00%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5" w:right="0"/>
              <w:jc w:val="left"/>
              <w:rPr>
                <w:rFonts w:ascii="宋体" w:hAnsi="宋体" w:cs="宋体" w:eastAsia="宋体" w:hint="default"/>
                <w:sz w:val="21"/>
                <w:szCs w:val="21"/>
              </w:rPr>
            </w:pPr>
            <w:r>
              <w:rPr>
                <w:rFonts w:ascii="宋体" w:hAnsi="宋体" w:cs="宋体" w:eastAsia="宋体" w:hint="default"/>
                <w:sz w:val="21"/>
                <w:szCs w:val="21"/>
              </w:rPr>
              <w:t>非同一控制下企业合并</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39"/>
              <w:jc w:val="right"/>
              <w:rPr>
                <w:rFonts w:ascii="宋体" w:hAnsi="宋体" w:cs="宋体" w:eastAsia="宋体" w:hint="default"/>
                <w:sz w:val="21"/>
                <w:szCs w:val="21"/>
              </w:rPr>
            </w:pPr>
            <w:r>
              <w:rPr>
                <w:rFonts w:ascii="宋体" w:hAnsi="宋体" w:cs="宋体" w:eastAsia="宋体" w:hint="default"/>
                <w:spacing w:val="-1"/>
                <w:sz w:val="21"/>
                <w:szCs w:val="21"/>
              </w:rPr>
              <w:t>嘉兴兴图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浙江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2"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2"/>
              <w:jc w:val="righ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2"/>
              <w:jc w:val="right"/>
              <w:rPr>
                <w:rFonts w:ascii="Times New Roman" w:hAnsi="Times New Roman" w:cs="Times New Roman" w:eastAsia="Times New Roman" w:hint="default"/>
                <w:sz w:val="21"/>
                <w:szCs w:val="21"/>
              </w:rPr>
            </w:pPr>
            <w:r>
              <w:rPr>
                <w:rFonts w:ascii="Times New Roman"/>
                <w:sz w:val="21"/>
              </w:rPr>
              <w:t>100.00%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hAnsi="宋体" w:cs="宋体" w:eastAsia="宋体" w:hint="default"/>
                <w:sz w:val="21"/>
                <w:szCs w:val="21"/>
              </w:rPr>
              <w:t>非同一控制下企业合并</w:t>
            </w:r>
          </w:p>
        </w:tc>
      </w:tr>
    </w:tbl>
    <w:p>
      <w:pPr>
        <w:pStyle w:val="BodyText"/>
        <w:spacing w:line="386" w:lineRule="auto" w:before="79"/>
        <w:ind w:right="4813"/>
        <w:jc w:val="left"/>
      </w:pPr>
      <w:r>
        <w:rPr/>
        <w:t>在子公司的持股比例不同于表决权比例的说明： 无</w:t>
      </w:r>
    </w:p>
    <w:p>
      <w:pPr>
        <w:pStyle w:val="BodyText"/>
        <w:spacing w:line="357" w:lineRule="auto" w:before="48"/>
        <w:ind w:right="253"/>
        <w:jc w:val="left"/>
      </w:pPr>
      <w:r>
        <w:rPr/>
        <w:t>持有半数或以下表决权但仍控制被投资单位、以及持有半数以上表决权但不控制被投资单位 的依据：</w:t>
      </w:r>
    </w:p>
    <w:p>
      <w:pPr>
        <w:pStyle w:val="BodyText"/>
        <w:spacing w:line="388" w:lineRule="auto" w:before="74"/>
        <w:ind w:right="4093"/>
        <w:jc w:val="left"/>
      </w:pPr>
      <w:r>
        <w:rPr/>
        <w:t>无 对于纳入合并范围的重要的结构化主体，控制的依据： 无</w:t>
      </w:r>
    </w:p>
    <w:p>
      <w:pPr>
        <w:pStyle w:val="BodyText"/>
        <w:spacing w:line="386" w:lineRule="auto" w:before="46"/>
        <w:ind w:right="5773"/>
        <w:jc w:val="left"/>
      </w:pPr>
      <w:r>
        <w:rPr/>
        <w:t>确定公司是代理人还是委托人的依据： 无</w:t>
      </w:r>
    </w:p>
    <w:p>
      <w:pPr>
        <w:pStyle w:val="BodyText"/>
        <w:spacing w:line="386" w:lineRule="auto" w:before="48"/>
        <w:ind w:right="8653"/>
        <w:jc w:val="left"/>
      </w:pPr>
      <w:r>
        <w:rPr/>
        <w:t>其他说明： 无</w:t>
      </w:r>
    </w:p>
    <w:p>
      <w:pPr>
        <w:spacing w:line="240" w:lineRule="auto" w:before="8"/>
        <w:rPr>
          <w:rFonts w:ascii="宋体" w:hAnsi="宋体" w:cs="宋体" w:eastAsia="宋体" w:hint="default"/>
          <w:sz w:val="17"/>
          <w:szCs w:val="17"/>
        </w:rPr>
      </w:pPr>
    </w:p>
    <w:p>
      <w:pPr>
        <w:pStyle w:val="Heading2"/>
        <w:spacing w:line="240" w:lineRule="auto"/>
        <w:ind w:right="98"/>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98"/>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5"/>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69"/>
        <w:gridCol w:w="1369"/>
        <w:gridCol w:w="1366"/>
        <w:gridCol w:w="1368"/>
        <w:gridCol w:w="1369"/>
        <w:gridCol w:w="1366"/>
        <w:gridCol w:w="1366"/>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1" w:lineRule="auto"/>
              <w:ind w:left="154" w:right="45" w:hanging="106"/>
              <w:jc w:val="left"/>
              <w:rPr>
                <w:rFonts w:ascii="宋体" w:hAnsi="宋体" w:cs="宋体" w:eastAsia="宋体" w:hint="default"/>
                <w:sz w:val="21"/>
                <w:szCs w:val="21"/>
              </w:rPr>
            </w:pPr>
            <w:r>
              <w:rPr>
                <w:rFonts w:ascii="宋体" w:hAnsi="宋体" w:cs="宋体" w:eastAsia="宋体" w:hint="default"/>
                <w:sz w:val="21"/>
                <w:szCs w:val="21"/>
              </w:rPr>
              <w:t>合营企业或联</w:t>
            </w:r>
            <w:r>
              <w:rPr>
                <w:rFonts w:ascii="宋体" w:hAnsi="宋体" w:cs="宋体" w:eastAsia="宋体" w:hint="default"/>
                <w:w w:val="100"/>
                <w:sz w:val="21"/>
                <w:szCs w:val="21"/>
              </w:rPr>
              <w:t> </w:t>
            </w:r>
            <w:r>
              <w:rPr>
                <w:rFonts w:ascii="宋体" w:hAnsi="宋体" w:cs="宋体" w:eastAsia="宋体" w:hint="default"/>
                <w:sz w:val="21"/>
                <w:szCs w:val="21"/>
              </w:rPr>
              <w:t>营企业名称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47" w:right="43"/>
              <w:jc w:val="center"/>
              <w:rPr>
                <w:rFonts w:ascii="宋体" w:hAnsi="宋体" w:cs="宋体" w:eastAsia="宋体" w:hint="default"/>
                <w:sz w:val="21"/>
                <w:szCs w:val="21"/>
              </w:rPr>
            </w:pPr>
            <w:r>
              <w:rPr>
                <w:rFonts w:ascii="宋体" w:hAnsi="宋体" w:cs="宋体" w:eastAsia="宋体" w:hint="default"/>
                <w:spacing w:val="-1"/>
                <w:sz w:val="21"/>
                <w:szCs w:val="21"/>
              </w:rPr>
              <w:t>对合营企业或</w:t>
            </w:r>
            <w:r>
              <w:rPr>
                <w:rFonts w:ascii="宋体" w:hAnsi="宋体" w:cs="宋体" w:eastAsia="宋体" w:hint="default"/>
                <w:w w:val="100"/>
                <w:sz w:val="21"/>
                <w:szCs w:val="21"/>
              </w:rPr>
              <w:t> </w:t>
            </w:r>
            <w:r>
              <w:rPr>
                <w:rFonts w:ascii="宋体" w:hAnsi="宋体" w:cs="宋体" w:eastAsia="宋体" w:hint="default"/>
                <w:spacing w:val="-1"/>
                <w:sz w:val="21"/>
                <w:szCs w:val="21"/>
              </w:rPr>
              <w:t>联营企业投资</w:t>
            </w:r>
            <w:r>
              <w:rPr>
                <w:rFonts w:ascii="宋体" w:hAnsi="宋体" w:cs="宋体" w:eastAsia="宋体" w:hint="default"/>
                <w:w w:val="100"/>
                <w:sz w:val="21"/>
                <w:szCs w:val="21"/>
              </w:rPr>
              <w:t> </w:t>
            </w:r>
            <w:r>
              <w:rPr>
                <w:rFonts w:ascii="宋体" w:hAnsi="宋体" w:cs="宋体" w:eastAsia="宋体" w:hint="default"/>
                <w:spacing w:val="-1"/>
                <w:sz w:val="21"/>
                <w:szCs w:val="21"/>
              </w:rPr>
              <w:t>的会计处理方</w:t>
            </w:r>
            <w:r>
              <w:rPr>
                <w:rFonts w:ascii="宋体" w:hAnsi="宋体" w:cs="宋体" w:eastAsia="宋体" w:hint="default"/>
                <w:w w:val="100"/>
                <w:sz w:val="21"/>
                <w:szCs w:val="21"/>
              </w:rPr>
              <w:t> </w:t>
            </w:r>
            <w:r>
              <w:rPr>
                <w:rFonts w:ascii="宋体" w:hAnsi="宋体" w:cs="宋体" w:eastAsia="宋体" w:hint="default"/>
                <w:sz w:val="21"/>
                <w:szCs w:val="21"/>
              </w:rPr>
              <w:t>法</w:t>
            </w:r>
          </w:p>
        </w:tc>
      </w:tr>
      <w:tr>
        <w:trPr>
          <w:trHeight w:val="936"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浙江中科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86" w:right="0"/>
              <w:jc w:val="left"/>
              <w:rPr>
                <w:rFonts w:ascii="Times New Roman" w:hAnsi="Times New Roman" w:cs="Times New Roman" w:eastAsia="Times New Roman" w:hint="default"/>
                <w:sz w:val="21"/>
                <w:szCs w:val="21"/>
              </w:rPr>
            </w:pPr>
            <w:r>
              <w:rPr>
                <w:rFonts w:ascii="Times New Roman"/>
                <w:sz w:val="21"/>
              </w:rPr>
              <w:t>23.36%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pStyle w:val="BodyText"/>
        <w:spacing w:line="386" w:lineRule="auto" w:before="79"/>
        <w:ind w:right="3373"/>
        <w:jc w:val="left"/>
      </w:pPr>
      <w:r>
        <w:rPr/>
        <w:t>在合营企业或联营企业的持股比例不同于表决权比例的说明： 无</w:t>
      </w:r>
    </w:p>
    <w:p>
      <w:pPr>
        <w:pStyle w:val="BodyText"/>
        <w:spacing w:line="240" w:lineRule="auto" w:before="49"/>
        <w:ind w:right="0"/>
        <w:jc w:val="left"/>
      </w:pPr>
      <w:r>
        <w:rPr/>
        <w:t>持有</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w:t>
      </w:r>
      <w:r>
        <w:rPr/>
        <w:t>以下表决权但具有重大影响</w:t>
      </w:r>
      <w:r>
        <w:rPr>
          <w:spacing w:val="-120"/>
        </w:rPr>
        <w:t>，</w:t>
      </w:r>
      <w:r>
        <w:rPr/>
        <w:t>或者持有</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w:t>
      </w:r>
      <w:r>
        <w:rPr/>
        <w:t>或以上表决权但不具有重大影响的依据：</w:t>
      </w:r>
    </w:p>
    <w:p>
      <w:pPr>
        <w:spacing w:line="240" w:lineRule="auto" w:before="4"/>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77" w:footer="980" w:top="1100" w:bottom="1160" w:left="980" w:right="900"/>
        </w:sectPr>
      </w:pPr>
    </w:p>
    <w:p>
      <w:pPr>
        <w:pStyle w:val="BodyText"/>
        <w:spacing w:line="240" w:lineRule="auto" w:before="26"/>
        <w:ind w:right="0"/>
        <w:jc w:val="left"/>
      </w:pPr>
      <w:r>
        <w:rPr/>
        <w:t>无</w:t>
      </w:r>
    </w:p>
    <w:p>
      <w:pPr>
        <w:pStyle w:val="Heading2"/>
        <w:spacing w:line="240" w:lineRule="auto" w:before="77"/>
        <w:ind w:right="0"/>
        <w:jc w:val="left"/>
        <w:rPr>
          <w:b w:val="0"/>
          <w:bCs w:val="0"/>
        </w:rPr>
      </w:pPr>
      <w:r>
        <w:rPr>
          <w:w w:val="95"/>
        </w:rPr>
        <w:t>（</w:t>
      </w:r>
      <w:r>
        <w:rPr>
          <w:rFonts w:ascii="Times New Roman" w:hAnsi="Times New Roman" w:cs="Times New Roman" w:eastAsia="Times New Roman" w:hint="default"/>
          <w:w w:val="95"/>
        </w:rPr>
        <w:t>2</w:t>
      </w:r>
      <w:r>
        <w:rPr>
          <w:w w:val="95"/>
        </w:rPr>
        <w:t>）不重要的合营企业和联营企业的汇总财务信息</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00"/>
          <w:cols w:num="2" w:equalWidth="0">
            <w:col w:w="5573" w:space="3121"/>
            <w:col w:w="1336"/>
          </w:cols>
        </w:sectPr>
      </w:pP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314"/>
        <w:gridCol w:w="3059"/>
        <w:gridCol w:w="3175"/>
      </w:tblGrid>
      <w:tr>
        <w:trPr>
          <w:trHeight w:val="322"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w:t>
            </w:r>
            <w:r>
              <w:rPr>
                <w:rFonts w:ascii="宋体" w:hAnsi="宋体" w:cs="宋体" w:eastAsia="宋体" w:hint="default"/>
                <w:sz w:val="21"/>
                <w:szCs w:val="21"/>
              </w:rPr>
              <w:t>上期发生额</w:t>
            </w:r>
          </w:p>
        </w:tc>
      </w:tr>
      <w:tr>
        <w:trPr>
          <w:trHeight w:val="322"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7"/>
              <w:jc w:val="center"/>
              <w:rPr>
                <w:rFonts w:ascii="宋体" w:hAnsi="宋体" w:cs="宋体" w:eastAsia="宋体" w:hint="default"/>
                <w:sz w:val="21"/>
                <w:szCs w:val="21"/>
              </w:rPr>
            </w:pPr>
            <w:r>
              <w:rPr>
                <w:rFonts w:ascii="宋体" w:hAnsi="宋体" w:cs="宋体" w:eastAsia="宋体" w:hint="default"/>
                <w:sz w:val="21"/>
                <w:szCs w:val="21"/>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3" w:right="0"/>
              <w:jc w:val="center"/>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6"/>
              <w:jc w:val="center"/>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59" w:type="dxa"/>
            <w:tcBorders>
              <w:top w:val="single" w:sz="4" w:space="0" w:color="000000"/>
              <w:left w:val="single" w:sz="9" w:space="0" w:color="D2D2D2"/>
              <w:bottom w:val="single" w:sz="4" w:space="0" w:color="000000"/>
              <w:right w:val="single" w:sz="4" w:space="0" w:color="000000"/>
            </w:tcBorders>
          </w:tcPr>
          <w:p>
            <w:pPr/>
          </w:p>
        </w:tc>
        <w:tc>
          <w:tcPr>
            <w:tcW w:w="317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980" w:right="90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8" w:right="0"/>
              <w:jc w:val="center"/>
              <w:rPr>
                <w:rFonts w:ascii="Times New Roman" w:hAnsi="Times New Roman" w:cs="Times New Roman" w:eastAsia="Times New Roman" w:hint="default"/>
                <w:sz w:val="21"/>
                <w:szCs w:val="21"/>
              </w:rPr>
            </w:pPr>
            <w:r>
              <w:rPr>
                <w:rFonts w:ascii="Times New Roman"/>
                <w:sz w:val="21"/>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8" w:right="0"/>
              <w:jc w:val="center"/>
              <w:rPr>
                <w:rFonts w:ascii="Times New Roman" w:hAnsi="Times New Roman" w:cs="Times New Roman" w:eastAsia="Times New Roman" w:hint="default"/>
                <w:sz w:val="21"/>
                <w:szCs w:val="21"/>
              </w:rPr>
            </w:pPr>
            <w:r>
              <w:rPr>
                <w:rFonts w:ascii="Times New Roman"/>
                <w:sz w:val="21"/>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left="6" w:right="0"/>
              <w:jc w:val="center"/>
              <w:rPr>
                <w:rFonts w:ascii="Times New Roman" w:hAnsi="Times New Roman" w:cs="Times New Roman" w:eastAsia="Times New Roman" w:hint="default"/>
                <w:sz w:val="21"/>
                <w:szCs w:val="21"/>
              </w:rPr>
            </w:pPr>
            <w:r>
              <w:rPr>
                <w:rFonts w:ascii="Times New Roman"/>
                <w:sz w:val="21"/>
              </w:rPr>
              <w:t>1,948,820.21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1,100,435.95</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8" w:right="0"/>
              <w:jc w:val="center"/>
              <w:rPr>
                <w:rFonts w:ascii="Times New Roman" w:hAnsi="Times New Roman" w:cs="Times New Roman" w:eastAsia="Times New Roman" w:hint="default"/>
                <w:sz w:val="21"/>
                <w:szCs w:val="21"/>
              </w:rPr>
            </w:pPr>
            <w:r>
              <w:rPr>
                <w:rFonts w:ascii="Times New Roman"/>
                <w:sz w:val="21"/>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701,216.26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-294,092.13</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701,216.26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-294,092.13</w:t>
            </w:r>
          </w:p>
        </w:tc>
      </w:tr>
    </w:tbl>
    <w:p>
      <w:pPr>
        <w:pStyle w:val="BodyText"/>
        <w:spacing w:line="357" w:lineRule="auto" w:before="39"/>
        <w:ind w:right="8813"/>
        <w:jc w:val="left"/>
      </w:pPr>
      <w:r>
        <w:rPr/>
        <w:t>其他说明 无</w:t>
      </w:r>
    </w:p>
    <w:p>
      <w:pPr>
        <w:spacing w:line="357" w:lineRule="auto" w:before="36"/>
        <w:ind w:left="573" w:right="138" w:hanging="420"/>
        <w:jc w:val="left"/>
        <w:rPr>
          <w:rFonts w:ascii="宋体" w:hAnsi="宋体" w:cs="宋体" w:eastAsia="宋体" w:hint="default"/>
          <w:sz w:val="24"/>
          <w:szCs w:val="24"/>
        </w:rPr>
      </w:pP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pacing w:val="2"/>
          <w:sz w:val="24"/>
          <w:szCs w:val="24"/>
        </w:rPr>
        <w:t>本公司在经营过程中面临着各种金融风险：信用风险、市场风险和流动性风险。本公司</w:t>
      </w:r>
      <w:r>
        <w:rPr>
          <w:rFonts w:ascii="宋体" w:hAnsi="宋体" w:cs="宋体" w:eastAsia="宋体" w:hint="default"/>
          <w:sz w:val="24"/>
          <w:szCs w:val="24"/>
        </w:rPr>
      </w:r>
    </w:p>
    <w:p>
      <w:pPr>
        <w:pStyle w:val="BodyText"/>
        <w:spacing w:line="357" w:lineRule="auto" w:before="36"/>
        <w:ind w:right="158"/>
        <w:jc w:val="both"/>
      </w:pPr>
      <w:r>
        <w:rPr/>
        <w:t>的主要金融工具包括股权投资、借款、应收账款、应付账款等，各项金融工具的详细情况说</w:t>
      </w:r>
      <w:r>
        <w:rPr>
          <w:spacing w:val="-91"/>
        </w:rPr>
        <w:t> </w:t>
      </w:r>
      <w:r>
        <w:rPr>
          <w:spacing w:val="-91"/>
        </w:rPr>
      </w:r>
      <w:r>
        <w:rPr/>
        <w:t>明见本附注五相关项目。与这些金融工具有关的风险，以及本公司为降低这些风险所采取的</w:t>
      </w:r>
      <w:r>
        <w:rPr>
          <w:spacing w:val="-91"/>
        </w:rPr>
        <w:t> </w:t>
      </w:r>
      <w:r>
        <w:rPr>
          <w:spacing w:val="-91"/>
        </w:rPr>
      </w:r>
      <w:r>
        <w:rPr/>
        <w:t>风险管理政策如下所述。本公司管理层对这些风险敞口进行管理和监控以确保将上述风险控</w:t>
      </w:r>
      <w:r>
        <w:rPr>
          <w:spacing w:val="-91"/>
        </w:rPr>
        <w:t> </w:t>
      </w:r>
      <w:r>
        <w:rPr>
          <w:spacing w:val="-91"/>
        </w:rPr>
      </w:r>
      <w:r>
        <w:rPr/>
        <w:t>制在限定的范围之内。</w:t>
      </w:r>
    </w:p>
    <w:p>
      <w:pPr>
        <w:spacing w:line="338" w:lineRule="auto" w:before="36"/>
        <w:ind w:left="573" w:right="138" w:firstLine="7"/>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41"/>
          <w:sz w:val="24"/>
          <w:szCs w:val="24"/>
        </w:rPr>
        <w:t> </w:t>
      </w:r>
      <w:r>
        <w:rPr>
          <w:rFonts w:ascii="宋体" w:hAnsi="宋体" w:cs="宋体" w:eastAsia="宋体" w:hint="default"/>
          <w:b/>
          <w:bCs/>
          <w:sz w:val="24"/>
          <w:szCs w:val="24"/>
        </w:rPr>
        <w:t>风险管理目标和政策</w:t>
      </w:r>
      <w:r>
        <w:rPr>
          <w:rFonts w:ascii="宋体" w:hAnsi="宋体" w:cs="宋体" w:eastAsia="宋体" w:hint="default"/>
          <w:b/>
          <w:bCs/>
          <w:w w:val="99"/>
          <w:sz w:val="24"/>
          <w:szCs w:val="24"/>
        </w:rPr>
        <w:t> </w:t>
      </w:r>
      <w:r>
        <w:rPr>
          <w:rFonts w:ascii="宋体" w:hAnsi="宋体" w:cs="宋体" w:eastAsia="宋体" w:hint="default"/>
          <w:spacing w:val="2"/>
          <w:sz w:val="24"/>
          <w:szCs w:val="24"/>
        </w:rPr>
        <w:t>本公司从事风险管理的目标是在风险和收益之间取得适当的平衡，将风险对本公司经营</w:t>
      </w:r>
      <w:r>
        <w:rPr>
          <w:rFonts w:ascii="宋体" w:hAnsi="宋体" w:cs="宋体" w:eastAsia="宋体" w:hint="default"/>
          <w:sz w:val="24"/>
          <w:szCs w:val="24"/>
        </w:rPr>
      </w:r>
    </w:p>
    <w:p>
      <w:pPr>
        <w:pStyle w:val="BodyText"/>
        <w:spacing w:line="357" w:lineRule="auto"/>
        <w:ind w:right="158"/>
        <w:jc w:val="both"/>
      </w:pPr>
      <w:r>
        <w:rPr/>
        <w:t>业绩的负面影响降低到最低水平，使股东及其他权益投资者的利益最大化。基于该风险管理</w:t>
      </w:r>
      <w:r>
        <w:rPr>
          <w:spacing w:val="-91"/>
        </w:rPr>
        <w:t> </w:t>
      </w:r>
      <w:r>
        <w:rPr>
          <w:spacing w:val="-91"/>
        </w:rPr>
      </w:r>
      <w:r>
        <w:rPr/>
        <w:t>目标，本公司风险管理的基本策略是确定和分析本公司所面临的各种风险，建立适当的风险</w:t>
      </w:r>
      <w:r>
        <w:rPr>
          <w:spacing w:val="-91"/>
        </w:rPr>
        <w:t> </w:t>
      </w:r>
      <w:r>
        <w:rPr>
          <w:spacing w:val="-91"/>
        </w:rPr>
      </w:r>
      <w:r>
        <w:rPr/>
        <w:t>承受底线并进行风险管理，本公司定期审阅这些风险管理政策及有关内部控制系统，以适应</w:t>
      </w:r>
      <w:r>
        <w:rPr>
          <w:spacing w:val="-91"/>
        </w:rPr>
        <w:t> </w:t>
      </w:r>
      <w:r>
        <w:rPr>
          <w:spacing w:val="-91"/>
        </w:rPr>
      </w:r>
      <w:r>
        <w:rPr/>
        <w:t>市场情况或本公司经营活动的改变，同时及时有效地对各种风险进行监督，将风险控制在限</w:t>
      </w:r>
      <w:r>
        <w:rPr>
          <w:spacing w:val="-91"/>
        </w:rPr>
        <w:t> </w:t>
      </w:r>
      <w:r>
        <w:rPr>
          <w:spacing w:val="-91"/>
        </w:rPr>
      </w:r>
      <w:r>
        <w:rPr/>
        <w:t>定的范围之内。</w:t>
      </w:r>
    </w:p>
    <w:p>
      <w:pPr>
        <w:pStyle w:val="BodyText"/>
        <w:spacing w:line="338" w:lineRule="auto" w:before="36"/>
        <w:ind w:left="573" w:right="138" w:firstLine="7"/>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w:t>
      </w:r>
      <w:r>
        <w:rPr/>
      </w:r>
    </w:p>
    <w:p>
      <w:pPr>
        <w:pStyle w:val="BodyText"/>
        <w:spacing w:line="240" w:lineRule="auto"/>
        <w:ind w:right="0"/>
        <w:jc w:val="both"/>
      </w:pPr>
      <w:r>
        <w:rPr/>
        <w:t>波动的风险，包括外汇风险、利率风险和其他价格风险。</w:t>
      </w:r>
    </w:p>
    <w:p>
      <w:pPr>
        <w:pStyle w:val="BodyText"/>
        <w:spacing w:line="338" w:lineRule="auto" w:before="154"/>
        <w:ind w:left="573" w:right="138"/>
        <w:jc w:val="left"/>
      </w:pPr>
      <w:r>
        <w:rPr>
          <w:rFonts w:ascii="Times New Roman" w:hAnsi="Times New Roman" w:cs="Times New Roman" w:eastAsia="Times New Roman" w:hint="default"/>
        </w:rPr>
        <w:t>1</w:t>
      </w:r>
      <w:r>
        <w:rPr/>
        <w:t>．汇率风险 </w:t>
      </w:r>
      <w:r>
        <w:rPr>
          <w:spacing w:val="2"/>
        </w:rPr>
        <w:t>汇率风险是指金融工具的公允价值或未来现金流量因外汇汇率变动而发生波动的风险。</w:t>
      </w:r>
      <w:r>
        <w:rPr/>
      </w:r>
    </w:p>
    <w:p>
      <w:pPr>
        <w:pStyle w:val="BodyText"/>
        <w:spacing w:line="357" w:lineRule="auto"/>
        <w:ind w:right="158"/>
        <w:jc w:val="both"/>
      </w:pPr>
      <w:r>
        <w:rPr/>
        <w:t>本公司的主要经营位于中国境内，主要业务以人民币结算。因此，本公司所承担的外汇变动</w:t>
      </w:r>
      <w:r>
        <w:rPr>
          <w:spacing w:val="-91"/>
        </w:rPr>
        <w:t> </w:t>
      </w:r>
      <w:r>
        <w:rPr>
          <w:spacing w:val="-91"/>
        </w:rPr>
      </w:r>
      <w:r>
        <w:rPr/>
        <w:t>市场风险不重大。</w:t>
      </w:r>
    </w:p>
    <w:p>
      <w:pPr>
        <w:pStyle w:val="BodyText"/>
        <w:spacing w:line="240" w:lineRule="auto" w:before="36"/>
        <w:ind w:left="573" w:right="293"/>
        <w:jc w:val="left"/>
      </w:pPr>
      <w:r>
        <w:rPr>
          <w:rFonts w:ascii="Times New Roman" w:hAnsi="Times New Roman" w:cs="Times New Roman" w:eastAsia="Times New Roman" w:hint="default"/>
        </w:rPr>
        <w:t>2</w:t>
      </w:r>
      <w:r>
        <w:rPr/>
        <w:t>．利率风险</w:t>
      </w:r>
    </w:p>
    <w:p>
      <w:pPr>
        <w:spacing w:after="0" w:line="240" w:lineRule="auto"/>
        <w:jc w:val="left"/>
        <w:sectPr>
          <w:pgSz w:w="11910" w:h="16840"/>
          <w:pgMar w:header="877" w:footer="980"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before="26"/>
        <w:ind w:right="98" w:firstLine="420"/>
        <w:jc w:val="left"/>
      </w:pPr>
      <w:r>
        <w:rPr>
          <w:spacing w:val="-1"/>
        </w:rPr>
        <w:t>利率风险，是指金融工具的公允价值或未来现金流量因市场利率变动而发生波动的风险。</w:t>
      </w:r>
      <w:r>
        <w:rPr/>
        <w:t> 本公司面临的市场利率变动的风险主要与本公司以浮动利率计息的借款有关。本公司的利率</w:t>
      </w:r>
      <w:r>
        <w:rPr>
          <w:spacing w:val="-91"/>
        </w:rPr>
        <w:t> </w:t>
      </w:r>
      <w:r>
        <w:rPr>
          <w:spacing w:val="-91"/>
        </w:rPr>
      </w:r>
      <w:r>
        <w:rPr/>
        <w:t>风险主要产生于长期银行借款及应付债券等长期带息债务。浮动利率的金融负债使本公司面</w:t>
      </w:r>
      <w:r>
        <w:rPr>
          <w:spacing w:val="-90"/>
        </w:rPr>
        <w:t> </w:t>
      </w:r>
      <w:r>
        <w:rPr>
          <w:spacing w:val="-90"/>
        </w:rPr>
      </w:r>
      <w:r>
        <w:rPr/>
        <w:t>临现金流量利率风险，固定利率的金融负债使本公司面临公允价值利率风险。本公司根据当</w:t>
      </w:r>
      <w:r>
        <w:rPr>
          <w:spacing w:val="-91"/>
        </w:rPr>
        <w:t> </w:t>
      </w:r>
      <w:r>
        <w:rPr>
          <w:spacing w:val="-91"/>
        </w:rPr>
      </w:r>
      <w:r>
        <w:rPr/>
        <w:t>时的市场环境来决定固定利率及浮动利率合同的相对比例，并通过定期审阅与监察维持适当</w:t>
      </w:r>
      <w:r>
        <w:rPr>
          <w:spacing w:val="-91"/>
        </w:rPr>
        <w:t> </w:t>
      </w:r>
      <w:r>
        <w:rPr>
          <w:spacing w:val="-91"/>
        </w:rPr>
      </w:r>
      <w:r>
        <w:rPr/>
        <w:t>的固定和浮动利率工具组合。</w:t>
      </w:r>
    </w:p>
    <w:p>
      <w:pPr>
        <w:pStyle w:val="BodyText"/>
        <w:spacing w:line="345" w:lineRule="auto" w:before="36"/>
        <w:ind w:left="573" w:right="793"/>
        <w:jc w:val="left"/>
      </w:pPr>
      <w:r>
        <w:rPr>
          <w:rFonts w:ascii="Times New Roman" w:hAnsi="Times New Roman" w:cs="Times New Roman" w:eastAsia="Times New Roman" w:hint="default"/>
        </w:rPr>
        <w:t>3</w:t>
      </w:r>
      <w:r>
        <w:rPr/>
        <w:t>．其他价格风险 本公司管理层认为与金融资产、金融负债相关的价格风险对本公司无重大影响。 </w:t>
      </w: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信用风险</w:t>
      </w:r>
      <w:r>
        <w:rPr>
          <w:rFonts w:ascii="宋体" w:hAnsi="宋体" w:cs="宋体" w:eastAsia="宋体" w:hint="default"/>
          <w:b/>
          <w:bCs/>
          <w:w w:val="99"/>
        </w:rPr>
        <w:t> </w:t>
      </w:r>
      <w:r>
        <w:rPr/>
        <w:t>信用风险，是指交易对手方未能履行合同义务而导致本公司产生财务损失的风险。</w:t>
      </w:r>
    </w:p>
    <w:p>
      <w:pPr>
        <w:pStyle w:val="BodyText"/>
        <w:spacing w:line="357" w:lineRule="auto" w:before="48"/>
        <w:ind w:left="573" w:right="98"/>
        <w:jc w:val="left"/>
      </w:pPr>
      <w:r>
        <w:rPr/>
        <w:t>本公司对信用风险按组合分类进行管理。信用风险主要产生于银行存款和应收款项等。 </w:t>
      </w:r>
      <w:r>
        <w:rPr>
          <w:spacing w:val="2"/>
        </w:rPr>
        <w:t>本公司银行存款主要存放于国有银行和其它大中型上市银行，本公司预期银行存款不存</w:t>
      </w:r>
      <w:r>
        <w:rPr/>
      </w:r>
    </w:p>
    <w:p>
      <w:pPr>
        <w:pStyle w:val="BodyText"/>
        <w:spacing w:line="357" w:lineRule="auto" w:before="36"/>
        <w:ind w:left="573" w:right="98" w:hanging="420"/>
        <w:jc w:val="left"/>
      </w:pPr>
      <w:r>
        <w:rPr/>
        <w:t>在重大的信用风险。 </w:t>
      </w:r>
      <w:r>
        <w:rPr>
          <w:spacing w:val="2"/>
        </w:rPr>
        <w:t>对于应收款项，本公司设定相关政策以控制信用风险敞口。本公司基于对债务人的财务</w:t>
      </w:r>
      <w:r>
        <w:rPr/>
      </w:r>
    </w:p>
    <w:p>
      <w:pPr>
        <w:pStyle w:val="BodyText"/>
        <w:spacing w:line="357" w:lineRule="auto" w:before="36"/>
        <w:ind w:right="238"/>
        <w:jc w:val="both"/>
      </w:pPr>
      <w:r>
        <w:rPr/>
        <w:t>状况、外部评级、从第三方获取担保的可能性、信用记录及其它因素诸如目前市场状况等评</w:t>
      </w:r>
      <w:r>
        <w:rPr>
          <w:spacing w:val="-91"/>
        </w:rPr>
        <w:t> </w:t>
      </w:r>
      <w:r>
        <w:rPr>
          <w:spacing w:val="-91"/>
        </w:rPr>
      </w:r>
      <w:r>
        <w:rPr/>
        <w:t>估债务人的信用资质并设置相应欠款额度与信用期限。本公司会定期对债务人信用记录进行</w:t>
      </w:r>
      <w:r>
        <w:rPr>
          <w:spacing w:val="-91"/>
        </w:rPr>
        <w:t> </w:t>
      </w:r>
      <w:r>
        <w:rPr>
          <w:spacing w:val="-91"/>
        </w:rPr>
      </w:r>
      <w:r>
        <w:rPr/>
        <w:t>监控，对于信用记录不良的债务人，本公司会采用书面催款、缩短信用期或取消信用期等方</w:t>
      </w:r>
      <w:r>
        <w:rPr>
          <w:spacing w:val="-91"/>
        </w:rPr>
        <w:t> </w:t>
      </w:r>
      <w:r>
        <w:rPr>
          <w:spacing w:val="-91"/>
        </w:rPr>
      </w:r>
      <w:r>
        <w:rPr/>
        <w:t>式，以确保本公司的整体信用风险在可控的范围内。</w:t>
      </w:r>
    </w:p>
    <w:p>
      <w:pPr>
        <w:pStyle w:val="BodyText"/>
        <w:spacing w:line="357" w:lineRule="auto" w:before="36"/>
        <w:ind w:right="93" w:firstLine="420"/>
        <w:jc w:val="left"/>
      </w:pPr>
      <w:r>
        <w:rPr>
          <w:spacing w:val="2"/>
        </w:rPr>
        <w:t>本公司所承受的最大信用风险敞口为资产负债表中每项金融资产的账面金额，详细见本</w:t>
      </w:r>
      <w:r>
        <w:rPr/>
        <w:t> 部分</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流动风险的相关列示。本公司没有提供任何其他可能令本公司承受信用风险的担保。</w:t>
      </w:r>
    </w:p>
    <w:p>
      <w:pPr>
        <w:pStyle w:val="BodyText"/>
        <w:spacing w:line="338" w:lineRule="auto" w:before="5"/>
        <w:ind w:left="573" w:right="98" w:firstLine="2"/>
        <w:jc w:val="left"/>
      </w:pPr>
      <w:r>
        <w:rPr>
          <w:rFonts w:ascii="Times New Roman" w:hAnsi="Times New Roman" w:cs="Times New Roman" w:eastAsia="Times New Roman" w:hint="default"/>
          <w:b/>
          <w:bCs/>
        </w:rPr>
        <w:t>(</w:t>
      </w:r>
      <w:r>
        <w:rPr>
          <w:rFonts w:ascii="宋体" w:hAnsi="宋体" w:cs="宋体" w:eastAsia="宋体" w:hint="default"/>
          <w:b/>
          <w:bCs/>
        </w:rPr>
        <w:t>四</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流动风险</w:t>
      </w:r>
      <w:r>
        <w:rPr>
          <w:rFonts w:ascii="宋体" w:hAnsi="宋体" w:cs="宋体" w:eastAsia="宋体" w:hint="default"/>
          <w:b/>
          <w:bCs/>
          <w:w w:val="99"/>
        </w:rPr>
        <w:t> </w:t>
      </w:r>
      <w:r>
        <w:rPr>
          <w:spacing w:val="2"/>
        </w:rPr>
        <w:t>流动风险，是指企业在履行以交付现金或其他金融资产的方式结算的义务时发生资金短</w:t>
      </w:r>
      <w:r>
        <w:rPr/>
      </w:r>
    </w:p>
    <w:p>
      <w:pPr>
        <w:pStyle w:val="BodyText"/>
        <w:spacing w:line="348" w:lineRule="auto"/>
        <w:ind w:right="238"/>
        <w:jc w:val="both"/>
      </w:pPr>
      <w:r>
        <w:rPr/>
        <w:t>缺的风险。流动性风险由本公司的财务部门集中控制。财务部门通过监控现金余额、可随时</w:t>
      </w:r>
      <w:r>
        <w:rPr>
          <w:spacing w:val="-91"/>
        </w:rPr>
        <w:t> </w:t>
      </w:r>
      <w:r>
        <w:rPr>
          <w:spacing w:val="-91"/>
        </w:rPr>
      </w:r>
      <w:r>
        <w:rPr/>
        <w:t>变现的有价证券以及对未来</w:t>
      </w:r>
      <w:r>
        <w:rPr>
          <w:rFonts w:ascii="Times New Roman" w:hAnsi="Times New Roman" w:cs="Times New Roman" w:eastAsia="Times New Roman" w:hint="default"/>
        </w:rPr>
        <w:t>12</w:t>
      </w:r>
      <w:r>
        <w:rPr/>
        <w:t>个月现金流量的滚动预测，确保公司在所有合理预测的情况下</w:t>
      </w:r>
      <w:r>
        <w:rPr>
          <w:spacing w:val="-90"/>
        </w:rPr>
        <w:t> </w:t>
      </w:r>
      <w:r>
        <w:rPr>
          <w:spacing w:val="-90"/>
        </w:rPr>
      </w:r>
      <w:r>
        <w:rPr/>
        <w:t>拥有充足的资金偿还债务，满足本公司经营需要，并降低现金流量波动的影响。</w:t>
      </w:r>
    </w:p>
    <w:p>
      <w:pPr>
        <w:pStyle w:val="BodyText"/>
        <w:spacing w:line="338" w:lineRule="auto" w:before="46"/>
        <w:ind w:left="573" w:right="98" w:firstLine="2"/>
        <w:jc w:val="left"/>
      </w:pPr>
      <w:r>
        <w:rPr>
          <w:rFonts w:ascii="Times New Roman" w:hAnsi="Times New Roman" w:cs="Times New Roman" w:eastAsia="Times New Roman" w:hint="default"/>
          <w:b/>
          <w:bCs/>
        </w:rPr>
        <w:t>(</w:t>
      </w:r>
      <w:r>
        <w:rPr>
          <w:rFonts w:ascii="宋体" w:hAnsi="宋体" w:cs="宋体" w:eastAsia="宋体" w:hint="default"/>
          <w:b/>
          <w:bCs/>
        </w:rPr>
        <w:t>五</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资本管理</w:t>
      </w:r>
      <w:r>
        <w:rPr>
          <w:rFonts w:ascii="宋体" w:hAnsi="宋体" w:cs="宋体" w:eastAsia="宋体" w:hint="default"/>
          <w:b/>
          <w:bCs/>
          <w:w w:val="99"/>
        </w:rPr>
        <w:t> </w:t>
      </w:r>
      <w:r>
        <w:rPr>
          <w:spacing w:val="2"/>
        </w:rPr>
        <w:t>本公司资本管理政策的目标是为了保障本公司能够持续经营，从而为股东提供回报，并</w:t>
      </w:r>
      <w:r>
        <w:rPr/>
      </w:r>
    </w:p>
    <w:p>
      <w:pPr>
        <w:pStyle w:val="BodyText"/>
        <w:spacing w:line="357" w:lineRule="auto"/>
        <w:ind w:right="238"/>
        <w:jc w:val="both"/>
      </w:pPr>
      <w:r>
        <w:rPr/>
        <w:t>使其他利益相关者获益，同时维持最佳的资本结构以降低资本成本。为了维持或调整资本结</w:t>
      </w:r>
      <w:r>
        <w:rPr>
          <w:spacing w:val="-91"/>
        </w:rPr>
        <w:t> </w:t>
      </w:r>
      <w:r>
        <w:rPr>
          <w:spacing w:val="-91"/>
        </w:rPr>
      </w:r>
      <w:r>
        <w:rPr/>
        <w:t>构，本公司可能会调整支付给股东的股利金额、向股东返还资本、发行新股或出售资产以减</w:t>
      </w:r>
    </w:p>
    <w:p>
      <w:pPr>
        <w:spacing w:after="0" w:line="357" w:lineRule="auto"/>
        <w:jc w:val="both"/>
        <w:sectPr>
          <w:pgSz w:w="11910" w:h="16840"/>
          <w:pgMar w:header="877" w:footer="980" w:top="1100" w:bottom="1160" w:left="980" w:right="900"/>
        </w:sectPr>
      </w:pPr>
    </w:p>
    <w:p>
      <w:pPr>
        <w:spacing w:line="240" w:lineRule="auto" w:before="7"/>
        <w:rPr>
          <w:rFonts w:ascii="宋体" w:hAnsi="宋体" w:cs="宋体" w:eastAsia="宋体" w:hint="default"/>
          <w:sz w:val="25"/>
          <w:szCs w:val="25"/>
        </w:rPr>
      </w:pPr>
    </w:p>
    <w:p>
      <w:pPr>
        <w:pStyle w:val="BodyText"/>
        <w:spacing w:line="240" w:lineRule="auto" w:before="26"/>
        <w:ind w:right="138"/>
        <w:jc w:val="left"/>
      </w:pPr>
      <w:r>
        <w:rPr>
          <w:spacing w:val="2"/>
        </w:rPr>
        <w:t>低债务。本公司以资产负债率</w:t>
      </w:r>
      <w:r>
        <w:rPr>
          <w:rFonts w:ascii="Times New Roman" w:hAnsi="Times New Roman" w:cs="Times New Roman" w:eastAsia="Times New Roman" w:hint="default"/>
          <w:spacing w:val="2"/>
        </w:rPr>
        <w:t>(</w:t>
      </w:r>
      <w:r>
        <w:rPr>
          <w:spacing w:val="2"/>
        </w:rPr>
        <w:t>即总负债除以总资产</w:t>
      </w:r>
      <w:r>
        <w:rPr>
          <w:rFonts w:ascii="Times New Roman" w:hAnsi="Times New Roman" w:cs="Times New Roman" w:eastAsia="Times New Roman" w:hint="default"/>
          <w:spacing w:val="2"/>
        </w:rPr>
        <w:t>)</w:t>
      </w:r>
      <w:r>
        <w:rPr>
          <w:spacing w:val="2"/>
        </w:rPr>
        <w:t>为基础对资本结构进行监控。于</w:t>
      </w:r>
      <w:r>
        <w:rPr>
          <w:rFonts w:ascii="Times New Roman" w:hAnsi="Times New Roman" w:cs="Times New Roman" w:eastAsia="Times New Roman" w:hint="default"/>
          <w:spacing w:val="2"/>
        </w:rPr>
        <w:t>2017</w:t>
      </w:r>
      <w:r>
        <w:rPr>
          <w:spacing w:val="2"/>
        </w:rPr>
        <w:t>年</w:t>
      </w:r>
    </w:p>
    <w:p>
      <w:pPr>
        <w:pStyle w:val="BodyText"/>
        <w:spacing w:line="408" w:lineRule="auto" w:before="136"/>
        <w:ind w:right="2313"/>
        <w:jc w:val="left"/>
        <w:rPr>
          <w:rFonts w:ascii="宋体" w:hAnsi="宋体" w:cs="宋体" w:eastAsia="宋体" w:hint="default"/>
        </w:rPr>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日，本公司的资产负债率为</w:t>
      </w:r>
      <w:r>
        <w:rPr>
          <w:rFonts w:ascii="Times New Roman" w:hAnsi="Times New Roman" w:cs="Times New Roman" w:eastAsia="Times New Roman" w:hint="default"/>
        </w:rPr>
        <w:t>30.97% (2016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25.62%)</w:t>
      </w:r>
      <w:r>
        <w:rPr/>
        <w:t>。 </w:t>
      </w:r>
      <w:r>
        <w:rPr>
          <w:rFonts w:ascii="宋体" w:hAnsi="宋体" w:cs="宋体" w:eastAsia="宋体" w:hint="default"/>
          <w:b/>
          <w:bCs/>
        </w:rPr>
        <w:t>十一、关联方及关联交易</w:t>
      </w:r>
      <w:r>
        <w:rPr>
          <w:rFonts w:ascii="宋体" w:hAnsi="宋体" w:cs="宋体" w:eastAsia="宋体" w:hint="default"/>
        </w:rPr>
      </w:r>
    </w:p>
    <w:p>
      <w:pPr>
        <w:spacing w:line="376" w:lineRule="auto" w:before="38"/>
        <w:ind w:left="153" w:right="136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、本企业的子公司情况</w:t>
      </w:r>
      <w:r>
        <w:rPr>
          <w:rFonts w:ascii="宋体" w:hAnsi="宋体" w:cs="宋体" w:eastAsia="宋体" w:hint="default"/>
          <w:b/>
          <w:bCs/>
          <w:w w:val="99"/>
          <w:sz w:val="24"/>
          <w:szCs w:val="24"/>
        </w:rPr>
        <w:t> </w:t>
      </w:r>
      <w:r>
        <w:rPr>
          <w:rFonts w:ascii="宋体" w:hAnsi="宋体" w:cs="宋体" w:eastAsia="宋体" w:hint="default"/>
          <w:sz w:val="24"/>
          <w:szCs w:val="24"/>
        </w:rPr>
        <w:t>本企业子公司的情况详见附注九</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z w:val="24"/>
          <w:szCs w:val="24"/>
        </w:rPr>
        <w:t>)“</w:t>
      </w:r>
      <w:r>
        <w:rPr>
          <w:rFonts w:ascii="宋体" w:hAnsi="宋体" w:cs="宋体" w:eastAsia="宋体" w:hint="default"/>
          <w:sz w:val="24"/>
          <w:szCs w:val="24"/>
        </w:rPr>
        <w:t>在子公司中的权益</w:t>
      </w:r>
      <w:r>
        <w:rPr>
          <w:rFonts w:ascii="Times New Roman" w:hAnsi="Times New Roman" w:cs="Times New Roman" w:eastAsia="Times New Roman" w:hint="default"/>
          <w:sz w:val="24"/>
          <w:szCs w:val="24"/>
        </w:rPr>
        <w:t>”</w:t>
      </w:r>
      <w:r>
        <w:rPr>
          <w:rFonts w:ascii="宋体" w:hAnsi="宋体" w:cs="宋体" w:eastAsia="宋体" w:hint="default"/>
          <w:sz w:val="24"/>
          <w:szCs w:val="24"/>
        </w:rPr>
        <w:t>。 </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、本企业合营和联营企业情况</w:t>
      </w:r>
      <w:r>
        <w:rPr>
          <w:rFonts w:ascii="宋体" w:hAnsi="宋体" w:cs="宋体" w:eastAsia="宋体" w:hint="default"/>
          <w:b/>
          <w:bCs/>
          <w:w w:val="99"/>
          <w:sz w:val="24"/>
          <w:szCs w:val="24"/>
        </w:rPr>
        <w:t> </w:t>
      </w:r>
      <w:r>
        <w:rPr>
          <w:rFonts w:ascii="宋体" w:hAnsi="宋体" w:cs="宋体" w:eastAsia="宋体" w:hint="default"/>
          <w:sz w:val="24"/>
          <w:szCs w:val="24"/>
        </w:rPr>
        <w:t>本企业重要的合营或联营企业详见附注九</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z w:val="24"/>
          <w:szCs w:val="24"/>
        </w:rPr>
        <w:t>)“</w:t>
      </w:r>
      <w:r>
        <w:rPr>
          <w:rFonts w:ascii="宋体" w:hAnsi="宋体" w:cs="宋体" w:eastAsia="宋体" w:hint="default"/>
          <w:sz w:val="24"/>
          <w:szCs w:val="24"/>
        </w:rPr>
        <w:t>在合营安排或联营企业中的权益</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p>
      <w:pPr>
        <w:pStyle w:val="BodyText"/>
        <w:spacing w:line="398" w:lineRule="auto" w:before="35"/>
        <w:ind w:right="173"/>
        <w:jc w:val="left"/>
      </w:pPr>
      <w:r>
        <w:rPr/>
        <w:t>本期与本公司发生关联方交易，或前期与本公司发生关联方交易形成余额的其他合营或联营 企业情况如下：无</w:t>
      </w:r>
    </w:p>
    <w:p>
      <w:pPr>
        <w:pStyle w:val="Heading2"/>
        <w:spacing w:line="240" w:lineRule="auto" w:before="48"/>
        <w:ind w:right="293"/>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12"/>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公司股东</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江苏国图信息产业园管理有限公司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南京国图董事控制的公司</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上海南康网络技术有限公司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上海南康董事控制的公司</w:t>
            </w:r>
          </w:p>
        </w:tc>
      </w:tr>
    </w:tbl>
    <w:p>
      <w:pPr>
        <w:spacing w:after="0" w:line="262" w:lineRule="exact"/>
        <w:jc w:val="center"/>
        <w:rPr>
          <w:rFonts w:ascii="宋体" w:hAnsi="宋体" w:cs="宋体" w:eastAsia="宋体" w:hint="default"/>
          <w:sz w:val="21"/>
          <w:szCs w:val="21"/>
        </w:rPr>
        <w:sectPr>
          <w:pgSz w:w="11910" w:h="16840"/>
          <w:pgMar w:header="877" w:footer="980" w:top="1100" w:bottom="1160" w:left="980" w:right="980"/>
        </w:sectPr>
      </w:pPr>
    </w:p>
    <w:p>
      <w:pPr>
        <w:pStyle w:val="BodyText"/>
        <w:spacing w:line="240" w:lineRule="auto" w:before="39"/>
        <w:ind w:right="0"/>
        <w:jc w:val="left"/>
      </w:pPr>
      <w:r>
        <w:rPr/>
        <w:t>其他说明：无</w:t>
      </w:r>
    </w:p>
    <w:p>
      <w:pPr>
        <w:pStyle w:val="Heading2"/>
        <w:spacing w:line="240" w:lineRule="auto" w:before="154"/>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338" w:lineRule="auto" w:before="136"/>
        <w:ind w:left="153" w:right="0" w:firstLine="0"/>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）购销商品、提供和接受劳务的关联交易</w:t>
      </w:r>
      <w:r>
        <w:rPr>
          <w:rFonts w:ascii="宋体" w:hAnsi="宋体" w:cs="宋体" w:eastAsia="宋体" w:hint="default"/>
          <w:b/>
          <w:bCs/>
          <w:spacing w:val="3"/>
          <w:w w:val="95"/>
          <w:sz w:val="24"/>
          <w:szCs w:val="24"/>
        </w:rPr>
        <w:t> </w:t>
      </w:r>
      <w:r>
        <w:rPr>
          <w:rFonts w:ascii="宋体" w:hAnsi="宋体" w:cs="宋体" w:eastAsia="宋体" w:hint="default"/>
          <w:b/>
          <w:bCs/>
          <w:spacing w:val="3"/>
          <w:w w:val="95"/>
          <w:sz w:val="24"/>
          <w:szCs w:val="24"/>
        </w:rPr>
      </w:r>
      <w:r>
        <w:rPr>
          <w:rFonts w:ascii="宋体" w:hAnsi="宋体" w:cs="宋体" w:eastAsia="宋体" w:hint="default"/>
          <w:sz w:val="24"/>
          <w:szCs w:val="24"/>
        </w:rPr>
        <w:t>采购商品</w:t>
      </w:r>
      <w:r>
        <w:rPr>
          <w:rFonts w:ascii="Times New Roman" w:hAnsi="Times New Roman" w:cs="Times New Roman" w:eastAsia="Times New Roman" w:hint="default"/>
          <w:sz w:val="24"/>
          <w:szCs w:val="24"/>
        </w:rPr>
        <w:t>/</w:t>
      </w:r>
      <w:r>
        <w:rPr>
          <w:rFonts w:ascii="宋体" w:hAnsi="宋体" w:cs="宋体" w:eastAsia="宋体" w:hint="default"/>
          <w:sz w:val="24"/>
          <w:szCs w:val="24"/>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80"/>
          <w:cols w:num="2" w:equalWidth="0">
            <w:col w:w="4851" w:space="3843"/>
            <w:col w:w="1256"/>
          </w:cols>
        </w:sectPr>
      </w:pP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925"/>
        <w:gridCol w:w="1488"/>
      </w:tblGrid>
      <w:tr>
        <w:trPr>
          <w:trHeight w:val="32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9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获批的交易额度</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是否超过交易额度</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浙江中科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软件技术开发</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97,920.00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8"/>
              <w:jc w:val="right"/>
              <w:rPr>
                <w:rFonts w:ascii="Times New Roman" w:hAnsi="Times New Roman" w:cs="Times New Roman" w:eastAsia="Times New Roman" w:hint="default"/>
                <w:sz w:val="21"/>
                <w:szCs w:val="21"/>
              </w:rPr>
            </w:pPr>
            <w:r>
              <w:rPr>
                <w:rFonts w:ascii="Times New Roman"/>
                <w:spacing w:val="-1"/>
                <w:sz w:val="21"/>
              </w:rPr>
              <w:t>100,100.00</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地理所</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软件技术开发</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8"/>
              <w:jc w:val="right"/>
              <w:rPr>
                <w:rFonts w:ascii="Times New Roman" w:hAnsi="Times New Roman" w:cs="Times New Roman" w:eastAsia="Times New Roman" w:hint="default"/>
                <w:sz w:val="21"/>
                <w:szCs w:val="21"/>
              </w:rPr>
            </w:pPr>
            <w:r>
              <w:rPr>
                <w:rFonts w:ascii="Times New Roman"/>
                <w:spacing w:val="-1"/>
                <w:sz w:val="21"/>
              </w:rPr>
              <w:t>234,000.00</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江苏国图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培训费等</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472,927.14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南康网络</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软件技术开发</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101,886.79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672,733.93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8"/>
              <w:jc w:val="right"/>
              <w:rPr>
                <w:rFonts w:ascii="Times New Roman" w:hAnsi="Times New Roman" w:cs="Times New Roman" w:eastAsia="Times New Roman" w:hint="default"/>
                <w:sz w:val="21"/>
                <w:szCs w:val="21"/>
              </w:rPr>
            </w:pPr>
            <w:r>
              <w:rPr>
                <w:rFonts w:ascii="Times New Roman"/>
                <w:spacing w:val="-1"/>
                <w:sz w:val="21"/>
              </w:rPr>
              <w:t>334,100.00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160" w:left="980" w:right="980"/>
        </w:sectPr>
      </w:pPr>
    </w:p>
    <w:p>
      <w:pPr>
        <w:pStyle w:val="BodyText"/>
        <w:spacing w:line="240" w:lineRule="auto" w:before="1"/>
        <w:ind w:right="-20"/>
        <w:jc w:val="left"/>
      </w:pPr>
      <w:r>
        <w:rPr/>
        <w:t>出售商品</w:t>
      </w:r>
      <w:r>
        <w:rPr>
          <w:rFonts w:ascii="Times New Roman" w:hAnsi="Times New Roman" w:cs="Times New Roman" w:eastAsia="Times New Roman" w:hint="default"/>
        </w:rPr>
        <w:t>/</w:t>
      </w:r>
      <w:r>
        <w:rPr/>
        <w:t>提供劳务情况表</w:t>
      </w:r>
    </w:p>
    <w:p>
      <w:pPr>
        <w:spacing w:line="240" w:lineRule="auto" w:before="13"/>
        <w:rPr>
          <w:rFonts w:ascii="宋体" w:hAnsi="宋体" w:cs="宋体" w:eastAsia="宋体" w:hint="default"/>
          <w:sz w:val="28"/>
          <w:szCs w:val="28"/>
        </w:rPr>
      </w:pPr>
      <w:r>
        <w:rPr/>
        <w:br w:type="column"/>
      </w:r>
      <w:r>
        <w:rPr>
          <w:rFonts w:ascii="宋体"/>
          <w:sz w:val="28"/>
        </w:rPr>
      </w: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80"/>
          <w:cols w:num="2" w:equalWidth="0">
            <w:col w:w="2861" w:space="5833"/>
            <w:col w:w="1256"/>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浙江中科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软件技术开发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160,399.00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49" w:right="0"/>
              <w:jc w:val="left"/>
              <w:rPr>
                <w:rFonts w:ascii="Times New Roman" w:hAnsi="Times New Roman" w:cs="Times New Roman" w:eastAsia="Times New Roman" w:hint="default"/>
                <w:sz w:val="21"/>
                <w:szCs w:val="21"/>
              </w:rPr>
            </w:pPr>
            <w:r>
              <w:rPr>
                <w:rFonts w:ascii="Times New Roman"/>
                <w:sz w:val="21"/>
              </w:rPr>
              <w:t>293,200.00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地理所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软件技术开发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90,000.00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02" w:right="0"/>
              <w:jc w:val="left"/>
              <w:rPr>
                <w:rFonts w:ascii="Times New Roman" w:hAnsi="Times New Roman" w:cs="Times New Roman" w:eastAsia="Times New Roman" w:hint="default"/>
                <w:sz w:val="21"/>
                <w:szCs w:val="21"/>
              </w:rPr>
            </w:pPr>
            <w:r>
              <w:rPr>
                <w:rFonts w:ascii="Times New Roman"/>
                <w:sz w:val="21"/>
              </w:rPr>
              <w:t>34,200.00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250,399.00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49" w:right="0"/>
              <w:jc w:val="left"/>
              <w:rPr>
                <w:rFonts w:ascii="Times New Roman" w:hAnsi="Times New Roman" w:cs="Times New Roman" w:eastAsia="Times New Roman" w:hint="default"/>
                <w:sz w:val="21"/>
                <w:szCs w:val="21"/>
              </w:rPr>
            </w:pPr>
            <w:r>
              <w:rPr>
                <w:rFonts w:ascii="Times New Roman"/>
                <w:sz w:val="21"/>
              </w:rPr>
              <w:t>327,400.00</w:t>
            </w:r>
          </w:p>
        </w:tc>
      </w:tr>
    </w:tbl>
    <w:p>
      <w:pPr>
        <w:pStyle w:val="BodyText"/>
        <w:spacing w:line="240" w:lineRule="auto" w:before="0"/>
        <w:ind w:right="293"/>
        <w:jc w:val="left"/>
      </w:pPr>
      <w:r>
        <w:rPr/>
        <w:t>购销商品、提供和接受劳务的关联交易说明：无</w:t>
      </w:r>
    </w:p>
    <w:p>
      <w:pPr>
        <w:spacing w:after="0" w:line="240" w:lineRule="auto"/>
        <w:jc w:val="left"/>
        <w:sectPr>
          <w:type w:val="continuous"/>
          <w:pgSz w:w="11910" w:h="16840"/>
          <w:pgMar w:top="1100" w:bottom="1160" w:left="980" w:right="980"/>
        </w:sect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0" w:top="1100" w:bottom="1160" w:left="980" w:right="920"/>
        </w:sectPr>
      </w:pPr>
    </w:p>
    <w:p>
      <w:pPr>
        <w:pStyle w:val="Heading2"/>
        <w:spacing w:line="240" w:lineRule="auto" w:before="26"/>
        <w:ind w:right="0"/>
        <w:jc w:val="left"/>
        <w:rPr>
          <w:b w:val="0"/>
          <w:bCs w:val="0"/>
        </w:rPr>
      </w:pPr>
      <w:r>
        <w:rPr>
          <w:w w:val="95"/>
        </w:rPr>
        <w:t>（</w:t>
      </w:r>
      <w:r>
        <w:rPr>
          <w:rFonts w:ascii="Times New Roman" w:hAnsi="Times New Roman" w:cs="Times New Roman" w:eastAsia="Times New Roman" w:hint="default"/>
          <w:w w:val="95"/>
        </w:rPr>
        <w:t>2</w:t>
      </w:r>
      <w:r>
        <w:rPr>
          <w:w w:val="95"/>
        </w:rPr>
        <w:t>）关键管理人员报酬</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20"/>
          <w:cols w:num="2" w:equalWidth="0">
            <w:col w:w="2683" w:space="6012"/>
            <w:col w:w="1315"/>
          </w:cols>
        </w:sectPr>
      </w:pP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关键管理人员人数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在本公司领取报酬人数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19.00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报酬总额</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551.41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530.33</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100" w:bottom="1160" w:left="980" w:right="920"/>
        </w:sectPr>
      </w:pPr>
    </w:p>
    <w:p>
      <w:pPr>
        <w:pStyle w:val="Heading2"/>
        <w:spacing w:line="240" w:lineRule="auto" w:before="39"/>
        <w:ind w:right="0"/>
        <w:jc w:val="left"/>
        <w:rPr>
          <w:b w:val="0"/>
          <w:bCs w:val="0"/>
        </w:rPr>
      </w:pPr>
      <w:r>
        <w:rPr>
          <w:rFonts w:ascii="Times New Roman" w:hAnsi="Times New Roman" w:cs="Times New Roman" w:eastAsia="Times New Roman" w:hint="default"/>
          <w:w w:val="95"/>
        </w:rPr>
        <w:t>5</w:t>
      </w:r>
      <w:r>
        <w:rPr>
          <w:w w:val="95"/>
        </w:rPr>
        <w:t>、关联方应收应付款项</w:t>
      </w:r>
      <w:r>
        <w:rPr>
          <w:b w:val="0"/>
          <w:bCs w:val="0"/>
        </w:rPr>
      </w:r>
    </w:p>
    <w:p>
      <w:pPr>
        <w:pStyle w:val="Heading2"/>
        <w:spacing w:line="240" w:lineRule="auto" w:before="135"/>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9"/>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20"/>
          <w:cols w:num="2" w:equalWidth="0">
            <w:col w:w="2682" w:space="6012"/>
            <w:col w:w="1316"/>
          </w:cols>
        </w:sectPr>
      </w:pP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地理所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17" w:right="0"/>
              <w:jc w:val="left"/>
              <w:rPr>
                <w:rFonts w:ascii="Times New Roman" w:hAnsi="Times New Roman" w:cs="Times New Roman" w:eastAsia="Times New Roman" w:hint="default"/>
                <w:sz w:val="21"/>
                <w:szCs w:val="21"/>
              </w:rPr>
            </w:pPr>
            <w:r>
              <w:rPr>
                <w:rFonts w:ascii="Times New Roman"/>
                <w:sz w:val="21"/>
              </w:rPr>
              <w:t>978,500.00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980" w:right="920"/>
        </w:sectPr>
      </w:pPr>
    </w:p>
    <w:p>
      <w:pPr>
        <w:pStyle w:val="Heading2"/>
        <w:spacing w:line="240" w:lineRule="auto" w:before="39"/>
        <w:ind w:right="0"/>
        <w:jc w:val="left"/>
        <w:rPr>
          <w:b w:val="0"/>
          <w:bCs w:val="0"/>
        </w:rPr>
      </w:pPr>
      <w:r>
        <w:rPr>
          <w:w w:val="95"/>
        </w:rPr>
        <w:t>（</w:t>
      </w:r>
      <w:r>
        <w:rPr>
          <w:rFonts w:ascii="Times New Roman" w:hAnsi="Times New Roman" w:cs="Times New Roman" w:eastAsia="Times New Roman" w:hint="default"/>
          <w:w w:val="95"/>
        </w:rPr>
        <w:t>2</w:t>
      </w:r>
      <w:r>
        <w:rPr>
          <w:w w:val="95"/>
        </w:rPr>
        <w:t>）应付项目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17"/>
          <w:szCs w:val="17"/>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20"/>
          <w:cols w:num="2" w:equalWidth="0">
            <w:col w:w="1718" w:space="6976"/>
            <w:col w:w="1316"/>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浙江中科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214,500.00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220,420.00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地理所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1,530,946.85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226,946.85</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江苏国图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229,005.00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应付股利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地理所</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2,333,328.80</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100" w:bottom="1160" w:left="980" w:right="920"/>
        </w:sectPr>
      </w:pPr>
    </w:p>
    <w:p>
      <w:pPr>
        <w:pStyle w:val="Heading2"/>
        <w:spacing w:line="240" w:lineRule="auto" w:before="39"/>
        <w:ind w:right="-20"/>
        <w:jc w:val="left"/>
        <w:rPr>
          <w:b w:val="0"/>
          <w:bCs w:val="0"/>
        </w:rPr>
      </w:pPr>
      <w:r>
        <w:rPr/>
        <w:t>十二、股份支付</w:t>
      </w:r>
      <w:r>
        <w:rPr>
          <w:b w:val="0"/>
          <w:bCs w:val="0"/>
        </w:rPr>
      </w:r>
    </w:p>
    <w:p>
      <w:pPr>
        <w:pStyle w:val="Heading2"/>
        <w:spacing w:line="240" w:lineRule="auto" w:before="154"/>
        <w:ind w:right="-20"/>
        <w:jc w:val="left"/>
        <w:rPr>
          <w:b w:val="0"/>
          <w:bCs w:val="0"/>
        </w:rPr>
      </w:pPr>
      <w:r>
        <w:rPr>
          <w:rFonts w:ascii="Times New Roman" w:hAnsi="Times New Roman" w:cs="Times New Roman" w:eastAsia="Times New Roman" w:hint="default"/>
        </w:rPr>
        <w:t>1</w:t>
      </w:r>
      <w:r>
        <w:rPr/>
        <w:t>、股份支付总体情况</w:t>
      </w:r>
      <w:r>
        <w:rPr>
          <w:b w:val="0"/>
          <w:bCs w:val="0"/>
        </w:rPr>
      </w:r>
    </w:p>
    <w:p>
      <w:pPr>
        <w:pStyle w:val="BodyText"/>
        <w:spacing w:line="240" w:lineRule="auto" w:before="9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20"/>
          <w:cols w:num="2" w:equalWidth="0">
            <w:col w:w="2442" w:space="6252"/>
            <w:col w:w="1316"/>
          </w:cols>
        </w:sectPr>
      </w:pP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143"/>
              <w:jc w:val="right"/>
              <w:rPr>
                <w:rFonts w:ascii="宋体" w:hAnsi="宋体" w:cs="宋体" w:eastAsia="宋体" w:hint="default"/>
                <w:sz w:val="21"/>
                <w:szCs w:val="21"/>
              </w:rPr>
            </w:pPr>
            <w:r>
              <w:rPr>
                <w:rFonts w:ascii="宋体" w:hAnsi="宋体" w:cs="宋体" w:eastAsia="宋体" w:hint="default"/>
                <w:spacing w:val="-2"/>
                <w:sz w:val="21"/>
                <w:szCs w:val="21"/>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143"/>
              <w:jc w:val="right"/>
              <w:rPr>
                <w:rFonts w:ascii="宋体" w:hAnsi="宋体" w:cs="宋体" w:eastAsia="宋体" w:hint="default"/>
                <w:sz w:val="21"/>
                <w:szCs w:val="21"/>
              </w:rPr>
            </w:pPr>
            <w:r>
              <w:rPr>
                <w:rFonts w:ascii="宋体" w:hAnsi="宋体" w:cs="宋体" w:eastAsia="宋体" w:hint="default"/>
                <w:spacing w:val="-2"/>
                <w:sz w:val="21"/>
                <w:szCs w:val="21"/>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1,566,084.00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143"/>
              <w:jc w:val="right"/>
              <w:rPr>
                <w:rFonts w:ascii="宋体" w:hAnsi="宋体" w:cs="宋体" w:eastAsia="宋体" w:hint="default"/>
                <w:sz w:val="21"/>
                <w:szCs w:val="21"/>
              </w:rPr>
            </w:pPr>
            <w:r>
              <w:rPr>
                <w:rFonts w:ascii="宋体" w:hAnsi="宋体" w:cs="宋体" w:eastAsia="宋体" w:hint="default"/>
                <w:spacing w:val="-2"/>
                <w:sz w:val="21"/>
                <w:szCs w:val="21"/>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Times New Roman" w:hAnsi="Times New Roman" w:cs="Times New Roman" w:eastAsia="Times New Roman" w:hint="default"/>
                <w:sz w:val="21"/>
                <w:szCs w:val="21"/>
              </w:rPr>
            </w:pPr>
            <w:r>
              <w:rPr>
                <w:rFonts w:ascii="Times New Roman"/>
                <w:sz w:val="21"/>
              </w:rPr>
              <w:t>41,600.00</w:t>
            </w:r>
          </w:p>
        </w:tc>
      </w:tr>
      <w:tr>
        <w:trPr>
          <w:trHeight w:val="715"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2512" w:right="91" w:hanging="2418"/>
              <w:jc w:val="left"/>
              <w:rPr>
                <w:rFonts w:ascii="宋体" w:hAnsi="宋体" w:cs="宋体" w:eastAsia="宋体" w:hint="default"/>
                <w:sz w:val="21"/>
                <w:szCs w:val="21"/>
              </w:rPr>
            </w:pPr>
            <w:r>
              <w:rPr>
                <w:rFonts w:ascii="宋体" w:hAnsi="宋体" w:cs="宋体" w:eastAsia="宋体" w:hint="default"/>
                <w:spacing w:val="-2"/>
                <w:sz w:val="21"/>
                <w:szCs w:val="21"/>
              </w:rPr>
              <w:t>公司期末发行在外的股票期权行权价格的范围和合同剩余</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2300" w:right="91" w:hanging="2207"/>
              <w:jc w:val="left"/>
              <w:rPr>
                <w:rFonts w:ascii="宋体" w:hAnsi="宋体" w:cs="宋体" w:eastAsia="宋体" w:hint="default"/>
                <w:sz w:val="21"/>
                <w:szCs w:val="21"/>
              </w:rPr>
            </w:pPr>
            <w:r>
              <w:rPr>
                <w:rFonts w:ascii="宋体" w:hAnsi="宋体" w:cs="宋体" w:eastAsia="宋体" w:hint="default"/>
                <w:spacing w:val="-2"/>
                <w:sz w:val="21"/>
                <w:szCs w:val="21"/>
              </w:rPr>
              <w:t>公司期末发行在外的其他权益工具行权价格的范围和合同</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79"/>
        <w:ind w:right="200"/>
        <w:jc w:val="left"/>
      </w:pPr>
      <w:r>
        <w:rPr/>
        <w:t>其他说明</w:t>
      </w:r>
    </w:p>
    <w:p>
      <w:pPr>
        <w:pStyle w:val="BodyText"/>
        <w:spacing w:line="338" w:lineRule="auto" w:before="192"/>
        <w:ind w:right="99" w:firstLine="480"/>
        <w:jc w:val="left"/>
      </w:pPr>
      <w:r>
        <w:rPr/>
        <w:t>公司于</w:t>
      </w:r>
      <w:r>
        <w:rPr>
          <w:spacing w:val="-61"/>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 </w:t>
      </w:r>
      <w:r>
        <w:rPr>
          <w:spacing w:val="-3"/>
        </w:rPr>
        <w:t>日召开的第二届董事会第十六次会议审议通过了《公司限制性股票</w:t>
      </w:r>
      <w:r>
        <w:rPr/>
        <w:t> </w:t>
      </w:r>
      <w:r>
        <w:rPr>
          <w:spacing w:val="-9"/>
        </w:rPr>
        <w:t>激励计划（草案）》及其摘要、《关于公司</w:t>
      </w:r>
      <w:r>
        <w:rPr>
          <w:rFonts w:ascii="Times New Roman" w:hAnsi="Times New Roman" w:cs="Times New Roman" w:eastAsia="Times New Roman" w:hint="default"/>
          <w:spacing w:val="-9"/>
        </w:rPr>
        <w:t>&lt;</w:t>
      </w:r>
      <w:r>
        <w:rPr>
          <w:spacing w:val="-9"/>
        </w:rPr>
        <w:t>限制性股票激励计划实施考核管理办法</w:t>
      </w:r>
      <w:r>
        <w:rPr>
          <w:rFonts w:ascii="Times New Roman" w:hAnsi="Times New Roman" w:cs="Times New Roman" w:eastAsia="Times New Roman" w:hint="default"/>
          <w:spacing w:val="-9"/>
        </w:rPr>
        <w:t>&gt;</w:t>
      </w:r>
      <w:r>
        <w:rPr>
          <w:spacing w:val="-9"/>
        </w:rPr>
        <w:t>的议案》、</w:t>
      </w:r>
    </w:p>
    <w:p>
      <w:pPr>
        <w:spacing w:after="0" w:line="338" w:lineRule="auto"/>
        <w:jc w:val="left"/>
        <w:sectPr>
          <w:type w:val="continuous"/>
          <w:pgSz w:w="11910" w:h="16840"/>
          <w:pgMar w:top="1100" w:bottom="1160" w:left="980" w:right="920"/>
        </w:sectPr>
      </w:pPr>
    </w:p>
    <w:p>
      <w:pPr>
        <w:spacing w:line="240" w:lineRule="auto" w:before="7"/>
        <w:rPr>
          <w:rFonts w:ascii="宋体" w:hAnsi="宋体" w:cs="宋体" w:eastAsia="宋体" w:hint="default"/>
          <w:sz w:val="25"/>
          <w:szCs w:val="25"/>
        </w:rPr>
      </w:pPr>
    </w:p>
    <w:p>
      <w:pPr>
        <w:pStyle w:val="BodyText"/>
        <w:spacing w:line="345" w:lineRule="auto" w:before="26"/>
        <w:ind w:right="218"/>
        <w:jc w:val="left"/>
      </w:pPr>
      <w:r>
        <w:rPr/>
        <w:t>《关于提请股东大会授权董事会办理公司限制性股票激励计划有关事项的议案》并上报中国 证监会备案。根据中国证监会的反馈意见，公司于</w:t>
      </w:r>
      <w:r>
        <w:rPr>
          <w:spacing w:val="-60"/>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16 </w:t>
      </w:r>
      <w:r>
        <w:rPr/>
        <w:t>日召开第二届董事会第十 </w:t>
      </w:r>
      <w:r>
        <w:rPr>
          <w:spacing w:val="-5"/>
        </w:rPr>
        <w:t>九次会议，审议通过了《公司限制性股票激励计划（草案修订稿）》及其摘要，拟以定向发行</w:t>
      </w:r>
      <w:r>
        <w:rPr/>
        <w:t> 限制性股票（人民币</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股普通股）的方式，向公司中层管理人员及核心业务</w:t>
      </w:r>
      <w:r>
        <w:rPr>
          <w:rFonts w:ascii="Times New Roman" w:hAnsi="Times New Roman" w:cs="Times New Roman" w:eastAsia="Times New Roman" w:hint="default"/>
        </w:rPr>
        <w:t>/</w:t>
      </w:r>
      <w:r>
        <w:rPr/>
        <w:t>技术人员合计 </w:t>
      </w:r>
      <w:r>
        <w:rPr>
          <w:rFonts w:ascii="Times New Roman" w:hAnsi="Times New Roman" w:cs="Times New Roman" w:eastAsia="Times New Roman" w:hint="default"/>
          <w:spacing w:val="-4"/>
        </w:rPr>
        <w:t>116</w:t>
      </w:r>
      <w:r>
        <w:rPr>
          <w:rFonts w:ascii="Times New Roman" w:hAnsi="Times New Roman" w:cs="Times New Roman" w:eastAsia="Times New Roman" w:hint="default"/>
          <w:spacing w:val="-2"/>
        </w:rPr>
        <w:t> </w:t>
      </w:r>
      <w:r>
        <w:rPr/>
        <w:t>人，授予</w:t>
      </w:r>
      <w:r>
        <w:rPr>
          <w:spacing w:val="-63"/>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t>万份限制性股票。其中首次授予</w:t>
      </w:r>
      <w:r>
        <w:rPr>
          <w:spacing w:val="-61"/>
        </w:rPr>
        <w:t> </w:t>
      </w:r>
      <w:r>
        <w:rPr>
          <w:rFonts w:ascii="Times New Roman" w:hAnsi="Times New Roman" w:cs="Times New Roman" w:eastAsia="Times New Roman" w:hint="default"/>
        </w:rPr>
        <w:t>273</w:t>
      </w:r>
      <w:r>
        <w:rPr>
          <w:rFonts w:ascii="Times New Roman" w:hAnsi="Times New Roman" w:cs="Times New Roman" w:eastAsia="Times New Roman" w:hint="default"/>
          <w:spacing w:val="-2"/>
        </w:rPr>
        <w:t> </w:t>
      </w:r>
      <w:r>
        <w:rPr/>
        <w:t>万股，预留</w:t>
      </w:r>
      <w:r>
        <w:rPr>
          <w:spacing w:val="-6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万股，预留部分占本计 划授予的限制性股票总量的</w:t>
      </w:r>
      <w:r>
        <w:rPr>
          <w:spacing w:val="-61"/>
        </w:rPr>
        <w:t> </w:t>
      </w:r>
      <w:r>
        <w:rPr>
          <w:rFonts w:ascii="Times New Roman" w:hAnsi="Times New Roman" w:cs="Times New Roman" w:eastAsia="Times New Roman" w:hint="default"/>
        </w:rPr>
        <w:t>9%</w:t>
      </w:r>
      <w:r>
        <w:rPr/>
        <w:t>。</w:t>
      </w:r>
    </w:p>
    <w:p>
      <w:pPr>
        <w:pStyle w:val="BodyText"/>
        <w:spacing w:line="343" w:lineRule="auto" w:before="59"/>
        <w:ind w:right="230" w:firstLine="600"/>
        <w:jc w:val="both"/>
        <w:rPr>
          <w:rFonts w:ascii="Times New Roman" w:hAnsi="Times New Roman" w:cs="Times New Roman" w:eastAsia="Times New Roman" w:hint="default"/>
        </w:rPr>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31 </w:t>
      </w:r>
      <w:r>
        <w:rPr/>
        <w:t>日，公司第二届董事会第二十一次会议审议通过了《关于调整公司限 </w:t>
      </w:r>
      <w:r>
        <w:rPr>
          <w:spacing w:val="-6"/>
        </w:rPr>
        <w:t>制性股票激励计划授予对象以及授予数量的议案》、《关于公司限制性股票激励计划授予相关</w:t>
      </w:r>
      <w:r>
        <w:rPr>
          <w:spacing w:val="-114"/>
        </w:rPr>
        <w:t> </w:t>
      </w:r>
      <w:r>
        <w:rPr>
          <w:spacing w:val="-114"/>
        </w:rPr>
      </w:r>
      <w:r>
        <w:rPr>
          <w:spacing w:val="-7"/>
        </w:rPr>
        <w:t>事宜的议案》，确定本次激励计划的限制性股票授予日为</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7"/>
        </w:rPr>
        <w:t>日。因杨云等</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名 </w:t>
      </w:r>
      <w:r>
        <w:rPr>
          <w:spacing w:val="-2"/>
        </w:rPr>
        <w:t>人员因个人资金等原因自愿放弃认购限制性股票（</w:t>
      </w:r>
      <w:r>
        <w:rPr>
          <w:rFonts w:ascii="Times New Roman" w:hAnsi="Times New Roman" w:cs="Times New Roman" w:eastAsia="Times New Roman" w:hint="default"/>
          <w:spacing w:val="-2"/>
        </w:rPr>
        <w:t>32.4</w:t>
      </w:r>
      <w:r>
        <w:rPr>
          <w:rFonts w:ascii="Times New Roman" w:hAnsi="Times New Roman" w:cs="Times New Roman" w:eastAsia="Times New Roman" w:hint="default"/>
          <w:spacing w:val="3"/>
        </w:rPr>
        <w:t> </w:t>
      </w:r>
      <w:r>
        <w:rPr>
          <w:spacing w:val="-23"/>
        </w:rPr>
        <w:t>万股），张烜等</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人因个人资金原因自 </w:t>
      </w:r>
      <w:r>
        <w:rPr>
          <w:spacing w:val="-4"/>
        </w:rPr>
        <w:t>愿调减认购限制性股票数量（</w:t>
      </w:r>
      <w:r>
        <w:rPr>
          <w:rFonts w:ascii="Times New Roman" w:hAnsi="Times New Roman" w:cs="Times New Roman" w:eastAsia="Times New Roman" w:hint="default"/>
          <w:spacing w:val="-4"/>
        </w:rPr>
        <w:t>9.632</w:t>
      </w:r>
      <w:r>
        <w:rPr>
          <w:rFonts w:ascii="Times New Roman" w:hAnsi="Times New Roman" w:cs="Times New Roman" w:eastAsia="Times New Roman" w:hint="default"/>
        </w:rPr>
        <w:t> </w:t>
      </w:r>
      <w:r>
        <w:rPr>
          <w:spacing w:val="-8"/>
        </w:rPr>
        <w:t>万股），导致首次授予限制性股票激励对象人数调整为</w:t>
      </w:r>
      <w:r>
        <w:rPr>
          <w:spacing w:val="-57"/>
        </w:rPr>
        <w:t> </w:t>
      </w:r>
      <w:r>
        <w:rPr>
          <w:rFonts w:ascii="Times New Roman" w:hAnsi="Times New Roman" w:cs="Times New Roman" w:eastAsia="Times New Roman" w:hint="default"/>
        </w:rPr>
        <w:t>101</w:t>
      </w:r>
    </w:p>
    <w:p>
      <w:pPr>
        <w:pStyle w:val="BodyText"/>
        <w:spacing w:line="338" w:lineRule="auto" w:before="21"/>
        <w:ind w:right="213"/>
        <w:jc w:val="left"/>
      </w:pPr>
      <w:r>
        <w:rPr>
          <w:spacing w:val="-3"/>
        </w:rPr>
        <w:t>人，原限制性股票总数调整为</w:t>
      </w:r>
      <w:r>
        <w:rPr>
          <w:spacing w:val="-63"/>
        </w:rPr>
        <w:t> </w:t>
      </w:r>
      <w:r>
        <w:rPr>
          <w:rFonts w:ascii="Times New Roman" w:hAnsi="Times New Roman" w:cs="Times New Roman" w:eastAsia="Times New Roman" w:hint="default"/>
        </w:rPr>
        <w:t>257.968</w:t>
      </w:r>
      <w:r>
        <w:rPr>
          <w:rFonts w:ascii="Times New Roman" w:hAnsi="Times New Roman" w:cs="Times New Roman" w:eastAsia="Times New Roman" w:hint="default"/>
          <w:spacing w:val="-3"/>
        </w:rPr>
        <w:t> </w:t>
      </w:r>
      <w:r>
        <w:rPr/>
        <w:t>万股，其中首次授予数量调整为</w:t>
      </w:r>
      <w:r>
        <w:rPr>
          <w:spacing w:val="-62"/>
        </w:rPr>
        <w:t> </w:t>
      </w:r>
      <w:r>
        <w:rPr>
          <w:rFonts w:ascii="Times New Roman" w:hAnsi="Times New Roman" w:cs="Times New Roman" w:eastAsia="Times New Roman" w:hint="default"/>
        </w:rPr>
        <w:t>230.968</w:t>
      </w:r>
      <w:r>
        <w:rPr>
          <w:rFonts w:ascii="Times New Roman" w:hAnsi="Times New Roman" w:cs="Times New Roman" w:eastAsia="Times New Roman" w:hint="default"/>
          <w:spacing w:val="-3"/>
        </w:rPr>
        <w:t> </w:t>
      </w:r>
      <w:r>
        <w:rPr>
          <w:spacing w:val="-5"/>
        </w:rPr>
        <w:t>万股，占本计</w:t>
      </w:r>
      <w:r>
        <w:rPr/>
        <w:t> 划签署时公司股本总额的</w:t>
      </w:r>
      <w:r>
        <w:rPr>
          <w:spacing w:val="-61"/>
        </w:rPr>
        <w:t> </w:t>
      </w:r>
      <w:r>
        <w:rPr>
          <w:rFonts w:ascii="Times New Roman" w:hAnsi="Times New Roman" w:cs="Times New Roman" w:eastAsia="Times New Roman" w:hint="default"/>
        </w:rPr>
        <w:t>1.925%</w:t>
      </w:r>
      <w:r>
        <w:rPr/>
        <w:t>。</w:t>
      </w:r>
    </w:p>
    <w:p>
      <w:pPr>
        <w:pStyle w:val="BodyText"/>
        <w:spacing w:line="240" w:lineRule="auto" w:before="65"/>
        <w:ind w:left="633" w:right="0"/>
        <w:jc w:val="left"/>
      </w:pPr>
      <w:r>
        <w:rPr/>
        <w:t>首次授予的限制性股票价格为每股</w:t>
      </w:r>
      <w:r>
        <w:rPr>
          <w:spacing w:val="-65"/>
        </w:rPr>
        <w:t> </w:t>
      </w:r>
      <w:r>
        <w:rPr>
          <w:rFonts w:ascii="Times New Roman" w:hAnsi="Times New Roman" w:cs="Times New Roman" w:eastAsia="Times New Roman" w:hint="default"/>
        </w:rPr>
        <w:t>5.99</w:t>
      </w:r>
      <w:r>
        <w:rPr>
          <w:rFonts w:ascii="Times New Roman" w:hAnsi="Times New Roman" w:cs="Times New Roman" w:eastAsia="Times New Roman" w:hint="default"/>
          <w:spacing w:val="-5"/>
        </w:rPr>
        <w:t> </w:t>
      </w:r>
      <w:r>
        <w:rPr/>
        <w:t>元</w:t>
      </w:r>
      <w:r>
        <w:rPr>
          <w:spacing w:val="-120"/>
        </w:rPr>
        <w:t>，</w:t>
      </w:r>
      <w:r>
        <w:rPr>
          <w:spacing w:val="-3"/>
        </w:rPr>
        <w:t>有</w:t>
      </w:r>
      <w:r>
        <w:rPr/>
        <w:t>效期为自限制性股票首次授予之日起</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年，</w:t>
      </w:r>
    </w:p>
    <w:p>
      <w:pPr>
        <w:pStyle w:val="BodyText"/>
        <w:spacing w:line="350" w:lineRule="auto" w:before="135"/>
        <w:ind w:right="269"/>
        <w:jc w:val="both"/>
      </w:pPr>
      <w:r>
        <w:rPr/>
        <w:t>其中激励对象获授限制性股票之日起</w:t>
      </w:r>
      <w:r>
        <w:rPr>
          <w:spacing w:val="-60"/>
        </w:rPr>
        <w:t> </w:t>
      </w:r>
      <w:r>
        <w:rPr>
          <w:rFonts w:ascii="Times New Roman" w:hAnsi="Times New Roman" w:cs="Times New Roman" w:eastAsia="Times New Roman" w:hint="default"/>
        </w:rPr>
        <w:t>1 </w:t>
      </w:r>
      <w:r>
        <w:rPr/>
        <w:t>年内为锁定期，锁定期后的</w:t>
      </w:r>
      <w:r>
        <w:rPr>
          <w:spacing w:val="-59"/>
        </w:rPr>
        <w:t> </w:t>
      </w:r>
      <w:r>
        <w:rPr>
          <w:rFonts w:ascii="Times New Roman" w:hAnsi="Times New Roman" w:cs="Times New Roman" w:eastAsia="Times New Roman" w:hint="default"/>
        </w:rPr>
        <w:t>4 </w:t>
      </w:r>
      <w:r>
        <w:rPr/>
        <w:t>年为解锁期。在解锁期 内，公司分年度对财务业绩指标进行考核作为解锁对象当年度的解锁条件。对于未满足条件 的激励对象，由公司回购并注销其持有的该次解锁对应的限制性股票。每年度解锁条件及解 锁安排如下表所示：</w:t>
      </w:r>
    </w:p>
    <w:p>
      <w:pPr>
        <w:spacing w:line="240" w:lineRule="auto" w:before="6"/>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1570"/>
        <w:gridCol w:w="3690"/>
        <w:gridCol w:w="3207"/>
        <w:gridCol w:w="1193"/>
      </w:tblGrid>
      <w:tr>
        <w:trPr>
          <w:trHeight w:val="341"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63" w:right="0"/>
              <w:jc w:val="left"/>
              <w:rPr>
                <w:rFonts w:ascii="宋体" w:hAnsi="宋体" w:cs="宋体" w:eastAsia="宋体" w:hint="default"/>
                <w:sz w:val="21"/>
                <w:szCs w:val="21"/>
              </w:rPr>
            </w:pPr>
            <w:r>
              <w:rPr>
                <w:rFonts w:ascii="宋体" w:hAnsi="宋体" w:cs="宋体" w:eastAsia="宋体" w:hint="default"/>
                <w:sz w:val="21"/>
                <w:szCs w:val="21"/>
              </w:rPr>
              <w:t>锁定期</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解锁安排</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58" w:right="0"/>
              <w:jc w:val="left"/>
              <w:rPr>
                <w:rFonts w:ascii="宋体" w:hAnsi="宋体" w:cs="宋体" w:eastAsia="宋体" w:hint="default"/>
                <w:sz w:val="21"/>
                <w:szCs w:val="21"/>
              </w:rPr>
            </w:pPr>
            <w:r>
              <w:rPr>
                <w:rFonts w:ascii="宋体" w:hAnsi="宋体" w:cs="宋体" w:eastAsia="宋体" w:hint="default"/>
                <w:sz w:val="21"/>
                <w:szCs w:val="21"/>
              </w:rPr>
              <w:t>公司业绩考核条件</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70" w:right="0"/>
              <w:jc w:val="left"/>
              <w:rPr>
                <w:rFonts w:ascii="宋体" w:hAnsi="宋体" w:cs="宋体" w:eastAsia="宋体" w:hint="default"/>
                <w:sz w:val="21"/>
                <w:szCs w:val="21"/>
              </w:rPr>
            </w:pPr>
            <w:r>
              <w:rPr>
                <w:rFonts w:ascii="宋体" w:hAnsi="宋体" w:cs="宋体" w:eastAsia="宋体" w:hint="default"/>
                <w:sz w:val="21"/>
                <w:szCs w:val="21"/>
              </w:rPr>
              <w:t>解锁比例</w:t>
            </w:r>
          </w:p>
        </w:tc>
      </w:tr>
      <w:tr>
        <w:trPr>
          <w:trHeight w:val="967"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第一个解锁期</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年净利润不低于</w:t>
            </w:r>
            <w:r>
              <w:rPr>
                <w:rFonts w:ascii="Times New Roman" w:hAnsi="Times New Roman" w:cs="Times New Roman" w:eastAsia="Times New Roman" w:hint="default"/>
                <w:sz w:val="21"/>
                <w:szCs w:val="21"/>
              </w:rPr>
              <w:t>2,700</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营业收入不低于</w:t>
            </w:r>
            <w:r>
              <w:rPr>
                <w:rFonts w:ascii="Times New Roman" w:hAnsi="Times New Roman" w:cs="Times New Roman" w:eastAsia="Times New Roman" w:hint="default"/>
                <w:sz w:val="21"/>
                <w:szCs w:val="21"/>
              </w:rPr>
              <w:t>30,000</w:t>
            </w:r>
            <w:r>
              <w:rPr>
                <w:rFonts w:ascii="宋体" w:hAnsi="宋体" w:cs="宋体" w:eastAsia="宋体" w:hint="default"/>
                <w:sz w:val="21"/>
                <w:szCs w:val="21"/>
              </w:rPr>
              <w:t>万元</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3"/>
              <w:jc w:val="both"/>
              <w:rPr>
                <w:rFonts w:ascii="宋体" w:hAnsi="宋体" w:cs="宋体" w:eastAsia="宋体" w:hint="default"/>
                <w:sz w:val="21"/>
                <w:szCs w:val="21"/>
              </w:rPr>
            </w:pPr>
            <w:r>
              <w:rPr>
                <w:rFonts w:ascii="宋体" w:hAnsi="宋体" w:cs="宋体" w:eastAsia="宋体" w:hint="default"/>
                <w:sz w:val="21"/>
                <w:szCs w:val="21"/>
              </w:rPr>
              <w:t>自本次授权日起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个月后的首个交</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易日起至本次授权日起</w:t>
            </w:r>
            <w:r>
              <w:rPr>
                <w:rFonts w:ascii="Times New Roman" w:hAnsi="Times New Roman" w:cs="Times New Roman" w:eastAsia="Times New Roman" w:hint="default"/>
                <w:sz w:val="21"/>
                <w:szCs w:val="21"/>
              </w:rPr>
              <w:t>24</w:t>
            </w:r>
            <w:r>
              <w:rPr>
                <w:rFonts w:ascii="宋体" w:hAnsi="宋体" w:cs="宋体" w:eastAsia="宋体" w:hint="default"/>
                <w:sz w:val="21"/>
                <w:szCs w:val="21"/>
              </w:rPr>
              <w:t>个月内的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最后一个交易日当日止</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20%</w:t>
            </w:r>
          </w:p>
        </w:tc>
      </w:tr>
      <w:tr>
        <w:trPr>
          <w:trHeight w:val="1277"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第二个解锁期</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2"/>
                <w:sz w:val="21"/>
                <w:szCs w:val="21"/>
              </w:rPr>
              <w:t> </w:t>
            </w:r>
            <w:r>
              <w:rPr>
                <w:rFonts w:ascii="宋体" w:hAnsi="宋体" w:cs="宋体" w:eastAsia="宋体" w:hint="default"/>
                <w:spacing w:val="17"/>
                <w:sz w:val="21"/>
                <w:szCs w:val="21"/>
              </w:rPr>
              <w:t>年净利润相比</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2"/>
                <w:sz w:val="21"/>
                <w:szCs w:val="21"/>
              </w:rPr>
              <w:t> </w:t>
            </w:r>
            <w:r>
              <w:rPr>
                <w:rFonts w:ascii="宋体" w:hAnsi="宋体" w:cs="宋体" w:eastAsia="宋体" w:hint="default"/>
                <w:spacing w:val="17"/>
                <w:sz w:val="21"/>
                <w:szCs w:val="21"/>
              </w:rPr>
              <w:t>年增长不低于</w:t>
            </w:r>
          </w:p>
          <w:p>
            <w:pPr>
              <w:pStyle w:val="TableParagraph"/>
              <w:spacing w:line="256" w:lineRule="auto" w:before="21"/>
              <w:ind w:left="7" w:right="-3"/>
              <w:jc w:val="both"/>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，且不低于</w:t>
            </w:r>
            <w:r>
              <w:rPr>
                <w:rFonts w:ascii="Times New Roman" w:hAnsi="Times New Roman" w:cs="Times New Roman" w:eastAsia="Times New Roman" w:hint="default"/>
                <w:sz w:val="21"/>
                <w:szCs w:val="21"/>
              </w:rPr>
              <w:t>3,240</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2014</w:t>
            </w:r>
            <w:r>
              <w:rPr>
                <w:rFonts w:ascii="宋体" w:hAnsi="宋体" w:cs="宋体" w:eastAsia="宋体" w:hint="default"/>
                <w:sz w:val="21"/>
                <w:szCs w:val="21"/>
              </w:rPr>
              <w:t>年营业</w:t>
            </w:r>
            <w:r>
              <w:rPr>
                <w:rFonts w:ascii="宋体" w:hAnsi="宋体" w:cs="宋体" w:eastAsia="宋体" w:hint="default"/>
                <w:spacing w:val="-28"/>
                <w:sz w:val="21"/>
                <w:szCs w:val="21"/>
              </w:rPr>
              <w:t> </w:t>
            </w:r>
            <w:r>
              <w:rPr>
                <w:rFonts w:ascii="宋体" w:hAnsi="宋体" w:cs="宋体" w:eastAsia="宋体" w:hint="default"/>
                <w:spacing w:val="-5"/>
                <w:sz w:val="21"/>
                <w:szCs w:val="21"/>
              </w:rPr>
              <w:t>收入相比</w:t>
            </w:r>
            <w:r>
              <w:rPr>
                <w:rFonts w:ascii="Times New Roman" w:hAnsi="Times New Roman" w:cs="Times New Roman" w:eastAsia="Times New Roman" w:hint="default"/>
                <w:spacing w:val="-5"/>
                <w:sz w:val="21"/>
                <w:szCs w:val="21"/>
              </w:rPr>
              <w:t>2013</w:t>
            </w:r>
            <w:r>
              <w:rPr>
                <w:rFonts w:ascii="宋体" w:hAnsi="宋体" w:cs="宋体" w:eastAsia="宋体" w:hint="default"/>
                <w:spacing w:val="-5"/>
                <w:sz w:val="21"/>
                <w:szCs w:val="21"/>
              </w:rPr>
              <w:t>年增长不低于</w:t>
            </w:r>
            <w:r>
              <w:rPr>
                <w:rFonts w:ascii="Times New Roman" w:hAnsi="Times New Roman" w:cs="Times New Roman" w:eastAsia="Times New Roman" w:hint="default"/>
                <w:spacing w:val="-5"/>
                <w:sz w:val="21"/>
                <w:szCs w:val="21"/>
              </w:rPr>
              <w:t>15%</w:t>
            </w:r>
            <w:r>
              <w:rPr>
                <w:rFonts w:ascii="宋体" w:hAnsi="宋体" w:cs="宋体" w:eastAsia="宋体" w:hint="default"/>
                <w:spacing w:val="-5"/>
                <w:sz w:val="21"/>
                <w:szCs w:val="21"/>
              </w:rPr>
              <w:t>，且不低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于</w:t>
            </w:r>
            <w:r>
              <w:rPr>
                <w:rFonts w:ascii="Times New Roman" w:hAnsi="Times New Roman" w:cs="Times New Roman" w:eastAsia="Times New Roman" w:hint="default"/>
                <w:sz w:val="21"/>
                <w:szCs w:val="21"/>
              </w:rPr>
              <w:t>34,500</w:t>
            </w:r>
            <w:r>
              <w:rPr>
                <w:rFonts w:ascii="宋体" w:hAnsi="宋体" w:cs="宋体" w:eastAsia="宋体" w:hint="default"/>
                <w:sz w:val="21"/>
                <w:szCs w:val="21"/>
              </w:rPr>
              <w:t>万元</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3"/>
              <w:jc w:val="both"/>
              <w:rPr>
                <w:rFonts w:ascii="宋体" w:hAnsi="宋体" w:cs="宋体" w:eastAsia="宋体" w:hint="default"/>
                <w:sz w:val="21"/>
                <w:szCs w:val="21"/>
              </w:rPr>
            </w:pPr>
            <w:r>
              <w:rPr>
                <w:rFonts w:ascii="宋体" w:hAnsi="宋体" w:cs="宋体" w:eastAsia="宋体" w:hint="default"/>
                <w:sz w:val="21"/>
                <w:szCs w:val="21"/>
              </w:rPr>
              <w:t>自本次授权日起</w:t>
            </w:r>
            <w:r>
              <w:rPr>
                <w:rFonts w:ascii="Times New Roman" w:hAnsi="Times New Roman" w:cs="Times New Roman" w:eastAsia="Times New Roman" w:hint="default"/>
                <w:sz w:val="21"/>
                <w:szCs w:val="21"/>
              </w:rPr>
              <w:t>24</w:t>
            </w:r>
            <w:r>
              <w:rPr>
                <w:rFonts w:ascii="宋体" w:hAnsi="宋体" w:cs="宋体" w:eastAsia="宋体" w:hint="default"/>
                <w:sz w:val="21"/>
                <w:szCs w:val="21"/>
              </w:rPr>
              <w:t>个月后的首个交</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易日起至本次授权日起</w:t>
            </w:r>
            <w:r>
              <w:rPr>
                <w:rFonts w:ascii="Times New Roman" w:hAnsi="Times New Roman" w:cs="Times New Roman" w:eastAsia="Times New Roman" w:hint="default"/>
                <w:sz w:val="21"/>
                <w:szCs w:val="21"/>
              </w:rPr>
              <w:t>36</w:t>
            </w:r>
            <w:r>
              <w:rPr>
                <w:rFonts w:ascii="宋体" w:hAnsi="宋体" w:cs="宋体" w:eastAsia="宋体" w:hint="default"/>
                <w:sz w:val="21"/>
                <w:szCs w:val="21"/>
              </w:rPr>
              <w:t>个月内的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最后一个交易日当日止</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30%</w:t>
            </w:r>
          </w:p>
        </w:tc>
      </w:tr>
      <w:tr>
        <w:trPr>
          <w:trHeight w:val="1279"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第三个解锁期</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2"/>
                <w:sz w:val="21"/>
                <w:szCs w:val="21"/>
              </w:rPr>
              <w:t> </w:t>
            </w:r>
            <w:r>
              <w:rPr>
                <w:rFonts w:ascii="宋体" w:hAnsi="宋体" w:cs="宋体" w:eastAsia="宋体" w:hint="default"/>
                <w:spacing w:val="17"/>
                <w:sz w:val="21"/>
                <w:szCs w:val="21"/>
              </w:rPr>
              <w:t>年净利润相比</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2"/>
                <w:sz w:val="21"/>
                <w:szCs w:val="21"/>
              </w:rPr>
              <w:t> </w:t>
            </w:r>
            <w:r>
              <w:rPr>
                <w:rFonts w:ascii="宋体" w:hAnsi="宋体" w:cs="宋体" w:eastAsia="宋体" w:hint="default"/>
                <w:spacing w:val="17"/>
                <w:sz w:val="21"/>
                <w:szCs w:val="21"/>
              </w:rPr>
              <w:t>年增长不低于</w:t>
            </w:r>
          </w:p>
          <w:p>
            <w:pPr>
              <w:pStyle w:val="TableParagraph"/>
              <w:spacing w:line="256" w:lineRule="auto" w:before="21"/>
              <w:ind w:left="7" w:right="-5"/>
              <w:jc w:val="both"/>
              <w:rPr>
                <w:rFonts w:ascii="宋体" w:hAnsi="宋体" w:cs="宋体" w:eastAsia="宋体" w:hint="default"/>
                <w:sz w:val="21"/>
                <w:szCs w:val="21"/>
              </w:rPr>
            </w:pPr>
            <w:r>
              <w:rPr>
                <w:rFonts w:ascii="Times New Roman" w:hAnsi="Times New Roman" w:cs="Times New Roman" w:eastAsia="Times New Roman" w:hint="default"/>
                <w:sz w:val="21"/>
                <w:szCs w:val="21"/>
              </w:rPr>
              <w:t>44%</w:t>
            </w:r>
            <w:r>
              <w:rPr>
                <w:rFonts w:ascii="宋体" w:hAnsi="宋体" w:cs="宋体" w:eastAsia="宋体" w:hint="default"/>
                <w:sz w:val="21"/>
                <w:szCs w:val="21"/>
              </w:rPr>
              <w:t>，且不低于</w:t>
            </w:r>
            <w:r>
              <w:rPr>
                <w:rFonts w:ascii="Times New Roman" w:hAnsi="Times New Roman" w:cs="Times New Roman" w:eastAsia="Times New Roman" w:hint="default"/>
                <w:sz w:val="21"/>
                <w:szCs w:val="21"/>
              </w:rPr>
              <w:t>3,888</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2015</w:t>
            </w:r>
            <w:r>
              <w:rPr>
                <w:rFonts w:ascii="宋体" w:hAnsi="宋体" w:cs="宋体" w:eastAsia="宋体" w:hint="default"/>
                <w:sz w:val="21"/>
                <w:szCs w:val="21"/>
              </w:rPr>
              <w:t>年营业</w:t>
            </w:r>
            <w:r>
              <w:rPr>
                <w:rFonts w:ascii="宋体" w:hAnsi="宋体" w:cs="宋体" w:eastAsia="宋体" w:hint="default"/>
                <w:spacing w:val="-28"/>
                <w:sz w:val="21"/>
                <w:szCs w:val="21"/>
              </w:rPr>
              <w:t> </w:t>
            </w:r>
            <w:r>
              <w:rPr>
                <w:rFonts w:ascii="宋体" w:hAnsi="宋体" w:cs="宋体" w:eastAsia="宋体" w:hint="default"/>
                <w:spacing w:val="2"/>
                <w:sz w:val="21"/>
                <w:szCs w:val="21"/>
              </w:rPr>
              <w:t>收入相比</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年增长不低于</w:t>
            </w:r>
            <w:r>
              <w:rPr>
                <w:rFonts w:ascii="Times New Roman" w:hAnsi="Times New Roman" w:cs="Times New Roman" w:eastAsia="Times New Roman" w:hint="default"/>
                <w:spacing w:val="2"/>
                <w:sz w:val="21"/>
                <w:szCs w:val="21"/>
              </w:rPr>
              <w:t>32.25%</w:t>
            </w:r>
            <w:r>
              <w:rPr>
                <w:rFonts w:ascii="宋体" w:hAnsi="宋体" w:cs="宋体" w:eastAsia="宋体" w:hint="default"/>
                <w:spacing w:val="2"/>
                <w:sz w:val="21"/>
                <w:szCs w:val="21"/>
              </w:rPr>
              <w:t>，且</w:t>
            </w:r>
            <w:r>
              <w:rPr>
                <w:rFonts w:ascii="宋体" w:hAnsi="宋体" w:cs="宋体" w:eastAsia="宋体" w:hint="default"/>
                <w:spacing w:val="-70"/>
                <w:sz w:val="21"/>
                <w:szCs w:val="21"/>
              </w:rPr>
              <w:t> </w:t>
            </w:r>
            <w:r>
              <w:rPr>
                <w:rFonts w:ascii="宋体" w:hAnsi="宋体" w:cs="宋体" w:eastAsia="宋体" w:hint="default"/>
                <w:sz w:val="21"/>
                <w:szCs w:val="21"/>
              </w:rPr>
              <w:t>不低于</w:t>
            </w:r>
            <w:r>
              <w:rPr>
                <w:rFonts w:ascii="Times New Roman" w:hAnsi="Times New Roman" w:cs="Times New Roman" w:eastAsia="Times New Roman" w:hint="default"/>
                <w:sz w:val="21"/>
                <w:szCs w:val="21"/>
              </w:rPr>
              <w:t>39,675</w:t>
            </w:r>
            <w:r>
              <w:rPr>
                <w:rFonts w:ascii="宋体" w:hAnsi="宋体" w:cs="宋体" w:eastAsia="宋体" w:hint="default"/>
                <w:sz w:val="21"/>
                <w:szCs w:val="21"/>
              </w:rPr>
              <w:t>万元</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3"/>
              <w:jc w:val="both"/>
              <w:rPr>
                <w:rFonts w:ascii="宋体" w:hAnsi="宋体" w:cs="宋体" w:eastAsia="宋体" w:hint="default"/>
                <w:sz w:val="21"/>
                <w:szCs w:val="21"/>
              </w:rPr>
            </w:pPr>
            <w:r>
              <w:rPr>
                <w:rFonts w:ascii="宋体" w:hAnsi="宋体" w:cs="宋体" w:eastAsia="宋体" w:hint="default"/>
                <w:sz w:val="21"/>
                <w:szCs w:val="21"/>
              </w:rPr>
              <w:t>自本次授权日起</w:t>
            </w:r>
            <w:r>
              <w:rPr>
                <w:rFonts w:ascii="Times New Roman" w:hAnsi="Times New Roman" w:cs="Times New Roman" w:eastAsia="Times New Roman" w:hint="default"/>
                <w:sz w:val="21"/>
                <w:szCs w:val="21"/>
              </w:rPr>
              <w:t>36</w:t>
            </w:r>
            <w:r>
              <w:rPr>
                <w:rFonts w:ascii="宋体" w:hAnsi="宋体" w:cs="宋体" w:eastAsia="宋体" w:hint="default"/>
                <w:sz w:val="21"/>
                <w:szCs w:val="21"/>
              </w:rPr>
              <w:t>个月后的首个交</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易日起至本次授权日起</w:t>
            </w:r>
            <w:r>
              <w:rPr>
                <w:rFonts w:ascii="Times New Roman" w:hAnsi="Times New Roman" w:cs="Times New Roman" w:eastAsia="Times New Roman" w:hint="default"/>
                <w:sz w:val="21"/>
                <w:szCs w:val="21"/>
              </w:rPr>
              <w:t>48</w:t>
            </w:r>
            <w:r>
              <w:rPr>
                <w:rFonts w:ascii="宋体" w:hAnsi="宋体" w:cs="宋体" w:eastAsia="宋体" w:hint="default"/>
                <w:sz w:val="21"/>
                <w:szCs w:val="21"/>
              </w:rPr>
              <w:t>个月内的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最后一个交易日当日止</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30%</w:t>
            </w:r>
          </w:p>
        </w:tc>
      </w:tr>
      <w:tr>
        <w:trPr>
          <w:trHeight w:val="1279"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第四个解锁期</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2"/>
                <w:sz w:val="21"/>
                <w:szCs w:val="21"/>
              </w:rPr>
              <w:t> </w:t>
            </w:r>
            <w:r>
              <w:rPr>
                <w:rFonts w:ascii="宋体" w:hAnsi="宋体" w:cs="宋体" w:eastAsia="宋体" w:hint="default"/>
                <w:spacing w:val="17"/>
                <w:sz w:val="21"/>
                <w:szCs w:val="21"/>
              </w:rPr>
              <w:t>年净利润相比</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2"/>
                <w:sz w:val="21"/>
                <w:szCs w:val="21"/>
              </w:rPr>
              <w:t> </w:t>
            </w:r>
            <w:r>
              <w:rPr>
                <w:rFonts w:ascii="宋体" w:hAnsi="宋体" w:cs="宋体" w:eastAsia="宋体" w:hint="default"/>
                <w:spacing w:val="17"/>
                <w:sz w:val="21"/>
                <w:szCs w:val="21"/>
              </w:rPr>
              <w:t>年增长不低于</w:t>
            </w:r>
          </w:p>
          <w:p>
            <w:pPr>
              <w:pStyle w:val="TableParagraph"/>
              <w:spacing w:line="256" w:lineRule="auto" w:before="21"/>
              <w:ind w:left="7" w:right="-5"/>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72.8%</w:t>
            </w:r>
            <w:r>
              <w:rPr>
                <w:rFonts w:ascii="宋体" w:hAnsi="宋体" w:cs="宋体" w:eastAsia="宋体" w:hint="default"/>
                <w:spacing w:val="-5"/>
                <w:sz w:val="21"/>
                <w:szCs w:val="21"/>
              </w:rPr>
              <w:t>，且不低于</w:t>
            </w:r>
            <w:r>
              <w:rPr>
                <w:rFonts w:ascii="Times New Roman" w:hAnsi="Times New Roman" w:cs="Times New Roman" w:eastAsia="Times New Roman" w:hint="default"/>
                <w:spacing w:val="-5"/>
                <w:sz w:val="21"/>
                <w:szCs w:val="21"/>
              </w:rPr>
              <w:t>4,666</w:t>
            </w:r>
            <w:r>
              <w:rPr>
                <w:rFonts w:ascii="宋体" w:hAnsi="宋体" w:cs="宋体" w:eastAsia="宋体" w:hint="default"/>
                <w:spacing w:val="-5"/>
                <w:sz w:val="21"/>
                <w:szCs w:val="21"/>
              </w:rPr>
              <w:t>万元；</w:t>
            </w:r>
            <w:r>
              <w:rPr>
                <w:rFonts w:ascii="Times New Roman" w:hAnsi="Times New Roman" w:cs="Times New Roman" w:eastAsia="Times New Roman" w:hint="default"/>
                <w:spacing w:val="-5"/>
                <w:sz w:val="21"/>
                <w:szCs w:val="21"/>
              </w:rPr>
              <w:t>2016</w:t>
            </w:r>
            <w:r>
              <w:rPr>
                <w:rFonts w:ascii="宋体" w:hAnsi="宋体" w:cs="宋体" w:eastAsia="宋体" w:hint="default"/>
                <w:spacing w:val="-5"/>
                <w:sz w:val="21"/>
                <w:szCs w:val="21"/>
              </w:rPr>
              <w:t>年营业</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收入相比</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年增长不低于</w:t>
            </w:r>
            <w:r>
              <w:rPr>
                <w:rFonts w:ascii="Times New Roman" w:hAnsi="Times New Roman" w:cs="Times New Roman" w:eastAsia="Times New Roman" w:hint="default"/>
                <w:spacing w:val="2"/>
                <w:sz w:val="21"/>
                <w:szCs w:val="21"/>
              </w:rPr>
              <w:t>52.09%</w:t>
            </w:r>
            <w:r>
              <w:rPr>
                <w:rFonts w:ascii="宋体" w:hAnsi="宋体" w:cs="宋体" w:eastAsia="宋体" w:hint="default"/>
                <w:spacing w:val="2"/>
                <w:sz w:val="21"/>
                <w:szCs w:val="21"/>
              </w:rPr>
              <w:t>，且</w:t>
            </w:r>
            <w:r>
              <w:rPr>
                <w:rFonts w:ascii="宋体" w:hAnsi="宋体" w:cs="宋体" w:eastAsia="宋体" w:hint="default"/>
                <w:spacing w:val="-70"/>
                <w:sz w:val="21"/>
                <w:szCs w:val="21"/>
              </w:rPr>
              <w:t> </w:t>
            </w:r>
            <w:r>
              <w:rPr>
                <w:rFonts w:ascii="宋体" w:hAnsi="宋体" w:cs="宋体" w:eastAsia="宋体" w:hint="default"/>
                <w:sz w:val="21"/>
                <w:szCs w:val="21"/>
              </w:rPr>
              <w:t>不低于</w:t>
            </w:r>
            <w:r>
              <w:rPr>
                <w:rFonts w:ascii="Times New Roman" w:hAnsi="Times New Roman" w:cs="Times New Roman" w:eastAsia="Times New Roman" w:hint="default"/>
                <w:sz w:val="21"/>
                <w:szCs w:val="21"/>
              </w:rPr>
              <w:t>45,626.25</w:t>
            </w:r>
            <w:r>
              <w:rPr>
                <w:rFonts w:ascii="宋体" w:hAnsi="宋体" w:cs="宋体" w:eastAsia="宋体" w:hint="default"/>
                <w:sz w:val="21"/>
                <w:szCs w:val="21"/>
              </w:rPr>
              <w:t>万元</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3"/>
              <w:jc w:val="both"/>
              <w:rPr>
                <w:rFonts w:ascii="宋体" w:hAnsi="宋体" w:cs="宋体" w:eastAsia="宋体" w:hint="default"/>
                <w:sz w:val="21"/>
                <w:szCs w:val="21"/>
              </w:rPr>
            </w:pPr>
            <w:r>
              <w:rPr>
                <w:rFonts w:ascii="宋体" w:hAnsi="宋体" w:cs="宋体" w:eastAsia="宋体" w:hint="default"/>
                <w:sz w:val="21"/>
                <w:szCs w:val="21"/>
              </w:rPr>
              <w:t>自本次授权日起</w:t>
            </w:r>
            <w:r>
              <w:rPr>
                <w:rFonts w:ascii="Times New Roman" w:hAnsi="Times New Roman" w:cs="Times New Roman" w:eastAsia="Times New Roman" w:hint="default"/>
                <w:sz w:val="21"/>
                <w:szCs w:val="21"/>
              </w:rPr>
              <w:t>48</w:t>
            </w:r>
            <w:r>
              <w:rPr>
                <w:rFonts w:ascii="宋体" w:hAnsi="宋体" w:cs="宋体" w:eastAsia="宋体" w:hint="default"/>
                <w:sz w:val="21"/>
                <w:szCs w:val="21"/>
              </w:rPr>
              <w:t>个月后的首个交</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易日起至本次授权日起</w:t>
            </w:r>
            <w:r>
              <w:rPr>
                <w:rFonts w:ascii="Times New Roman" w:hAnsi="Times New Roman" w:cs="Times New Roman" w:eastAsia="Times New Roman" w:hint="default"/>
                <w:sz w:val="21"/>
                <w:szCs w:val="21"/>
              </w:rPr>
              <w:t>60</w:t>
            </w:r>
            <w:r>
              <w:rPr>
                <w:rFonts w:ascii="宋体" w:hAnsi="宋体" w:cs="宋体" w:eastAsia="宋体" w:hint="default"/>
                <w:sz w:val="21"/>
                <w:szCs w:val="21"/>
              </w:rPr>
              <w:t>个月内的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最后一个交易日当日止</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900"/>
        </w:sectPr>
      </w:pPr>
    </w:p>
    <w:p>
      <w:pPr>
        <w:spacing w:line="240" w:lineRule="auto" w:before="11"/>
        <w:rPr>
          <w:rFonts w:ascii="宋体" w:hAnsi="宋体" w:cs="宋体" w:eastAsia="宋体" w:hint="default"/>
          <w:sz w:val="20"/>
          <w:szCs w:val="20"/>
        </w:rPr>
      </w:pPr>
    </w:p>
    <w:p>
      <w:pPr>
        <w:spacing w:line="266" w:lineRule="auto" w:before="36"/>
        <w:ind w:left="153" w:right="149" w:firstLine="36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注</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净利润</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指归属于公司股东的扣除非经常性损益后的净利润。等待期内，归属于上市公司股东的净</w:t>
      </w:r>
      <w:r>
        <w:rPr>
          <w:rFonts w:ascii="宋体" w:hAnsi="宋体" w:cs="宋体" w:eastAsia="宋体" w:hint="default"/>
          <w:w w:val="100"/>
          <w:sz w:val="21"/>
          <w:szCs w:val="21"/>
        </w:rPr>
        <w:t> </w:t>
      </w:r>
      <w:r>
        <w:rPr>
          <w:rFonts w:ascii="宋体" w:hAnsi="宋体" w:cs="宋体" w:eastAsia="宋体" w:hint="default"/>
          <w:spacing w:val="2"/>
          <w:sz w:val="21"/>
          <w:szCs w:val="21"/>
        </w:rPr>
        <w:t>利润及归属于上市公司股东的扣除非经常性损益后的净利润均不得低于授予日前最近三个会计年度的平</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均水平且不得为负。</w:t>
      </w:r>
    </w:p>
    <w:p>
      <w:pPr>
        <w:pStyle w:val="BodyText"/>
        <w:spacing w:line="348" w:lineRule="auto" w:before="106"/>
        <w:ind w:right="137" w:firstLine="48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22 </w:t>
      </w:r>
      <w:r>
        <w:rPr/>
        <w:t>日，公司第二届董事会第二十六次会议审议通过了《关于公司限制性股 </w:t>
      </w:r>
      <w:r>
        <w:rPr>
          <w:spacing w:val="-5"/>
        </w:rPr>
        <w:t>票激励计划预留限制性股票授予相关事项的议案》，确定了公司向激励对象授予预留限制性股</w:t>
      </w:r>
      <w:r>
        <w:rPr>
          <w:spacing w:val="-117"/>
        </w:rPr>
        <w:t> </w:t>
      </w:r>
      <w:r>
        <w:rPr>
          <w:spacing w:val="-117"/>
        </w:rPr>
      </w:r>
      <w:r>
        <w:rPr>
          <w:spacing w:val="-4"/>
        </w:rPr>
        <w:t>票的授予日、授予对象、授予数量及授予价格等事项。向</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名激励对象授予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万股预留限制</w:t>
      </w:r>
    </w:p>
    <w:p>
      <w:pPr>
        <w:pStyle w:val="BodyText"/>
        <w:spacing w:line="240" w:lineRule="auto" w:before="16"/>
        <w:ind w:right="293"/>
        <w:jc w:val="left"/>
      </w:pPr>
      <w:r>
        <w:rPr/>
        <w:t>性股票，授予日为</w:t>
      </w:r>
      <w:r>
        <w:rPr>
          <w:spacing w:val="-61"/>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22 </w:t>
      </w:r>
      <w:r>
        <w:rPr/>
        <w:t>日，授予价格为</w:t>
      </w:r>
      <w:r>
        <w:rPr>
          <w:spacing w:val="-60"/>
        </w:rPr>
        <w:t> </w:t>
      </w:r>
      <w:r>
        <w:rPr>
          <w:rFonts w:ascii="Times New Roman" w:hAnsi="Times New Roman" w:cs="Times New Roman" w:eastAsia="Times New Roman" w:hint="default"/>
        </w:rPr>
        <w:t>9 </w:t>
      </w:r>
      <w:r>
        <w:rPr/>
        <w:t>元</w:t>
      </w:r>
      <w:r>
        <w:rPr>
          <w:rFonts w:ascii="Times New Roman" w:hAnsi="Times New Roman" w:cs="Times New Roman" w:eastAsia="Times New Roman" w:hint="default"/>
        </w:rPr>
        <w:t>/</w:t>
      </w:r>
      <w:r>
        <w:rPr/>
        <w:t>股。</w:t>
      </w:r>
    </w:p>
    <w:p>
      <w:pPr>
        <w:spacing w:line="240" w:lineRule="auto" w:before="4"/>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77" w:footer="980" w:top="1100" w:bottom="1160" w:left="980" w:right="980"/>
        </w:sectPr>
      </w:pPr>
    </w:p>
    <w:p>
      <w:pPr>
        <w:pStyle w:val="Heading2"/>
        <w:spacing w:line="240" w:lineRule="auto" w:before="26"/>
        <w:ind w:right="-19"/>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pStyle w:val="BodyText"/>
        <w:spacing w:line="240" w:lineRule="auto" w:before="97"/>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before="126"/>
        <w:ind w:left="0" w:right="141" w:firstLine="0"/>
        <w:jc w:val="right"/>
        <w:rPr>
          <w:rFonts w:ascii="宋体" w:hAnsi="宋体" w:cs="宋体" w:eastAsia="宋体" w:hint="default"/>
          <w:sz w:val="21"/>
          <w:szCs w:val="21"/>
        </w:rPr>
      </w:pPr>
      <w:r>
        <w:rPr/>
        <w:pict>
          <v:shape style="position:absolute;margin-left:56.484001pt;margin-top:4.403662pt;width:479.2pt;height:147.8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36"/>
                    <w:gridCol w:w="5034"/>
                  </w:tblGrid>
                  <w:tr>
                    <w:trPr>
                      <w:trHeight w:val="403"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tabs>
                            <w:tab w:pos="1449" w:val="left" w:leader="none"/>
                          </w:tabs>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w:t>
                        </w:r>
                        <w:r>
                          <w:rPr>
                            <w:rFonts w:ascii="Times New Roman" w:hAnsi="Times New Roman" w:cs="Times New Roman" w:eastAsia="Times New Roman" w:hint="default"/>
                            <w:spacing w:val="-2"/>
                            <w:w w:val="100"/>
                            <w:sz w:val="21"/>
                            <w:szCs w:val="21"/>
                          </w:rPr>
                          <w:t>l</w:t>
                        </w:r>
                        <w:r>
                          <w:rPr>
                            <w:rFonts w:ascii="Times New Roman" w:hAnsi="Times New Roman" w:cs="Times New Roman" w:eastAsia="Times New Roman" w:hint="default"/>
                            <w:w w:val="100"/>
                            <w:sz w:val="21"/>
                            <w:szCs w:val="21"/>
                          </w:rPr>
                          <w:t>ac</w:t>
                        </w:r>
                        <w:r>
                          <w:rPr>
                            <w:rFonts w:ascii="Times New Roman" w:hAnsi="Times New Roman" w:cs="Times New Roman" w:eastAsia="Times New Roman" w:hint="default"/>
                            <w:spacing w:val="-1"/>
                            <w:w w:val="100"/>
                            <w:sz w:val="21"/>
                            <w:szCs w:val="21"/>
                          </w:rPr>
                          <w:t>k</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Scho</w:t>
                        </w:r>
                        <w:r>
                          <w:rPr>
                            <w:rFonts w:ascii="Times New Roman" w:hAnsi="Times New Roman" w:cs="Times New Roman" w:eastAsia="Times New Roman" w:hint="default"/>
                            <w:spacing w:val="-1"/>
                            <w:w w:val="100"/>
                            <w:sz w:val="21"/>
                            <w:szCs w:val="21"/>
                          </w:rPr>
                          <w:t>l</w:t>
                        </w:r>
                        <w:r>
                          <w:rPr>
                            <w:rFonts w:ascii="Times New Roman" w:hAnsi="Times New Roman" w:cs="Times New Roman" w:eastAsia="Times New Roman" w:hint="default"/>
                            <w:w w:val="100"/>
                            <w:sz w:val="21"/>
                            <w:szCs w:val="21"/>
                          </w:rPr>
                          <w:t>es</w:t>
                        </w:r>
                        <w:r>
                          <w:rPr>
                            <w:rFonts w:ascii="Times New Roman" w:hAnsi="Times New Roman" w:cs="Times New Roman" w:eastAsia="Times New Roman" w:hint="default"/>
                            <w:sz w:val="21"/>
                            <w:szCs w:val="21"/>
                          </w:rPr>
                          <w:tab/>
                        </w:r>
                        <w:r>
                          <w:rPr>
                            <w:rFonts w:ascii="Times New Roman" w:hAnsi="Times New Roman" w:cs="Times New Roman" w:eastAsia="Times New Roman" w:hint="default"/>
                            <w:spacing w:val="-4"/>
                            <w:w w:val="100"/>
                            <w:sz w:val="21"/>
                            <w:szCs w:val="21"/>
                          </w:rPr>
                          <w:t>m</w:t>
                        </w:r>
                        <w:r>
                          <w:rPr>
                            <w:rFonts w:ascii="Times New Roman" w:hAnsi="Times New Roman" w:cs="Times New Roman" w:eastAsia="Times New Roman" w:hint="default"/>
                            <w:w w:val="100"/>
                            <w:sz w:val="21"/>
                            <w:szCs w:val="21"/>
                          </w:rPr>
                          <w:t>od</w:t>
                        </w:r>
                        <w:r>
                          <w:rPr>
                            <w:rFonts w:ascii="Times New Roman" w:hAnsi="Times New Roman" w:cs="Times New Roman" w:eastAsia="Times New Roman" w:hint="default"/>
                            <w:spacing w:val="-29"/>
                            <w:w w:val="100"/>
                            <w:sz w:val="21"/>
                            <w:szCs w:val="21"/>
                          </w:rPr>
                          <w:t>e</w:t>
                        </w:r>
                        <w:r>
                          <w:rPr>
                            <w:rFonts w:ascii="宋体" w:hAnsi="宋体" w:cs="宋体" w:eastAsia="宋体" w:hint="default"/>
                            <w:spacing w:val="-183"/>
                            <w:w w:val="100"/>
                            <w:sz w:val="21"/>
                            <w:szCs w:val="21"/>
                          </w:rPr>
                          <w:t>（</w:t>
                        </w:r>
                        <w:r>
                          <w:rPr>
                            <w:rFonts w:ascii="Times New Roman" w:hAnsi="Times New Roman" w:cs="Times New Roman" w:eastAsia="Times New Roman" w:hint="default"/>
                            <w:w w:val="100"/>
                            <w:sz w:val="21"/>
                            <w:szCs w:val="21"/>
                          </w:rPr>
                          <w:t>l</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8"/>
                            <w:sz w:val="21"/>
                            <w:szCs w:val="21"/>
                          </w:rPr>
                          <w:t> </w:t>
                        </w:r>
                        <w:r>
                          <w:rPr>
                            <w:rFonts w:ascii="宋体" w:hAnsi="宋体" w:cs="宋体" w:eastAsia="宋体" w:hint="default"/>
                            <w:spacing w:val="-3"/>
                            <w:w w:val="100"/>
                            <w:sz w:val="21"/>
                            <w:szCs w:val="21"/>
                          </w:rPr>
                          <w:t>布</w:t>
                        </w:r>
                        <w:r>
                          <w:rPr>
                            <w:rFonts w:ascii="宋体" w:hAnsi="宋体" w:cs="宋体" w:eastAsia="宋体" w:hint="default"/>
                            <w:w w:val="100"/>
                            <w:sz w:val="21"/>
                            <w:szCs w:val="21"/>
                          </w:rPr>
                          <w:t>莱克</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斯科</w:t>
                        </w:r>
                        <w:r>
                          <w:rPr>
                            <w:rFonts w:ascii="宋体" w:hAnsi="宋体" w:cs="宋体" w:eastAsia="宋体" w:hint="default"/>
                            <w:spacing w:val="-3"/>
                            <w:w w:val="100"/>
                            <w:sz w:val="21"/>
                            <w:szCs w:val="21"/>
                          </w:rPr>
                          <w:t>尔</w:t>
                        </w:r>
                        <w:r>
                          <w:rPr>
                            <w:rFonts w:ascii="宋体" w:hAnsi="宋体" w:cs="宋体" w:eastAsia="宋体" w:hint="default"/>
                            <w:w w:val="100"/>
                            <w:sz w:val="21"/>
                            <w:szCs w:val="21"/>
                          </w:rPr>
                          <w:t>斯</w:t>
                        </w:r>
                        <w:r>
                          <w:rPr>
                            <w:rFonts w:ascii="宋体" w:hAnsi="宋体" w:cs="宋体" w:eastAsia="宋体" w:hint="default"/>
                            <w:spacing w:val="-3"/>
                            <w:w w:val="100"/>
                            <w:sz w:val="21"/>
                            <w:szCs w:val="21"/>
                          </w:rPr>
                          <w:t>期</w:t>
                        </w:r>
                        <w:r>
                          <w:rPr>
                            <w:rFonts w:ascii="宋体" w:hAnsi="宋体" w:cs="宋体" w:eastAsia="宋体" w:hint="default"/>
                            <w:w w:val="100"/>
                            <w:sz w:val="21"/>
                            <w:szCs w:val="21"/>
                          </w:rPr>
                          <w:t>权</w:t>
                        </w:r>
                        <w:r>
                          <w:rPr>
                            <w:rFonts w:ascii="宋体" w:hAnsi="宋体" w:cs="宋体" w:eastAsia="宋体" w:hint="default"/>
                            <w:spacing w:val="-3"/>
                            <w:w w:val="100"/>
                            <w:sz w:val="21"/>
                            <w:szCs w:val="21"/>
                          </w:rPr>
                          <w:t>定</w:t>
                        </w:r>
                        <w:r>
                          <w:rPr>
                            <w:rFonts w:ascii="宋体" w:hAnsi="宋体" w:cs="宋体" w:eastAsia="宋体" w:hint="default"/>
                            <w:w w:val="100"/>
                            <w:sz w:val="21"/>
                            <w:szCs w:val="21"/>
                          </w:rPr>
                          <w:t>价</w:t>
                        </w:r>
                        <w:r>
                          <w:rPr>
                            <w:rFonts w:ascii="宋体" w:hAnsi="宋体" w:cs="宋体" w:eastAsia="宋体" w:hint="default"/>
                            <w:spacing w:val="-3"/>
                            <w:w w:val="100"/>
                            <w:sz w:val="21"/>
                            <w:szCs w:val="21"/>
                          </w:rPr>
                          <w:t>模</w:t>
                        </w:r>
                        <w:r>
                          <w:rPr>
                            <w:rFonts w:ascii="宋体" w:hAnsi="宋体" w:cs="宋体" w:eastAsia="宋体" w:hint="default"/>
                            <w:w w:val="100"/>
                            <w:sz w:val="21"/>
                            <w:szCs w:val="21"/>
                          </w:rPr>
                          <w:t>型</w:t>
                        </w:r>
                      </w:p>
                    </w:tc>
                  </w:tr>
                  <w:tr>
                    <w:trPr>
                      <w:trHeight w:val="1337"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
                          <w:jc w:val="both"/>
                          <w:rPr>
                            <w:rFonts w:ascii="宋体" w:hAnsi="宋体" w:cs="宋体" w:eastAsia="宋体" w:hint="default"/>
                            <w:sz w:val="21"/>
                            <w:szCs w:val="21"/>
                          </w:rPr>
                        </w:pPr>
                        <w:r>
                          <w:rPr>
                            <w:rFonts w:ascii="宋体" w:hAnsi="宋体" w:cs="宋体" w:eastAsia="宋体" w:hint="default"/>
                            <w:spacing w:val="-5"/>
                            <w:sz w:val="21"/>
                            <w:szCs w:val="21"/>
                          </w:rPr>
                          <w:t>在等待期内每个资产负债表日，根据最新取得的可行权</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5"/>
                            <w:sz w:val="21"/>
                            <w:szCs w:val="21"/>
                          </w:rPr>
                          <w:t>职工人数变动等后续信息做出最佳估计，修正预计可行</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5"/>
                            <w:sz w:val="21"/>
                            <w:szCs w:val="21"/>
                          </w:rPr>
                          <w:t>权的权益工具数量。在可行权日，最终预计可行权权益</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工具的数量与实际可行权工具的数量一致。</w:t>
                        </w:r>
                      </w:p>
                    </w:tc>
                  </w:tr>
                  <w:tr>
                    <w:trPr>
                      <w:trHeight w:val="403"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1"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16,748,027.90</w:t>
                        </w:r>
                      </w:p>
                    </w:tc>
                  </w:tr>
                  <w:tr>
                    <w:trPr>
                      <w:trHeight w:val="403"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225,631.79</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type w:val="continuous"/>
          <w:pgSz w:w="11910" w:h="16840"/>
          <w:pgMar w:top="1100" w:bottom="1160" w:left="980" w:right="980"/>
          <w:cols w:num="2" w:equalWidth="0">
            <w:col w:w="3407" w:space="5288"/>
            <w:col w:w="125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68" w:lineRule="auto" w:before="26"/>
        <w:ind w:right="8813"/>
        <w:jc w:val="left"/>
      </w:pPr>
      <w:r>
        <w:rPr/>
        <w:t>其他说明 无</w:t>
      </w:r>
    </w:p>
    <w:p>
      <w:pPr>
        <w:pStyle w:val="Heading2"/>
        <w:spacing w:line="240" w:lineRule="auto" w:before="89"/>
        <w:ind w:right="293"/>
        <w:jc w:val="left"/>
        <w:rPr>
          <w:b w:val="0"/>
          <w:bCs w:val="0"/>
        </w:rPr>
      </w:pPr>
      <w:r>
        <w:rPr>
          <w:rFonts w:ascii="Times New Roman" w:hAnsi="Times New Roman" w:cs="Times New Roman" w:eastAsia="Times New Roman" w:hint="default"/>
        </w:rPr>
        <w:t>3</w:t>
      </w:r>
      <w:r>
        <w:rPr/>
        <w:t>、其他</w:t>
      </w:r>
      <w:r>
        <w:rPr>
          <w:b w:val="0"/>
          <w:bCs w:val="0"/>
        </w:rPr>
      </w:r>
    </w:p>
    <w:p>
      <w:pPr>
        <w:pStyle w:val="Heading2"/>
        <w:spacing w:line="240" w:lineRule="auto" w:before="56"/>
        <w:ind w:left="556" w:right="293"/>
        <w:jc w:val="left"/>
        <w:rPr>
          <w:b w:val="0"/>
          <w:bCs w:val="0"/>
        </w:rPr>
      </w:pPr>
      <w:r>
        <w:rPr/>
        <w:t>以股份支付服务情况</w:t>
      </w:r>
      <w:r>
        <w:rPr>
          <w:b w:val="0"/>
          <w:bCs w:val="0"/>
        </w:rPr>
      </w:r>
    </w:p>
    <w:p>
      <w:pPr>
        <w:spacing w:line="240" w:lineRule="auto" w:before="12"/>
        <w:rPr>
          <w:rFonts w:ascii="宋体" w:hAnsi="宋体" w:cs="宋体" w:eastAsia="宋体" w:hint="default"/>
          <w:b/>
          <w:bCs/>
          <w:sz w:val="2"/>
          <w:szCs w:val="2"/>
        </w:rPr>
      </w:pPr>
    </w:p>
    <w:tbl>
      <w:tblPr>
        <w:tblW w:w="0" w:type="auto"/>
        <w:jc w:val="left"/>
        <w:tblInd w:w="138" w:type="dxa"/>
        <w:tblLayout w:type="fixed"/>
        <w:tblCellMar>
          <w:top w:w="0" w:type="dxa"/>
          <w:left w:w="0" w:type="dxa"/>
          <w:bottom w:w="0" w:type="dxa"/>
          <w:right w:w="0" w:type="dxa"/>
        </w:tblCellMar>
        <w:tblLook w:val="01E0"/>
      </w:tblPr>
      <w:tblGrid>
        <w:gridCol w:w="7089"/>
        <w:gridCol w:w="2571"/>
      </w:tblGrid>
      <w:tr>
        <w:trPr>
          <w:trHeight w:val="341" w:hRule="exact"/>
        </w:trPr>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65"/>
                <w:sz w:val="21"/>
                <w:szCs w:val="21"/>
              </w:rPr>
              <w:t> </w:t>
            </w:r>
            <w:r>
              <w:rPr>
                <w:rFonts w:ascii="宋体" w:hAnsi="宋体" w:cs="宋体" w:eastAsia="宋体" w:hint="default"/>
                <w:sz w:val="21"/>
                <w:szCs w:val="21"/>
              </w:rPr>
              <w:t>额</w:t>
            </w:r>
          </w:p>
        </w:tc>
      </w:tr>
      <w:tr>
        <w:trPr>
          <w:trHeight w:val="343" w:hRule="exact"/>
        </w:trPr>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以股份支付换取的职工服务总额</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16,748,027.90</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7"/>
          <w:szCs w:val="27"/>
        </w:rPr>
      </w:pPr>
    </w:p>
    <w:p>
      <w:pPr>
        <w:pStyle w:val="Heading2"/>
        <w:spacing w:line="240" w:lineRule="auto" w:before="26"/>
        <w:ind w:right="293"/>
        <w:jc w:val="left"/>
        <w:rPr>
          <w:b w:val="0"/>
          <w:bCs w:val="0"/>
        </w:rPr>
      </w:pPr>
      <w:r>
        <w:rPr/>
        <w:t>十三、承诺及或有事项</w:t>
      </w:r>
      <w:r>
        <w:rPr>
          <w:b w:val="0"/>
          <w:bCs w:val="0"/>
        </w:rPr>
      </w:r>
    </w:p>
    <w:p>
      <w:pPr>
        <w:spacing w:line="240" w:lineRule="auto" w:before="9"/>
        <w:rPr>
          <w:rFonts w:ascii="宋体" w:hAnsi="宋体" w:cs="宋体" w:eastAsia="宋体" w:hint="default"/>
          <w:b/>
          <w:bCs/>
          <w:sz w:val="34"/>
          <w:szCs w:val="34"/>
        </w:rPr>
      </w:pPr>
    </w:p>
    <w:p>
      <w:pPr>
        <w:spacing w:line="554" w:lineRule="auto" w:before="0"/>
        <w:ind w:left="153" w:right="401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、重要承诺事项</w:t>
      </w:r>
      <w:r>
        <w:rPr>
          <w:rFonts w:ascii="宋体" w:hAnsi="宋体" w:cs="宋体" w:eastAsia="宋体" w:hint="default"/>
          <w:b/>
          <w:bCs/>
          <w:w w:val="99"/>
          <w:sz w:val="24"/>
          <w:szCs w:val="24"/>
        </w:rPr>
        <w:t> </w:t>
      </w:r>
      <w:r>
        <w:rPr>
          <w:rFonts w:ascii="宋体" w:hAnsi="宋体" w:cs="宋体" w:eastAsia="宋体" w:hint="default"/>
          <w:sz w:val="24"/>
          <w:szCs w:val="24"/>
        </w:rPr>
        <w:t>截止资产负债表日，本公司无应披露的重大承诺事项。</w:t>
      </w:r>
    </w:p>
    <w:p>
      <w:pPr>
        <w:spacing w:after="0" w:line="554" w:lineRule="auto"/>
        <w:jc w:val="left"/>
        <w:rPr>
          <w:rFonts w:ascii="宋体" w:hAnsi="宋体" w:cs="宋体" w:eastAsia="宋体" w:hint="default"/>
          <w:sz w:val="24"/>
          <w:szCs w:val="24"/>
        </w:rPr>
        <w:sectPr>
          <w:type w:val="continuous"/>
          <w:pgSz w:w="11910" w:h="16840"/>
          <w:pgMar w:top="1100" w:bottom="1160" w:left="980" w:right="980"/>
        </w:sectPr>
      </w:pPr>
    </w:p>
    <w:p>
      <w:pPr>
        <w:spacing w:line="240" w:lineRule="auto" w:before="7"/>
        <w:rPr>
          <w:rFonts w:ascii="宋体" w:hAnsi="宋体" w:cs="宋体" w:eastAsia="宋体" w:hint="default"/>
          <w:sz w:val="25"/>
          <w:szCs w:val="25"/>
        </w:rPr>
      </w:pPr>
    </w:p>
    <w:p>
      <w:pPr>
        <w:pStyle w:val="Heading2"/>
        <w:spacing w:line="240" w:lineRule="auto" w:before="26"/>
        <w:ind w:right="29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4"/>
        <w:rPr>
          <w:rFonts w:ascii="宋体" w:hAnsi="宋体" w:cs="宋体" w:eastAsia="宋体" w:hint="default"/>
          <w:b/>
          <w:bCs/>
          <w:sz w:val="33"/>
          <w:szCs w:val="33"/>
        </w:rPr>
      </w:pPr>
    </w:p>
    <w:p>
      <w:pPr>
        <w:spacing w:line="542" w:lineRule="auto" w:before="0"/>
        <w:ind w:left="153" w:right="387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）公司没有需要披露的重要或有事项，也应予以说明</w:t>
      </w:r>
      <w:r>
        <w:rPr>
          <w:rFonts w:ascii="宋体" w:hAnsi="宋体" w:cs="宋体" w:eastAsia="宋体" w:hint="default"/>
          <w:b/>
          <w:bCs/>
          <w:w w:val="99"/>
          <w:sz w:val="24"/>
          <w:szCs w:val="24"/>
        </w:rPr>
        <w:t> </w:t>
      </w:r>
      <w:r>
        <w:rPr>
          <w:rFonts w:ascii="宋体" w:hAnsi="宋体" w:cs="宋体" w:eastAsia="宋体" w:hint="default"/>
          <w:sz w:val="24"/>
          <w:szCs w:val="24"/>
        </w:rPr>
        <w:t>公司不存在需要披露的重要或有事项。 </w:t>
      </w:r>
      <w:r>
        <w:rPr>
          <w:rFonts w:ascii="宋体" w:hAnsi="宋体" w:cs="宋体" w:eastAsia="宋体" w:hint="default"/>
          <w:b/>
          <w:bCs/>
          <w:sz w:val="24"/>
          <w:szCs w:val="24"/>
        </w:rPr>
        <w:t>十四、资产负债表日后事项</w:t>
      </w:r>
      <w:r>
        <w:rPr>
          <w:rFonts w:ascii="宋体" w:hAnsi="宋体" w:cs="宋体" w:eastAsia="宋体" w:hint="default"/>
          <w:sz w:val="24"/>
          <w:szCs w:val="24"/>
        </w:rPr>
      </w:r>
    </w:p>
    <w:p>
      <w:pPr>
        <w:spacing w:line="364" w:lineRule="auto" w:before="74"/>
        <w:ind w:left="153" w:right="329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、其他资产负债表日后事项说明</w:t>
      </w:r>
      <w:r>
        <w:rPr>
          <w:rFonts w:ascii="宋体" w:hAnsi="宋体" w:cs="宋体" w:eastAsia="宋体" w:hint="default"/>
          <w:b/>
          <w:bCs/>
          <w:w w:val="99"/>
          <w:sz w:val="24"/>
          <w:szCs w:val="24"/>
        </w:rPr>
        <w:t> </w:t>
      </w:r>
      <w:r>
        <w:rPr>
          <w:rFonts w:ascii="宋体" w:hAnsi="宋体" w:cs="宋体" w:eastAsia="宋体" w:hint="default"/>
          <w:sz w:val="24"/>
          <w:szCs w:val="24"/>
        </w:rPr>
        <w:t>截止财务报告批准报出日，本公司无应披露的其他重大事项。</w:t>
      </w:r>
    </w:p>
    <w:p>
      <w:pPr>
        <w:spacing w:after="0" w:line="364" w:lineRule="auto"/>
        <w:jc w:val="left"/>
        <w:rPr>
          <w:rFonts w:ascii="宋体" w:hAnsi="宋体" w:cs="宋体" w:eastAsia="宋体" w:hint="default"/>
          <w:sz w:val="24"/>
          <w:szCs w:val="24"/>
        </w:rPr>
        <w:sectPr>
          <w:pgSz w:w="11910" w:h="16840"/>
          <w:pgMar w:header="877" w:footer="980" w:top="1100" w:bottom="1160" w:left="980" w:right="980"/>
        </w:sectPr>
      </w:pPr>
    </w:p>
    <w:p>
      <w:pPr>
        <w:pStyle w:val="Heading2"/>
        <w:spacing w:line="240" w:lineRule="auto" w:before="70"/>
        <w:ind w:right="0"/>
        <w:jc w:val="left"/>
        <w:rPr>
          <w:b w:val="0"/>
          <w:bCs w:val="0"/>
        </w:rPr>
      </w:pPr>
      <w:r>
        <w:rPr>
          <w:w w:val="95"/>
        </w:rPr>
        <w:t>十五、母公司财务报表主要项目注释</w:t>
      </w:r>
      <w:r>
        <w:rPr>
          <w:b w:val="0"/>
          <w:bCs w:val="0"/>
        </w:rPr>
      </w:r>
    </w:p>
    <w:p>
      <w:pPr>
        <w:pStyle w:val="Heading2"/>
        <w:spacing w:line="240" w:lineRule="auto" w:before="154"/>
        <w:ind w:right="0"/>
        <w:jc w:val="left"/>
        <w:rPr>
          <w:b w:val="0"/>
          <w:bCs w:val="0"/>
        </w:rPr>
      </w:pPr>
      <w:r>
        <w:rPr>
          <w:rFonts w:ascii="Times New Roman" w:hAnsi="Times New Roman" w:cs="Times New Roman" w:eastAsia="Times New Roman" w:hint="default"/>
        </w:rPr>
        <w:t>1</w:t>
      </w:r>
      <w:r>
        <w:rPr/>
        <w:t>、应收账款</w:t>
      </w:r>
      <w:r>
        <w:rPr>
          <w:b w:val="0"/>
          <w:bCs w:val="0"/>
        </w:rPr>
      </w:r>
    </w:p>
    <w:p>
      <w:pPr>
        <w:pStyle w:val="Heading2"/>
        <w:spacing w:line="240" w:lineRule="auto" w:before="135"/>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55"/>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80"/>
          <w:cols w:num="2" w:equalWidth="0">
            <w:col w:w="4007" w:space="4688"/>
            <w:col w:w="1255"/>
          </w:cols>
        </w:sectPr>
      </w:pP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2"/>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8"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2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283" w:right="67"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71" w:right="57"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87" w:type="dxa"/>
            <w:vMerge/>
            <w:tcBorders>
              <w:left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10" w:space="0" w:color="D2D2D2"/>
              <w:right w:val="single" w:sz="12" w:space="0" w:color="D2D2D2"/>
            </w:tcBorders>
          </w:tcPr>
          <w:p>
            <w:pPr>
              <w:pStyle w:val="TableParagraph"/>
              <w:spacing w:line="262" w:lineRule="exact"/>
              <w:ind w:left="3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2" w:type="dxa"/>
            <w:vMerge/>
            <w:tcBorders>
              <w:left w:val="single" w:sz="10" w:space="0" w:color="D2D2D2"/>
              <w:bottom w:val="nil" w:sz="6" w:space="0" w:color="auto"/>
              <w:right w:val="single" w:sz="12" w:space="0" w:color="D2D2D2"/>
            </w:tcBorders>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14"/>
              <w:jc w:val="both"/>
              <w:rPr>
                <w:rFonts w:ascii="宋体" w:hAnsi="宋体" w:cs="宋体" w:eastAsia="宋体" w:hint="default"/>
                <w:sz w:val="21"/>
                <w:szCs w:val="21"/>
              </w:rPr>
            </w:pPr>
            <w:r>
              <w:rPr>
                <w:rFonts w:ascii="宋体" w:hAnsi="宋体" w:cs="宋体" w:eastAsia="宋体" w:hint="default"/>
                <w:sz w:val="21"/>
                <w:szCs w:val="21"/>
              </w:rPr>
              <w:t>单项金额重大并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775"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14"/>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318,293</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,489.92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40,147,</w:t>
            </w:r>
          </w:p>
          <w:p>
            <w:pPr>
              <w:pStyle w:val="TableParagraph"/>
              <w:spacing w:line="240" w:lineRule="auto" w:before="70"/>
              <w:ind w:left="151" w:right="0"/>
              <w:jc w:val="left"/>
              <w:rPr>
                <w:rFonts w:ascii="Times New Roman" w:hAnsi="Times New Roman" w:cs="Times New Roman" w:eastAsia="Times New Roman" w:hint="default"/>
                <w:sz w:val="21"/>
                <w:szCs w:val="21"/>
              </w:rPr>
            </w:pPr>
            <w:r>
              <w:rPr>
                <w:rFonts w:ascii="Times New Roman"/>
                <w:sz w:val="21"/>
              </w:rPr>
              <w:t>220.04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12.61%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21"/>
                <w:szCs w:val="21"/>
              </w:rPr>
            </w:pPr>
            <w:r>
              <w:rPr>
                <w:rFonts w:ascii="Times New Roman"/>
                <w:sz w:val="21"/>
              </w:rPr>
              <w:t>278,146</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,269.88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5" w:right="0"/>
              <w:jc w:val="left"/>
              <w:rPr>
                <w:rFonts w:ascii="Times New Roman" w:hAnsi="Times New Roman" w:cs="Times New Roman" w:eastAsia="Times New Roman" w:hint="default"/>
                <w:sz w:val="21"/>
                <w:szCs w:val="21"/>
              </w:rPr>
            </w:pPr>
            <w:r>
              <w:rPr>
                <w:rFonts w:ascii="Times New Roman"/>
                <w:sz w:val="21"/>
              </w:rPr>
              <w:t>257,00</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0,110.</w:t>
            </w:r>
          </w:p>
          <w:p>
            <w:pPr>
              <w:pStyle w:val="TableParagraph"/>
              <w:spacing w:line="240" w:lineRule="auto" w:before="70"/>
              <w:ind w:left="412" w:right="0"/>
              <w:jc w:val="left"/>
              <w:rPr>
                <w:rFonts w:ascii="Times New Roman" w:hAnsi="Times New Roman" w:cs="Times New Roman" w:eastAsia="Times New Roman" w:hint="default"/>
                <w:sz w:val="21"/>
                <w:szCs w:val="21"/>
              </w:rPr>
            </w:pPr>
            <w:r>
              <w:rPr>
                <w:rFonts w:ascii="Times New Roman"/>
                <w:sz w:val="21"/>
              </w:rPr>
              <w:t>61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48,348,7</w:t>
            </w:r>
          </w:p>
          <w:p>
            <w:pPr>
              <w:pStyle w:val="TableParagraph"/>
              <w:spacing w:line="240" w:lineRule="auto" w:before="70"/>
              <w:ind w:left="309" w:right="0"/>
              <w:jc w:val="left"/>
              <w:rPr>
                <w:rFonts w:ascii="Times New Roman" w:hAnsi="Times New Roman" w:cs="Times New Roman" w:eastAsia="Times New Roman" w:hint="default"/>
                <w:sz w:val="21"/>
                <w:szCs w:val="21"/>
              </w:rPr>
            </w:pPr>
            <w:r>
              <w:rPr>
                <w:rFonts w:ascii="Times New Roman"/>
                <w:sz w:val="21"/>
              </w:rPr>
              <w:t>71.88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18.81%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208,651,3</w:t>
            </w:r>
          </w:p>
          <w:p>
            <w:pPr>
              <w:pStyle w:val="TableParagraph"/>
              <w:spacing w:line="240" w:lineRule="auto" w:before="70"/>
              <w:ind w:left="427" w:right="0"/>
              <w:jc w:val="left"/>
              <w:rPr>
                <w:rFonts w:ascii="Times New Roman" w:hAnsi="Times New Roman" w:cs="Times New Roman" w:eastAsia="Times New Roman" w:hint="default"/>
                <w:sz w:val="21"/>
                <w:szCs w:val="21"/>
              </w:rPr>
            </w:pPr>
            <w:r>
              <w:rPr>
                <w:rFonts w:ascii="Times New Roman"/>
                <w:sz w:val="21"/>
              </w:rPr>
              <w:t>38.73</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14"/>
              <w:jc w:val="both"/>
              <w:rPr>
                <w:rFonts w:ascii="宋体" w:hAnsi="宋体" w:cs="宋体" w:eastAsia="宋体" w:hint="default"/>
                <w:sz w:val="21"/>
                <w:szCs w:val="21"/>
              </w:rPr>
            </w:pPr>
            <w:r>
              <w:rPr>
                <w:rFonts w:ascii="宋体" w:hAnsi="宋体" w:cs="宋体" w:eastAsia="宋体" w:hint="default"/>
                <w:sz w:val="21"/>
                <w:szCs w:val="21"/>
              </w:rPr>
              <w:t>单项金额不重大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准备的应收账款</w:t>
            </w:r>
          </w:p>
        </w:tc>
        <w:tc>
          <w:tcPr>
            <w:tcW w:w="775"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318,293</w:t>
            </w:r>
          </w:p>
          <w:p>
            <w:pPr>
              <w:pStyle w:val="TableParagraph"/>
              <w:spacing w:line="240" w:lineRule="auto" w:before="71"/>
              <w:ind w:left="105" w:right="0"/>
              <w:jc w:val="left"/>
              <w:rPr>
                <w:rFonts w:ascii="Times New Roman" w:hAnsi="Times New Roman" w:cs="Times New Roman" w:eastAsia="Times New Roman" w:hint="default"/>
                <w:sz w:val="21"/>
                <w:szCs w:val="21"/>
              </w:rPr>
            </w:pPr>
            <w:r>
              <w:rPr>
                <w:rFonts w:ascii="Times New Roman"/>
                <w:sz w:val="21"/>
              </w:rPr>
              <w:t>,489.92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1"/>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40,147,</w:t>
            </w:r>
          </w:p>
          <w:p>
            <w:pPr>
              <w:pStyle w:val="TableParagraph"/>
              <w:spacing w:line="240" w:lineRule="auto" w:before="71"/>
              <w:ind w:left="151" w:right="0"/>
              <w:jc w:val="left"/>
              <w:rPr>
                <w:rFonts w:ascii="Times New Roman" w:hAnsi="Times New Roman" w:cs="Times New Roman" w:eastAsia="Times New Roman" w:hint="default"/>
                <w:sz w:val="21"/>
                <w:szCs w:val="21"/>
              </w:rPr>
            </w:pPr>
            <w:r>
              <w:rPr>
                <w:rFonts w:ascii="Times New Roman"/>
                <w:sz w:val="21"/>
              </w:rPr>
              <w:t>220.04</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12.61%</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21"/>
                <w:szCs w:val="21"/>
              </w:rPr>
            </w:pPr>
            <w:r>
              <w:rPr>
                <w:rFonts w:ascii="Times New Roman"/>
                <w:sz w:val="21"/>
              </w:rPr>
              <w:t>278,146</w:t>
            </w:r>
          </w:p>
          <w:p>
            <w:pPr>
              <w:pStyle w:val="TableParagraph"/>
              <w:spacing w:line="240" w:lineRule="auto" w:before="71"/>
              <w:ind w:left="124" w:right="0"/>
              <w:jc w:val="left"/>
              <w:rPr>
                <w:rFonts w:ascii="Times New Roman" w:hAnsi="Times New Roman" w:cs="Times New Roman" w:eastAsia="Times New Roman" w:hint="default"/>
                <w:sz w:val="21"/>
                <w:szCs w:val="21"/>
              </w:rPr>
            </w:pPr>
            <w:r>
              <w:rPr>
                <w:rFonts w:ascii="Times New Roman"/>
                <w:sz w:val="21"/>
              </w:rPr>
              <w:t>,269.88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75"/>
              <w:ind w:left="45" w:right="0"/>
              <w:jc w:val="left"/>
              <w:rPr>
                <w:rFonts w:ascii="Times New Roman" w:hAnsi="Times New Roman" w:cs="Times New Roman" w:eastAsia="Times New Roman" w:hint="default"/>
                <w:sz w:val="21"/>
                <w:szCs w:val="21"/>
              </w:rPr>
            </w:pPr>
            <w:r>
              <w:rPr>
                <w:rFonts w:ascii="Times New Roman"/>
                <w:sz w:val="21"/>
              </w:rPr>
              <w:t>257,00</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0,110.</w:t>
            </w:r>
          </w:p>
          <w:p>
            <w:pPr>
              <w:pStyle w:val="TableParagraph"/>
              <w:spacing w:line="240" w:lineRule="auto" w:before="71"/>
              <w:ind w:left="412" w:right="0"/>
              <w:jc w:val="left"/>
              <w:rPr>
                <w:rFonts w:ascii="Times New Roman" w:hAnsi="Times New Roman" w:cs="Times New Roman" w:eastAsia="Times New Roman" w:hint="default"/>
                <w:sz w:val="21"/>
                <w:szCs w:val="21"/>
              </w:rPr>
            </w:pPr>
            <w:r>
              <w:rPr>
                <w:rFonts w:ascii="Times New Roman"/>
                <w:sz w:val="21"/>
              </w:rPr>
              <w:t>61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1"/>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48,348,7</w:t>
            </w:r>
          </w:p>
          <w:p>
            <w:pPr>
              <w:pStyle w:val="TableParagraph"/>
              <w:spacing w:line="240" w:lineRule="auto" w:before="71"/>
              <w:ind w:left="309" w:right="0"/>
              <w:jc w:val="left"/>
              <w:rPr>
                <w:rFonts w:ascii="Times New Roman" w:hAnsi="Times New Roman" w:cs="Times New Roman" w:eastAsia="Times New Roman" w:hint="default"/>
                <w:sz w:val="21"/>
                <w:szCs w:val="21"/>
              </w:rPr>
            </w:pPr>
            <w:r>
              <w:rPr>
                <w:rFonts w:ascii="Times New Roman"/>
                <w:sz w:val="21"/>
              </w:rPr>
              <w:t>71.88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18.81%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208,651,3</w:t>
            </w:r>
          </w:p>
          <w:p>
            <w:pPr>
              <w:pStyle w:val="TableParagraph"/>
              <w:spacing w:line="240" w:lineRule="auto" w:before="71"/>
              <w:ind w:left="427" w:right="0"/>
              <w:jc w:val="left"/>
              <w:rPr>
                <w:rFonts w:ascii="Times New Roman" w:hAnsi="Times New Roman" w:cs="Times New Roman" w:eastAsia="Times New Roman" w:hint="default"/>
                <w:sz w:val="21"/>
                <w:szCs w:val="21"/>
              </w:rPr>
            </w:pPr>
            <w:r>
              <w:rPr>
                <w:rFonts w:ascii="Times New Roman"/>
                <w:sz w:val="21"/>
              </w:rPr>
              <w:t>38.73</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980" w:right="980"/>
        </w:sectPr>
      </w:pPr>
    </w:p>
    <w:p>
      <w:pPr>
        <w:pStyle w:val="BodyText"/>
        <w:spacing w:line="240" w:lineRule="auto" w:before="39"/>
        <w:ind w:right="-20"/>
        <w:jc w:val="left"/>
      </w:pPr>
      <w:r>
        <w:rPr/>
        <w:t>期末单项金额重大并单项计提坏账准备的应收账款：</w:t>
      </w:r>
    </w:p>
    <w:p>
      <w:pPr>
        <w:pStyle w:val="BodyText"/>
        <w:spacing w:line="338" w:lineRule="auto" w:before="154"/>
        <w:ind w:right="2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组合中，按账龄分析法计提坏账准备的应收账款：</w:t>
      </w:r>
    </w:p>
    <w:p>
      <w:pPr>
        <w:pStyle w:val="BodyText"/>
        <w:spacing w:line="24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80"/>
          <w:cols w:num="2" w:equalWidth="0">
            <w:col w:w="5674" w:space="3021"/>
            <w:col w:w="1255"/>
          </w:cols>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6"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73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6"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267,306,691.86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13,365,334.59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22,240,798.03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4,448,159.61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20.00%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7,367,196.37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3,683,598.18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18,650,127.66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18,650,127.66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100.00%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315,564,813.92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40,147,220.04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12.72%</w:t>
            </w:r>
          </w:p>
        </w:tc>
      </w:tr>
    </w:tbl>
    <w:p>
      <w:pPr>
        <w:pStyle w:val="BodyText"/>
        <w:spacing w:line="357" w:lineRule="auto" w:before="39"/>
        <w:ind w:right="7133"/>
        <w:jc w:val="left"/>
      </w:pPr>
      <w:r>
        <w:rPr/>
        <w:t>确定该组合依据的说明： 无</w:t>
      </w:r>
    </w:p>
    <w:p>
      <w:pPr>
        <w:pStyle w:val="BodyText"/>
        <w:spacing w:line="240" w:lineRule="auto" w:before="37"/>
        <w:ind w:right="293"/>
        <w:jc w:val="left"/>
      </w:pPr>
      <w:r>
        <w:rPr/>
        <w:t>组合中，采用余额百分比法计提坏账准备的其他应收款：</w:t>
      </w:r>
    </w:p>
    <w:p>
      <w:pPr>
        <w:pStyle w:val="BodyText"/>
        <w:spacing w:line="338" w:lineRule="auto" w:before="154"/>
        <w:ind w:right="4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组合中，采用其他方法计提坏账准备的其他应收款：</w:t>
      </w:r>
    </w:p>
    <w:p>
      <w:pPr>
        <w:pStyle w:val="BodyText"/>
        <w:spacing w:line="338" w:lineRule="auto"/>
        <w:ind w:left="453" w:right="7133" w:hanging="3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其他组合</w:t>
      </w:r>
    </w:p>
    <w:tbl>
      <w:tblPr>
        <w:tblW w:w="0" w:type="auto"/>
        <w:jc w:val="left"/>
        <w:tblInd w:w="136" w:type="dxa"/>
        <w:tblLayout w:type="fixed"/>
        <w:tblCellMar>
          <w:top w:w="0" w:type="dxa"/>
          <w:left w:w="0" w:type="dxa"/>
          <w:bottom w:w="0" w:type="dxa"/>
          <w:right w:w="0" w:type="dxa"/>
        </w:tblCellMar>
        <w:tblLook w:val="01E0"/>
      </w:tblPr>
      <w:tblGrid>
        <w:gridCol w:w="2415"/>
        <w:gridCol w:w="2412"/>
        <w:gridCol w:w="2415"/>
        <w:gridCol w:w="2266"/>
      </w:tblGrid>
      <w:tr>
        <w:trPr>
          <w:trHeight w:val="346"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spacing w:val="65"/>
                <w:sz w:val="21"/>
                <w:szCs w:val="21"/>
              </w:rPr>
              <w:t> </w:t>
            </w:r>
            <w:r>
              <w:rPr>
                <w:rFonts w:ascii="宋体" w:hAnsi="宋体" w:cs="宋体" w:eastAsia="宋体" w:hint="default"/>
                <w:sz w:val="21"/>
                <w:szCs w:val="21"/>
              </w:rPr>
              <w:t>合</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7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8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6" w:type="dxa"/>
            <w:tcBorders>
              <w:top w:val="single" w:sz="6" w:space="0" w:color="000000"/>
              <w:left w:val="single" w:sz="6" w:space="0" w:color="000000"/>
              <w:bottom w:val="single" w:sz="6" w:space="0" w:color="000000"/>
              <w:right w:val="single" w:sz="4" w:space="0" w:color="000000"/>
            </w:tcBorders>
          </w:tcPr>
          <w:p>
            <w:pPr>
              <w:pStyle w:val="TableParagraph"/>
              <w:spacing w:line="288" w:lineRule="exact"/>
              <w:ind w:left="54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8"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合并范围内往来组合</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35" w:right="0"/>
              <w:jc w:val="left"/>
              <w:rPr>
                <w:rFonts w:ascii="宋体" w:hAnsi="宋体" w:cs="宋体" w:eastAsia="宋体" w:hint="default"/>
                <w:sz w:val="21"/>
                <w:szCs w:val="21"/>
              </w:rPr>
            </w:pPr>
            <w:r>
              <w:rPr>
                <w:rFonts w:ascii="宋体"/>
                <w:sz w:val="21"/>
              </w:rPr>
              <w:t>2,728,676.00</w:t>
            </w:r>
          </w:p>
        </w:tc>
        <w:tc>
          <w:tcPr>
            <w:tcW w:w="2415"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4" w:space="0" w:color="000000"/>
            </w:tcBorders>
          </w:tcPr>
          <w:p>
            <w:pPr/>
          </w:p>
        </w:tc>
      </w:tr>
    </w:tbl>
    <w:p>
      <w:pPr>
        <w:pStyle w:val="Heading2"/>
        <w:spacing w:line="240" w:lineRule="auto" w:before="55"/>
        <w:ind w:right="29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338" w:lineRule="auto" w:before="136"/>
        <w:ind w:right="1373"/>
        <w:jc w:val="left"/>
      </w:pPr>
      <w:r>
        <w:rPr/>
        <w:t>本期计提坏账准备金额</w:t>
      </w:r>
      <w:r>
        <w:rPr>
          <w:spacing w:val="-60"/>
        </w:rPr>
        <w:t> </w:t>
      </w:r>
      <w:r>
        <w:rPr>
          <w:rFonts w:ascii="Times New Roman" w:hAnsi="Times New Roman" w:cs="Times New Roman" w:eastAsia="Times New Roman" w:hint="default"/>
        </w:rPr>
        <w:t>0.00 </w:t>
      </w:r>
      <w:r>
        <w:rPr/>
        <w:t>元；本期收回或转回坏账准备金额</w:t>
      </w:r>
      <w:r>
        <w:rPr>
          <w:spacing w:val="-60"/>
        </w:rPr>
        <w:t> </w:t>
      </w:r>
      <w:r>
        <w:rPr>
          <w:rFonts w:ascii="Times New Roman" w:hAnsi="Times New Roman" w:cs="Times New Roman" w:eastAsia="Times New Roman" w:hint="default"/>
        </w:rPr>
        <w:t>8,201,551.84 </w:t>
      </w:r>
      <w:r>
        <w:rPr/>
        <w:t>元。 其中本期坏账准备收回或转回金额重要的：</w:t>
      </w:r>
    </w:p>
    <w:p>
      <w:pPr>
        <w:pStyle w:val="BodyText"/>
        <w:spacing w:line="240" w:lineRule="auto"/>
        <w:ind w:right="293"/>
        <w:jc w:val="left"/>
      </w:pPr>
      <w:r>
        <w:rPr/>
        <w:t>无</w:t>
      </w:r>
    </w:p>
    <w:p>
      <w:pPr>
        <w:pStyle w:val="Heading2"/>
        <w:spacing w:line="240" w:lineRule="auto" w:before="154"/>
        <w:ind w:right="293"/>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5"/>
        <w:rPr>
          <w:rFonts w:ascii="宋体" w:hAnsi="宋体" w:cs="宋体" w:eastAsia="宋体" w:hint="default"/>
          <w:b/>
          <w:bCs/>
          <w:sz w:val="7"/>
          <w:szCs w:val="7"/>
        </w:rPr>
      </w:pPr>
    </w:p>
    <w:tbl>
      <w:tblPr>
        <w:tblW w:w="0" w:type="auto"/>
        <w:jc w:val="left"/>
        <w:tblInd w:w="138" w:type="dxa"/>
        <w:tblLayout w:type="fixed"/>
        <w:tblCellMar>
          <w:top w:w="0" w:type="dxa"/>
          <w:left w:w="0" w:type="dxa"/>
          <w:bottom w:w="0" w:type="dxa"/>
          <w:right w:w="0" w:type="dxa"/>
        </w:tblCellMar>
        <w:tblLook w:val="01E0"/>
      </w:tblPr>
      <w:tblGrid>
        <w:gridCol w:w="2211"/>
        <w:gridCol w:w="1925"/>
        <w:gridCol w:w="1282"/>
        <w:gridCol w:w="2254"/>
        <w:gridCol w:w="1988"/>
      </w:tblGrid>
      <w:tr>
        <w:trPr>
          <w:trHeight w:val="65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7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9" w:right="67" w:hanging="368"/>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占应收账款期末余额合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计数的比例</w:t>
            </w:r>
            <w:r>
              <w:rPr>
                <w:rFonts w:ascii="Times New Roman" w:hAnsi="Times New Roman" w:cs="Times New Roman" w:eastAsia="Times New Roman" w:hint="default"/>
                <w:sz w:val="21"/>
                <w:szCs w:val="21"/>
              </w:rPr>
              <w:t>(%)</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48"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34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应收账款金额前</w:t>
            </w:r>
            <w:r>
              <w:rPr>
                <w:rFonts w:ascii="Times New Roman" w:hAnsi="Times New Roman" w:cs="Times New Roman" w:eastAsia="Times New Roman" w:hint="default"/>
                <w:sz w:val="21"/>
                <w:szCs w:val="21"/>
              </w:rPr>
              <w:t>5</w:t>
            </w:r>
            <w:r>
              <w:rPr>
                <w:rFonts w:ascii="宋体" w:hAnsi="宋体" w:cs="宋体" w:eastAsia="宋体" w:hint="default"/>
                <w:sz w:val="21"/>
                <w:szCs w:val="21"/>
              </w:rPr>
              <w:t>名</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03" w:right="0"/>
              <w:jc w:val="left"/>
              <w:rPr>
                <w:rFonts w:ascii="Times New Roman" w:hAnsi="Times New Roman" w:cs="Times New Roman" w:eastAsia="Times New Roman" w:hint="default"/>
                <w:sz w:val="21"/>
                <w:szCs w:val="21"/>
              </w:rPr>
            </w:pPr>
            <w:r>
              <w:rPr>
                <w:rFonts w:ascii="Times New Roman"/>
                <w:sz w:val="21"/>
              </w:rPr>
              <w:t>51,356,710.00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16.14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71" w:right="0"/>
              <w:jc w:val="left"/>
              <w:rPr>
                <w:rFonts w:ascii="Times New Roman" w:hAnsi="Times New Roman" w:cs="Times New Roman" w:eastAsia="Times New Roman" w:hint="default"/>
                <w:sz w:val="21"/>
                <w:szCs w:val="21"/>
              </w:rPr>
            </w:pPr>
            <w:r>
              <w:rPr>
                <w:rFonts w:ascii="Times New Roman"/>
                <w:sz w:val="21"/>
              </w:rPr>
              <w:t>2,567,835.50</w:t>
            </w:r>
          </w:p>
        </w:tc>
      </w:tr>
    </w:tbl>
    <w:p>
      <w:pPr>
        <w:spacing w:line="240" w:lineRule="auto" w:before="11"/>
        <w:rPr>
          <w:rFonts w:ascii="宋体" w:hAnsi="宋体" w:cs="宋体" w:eastAsia="宋体" w:hint="default"/>
          <w:b/>
          <w:bCs/>
          <w:sz w:val="24"/>
          <w:szCs w:val="24"/>
        </w:rPr>
      </w:pPr>
    </w:p>
    <w:p>
      <w:pPr>
        <w:pStyle w:val="Heading2"/>
        <w:spacing w:line="240" w:lineRule="auto" w:before="26"/>
        <w:ind w:right="293"/>
        <w:jc w:val="left"/>
        <w:rPr>
          <w:b w:val="0"/>
          <w:bCs w:val="0"/>
        </w:rPr>
      </w:pPr>
      <w:r>
        <w:rPr>
          <w:rFonts w:ascii="Times New Roman" w:hAnsi="Times New Roman" w:cs="Times New Roman" w:eastAsia="Times New Roman" w:hint="default"/>
        </w:rPr>
        <w:t>2</w:t>
      </w:r>
      <w:r>
        <w:rPr/>
        <w:t>、其他应收款</w:t>
      </w:r>
      <w:r>
        <w:rPr>
          <w:b w:val="0"/>
          <w:bCs w:val="0"/>
        </w:rPr>
      </w:r>
    </w:p>
    <w:p>
      <w:pPr>
        <w:pStyle w:val="Heading2"/>
        <w:spacing w:line="240" w:lineRule="auto" w:before="136"/>
        <w:ind w:right="29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7"/>
        <w:rPr>
          <w:rFonts w:ascii="宋体" w:hAnsi="宋体" w:cs="宋体" w:eastAsia="宋体" w:hint="default"/>
          <w:b/>
          <w:bCs/>
          <w:sz w:val="9"/>
          <w:szCs w:val="9"/>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646"/>
        <w:gridCol w:w="752"/>
        <w:gridCol w:w="761"/>
        <w:gridCol w:w="764"/>
        <w:gridCol w:w="764"/>
        <w:gridCol w:w="788"/>
        <w:gridCol w:w="653"/>
        <w:gridCol w:w="761"/>
        <w:gridCol w:w="814"/>
        <w:gridCol w:w="922"/>
        <w:gridCol w:w="944"/>
      </w:tblGrid>
      <w:tr>
        <w:trPr>
          <w:trHeight w:val="398"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8"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2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44" w:type="dxa"/>
            <w:vMerge w:val="restart"/>
            <w:tcBorders>
              <w:top w:val="single" w:sz="4" w:space="0" w:color="000000"/>
              <w:left w:val="single" w:sz="4" w:space="0" w:color="000000"/>
              <w:right w:val="single" w:sz="4" w:space="0" w:color="000000"/>
            </w:tcBorders>
            <w:shd w:val="clear" w:color="auto" w:fill="D2D2D2"/>
          </w:tcPr>
          <w:p>
            <w:pPr/>
          </w:p>
        </w:tc>
      </w:tr>
      <w:tr>
        <w:trPr>
          <w:trHeight w:val="220"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7"/>
              <w:jc w:val="center"/>
              <w:rPr>
                <w:rFonts w:ascii="宋体" w:hAnsi="宋体" w:cs="宋体" w:eastAsia="宋体" w:hint="default"/>
                <w:sz w:val="21"/>
                <w:szCs w:val="21"/>
              </w:rPr>
            </w:pPr>
            <w:r>
              <w:rPr>
                <w:rFonts w:ascii="宋体" w:hAnsi="宋体" w:cs="宋体" w:eastAsia="宋体" w:hint="default"/>
                <w:sz w:val="21"/>
                <w:szCs w:val="21"/>
              </w:rPr>
              <w:t>类别</w:t>
            </w: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1528"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281" w:right="71"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414" w:type="dxa"/>
            <w:gridSpan w:val="2"/>
            <w:vMerge/>
            <w:tcBorders>
              <w:left w:val="single" w:sz="4" w:space="0" w:color="000000"/>
              <w:bottom w:val="single" w:sz="4" w:space="0" w:color="000000"/>
              <w:right w:val="single" w:sz="4" w:space="0" w:color="000000"/>
            </w:tcBorders>
            <w:shd w:val="clear" w:color="auto" w:fill="D2D2D2"/>
          </w:tcPr>
          <w:p>
            <w:pPr/>
          </w:p>
        </w:tc>
        <w:tc>
          <w:tcPr>
            <w:tcW w:w="1735" w:type="dxa"/>
            <w:gridSpan w:val="2"/>
            <w:vMerge/>
            <w:tcBorders>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70" w:right="57"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88" w:type="dxa"/>
            <w:vMerge/>
            <w:tcBorders>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tcBorders>
              <w:top w:val="single" w:sz="4" w:space="0" w:color="000000"/>
              <w:left w:val="single" w:sz="4" w:space="0" w:color="000000"/>
              <w:bottom w:val="nil" w:sz="6" w:space="0" w:color="auto"/>
              <w:right w:val="single" w:sz="4" w:space="0" w:color="000000"/>
            </w:tcBorders>
            <w:shd w:val="clear" w:color="auto" w:fill="D2D2D2"/>
          </w:tcPr>
          <w:p>
            <w:pPr/>
          </w:p>
        </w:tc>
        <w:tc>
          <w:tcPr>
            <w:tcW w:w="944" w:type="dxa"/>
            <w:vMerge w:val="restart"/>
            <w:tcBorders>
              <w:top w:val="nil" w:sz="6" w:space="0" w:color="auto"/>
              <w:left w:val="single" w:sz="10" w:space="0" w:color="D2D2D2"/>
              <w:right w:val="single" w:sz="12" w:space="0" w:color="D2D2D2"/>
            </w:tcBorders>
          </w:tcPr>
          <w:p>
            <w:pPr>
              <w:pStyle w:val="TableParagraph"/>
              <w:spacing w:line="262" w:lineRule="exact"/>
              <w:ind w:left="4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4"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5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4"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44" w:type="dxa"/>
            <w:vMerge/>
            <w:tcBorders>
              <w:left w:val="single" w:sz="10" w:space="0" w:color="D2D2D2"/>
              <w:bottom w:val="nil" w:sz="6" w:space="0" w:color="auto"/>
              <w:right w:val="single" w:sz="12" w:space="0" w:color="D2D2D2"/>
            </w:tcBorders>
          </w:tcPr>
          <w:p>
            <w:pPr/>
          </w:p>
        </w:tc>
      </w:tr>
      <w:tr>
        <w:trPr>
          <w:trHeight w:val="202"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4" w:right="0"/>
              <w:jc w:val="left"/>
              <w:rPr>
                <w:rFonts w:ascii="宋体" w:hAnsi="宋体" w:cs="宋体" w:eastAsia="宋体" w:hint="default"/>
                <w:sz w:val="21"/>
                <w:szCs w:val="21"/>
              </w:rPr>
            </w:pPr>
            <w:r>
              <w:rPr>
                <w:rFonts w:ascii="宋体" w:hAnsi="宋体" w:cs="宋体" w:eastAsia="宋体" w:hint="default"/>
                <w:sz w:val="21"/>
                <w:szCs w:val="21"/>
              </w:rPr>
              <w:t>单项金额重大并</w:t>
            </w:r>
          </w:p>
        </w:tc>
        <w:tc>
          <w:tcPr>
            <w:tcW w:w="752"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2"/>
      </w:tblGrid>
      <w:tr>
        <w:trPr>
          <w:trHeight w:val="67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124"/>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24"/>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56,911,</w:t>
            </w:r>
          </w:p>
          <w:p>
            <w:pPr>
              <w:pStyle w:val="TableParagraph"/>
              <w:spacing w:line="240" w:lineRule="auto" w:before="70"/>
              <w:ind w:left="153" w:right="0"/>
              <w:jc w:val="left"/>
              <w:rPr>
                <w:rFonts w:ascii="Times New Roman" w:hAnsi="Times New Roman" w:cs="Times New Roman" w:eastAsia="Times New Roman" w:hint="default"/>
                <w:sz w:val="21"/>
                <w:szCs w:val="21"/>
              </w:rPr>
            </w:pPr>
            <w:r>
              <w:rPr>
                <w:rFonts w:ascii="Times New Roman"/>
                <w:sz w:val="21"/>
              </w:rPr>
              <w:t>654.93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14,490,</w:t>
            </w:r>
          </w:p>
          <w:p>
            <w:pPr>
              <w:pStyle w:val="TableParagraph"/>
              <w:spacing w:line="240" w:lineRule="auto" w:before="70"/>
              <w:ind w:left="151" w:right="0"/>
              <w:jc w:val="left"/>
              <w:rPr>
                <w:rFonts w:ascii="Times New Roman" w:hAnsi="Times New Roman" w:cs="Times New Roman" w:eastAsia="Times New Roman" w:hint="default"/>
                <w:sz w:val="21"/>
                <w:szCs w:val="21"/>
              </w:rPr>
            </w:pPr>
            <w:r>
              <w:rPr>
                <w:rFonts w:ascii="Times New Roman"/>
                <w:sz w:val="21"/>
              </w:rPr>
              <w:t>248.00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65" w:right="0"/>
              <w:jc w:val="center"/>
              <w:rPr>
                <w:rFonts w:ascii="Times New Roman" w:hAnsi="Times New Roman" w:cs="Times New Roman" w:eastAsia="Times New Roman" w:hint="default"/>
                <w:sz w:val="21"/>
                <w:szCs w:val="21"/>
              </w:rPr>
            </w:pPr>
            <w:r>
              <w:rPr>
                <w:rFonts w:ascii="Times New Roman"/>
                <w:sz w:val="21"/>
              </w:rPr>
              <w:t>25.46%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42,421,</w:t>
            </w:r>
          </w:p>
          <w:p>
            <w:pPr>
              <w:pStyle w:val="TableParagraph"/>
              <w:spacing w:line="240" w:lineRule="auto" w:before="70"/>
              <w:ind w:left="177" w:right="0"/>
              <w:jc w:val="left"/>
              <w:rPr>
                <w:rFonts w:ascii="Times New Roman" w:hAnsi="Times New Roman" w:cs="Times New Roman" w:eastAsia="Times New Roman" w:hint="default"/>
                <w:sz w:val="21"/>
                <w:szCs w:val="21"/>
              </w:rPr>
            </w:pPr>
            <w:r>
              <w:rPr>
                <w:rFonts w:ascii="Times New Roman"/>
                <w:sz w:val="21"/>
              </w:rPr>
              <w:t>406.93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64,636</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,758.7</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11,614,6</w:t>
            </w:r>
          </w:p>
          <w:p>
            <w:pPr>
              <w:pStyle w:val="TableParagraph"/>
              <w:spacing w:line="240" w:lineRule="auto" w:before="70"/>
              <w:ind w:left="309" w:right="0"/>
              <w:jc w:val="left"/>
              <w:rPr>
                <w:rFonts w:ascii="Times New Roman" w:hAnsi="Times New Roman" w:cs="Times New Roman" w:eastAsia="Times New Roman" w:hint="default"/>
                <w:sz w:val="21"/>
                <w:szCs w:val="21"/>
              </w:rPr>
            </w:pPr>
            <w:r>
              <w:rPr>
                <w:rFonts w:ascii="Times New Roman"/>
                <w:sz w:val="21"/>
              </w:rPr>
              <w:t>66.01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17.97%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53,022,09</w:t>
            </w:r>
          </w:p>
          <w:p>
            <w:pPr>
              <w:pStyle w:val="TableParagraph"/>
              <w:spacing w:line="240" w:lineRule="auto" w:before="70"/>
              <w:ind w:left="533" w:right="0"/>
              <w:jc w:val="left"/>
              <w:rPr>
                <w:rFonts w:ascii="Times New Roman" w:hAnsi="Times New Roman" w:cs="Times New Roman" w:eastAsia="Times New Roman" w:hint="default"/>
                <w:sz w:val="21"/>
                <w:szCs w:val="21"/>
              </w:rPr>
            </w:pPr>
            <w:r>
              <w:rPr>
                <w:rFonts w:ascii="Times New Roman"/>
                <w:sz w:val="21"/>
              </w:rPr>
              <w:t>2.76</w:t>
            </w:r>
          </w:p>
        </w:tc>
      </w:tr>
      <w:tr>
        <w:trPr>
          <w:trHeight w:val="1339"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24"/>
              <w:jc w:val="both"/>
              <w:rPr>
                <w:rFonts w:ascii="宋体" w:hAnsi="宋体" w:cs="宋体" w:eastAsia="宋体" w:hint="default"/>
                <w:sz w:val="21"/>
                <w:szCs w:val="21"/>
              </w:rPr>
            </w:pPr>
            <w:r>
              <w:rPr>
                <w:rFonts w:ascii="宋体" w:hAnsi="宋体" w:cs="宋体" w:eastAsia="宋体" w:hint="default"/>
                <w:sz w:val="21"/>
                <w:szCs w:val="21"/>
              </w:rPr>
              <w:t>单项金额不重大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56,911,</w:t>
            </w:r>
          </w:p>
          <w:p>
            <w:pPr>
              <w:pStyle w:val="TableParagraph"/>
              <w:spacing w:line="240" w:lineRule="auto" w:before="70"/>
              <w:ind w:left="153" w:right="0"/>
              <w:jc w:val="left"/>
              <w:rPr>
                <w:rFonts w:ascii="Times New Roman" w:hAnsi="Times New Roman" w:cs="Times New Roman" w:eastAsia="Times New Roman" w:hint="default"/>
                <w:sz w:val="21"/>
                <w:szCs w:val="21"/>
              </w:rPr>
            </w:pPr>
            <w:r>
              <w:rPr>
                <w:rFonts w:ascii="Times New Roman"/>
                <w:sz w:val="21"/>
              </w:rPr>
              <w:t>654.93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14,490,</w:t>
            </w:r>
          </w:p>
          <w:p>
            <w:pPr>
              <w:pStyle w:val="TableParagraph"/>
              <w:spacing w:line="240" w:lineRule="auto" w:before="70"/>
              <w:ind w:left="151" w:right="0"/>
              <w:jc w:val="left"/>
              <w:rPr>
                <w:rFonts w:ascii="Times New Roman" w:hAnsi="Times New Roman" w:cs="Times New Roman" w:eastAsia="Times New Roman" w:hint="default"/>
                <w:sz w:val="21"/>
                <w:szCs w:val="21"/>
              </w:rPr>
            </w:pPr>
            <w:r>
              <w:rPr>
                <w:rFonts w:ascii="Times New Roman"/>
                <w:sz w:val="21"/>
              </w:rPr>
              <w:t>248.00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65" w:right="0"/>
              <w:jc w:val="center"/>
              <w:rPr>
                <w:rFonts w:ascii="Times New Roman" w:hAnsi="Times New Roman" w:cs="Times New Roman" w:eastAsia="Times New Roman" w:hint="default"/>
                <w:sz w:val="21"/>
                <w:szCs w:val="21"/>
              </w:rPr>
            </w:pPr>
            <w:r>
              <w:rPr>
                <w:rFonts w:ascii="Times New Roman"/>
                <w:sz w:val="21"/>
              </w:rPr>
              <w:t>25.46%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42,421,</w:t>
            </w:r>
          </w:p>
          <w:p>
            <w:pPr>
              <w:pStyle w:val="TableParagraph"/>
              <w:spacing w:line="240" w:lineRule="auto" w:before="70"/>
              <w:ind w:left="177" w:right="0"/>
              <w:jc w:val="left"/>
              <w:rPr>
                <w:rFonts w:ascii="Times New Roman" w:hAnsi="Times New Roman" w:cs="Times New Roman" w:eastAsia="Times New Roman" w:hint="default"/>
                <w:sz w:val="21"/>
                <w:szCs w:val="21"/>
              </w:rPr>
            </w:pPr>
            <w:r>
              <w:rPr>
                <w:rFonts w:ascii="Times New Roman"/>
                <w:sz w:val="21"/>
              </w:rPr>
              <w:t>406.93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64,636</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,758.7</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w w:val="100"/>
                <w:sz w:val="21"/>
              </w:rPr>
              <w:t>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11,614,6</w:t>
            </w:r>
          </w:p>
          <w:p>
            <w:pPr>
              <w:pStyle w:val="TableParagraph"/>
              <w:spacing w:line="240" w:lineRule="auto" w:before="70"/>
              <w:ind w:left="309" w:right="0"/>
              <w:jc w:val="left"/>
              <w:rPr>
                <w:rFonts w:ascii="Times New Roman" w:hAnsi="Times New Roman" w:cs="Times New Roman" w:eastAsia="Times New Roman" w:hint="default"/>
                <w:sz w:val="21"/>
                <w:szCs w:val="21"/>
              </w:rPr>
            </w:pPr>
            <w:r>
              <w:rPr>
                <w:rFonts w:ascii="Times New Roman"/>
                <w:sz w:val="21"/>
              </w:rPr>
              <w:t>66.01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17.97%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53,022,09</w:t>
            </w:r>
          </w:p>
          <w:p>
            <w:pPr>
              <w:pStyle w:val="TableParagraph"/>
              <w:spacing w:line="240" w:lineRule="auto" w:before="70"/>
              <w:ind w:left="533" w:right="0"/>
              <w:jc w:val="left"/>
              <w:rPr>
                <w:rFonts w:ascii="Times New Roman" w:hAnsi="Times New Roman" w:cs="Times New Roman" w:eastAsia="Times New Roman" w:hint="default"/>
                <w:sz w:val="21"/>
                <w:szCs w:val="21"/>
              </w:rPr>
            </w:pPr>
            <w:r>
              <w:rPr>
                <w:rFonts w:ascii="Times New Roman"/>
                <w:sz w:val="21"/>
              </w:rPr>
              <w:t>2.76</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0" w:top="1100" w:bottom="1160" w:left="980" w:right="980"/>
        </w:sectPr>
      </w:pPr>
    </w:p>
    <w:p>
      <w:pPr>
        <w:pStyle w:val="BodyText"/>
        <w:spacing w:line="240" w:lineRule="auto" w:before="39"/>
        <w:ind w:right="-20"/>
        <w:jc w:val="left"/>
      </w:pPr>
      <w:r>
        <w:rPr/>
        <w:t>期末单项金额重大并单项计提坏账准备的其他应收款：</w:t>
      </w:r>
    </w:p>
    <w:p>
      <w:pPr>
        <w:pStyle w:val="BodyText"/>
        <w:spacing w:line="338" w:lineRule="auto" w:before="154"/>
        <w:ind w:right="2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组合中，按账龄分析法计提坏账准备的其他应收款：</w:t>
      </w:r>
    </w:p>
    <w:p>
      <w:pPr>
        <w:pStyle w:val="BodyText"/>
        <w:spacing w:line="24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80"/>
          <w:cols w:num="2" w:equalWidth="0">
            <w:col w:w="5914" w:space="2781"/>
            <w:col w:w="1255"/>
          </w:cols>
        </w:sectPr>
      </w:pP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0"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2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6"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25,842,751.26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1,292,137.56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10,130,679.93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2,026,135.99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5,361,612.63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2,680,806.32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8,491,168.13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8,491,168.13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49,826,211.95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14,490,248.00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29.08%</w:t>
            </w:r>
          </w:p>
        </w:tc>
      </w:tr>
    </w:tbl>
    <w:p>
      <w:pPr>
        <w:pStyle w:val="BodyText"/>
        <w:spacing w:line="357" w:lineRule="auto" w:before="39"/>
        <w:ind w:right="7133"/>
        <w:jc w:val="left"/>
      </w:pPr>
      <w:r>
        <w:rPr/>
        <w:t>确定该组合依据的说明： 无</w:t>
      </w:r>
    </w:p>
    <w:p>
      <w:pPr>
        <w:pStyle w:val="BodyText"/>
        <w:spacing w:line="240" w:lineRule="auto" w:before="36"/>
        <w:ind w:right="293"/>
        <w:jc w:val="left"/>
      </w:pPr>
      <w:r>
        <w:rPr/>
        <w:t>组合中，采用余额百分比法计提坏账准备的其他应收款：</w:t>
      </w:r>
    </w:p>
    <w:p>
      <w:pPr>
        <w:pStyle w:val="BodyText"/>
        <w:spacing w:line="338" w:lineRule="auto" w:before="154"/>
        <w:ind w:right="4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组合中，采用其他方法计提坏账准备的其他应收款：</w:t>
      </w:r>
    </w:p>
    <w:p>
      <w:pPr>
        <w:pStyle w:val="BodyText"/>
        <w:spacing w:line="338" w:lineRule="auto"/>
        <w:ind w:left="453" w:right="7133" w:hanging="3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其他组合</w:t>
      </w:r>
    </w:p>
    <w:tbl>
      <w:tblPr>
        <w:tblW w:w="0" w:type="auto"/>
        <w:jc w:val="left"/>
        <w:tblInd w:w="136" w:type="dxa"/>
        <w:tblLayout w:type="fixed"/>
        <w:tblCellMar>
          <w:top w:w="0" w:type="dxa"/>
          <w:left w:w="0" w:type="dxa"/>
          <w:bottom w:w="0" w:type="dxa"/>
          <w:right w:w="0" w:type="dxa"/>
        </w:tblCellMar>
        <w:tblLook w:val="01E0"/>
      </w:tblPr>
      <w:tblGrid>
        <w:gridCol w:w="2415"/>
        <w:gridCol w:w="2412"/>
        <w:gridCol w:w="2415"/>
        <w:gridCol w:w="2266"/>
      </w:tblGrid>
      <w:tr>
        <w:trPr>
          <w:trHeight w:val="348"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spacing w:val="65"/>
                <w:sz w:val="21"/>
                <w:szCs w:val="21"/>
              </w:rPr>
              <w:t> </w:t>
            </w:r>
            <w:r>
              <w:rPr>
                <w:rFonts w:ascii="宋体" w:hAnsi="宋体" w:cs="宋体" w:eastAsia="宋体" w:hint="default"/>
                <w:sz w:val="21"/>
                <w:szCs w:val="21"/>
              </w:rPr>
              <w:t>合</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7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8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6" w:type="dxa"/>
            <w:tcBorders>
              <w:top w:val="single" w:sz="6" w:space="0" w:color="000000"/>
              <w:left w:val="single" w:sz="6" w:space="0" w:color="000000"/>
              <w:bottom w:val="single" w:sz="6" w:space="0" w:color="000000"/>
              <w:right w:val="single" w:sz="4" w:space="0" w:color="000000"/>
            </w:tcBorders>
          </w:tcPr>
          <w:p>
            <w:pPr>
              <w:pStyle w:val="TableParagraph"/>
              <w:spacing w:line="290" w:lineRule="exact"/>
              <w:ind w:left="54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8"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合并范围内往来组合</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293" w:right="0"/>
              <w:jc w:val="left"/>
              <w:rPr>
                <w:rFonts w:ascii="Times New Roman" w:hAnsi="Times New Roman" w:cs="Times New Roman" w:eastAsia="Times New Roman" w:hint="default"/>
                <w:sz w:val="21"/>
                <w:szCs w:val="21"/>
              </w:rPr>
            </w:pPr>
            <w:r>
              <w:rPr>
                <w:rFonts w:ascii="Times New Roman"/>
                <w:sz w:val="21"/>
              </w:rPr>
              <w:t>7,085,442.98</w:t>
            </w:r>
          </w:p>
        </w:tc>
        <w:tc>
          <w:tcPr>
            <w:tcW w:w="2415"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4" w:space="0" w:color="000000"/>
            </w:tcBorders>
          </w:tcPr>
          <w:p>
            <w:pPr/>
          </w:p>
        </w:tc>
      </w:tr>
    </w:tbl>
    <w:p>
      <w:pPr>
        <w:spacing w:after="0"/>
        <w:sectPr>
          <w:type w:val="continuous"/>
          <w:pgSz w:w="11910" w:h="16840"/>
          <w:pgMar w:top="1100" w:bottom="1160" w:left="980" w:right="980"/>
        </w:sectPr>
      </w:pPr>
    </w:p>
    <w:p>
      <w:pPr>
        <w:spacing w:line="240" w:lineRule="auto" w:before="7"/>
        <w:rPr>
          <w:rFonts w:ascii="宋体" w:hAnsi="宋体" w:cs="宋体" w:eastAsia="宋体" w:hint="default"/>
          <w:sz w:val="25"/>
          <w:szCs w:val="25"/>
        </w:rPr>
      </w:pPr>
    </w:p>
    <w:p>
      <w:pPr>
        <w:pStyle w:val="Heading2"/>
        <w:spacing w:line="240" w:lineRule="auto" w:before="26"/>
        <w:ind w:left="253" w:right="215"/>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97"/>
        <w:ind w:left="253" w:right="215"/>
        <w:jc w:val="left"/>
      </w:pPr>
      <w:r>
        <w:rPr/>
        <w:t>本期计提坏账准备金额</w:t>
      </w:r>
      <w:r>
        <w:rPr>
          <w:spacing w:val="-60"/>
        </w:rPr>
        <w:t> </w:t>
      </w:r>
      <w:r>
        <w:rPr>
          <w:rFonts w:ascii="Times New Roman" w:hAnsi="Times New Roman" w:cs="Times New Roman" w:eastAsia="Times New Roman" w:hint="default"/>
        </w:rPr>
        <w:t>2,875,581.99 </w:t>
      </w:r>
      <w:r>
        <w:rPr/>
        <w:t>元；本期收回或转回坏账准备金额</w:t>
      </w:r>
      <w:r>
        <w:rPr>
          <w:spacing w:val="-59"/>
        </w:rPr>
        <w:t> </w:t>
      </w:r>
      <w:r>
        <w:rPr>
          <w:rFonts w:ascii="Times New Roman" w:hAnsi="Times New Roman" w:cs="Times New Roman" w:eastAsia="Times New Roman" w:hint="default"/>
        </w:rPr>
        <w:t>0.00 </w:t>
      </w:r>
      <w:r>
        <w:rPr/>
        <w:t>元。</w:t>
      </w:r>
    </w:p>
    <w:p>
      <w:pPr>
        <w:pStyle w:val="Heading2"/>
        <w:spacing w:line="240" w:lineRule="auto" w:before="97"/>
        <w:ind w:left="253" w:right="215"/>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7"/>
        <w:rPr>
          <w:rFonts w:ascii="宋体" w:hAnsi="宋体" w:cs="宋体" w:eastAsia="宋体" w:hint="default"/>
          <w:b/>
          <w:bCs/>
          <w:sz w:val="9"/>
          <w:szCs w:val="9"/>
        </w:rPr>
      </w:pPr>
    </w:p>
    <w:p>
      <w:pPr>
        <w:spacing w:before="36"/>
        <w:ind w:left="0" w:right="2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248" w:type="dxa"/>
        <w:tblLayout w:type="fixed"/>
        <w:tblCellMar>
          <w:top w:w="0" w:type="dxa"/>
          <w:left w:w="0" w:type="dxa"/>
          <w:bottom w:w="0" w:type="dxa"/>
          <w:right w:w="0" w:type="dxa"/>
        </w:tblCellMar>
        <w:tblLook w:val="01E0"/>
      </w:tblPr>
      <w:tblGrid>
        <w:gridCol w:w="3368"/>
        <w:gridCol w:w="3101"/>
        <w:gridCol w:w="3102"/>
      </w:tblGrid>
      <w:tr>
        <w:trPr>
          <w:trHeight w:val="478"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91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91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关联方往来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7,085,442.98</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25,578,852.45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押金、保证金等</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32,298,535.99</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21,072,995.92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15,659,434.25</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16,725,895.34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应收房租</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1,868,241.71</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1,259,015.06</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56,911,654.93</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64,636,758.77</w:t>
            </w:r>
          </w:p>
        </w:tc>
      </w:tr>
    </w:tbl>
    <w:p>
      <w:pPr>
        <w:spacing w:line="240" w:lineRule="auto" w:before="1"/>
        <w:rPr>
          <w:rFonts w:ascii="宋体" w:hAnsi="宋体" w:cs="宋体" w:eastAsia="宋体" w:hint="default"/>
          <w:sz w:val="18"/>
          <w:szCs w:val="18"/>
        </w:rPr>
      </w:pPr>
    </w:p>
    <w:p>
      <w:pPr>
        <w:pStyle w:val="Heading2"/>
        <w:spacing w:line="240" w:lineRule="auto" w:before="26"/>
        <w:ind w:left="253" w:right="215"/>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0"/>
          <w:szCs w:val="20"/>
        </w:rPr>
      </w:pPr>
    </w:p>
    <w:p>
      <w:pPr>
        <w:spacing w:before="36"/>
        <w:ind w:left="0" w:right="2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6"/>
          <w:szCs w:val="6"/>
        </w:rPr>
      </w:pPr>
    </w:p>
    <w:tbl>
      <w:tblPr>
        <w:tblW w:w="0" w:type="auto"/>
        <w:jc w:val="left"/>
        <w:tblInd w:w="2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102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67" w:right="63"/>
              <w:jc w:val="center"/>
              <w:rPr>
                <w:rFonts w:ascii="宋体" w:hAnsi="宋体" w:cs="宋体" w:eastAsia="宋体" w:hint="default"/>
                <w:sz w:val="21"/>
                <w:szCs w:val="21"/>
              </w:rPr>
            </w:pPr>
            <w:r>
              <w:rPr>
                <w:rFonts w:ascii="宋体" w:hAnsi="宋体" w:cs="宋体" w:eastAsia="宋体" w:hint="default"/>
                <w:spacing w:val="-1"/>
                <w:sz w:val="21"/>
                <w:szCs w:val="21"/>
              </w:rPr>
              <w:t>占其他应收款期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698" w:right="63" w:hanging="632"/>
              <w:jc w:val="left"/>
              <w:rPr>
                <w:rFonts w:ascii="宋体" w:hAnsi="宋体" w:cs="宋体" w:eastAsia="宋体" w:hint="default"/>
                <w:sz w:val="21"/>
                <w:szCs w:val="21"/>
              </w:rPr>
            </w:pPr>
            <w:r>
              <w:rPr>
                <w:rFonts w:ascii="宋体" w:hAnsi="宋体" w:cs="宋体" w:eastAsia="宋体" w:hint="default"/>
                <w:sz w:val="21"/>
                <w:szCs w:val="21"/>
              </w:rPr>
              <w:t>坏账准备期末余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超图信息</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关联往来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5,316,972.20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9.34%</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5"/>
              <w:jc w:val="left"/>
              <w:rPr>
                <w:rFonts w:ascii="宋体" w:hAnsi="宋体" w:cs="宋体" w:eastAsia="宋体" w:hint="default"/>
                <w:sz w:val="21"/>
                <w:szCs w:val="21"/>
              </w:rPr>
            </w:pPr>
            <w:r>
              <w:rPr>
                <w:rFonts w:ascii="宋体" w:hAnsi="宋体" w:cs="宋体" w:eastAsia="宋体" w:hint="default"/>
                <w:sz w:val="21"/>
                <w:szCs w:val="21"/>
              </w:rPr>
              <w:t>北京东方园林股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应收房租</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1,721,267.63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3.02%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344,253.53</w:t>
            </w: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5"/>
              <w:jc w:val="both"/>
              <w:rPr>
                <w:rFonts w:ascii="宋体" w:hAnsi="宋体" w:cs="宋体" w:eastAsia="宋体" w:hint="default"/>
                <w:sz w:val="21"/>
                <w:szCs w:val="21"/>
              </w:rPr>
            </w:pPr>
            <w:r>
              <w:rPr>
                <w:rFonts w:ascii="宋体" w:hAnsi="宋体" w:cs="宋体" w:eastAsia="宋体" w:hint="default"/>
                <w:sz w:val="21"/>
                <w:szCs w:val="21"/>
              </w:rPr>
              <w:t>国家测绘地理信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息局四川基础地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理信息中心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1,515,000.00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2.66%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75,750.00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5"/>
              <w:jc w:val="left"/>
              <w:rPr>
                <w:rFonts w:ascii="宋体" w:hAnsi="宋体" w:cs="宋体" w:eastAsia="宋体" w:hint="default"/>
                <w:sz w:val="21"/>
                <w:szCs w:val="21"/>
              </w:rPr>
            </w:pPr>
            <w:r>
              <w:rPr>
                <w:rFonts w:ascii="宋体" w:hAnsi="宋体" w:cs="宋体" w:eastAsia="宋体" w:hint="default"/>
                <w:sz w:val="21"/>
                <w:szCs w:val="21"/>
              </w:rPr>
              <w:t>大余县公共资源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交易中心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1.76%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地图慧科技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关联往来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840,693.75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1.48%</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10,393,933.58</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18.26%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470,003.53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880" w:right="880"/>
        </w:sectPr>
      </w:pPr>
    </w:p>
    <w:p>
      <w:pPr>
        <w:pStyle w:val="BodyText"/>
        <w:spacing w:line="240" w:lineRule="auto" w:before="39"/>
        <w:ind w:left="253" w:right="-20"/>
        <w:jc w:val="left"/>
      </w:pPr>
      <w:r>
        <w:rPr/>
        <w:t>其他说明：无</w:t>
      </w:r>
    </w:p>
    <w:p>
      <w:pPr>
        <w:pStyle w:val="Heading2"/>
        <w:spacing w:line="240" w:lineRule="auto" w:before="154"/>
        <w:ind w:left="253" w:right="-2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9"/>
        <w:ind w:left="2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880" w:right="880"/>
          <w:cols w:num="2" w:equalWidth="0">
            <w:col w:w="2060" w:space="6634"/>
            <w:col w:w="1456"/>
          </w:cols>
        </w:sectPr>
      </w:pPr>
    </w:p>
    <w:p>
      <w:pPr>
        <w:spacing w:line="240" w:lineRule="auto" w:before="10"/>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1344"/>
        <w:gridCol w:w="1480"/>
        <w:gridCol w:w="1366"/>
        <w:gridCol w:w="1469"/>
        <w:gridCol w:w="1419"/>
        <w:gridCol w:w="1366"/>
        <w:gridCol w:w="1469"/>
      </w:tblGrid>
      <w:tr>
        <w:trPr>
          <w:trHeight w:val="168"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43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5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55" w:hRule="exact"/>
        </w:trPr>
        <w:tc>
          <w:tcPr>
            <w:tcW w:w="1344"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15" w:type="dxa"/>
            <w:gridSpan w:val="3"/>
            <w:vMerge/>
            <w:tcBorders>
              <w:left w:val="single" w:sz="4" w:space="0" w:color="000000"/>
              <w:bottom w:val="single" w:sz="4" w:space="0" w:color="000000"/>
              <w:right w:val="single" w:sz="4" w:space="0" w:color="000000"/>
            </w:tcBorders>
            <w:shd w:val="clear" w:color="auto" w:fill="D2D2D2"/>
          </w:tcPr>
          <w:p>
            <w:pPr/>
          </w:p>
        </w:tc>
        <w:tc>
          <w:tcPr>
            <w:tcW w:w="4254" w:type="dxa"/>
            <w:gridSpan w:val="3"/>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344" w:type="dxa"/>
            <w:vMerge/>
            <w:tcBorders>
              <w:left w:val="single" w:sz="4" w:space="0" w:color="000000"/>
              <w:bottom w:val="nil" w:sz="6" w:space="0" w:color="auto"/>
              <w:right w:val="single" w:sz="4" w:space="0" w:color="000000"/>
            </w:tcBorders>
            <w:shd w:val="clear" w:color="auto" w:fill="D2D2D2"/>
          </w:tcPr>
          <w:p>
            <w:pPr/>
          </w:p>
        </w:tc>
        <w:tc>
          <w:tcPr>
            <w:tcW w:w="1480"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3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30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30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66" w:hRule="exact"/>
        </w:trPr>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0"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469"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469"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3"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48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956,928,631.21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955,928,631.21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719,192,299.27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718,192,299.27</w:t>
            </w:r>
          </w:p>
        </w:tc>
      </w:tr>
      <w:tr>
        <w:trPr>
          <w:trHeight w:val="63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3" w:right="57"/>
              <w:jc w:val="left"/>
              <w:rPr>
                <w:rFonts w:ascii="宋体" w:hAnsi="宋体" w:cs="宋体" w:eastAsia="宋体" w:hint="default"/>
                <w:sz w:val="21"/>
                <w:szCs w:val="21"/>
              </w:rPr>
            </w:pPr>
            <w:r>
              <w:rPr>
                <w:rFonts w:ascii="宋体" w:hAnsi="宋体" w:cs="宋体" w:eastAsia="宋体" w:hint="default"/>
                <w:sz w:val="21"/>
                <w:szCs w:val="21"/>
              </w:rPr>
              <w:t>对联营、合营</w:t>
            </w:r>
            <w:r>
              <w:rPr>
                <w:rFonts w:ascii="宋体" w:hAnsi="宋体" w:cs="宋体" w:eastAsia="宋体" w:hint="default"/>
                <w:w w:val="100"/>
                <w:sz w:val="21"/>
                <w:szCs w:val="21"/>
              </w:rPr>
              <w:t> </w:t>
            </w:r>
            <w:r>
              <w:rPr>
                <w:rFonts w:ascii="宋体" w:hAnsi="宋体" w:cs="宋体" w:eastAsia="宋体" w:hint="default"/>
                <w:sz w:val="21"/>
                <w:szCs w:val="21"/>
              </w:rPr>
              <w:t>企业投资</w:t>
            </w:r>
          </w:p>
        </w:tc>
        <w:tc>
          <w:tcPr>
            <w:tcW w:w="148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1,948,820.21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1,948,820.21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1,100,435.95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1,100,435.95</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8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958,877,451.42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957,877,451.42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720,292,735.22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719,292,735.22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160" w:left="880" w:right="880"/>
        </w:sect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0" w:top="1100" w:bottom="1160" w:left="900" w:right="900"/>
        </w:sectPr>
      </w:pPr>
    </w:p>
    <w:p>
      <w:pPr>
        <w:pStyle w:val="Heading2"/>
        <w:spacing w:line="240" w:lineRule="auto" w:before="26"/>
        <w:ind w:left="233" w:right="0"/>
        <w:jc w:val="left"/>
        <w:rPr>
          <w:b w:val="0"/>
          <w:bCs w:val="0"/>
        </w:rPr>
      </w:pPr>
      <w:r>
        <w:rPr>
          <w:w w:val="95"/>
        </w:rPr>
        <w:t>（</w:t>
      </w:r>
      <w:r>
        <w:rPr>
          <w:rFonts w:ascii="Times New Roman" w:hAnsi="Times New Roman" w:cs="Times New Roman" w:eastAsia="Times New Roman" w:hint="default"/>
          <w:w w:val="95"/>
        </w:rPr>
        <w:t>1</w:t>
      </w:r>
      <w:r>
        <w:rPr>
          <w:w w:val="95"/>
        </w:rPr>
        <w:t>）对子公司投资</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16"/>
          <w:szCs w:val="16"/>
        </w:rPr>
      </w:pPr>
    </w:p>
    <w:p>
      <w:pPr>
        <w:spacing w:before="0"/>
        <w:ind w:left="23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00" w:right="900"/>
          <w:cols w:num="2" w:equalWidth="0">
            <w:col w:w="2281" w:space="6414"/>
            <w:col w:w="1415"/>
          </w:cols>
        </w:sectPr>
      </w:pPr>
    </w:p>
    <w:p>
      <w:pPr>
        <w:spacing w:line="240" w:lineRule="auto" w:before="10"/>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1448"/>
        <w:gridCol w:w="1337"/>
        <w:gridCol w:w="1471"/>
        <w:gridCol w:w="1335"/>
        <w:gridCol w:w="1501"/>
        <w:gridCol w:w="1390"/>
        <w:gridCol w:w="1388"/>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9" w:right="55" w:hanging="420"/>
              <w:jc w:val="left"/>
              <w:rPr>
                <w:rFonts w:ascii="宋体" w:hAnsi="宋体" w:cs="宋体" w:eastAsia="宋体" w:hint="default"/>
                <w:sz w:val="21"/>
                <w:szCs w:val="21"/>
              </w:rPr>
            </w:pPr>
            <w:r>
              <w:rPr>
                <w:rFonts w:ascii="宋体" w:hAnsi="宋体" w:cs="宋体" w:eastAsia="宋体" w:hint="default"/>
                <w:sz w:val="21"/>
                <w:szCs w:val="21"/>
              </w:rPr>
              <w:t>本期计提减值</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80" w:right="53" w:hanging="421"/>
              <w:jc w:val="left"/>
              <w:rPr>
                <w:rFonts w:ascii="宋体" w:hAnsi="宋体" w:cs="宋体" w:eastAsia="宋体" w:hint="default"/>
                <w:sz w:val="21"/>
                <w:szCs w:val="21"/>
              </w:rPr>
            </w:pPr>
            <w:r>
              <w:rPr>
                <w:rFonts w:ascii="宋体" w:hAnsi="宋体" w:cs="宋体" w:eastAsia="宋体" w:hint="default"/>
                <w:sz w:val="21"/>
                <w:szCs w:val="21"/>
              </w:rPr>
              <w:t>减值准备期末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超图信息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超图国际</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21,393,851.78</w:t>
            </w:r>
          </w:p>
        </w:tc>
        <w:tc>
          <w:tcPr>
            <w:tcW w:w="147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21,393,851.78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上海超途</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147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克拉玛依超图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147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上海南康</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87,836,376.22</w:t>
            </w:r>
          </w:p>
        </w:tc>
        <w:tc>
          <w:tcPr>
            <w:tcW w:w="147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87,836,376.22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山东超图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147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超图数据</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40,000,000.00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南京国图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467,999,807.2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8</w:t>
            </w:r>
          </w:p>
        </w:tc>
        <w:tc>
          <w:tcPr>
            <w:tcW w:w="147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467,999,807.28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北京安图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89,962,263.99</w:t>
            </w:r>
          </w:p>
        </w:tc>
        <w:tc>
          <w:tcPr>
            <w:tcW w:w="147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89,962,263.99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上海数慧</w:t>
            </w:r>
          </w:p>
        </w:tc>
        <w:tc>
          <w:tcPr>
            <w:tcW w:w="133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217,736,331.94</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217,736,331.94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719,192,299.2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7</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237,736,331.94</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956,928,631.21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160" w:left="900" w:right="900"/>
        </w:sectPr>
      </w:pPr>
    </w:p>
    <w:p>
      <w:pPr>
        <w:pStyle w:val="Heading2"/>
        <w:spacing w:line="240" w:lineRule="auto" w:before="39"/>
        <w:ind w:left="233" w:right="-2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17"/>
          <w:szCs w:val="17"/>
        </w:rPr>
      </w:pPr>
    </w:p>
    <w:p>
      <w:pPr>
        <w:spacing w:before="0"/>
        <w:ind w:left="23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00" w:right="900"/>
          <w:cols w:num="2" w:equalWidth="0">
            <w:col w:w="3245" w:space="5449"/>
            <w:col w:w="1416"/>
          </w:cols>
        </w:sectPr>
      </w:pPr>
    </w:p>
    <w:p>
      <w:pPr>
        <w:spacing w:line="240" w:lineRule="auto" w:before="12"/>
        <w:rPr>
          <w:rFonts w:ascii="宋体" w:hAnsi="宋体" w:cs="宋体" w:eastAsia="宋体" w:hint="default"/>
          <w:sz w:val="6"/>
          <w:szCs w:val="6"/>
        </w:rPr>
      </w:pPr>
    </w:p>
    <w:tbl>
      <w:tblPr>
        <w:tblW w:w="0" w:type="auto"/>
        <w:jc w:val="left"/>
        <w:tblInd w:w="22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1" w:lineRule="auto"/>
              <w:ind w:left="288" w:right="74" w:hanging="212"/>
              <w:jc w:val="left"/>
              <w:rPr>
                <w:rFonts w:ascii="宋体" w:hAnsi="宋体" w:cs="宋体" w:eastAsia="宋体" w:hint="default"/>
                <w:sz w:val="21"/>
                <w:szCs w:val="21"/>
              </w:rPr>
            </w:pPr>
            <w:r>
              <w:rPr>
                <w:rFonts w:ascii="宋体" w:hAnsi="宋体" w:cs="宋体" w:eastAsia="宋体" w:hint="default"/>
                <w:sz w:val="21"/>
                <w:szCs w:val="21"/>
              </w:rPr>
              <w:t>投资单</w:t>
            </w:r>
            <w:r>
              <w:rPr>
                <w:rFonts w:ascii="宋体" w:hAnsi="宋体" w:cs="宋体" w:eastAsia="宋体" w:hint="default"/>
                <w:spacing w:val="-102"/>
                <w:sz w:val="21"/>
                <w:szCs w:val="21"/>
              </w:rPr>
              <w:t> </w:t>
            </w:r>
            <w:r>
              <w:rPr>
                <w:rFonts w:ascii="宋体" w:hAnsi="宋体" w:cs="宋体" w:eastAsia="宋体" w:hint="default"/>
                <w:sz w:val="21"/>
                <w:szCs w:val="21"/>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1" w:lineRule="auto"/>
              <w:ind w:left="287" w:right="72" w:hanging="209"/>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1" w:lineRule="auto"/>
              <w:ind w:left="288" w:right="74"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71" w:lineRule="auto"/>
              <w:ind w:left="79" w:right="72"/>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1339"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88" w:right="74" w:hanging="209"/>
              <w:jc w:val="left"/>
              <w:rPr>
                <w:rFonts w:ascii="宋体" w:hAnsi="宋体" w:cs="宋体" w:eastAsia="宋体" w:hint="default"/>
                <w:sz w:val="21"/>
                <w:szCs w:val="21"/>
              </w:rPr>
            </w:pPr>
            <w:r>
              <w:rPr>
                <w:rFonts w:ascii="宋体" w:hAnsi="宋体" w:cs="宋体" w:eastAsia="宋体" w:hint="default"/>
                <w:sz w:val="21"/>
                <w:szCs w:val="21"/>
              </w:rPr>
              <w:t>追加投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4"/>
              <w:jc w:val="both"/>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pacing w:val="-102"/>
                <w:sz w:val="21"/>
                <w:szCs w:val="21"/>
              </w:rPr>
              <w:t> </w:t>
            </w:r>
            <w:r>
              <w:rPr>
                <w:rFonts w:ascii="宋体" w:hAnsi="宋体" w:cs="宋体" w:eastAsia="宋体" w:hint="default"/>
                <w:sz w:val="21"/>
                <w:szCs w:val="21"/>
              </w:rPr>
              <w:t>下确认</w:t>
            </w:r>
            <w:r>
              <w:rPr>
                <w:rFonts w:ascii="宋体" w:hAnsi="宋体" w:cs="宋体" w:eastAsia="宋体" w:hint="default"/>
                <w:spacing w:val="-102"/>
                <w:sz w:val="21"/>
                <w:szCs w:val="21"/>
              </w:rPr>
              <w:t> </w:t>
            </w:r>
            <w:r>
              <w:rPr>
                <w:rFonts w:ascii="宋体" w:hAnsi="宋体" w:cs="宋体" w:eastAsia="宋体" w:hint="default"/>
                <w:sz w:val="21"/>
                <w:szCs w:val="21"/>
              </w:rPr>
              <w:t>的投资</w:t>
            </w:r>
            <w:r>
              <w:rPr>
                <w:rFonts w:ascii="宋体" w:hAnsi="宋体" w:cs="宋体" w:eastAsia="宋体" w:hint="default"/>
                <w:spacing w:val="-102"/>
                <w:sz w:val="21"/>
                <w:szCs w:val="21"/>
              </w:rPr>
              <w:t> </w:t>
            </w:r>
            <w:r>
              <w:rPr>
                <w:rFonts w:ascii="宋体" w:hAnsi="宋体" w:cs="宋体" w:eastAsia="宋体" w:hint="default"/>
                <w:sz w:val="21"/>
                <w:szCs w:val="21"/>
              </w:rPr>
              <w:t>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9" w:right="72"/>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79" w:right="74"/>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2"/>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79" w:right="75"/>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97" w:type="dxa"/>
            <w:tcBorders>
              <w:top w:val="single" w:sz="4" w:space="0" w:color="000000"/>
              <w:left w:val="single" w:sz="13"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127"/>
              <w:jc w:val="left"/>
              <w:rPr>
                <w:rFonts w:ascii="宋体" w:hAnsi="宋体" w:cs="宋体" w:eastAsia="宋体" w:hint="default"/>
                <w:sz w:val="21"/>
                <w:szCs w:val="21"/>
              </w:rPr>
            </w:pPr>
            <w:r>
              <w:rPr>
                <w:rFonts w:ascii="宋体" w:hAnsi="宋体" w:cs="宋体" w:eastAsia="宋体" w:hint="default"/>
                <w:sz w:val="21"/>
                <w:szCs w:val="21"/>
              </w:rPr>
              <w:t>浙江中</w:t>
            </w:r>
            <w:r>
              <w:rPr>
                <w:rFonts w:ascii="宋体" w:hAnsi="宋体" w:cs="宋体" w:eastAsia="宋体" w:hint="default"/>
                <w:spacing w:val="-102"/>
                <w:sz w:val="21"/>
                <w:szCs w:val="21"/>
              </w:rPr>
              <w:t> </w:t>
            </w:r>
            <w:r>
              <w:rPr>
                <w:rFonts w:ascii="宋体" w:hAnsi="宋体" w:cs="宋体" w:eastAsia="宋体" w:hint="default"/>
                <w:sz w:val="21"/>
                <w:szCs w:val="21"/>
              </w:rPr>
              <w:t>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1,100,43</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5.95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701,216.</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147,168.</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1,948,82</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0.21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1,100,43</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5.95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701,216.</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147,168.</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1,948,82</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0.21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1,100,43</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5.95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701,216.</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147,168.</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1,948,82</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0.21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900" w:right="900"/>
        </w:sectPr>
      </w:pPr>
    </w:p>
    <w:p>
      <w:pPr>
        <w:pStyle w:val="Heading2"/>
        <w:spacing w:line="240" w:lineRule="auto" w:before="39"/>
        <w:ind w:left="233" w:right="0"/>
        <w:jc w:val="left"/>
        <w:rPr>
          <w:b w:val="0"/>
          <w:bCs w:val="0"/>
        </w:rPr>
      </w:pPr>
      <w:r>
        <w:rPr>
          <w:rFonts w:ascii="Times New Roman" w:hAnsi="Times New Roman" w:cs="Times New Roman" w:eastAsia="Times New Roman" w:hint="default"/>
          <w:w w:val="95"/>
        </w:rPr>
        <w:t>4</w:t>
      </w:r>
      <w:r>
        <w:rPr>
          <w:w w:val="95"/>
        </w:rPr>
        <w:t>、营业收入和营业成本</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17"/>
          <w:szCs w:val="17"/>
        </w:rPr>
      </w:pPr>
    </w:p>
    <w:p>
      <w:pPr>
        <w:spacing w:before="0"/>
        <w:ind w:left="23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00" w:right="900"/>
          <w:cols w:num="2" w:equalWidth="0">
            <w:col w:w="2762" w:space="5932"/>
            <w:col w:w="1416"/>
          </w:cols>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6"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631,671,688.07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346,346,483.37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547,993,369.38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227,010,006.30</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18,695,277.57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3,785,554.42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16,109,136.61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4,218,631.42</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650,366,965.64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350,132,037.79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564,102,505.99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231,228,637.72</w:t>
            </w:r>
          </w:p>
        </w:tc>
      </w:tr>
    </w:tbl>
    <w:p>
      <w:pPr>
        <w:pStyle w:val="BodyText"/>
        <w:spacing w:line="357" w:lineRule="auto" w:before="39"/>
        <w:ind w:right="6413"/>
        <w:jc w:val="left"/>
      </w:pPr>
      <w:r>
        <w:rPr/>
        <w:t>其他说明： 公司前五名客户的营业收入情况</w:t>
      </w:r>
    </w:p>
    <w:tbl>
      <w:tblPr>
        <w:tblW w:w="0" w:type="auto"/>
        <w:jc w:val="left"/>
        <w:tblInd w:w="138" w:type="dxa"/>
        <w:tblLayout w:type="fixed"/>
        <w:tblCellMar>
          <w:top w:w="0" w:type="dxa"/>
          <w:left w:w="0" w:type="dxa"/>
          <w:bottom w:w="0" w:type="dxa"/>
          <w:right w:w="0" w:type="dxa"/>
        </w:tblCellMar>
        <w:tblLook w:val="01E0"/>
      </w:tblPr>
      <w:tblGrid>
        <w:gridCol w:w="3137"/>
        <w:gridCol w:w="3135"/>
        <w:gridCol w:w="3387"/>
      </w:tblGrid>
      <w:tr>
        <w:trPr>
          <w:trHeight w:val="341"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343"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 w:right="0"/>
              <w:jc w:val="left"/>
              <w:rPr>
                <w:rFonts w:ascii="宋体" w:hAnsi="宋体" w:cs="宋体" w:eastAsia="宋体" w:hint="default"/>
                <w:sz w:val="21"/>
                <w:szCs w:val="21"/>
              </w:rPr>
            </w:pPr>
            <w:r>
              <w:rPr>
                <w:rFonts w:ascii="宋体" w:hAnsi="宋体" w:cs="宋体" w:eastAsia="宋体" w:hint="default"/>
                <w:sz w:val="21"/>
                <w:szCs w:val="21"/>
              </w:rPr>
              <w:t>前五名客户的营业收入总额</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915" w:right="-1"/>
              <w:jc w:val="left"/>
              <w:rPr>
                <w:rFonts w:ascii="Times New Roman" w:hAnsi="Times New Roman" w:cs="Times New Roman" w:eastAsia="Times New Roman" w:hint="default"/>
                <w:sz w:val="21"/>
                <w:szCs w:val="21"/>
              </w:rPr>
            </w:pPr>
            <w:r>
              <w:rPr>
                <w:rFonts w:ascii="Times New Roman"/>
                <w:sz w:val="21"/>
              </w:rPr>
              <w:t>80,802,498.44</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12.42</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0" w:top="1100" w:bottom="1160" w:left="980" w:right="980"/>
        </w:sectPr>
      </w:pPr>
    </w:p>
    <w:p>
      <w:pPr>
        <w:pStyle w:val="Heading2"/>
        <w:spacing w:line="240" w:lineRule="auto" w:before="26"/>
        <w:ind w:right="0"/>
        <w:jc w:val="left"/>
        <w:rPr>
          <w:b w:val="0"/>
          <w:bCs w:val="0"/>
        </w:rPr>
      </w:pPr>
      <w:r>
        <w:rPr>
          <w:rFonts w:ascii="Times New Roman" w:hAnsi="Times New Roman" w:cs="Times New Roman" w:eastAsia="Times New Roman" w:hint="default"/>
          <w:w w:val="95"/>
        </w:rPr>
        <w:t>5</w:t>
      </w:r>
      <w:r>
        <w:rPr>
          <w:w w:val="95"/>
        </w:rPr>
        <w:t>、投资收益</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80"/>
          <w:cols w:num="2" w:equalWidth="0">
            <w:col w:w="1478" w:space="7216"/>
            <w:col w:w="1256"/>
          </w:cols>
        </w:sectPr>
      </w:pP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29"/>
        <w:gridCol w:w="3698"/>
        <w:gridCol w:w="3402"/>
      </w:tblGrid>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91"/>
              <w:jc w:val="left"/>
              <w:rPr>
                <w:rFonts w:ascii="宋体" w:hAnsi="宋体" w:cs="宋体" w:eastAsia="宋体" w:hint="default"/>
                <w:sz w:val="21"/>
                <w:szCs w:val="21"/>
              </w:rPr>
            </w:pPr>
            <w:r>
              <w:rPr>
                <w:rFonts w:ascii="宋体" w:hAnsi="宋体" w:cs="宋体" w:eastAsia="宋体" w:hint="default"/>
                <w:spacing w:val="-2"/>
                <w:sz w:val="21"/>
                <w:szCs w:val="21"/>
              </w:rPr>
              <w:t>成本法核算的长期股权投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资收益</w:t>
            </w:r>
          </w:p>
        </w:tc>
        <w:tc>
          <w:tcPr>
            <w:tcW w:w="3698" w:type="dxa"/>
            <w:tcBorders>
              <w:top w:val="single" w:sz="4" w:space="0" w:color="000000"/>
              <w:left w:val="single" w:sz="10" w:space="0" w:color="D2D2D2"/>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91"/>
              <w:jc w:val="left"/>
              <w:rPr>
                <w:rFonts w:ascii="宋体" w:hAnsi="宋体" w:cs="宋体" w:eastAsia="宋体" w:hint="default"/>
                <w:sz w:val="21"/>
                <w:szCs w:val="21"/>
              </w:rPr>
            </w:pPr>
            <w:r>
              <w:rPr>
                <w:rFonts w:ascii="宋体" w:hAnsi="宋体" w:cs="宋体" w:eastAsia="宋体" w:hint="default"/>
                <w:spacing w:val="-2"/>
                <w:sz w:val="21"/>
                <w:szCs w:val="21"/>
              </w:rPr>
              <w:t>权益法核算的长期股权投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资收益</w:t>
            </w:r>
          </w:p>
        </w:tc>
        <w:tc>
          <w:tcPr>
            <w:tcW w:w="3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701,216.26</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-294,092.13</w:t>
            </w:r>
          </w:p>
        </w:tc>
      </w:tr>
      <w:tr>
        <w:trPr>
          <w:trHeight w:val="71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91"/>
              <w:jc w:val="left"/>
              <w:rPr>
                <w:rFonts w:ascii="宋体" w:hAnsi="宋体" w:cs="宋体" w:eastAsia="宋体" w:hint="default"/>
                <w:sz w:val="21"/>
                <w:szCs w:val="21"/>
              </w:rPr>
            </w:pPr>
            <w:r>
              <w:rPr>
                <w:rFonts w:ascii="宋体" w:hAnsi="宋体" w:cs="宋体" w:eastAsia="宋体" w:hint="default"/>
                <w:spacing w:val="-2"/>
                <w:sz w:val="21"/>
                <w:szCs w:val="21"/>
              </w:rPr>
              <w:t>处置长期股权投资产生的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投资收益</w:t>
            </w:r>
          </w:p>
        </w:tc>
        <w:tc>
          <w:tcPr>
            <w:tcW w:w="3698" w:type="dxa"/>
            <w:tcBorders>
              <w:top w:val="single" w:sz="4" w:space="0" w:color="000000"/>
              <w:left w:val="single" w:sz="10" w:space="0" w:color="D2D2D2"/>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91"/>
              <w:jc w:val="both"/>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计入当期损益的金融资产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在持有期间的投资收益</w:t>
            </w:r>
          </w:p>
        </w:tc>
        <w:tc>
          <w:tcPr>
            <w:tcW w:w="3698" w:type="dxa"/>
            <w:tcBorders>
              <w:top w:val="single" w:sz="4" w:space="0" w:color="000000"/>
              <w:left w:val="single" w:sz="10" w:space="0" w:color="D2D2D2"/>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91"/>
              <w:jc w:val="both"/>
              <w:rPr>
                <w:rFonts w:ascii="宋体" w:hAnsi="宋体" w:cs="宋体" w:eastAsia="宋体" w:hint="default"/>
                <w:sz w:val="21"/>
                <w:szCs w:val="21"/>
              </w:rPr>
            </w:pPr>
            <w:r>
              <w:rPr>
                <w:rFonts w:ascii="宋体" w:hAnsi="宋体" w:cs="宋体" w:eastAsia="宋体" w:hint="default"/>
                <w:spacing w:val="-2"/>
                <w:sz w:val="21"/>
                <w:szCs w:val="21"/>
              </w:rPr>
              <w:t>处置以公允价值计量且其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变动计入当期损益的金融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资产取得的投资收益</w:t>
            </w:r>
          </w:p>
        </w:tc>
        <w:tc>
          <w:tcPr>
            <w:tcW w:w="3698" w:type="dxa"/>
            <w:tcBorders>
              <w:top w:val="single" w:sz="4" w:space="0" w:color="000000"/>
              <w:left w:val="single" w:sz="10" w:space="0" w:color="D2D2D2"/>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91"/>
              <w:jc w:val="left"/>
              <w:rPr>
                <w:rFonts w:ascii="宋体" w:hAnsi="宋体" w:cs="宋体" w:eastAsia="宋体" w:hint="default"/>
                <w:sz w:val="21"/>
                <w:szCs w:val="21"/>
              </w:rPr>
            </w:pPr>
            <w:r>
              <w:rPr>
                <w:rFonts w:ascii="宋体" w:hAnsi="宋体" w:cs="宋体" w:eastAsia="宋体" w:hint="default"/>
                <w:spacing w:val="-2"/>
                <w:sz w:val="21"/>
                <w:szCs w:val="21"/>
              </w:rPr>
              <w:t>持有至到期投资在持有期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间的投资收益</w:t>
            </w:r>
          </w:p>
        </w:tc>
        <w:tc>
          <w:tcPr>
            <w:tcW w:w="3698" w:type="dxa"/>
            <w:tcBorders>
              <w:top w:val="single" w:sz="4" w:space="0" w:color="000000"/>
              <w:left w:val="single" w:sz="10" w:space="0" w:color="D2D2D2"/>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91"/>
              <w:jc w:val="left"/>
              <w:rPr>
                <w:rFonts w:ascii="宋体" w:hAnsi="宋体" w:cs="宋体" w:eastAsia="宋体" w:hint="default"/>
                <w:sz w:val="21"/>
                <w:szCs w:val="21"/>
              </w:rPr>
            </w:pPr>
            <w:r>
              <w:rPr>
                <w:rFonts w:ascii="宋体" w:hAnsi="宋体" w:cs="宋体" w:eastAsia="宋体" w:hint="default"/>
                <w:spacing w:val="-2"/>
                <w:sz w:val="21"/>
                <w:szCs w:val="21"/>
              </w:rPr>
              <w:t>可供出售金融资产在持有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期间的投资收益</w:t>
            </w:r>
          </w:p>
        </w:tc>
        <w:tc>
          <w:tcPr>
            <w:tcW w:w="3698" w:type="dxa"/>
            <w:tcBorders>
              <w:top w:val="single" w:sz="4" w:space="0" w:color="000000"/>
              <w:left w:val="single" w:sz="10" w:space="0" w:color="D2D2D2"/>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191"/>
              <w:jc w:val="left"/>
              <w:rPr>
                <w:rFonts w:ascii="宋体" w:hAnsi="宋体" w:cs="宋体" w:eastAsia="宋体" w:hint="default"/>
                <w:sz w:val="21"/>
                <w:szCs w:val="21"/>
              </w:rPr>
            </w:pPr>
            <w:r>
              <w:rPr>
                <w:rFonts w:ascii="宋体" w:hAnsi="宋体" w:cs="宋体" w:eastAsia="宋体" w:hint="default"/>
                <w:spacing w:val="-2"/>
                <w:sz w:val="21"/>
                <w:szCs w:val="21"/>
              </w:rPr>
              <w:t>处置可供出售金融资产取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得的投资收益</w:t>
            </w:r>
          </w:p>
        </w:tc>
        <w:tc>
          <w:tcPr>
            <w:tcW w:w="3698" w:type="dxa"/>
            <w:tcBorders>
              <w:top w:val="single" w:sz="4" w:space="0" w:color="000000"/>
              <w:left w:val="single" w:sz="10" w:space="0" w:color="D2D2D2"/>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189,333.83</w:t>
            </w:r>
          </w:p>
        </w:tc>
      </w:tr>
      <w:tr>
        <w:trPr>
          <w:trHeight w:val="1025"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6"/>
              <w:jc w:val="left"/>
              <w:rPr>
                <w:rFonts w:ascii="宋体" w:hAnsi="宋体" w:cs="宋体" w:eastAsia="宋体" w:hint="default"/>
                <w:sz w:val="21"/>
                <w:szCs w:val="21"/>
              </w:rPr>
            </w:pPr>
            <w:r>
              <w:rPr>
                <w:rFonts w:ascii="宋体" w:hAnsi="宋体" w:cs="宋体" w:eastAsia="宋体" w:hint="default"/>
                <w:spacing w:val="-4"/>
                <w:sz w:val="21"/>
                <w:szCs w:val="21"/>
              </w:rPr>
              <w:t>丧失控制权后，剩余股权按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公允价值重新计量产生的</w:t>
            </w:r>
            <w:r>
              <w:rPr>
                <w:rFonts w:ascii="宋体" w:hAnsi="宋体" w:cs="宋体" w:eastAsia="宋体" w:hint="default"/>
                <w:w w:val="100"/>
                <w:sz w:val="21"/>
                <w:szCs w:val="21"/>
              </w:rPr>
              <w:t> </w:t>
            </w:r>
            <w:r>
              <w:rPr>
                <w:rFonts w:ascii="宋体" w:hAnsi="宋体" w:cs="宋体" w:eastAsia="宋体" w:hint="default"/>
                <w:sz w:val="21"/>
                <w:szCs w:val="21"/>
              </w:rPr>
              <w:t>利得</w:t>
            </w:r>
          </w:p>
        </w:tc>
        <w:tc>
          <w:tcPr>
            <w:tcW w:w="3698" w:type="dxa"/>
            <w:tcBorders>
              <w:top w:val="single" w:sz="4" w:space="0" w:color="000000"/>
              <w:left w:val="single" w:sz="10" w:space="0" w:color="D2D2D2"/>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7,946,534.11</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1,999,406.31</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8,647,750.37</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1,894,648.01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293"/>
        <w:jc w:val="left"/>
        <w:rPr>
          <w:b w:val="0"/>
          <w:bCs w:val="0"/>
        </w:rPr>
      </w:pPr>
      <w:r>
        <w:rPr/>
        <w:t>十六、补充资料</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29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77" w:footer="980" w:top="1100" w:bottom="1160" w:left="980" w:right="980"/>
        </w:sectPr>
      </w:pPr>
    </w:p>
    <w:p>
      <w:pPr>
        <w:pStyle w:val="BodyText"/>
        <w:spacing w:line="240" w:lineRule="auto" w:before="26"/>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100" w:bottom="1160" w:left="980" w:right="980"/>
          <w:cols w:num="2" w:equalWidth="0">
            <w:col w:w="1990" w:space="6705"/>
            <w:col w:w="1255"/>
          </w:cols>
        </w:sectPr>
      </w:pP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72"/>
        <w:gridCol w:w="3272"/>
        <w:gridCol w:w="3685"/>
      </w:tblGrid>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-186,929.10</w:t>
            </w: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25"/>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的税收返还、减免</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7"/>
              <w:jc w:val="left"/>
              <w:rPr>
                <w:rFonts w:ascii="宋体" w:hAnsi="宋体" w:cs="宋体" w:eastAsia="宋体" w:hint="default"/>
                <w:sz w:val="21"/>
                <w:szCs w:val="21"/>
              </w:rPr>
            </w:pPr>
            <w:r>
              <w:rPr>
                <w:rFonts w:ascii="宋体" w:hAnsi="宋体" w:cs="宋体" w:eastAsia="宋体" w:hint="default"/>
                <w:spacing w:val="-9"/>
                <w:w w:val="100"/>
                <w:sz w:val="21"/>
                <w:szCs w:val="21"/>
              </w:rPr>
              <w:t>计入当期损益的政府补助（与</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9"/>
                <w:w w:val="100"/>
                <w:sz w:val="21"/>
                <w:szCs w:val="21"/>
              </w:rPr>
              <w:t>企业业务密切相关，按照国家</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统一标准定额或定量享受的</w:t>
            </w:r>
            <w:r>
              <w:rPr>
                <w:rFonts w:ascii="宋体" w:hAnsi="宋体" w:cs="宋体" w:eastAsia="宋体" w:hint="default"/>
                <w:w w:val="100"/>
                <w:sz w:val="21"/>
                <w:szCs w:val="21"/>
              </w:rPr>
              <w:t> </w:t>
            </w:r>
            <w:r>
              <w:rPr>
                <w:rFonts w:ascii="宋体" w:hAnsi="宋体" w:cs="宋体" w:eastAsia="宋体" w:hint="default"/>
                <w:sz w:val="21"/>
                <w:szCs w:val="21"/>
              </w:rPr>
              <w:t>政府补助除外）</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4,407,156.35</w:t>
            </w: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25"/>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业收取的资金占用费</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7"/>
              <w:jc w:val="left"/>
              <w:rPr>
                <w:rFonts w:ascii="宋体" w:hAnsi="宋体" w:cs="宋体" w:eastAsia="宋体" w:hint="default"/>
                <w:sz w:val="21"/>
                <w:szCs w:val="21"/>
              </w:rPr>
            </w:pPr>
            <w:r>
              <w:rPr>
                <w:rFonts w:ascii="宋体" w:hAnsi="宋体" w:cs="宋体" w:eastAsia="宋体" w:hint="default"/>
                <w:spacing w:val="-9"/>
                <w:w w:val="100"/>
                <w:sz w:val="21"/>
                <w:szCs w:val="21"/>
              </w:rPr>
              <w:t>企业取得子公司、联营企业及</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合营企业的投资成本小于取</w:t>
            </w:r>
            <w:r>
              <w:rPr>
                <w:rFonts w:ascii="宋体" w:hAnsi="宋体" w:cs="宋体" w:eastAsia="宋体" w:hint="default"/>
                <w:w w:val="100"/>
                <w:sz w:val="21"/>
                <w:szCs w:val="21"/>
              </w:rPr>
              <w:t> </w:t>
            </w:r>
            <w:r>
              <w:rPr>
                <w:rFonts w:ascii="宋体" w:hAnsi="宋体" w:cs="宋体" w:eastAsia="宋体" w:hint="default"/>
                <w:sz w:val="21"/>
                <w:szCs w:val="21"/>
              </w:rPr>
              <w:t>得投资时应享有被投资单位</w:t>
            </w:r>
            <w:r>
              <w:rPr>
                <w:rFonts w:ascii="宋体" w:hAnsi="宋体" w:cs="宋体" w:eastAsia="宋体" w:hint="default"/>
                <w:w w:val="100"/>
                <w:sz w:val="21"/>
                <w:szCs w:val="21"/>
              </w:rPr>
              <w:t> </w:t>
            </w:r>
            <w:r>
              <w:rPr>
                <w:rFonts w:ascii="宋体" w:hAnsi="宋体" w:cs="宋体" w:eastAsia="宋体" w:hint="default"/>
                <w:sz w:val="21"/>
                <w:szCs w:val="21"/>
              </w:rPr>
              <w:t>可辨认净资产公允价值产生</w:t>
            </w:r>
            <w:r>
              <w:rPr>
                <w:rFonts w:ascii="宋体" w:hAnsi="宋体" w:cs="宋体" w:eastAsia="宋体" w:hint="default"/>
                <w:w w:val="100"/>
                <w:sz w:val="21"/>
                <w:szCs w:val="21"/>
              </w:rPr>
              <w:t> </w:t>
            </w:r>
            <w:r>
              <w:rPr>
                <w:rFonts w:ascii="宋体" w:hAnsi="宋体" w:cs="宋体" w:eastAsia="宋体" w:hint="default"/>
                <w:sz w:val="21"/>
                <w:szCs w:val="21"/>
              </w:rPr>
              <w:t>的收益</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25"/>
              <w:jc w:val="left"/>
              <w:rPr>
                <w:rFonts w:ascii="宋体" w:hAnsi="宋体" w:cs="宋体" w:eastAsia="宋体" w:hint="default"/>
                <w:sz w:val="21"/>
                <w:szCs w:val="21"/>
              </w:rPr>
            </w:pPr>
            <w:r>
              <w:rPr>
                <w:rFonts w:ascii="宋体" w:hAnsi="宋体" w:cs="宋体" w:eastAsia="宋体" w:hint="default"/>
                <w:spacing w:val="-2"/>
                <w:sz w:val="21"/>
                <w:szCs w:val="21"/>
              </w:rPr>
              <w:t>委托他人投资或管理资产的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损益</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7"/>
              <w:jc w:val="left"/>
              <w:rPr>
                <w:rFonts w:ascii="宋体" w:hAnsi="宋体" w:cs="宋体" w:eastAsia="宋体" w:hint="default"/>
                <w:sz w:val="21"/>
                <w:szCs w:val="21"/>
              </w:rPr>
            </w:pPr>
            <w:r>
              <w:rPr>
                <w:rFonts w:ascii="宋体" w:hAnsi="宋体" w:cs="宋体" w:eastAsia="宋体" w:hint="default"/>
                <w:spacing w:val="-9"/>
                <w:w w:val="100"/>
                <w:sz w:val="21"/>
                <w:szCs w:val="21"/>
              </w:rPr>
              <w:t>因不可抗力因素，如遭受自然</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灾害而计提的各项资产减值</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7"/>
              <w:jc w:val="left"/>
              <w:rPr>
                <w:rFonts w:ascii="宋体" w:hAnsi="宋体" w:cs="宋体" w:eastAsia="宋体" w:hint="default"/>
                <w:sz w:val="21"/>
                <w:szCs w:val="21"/>
              </w:rPr>
            </w:pPr>
            <w:r>
              <w:rPr>
                <w:rFonts w:ascii="宋体" w:hAnsi="宋体" w:cs="宋体" w:eastAsia="宋体" w:hint="default"/>
                <w:spacing w:val="-9"/>
                <w:w w:val="100"/>
                <w:sz w:val="21"/>
                <w:szCs w:val="21"/>
              </w:rPr>
              <w:t>企业重组费用，如安置职工的</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支出、整合费用等</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25"/>
              <w:jc w:val="both"/>
              <w:rPr>
                <w:rFonts w:ascii="宋体" w:hAnsi="宋体" w:cs="宋体" w:eastAsia="宋体" w:hint="default"/>
                <w:sz w:val="21"/>
                <w:szCs w:val="21"/>
              </w:rPr>
            </w:pPr>
            <w:r>
              <w:rPr>
                <w:rFonts w:ascii="宋体" w:hAnsi="宋体" w:cs="宋体" w:eastAsia="宋体" w:hint="default"/>
                <w:spacing w:val="-2"/>
                <w:sz w:val="21"/>
                <w:szCs w:val="21"/>
              </w:rPr>
              <w:t>交易价格显失公允的交易产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生的超过公允价值部分的损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益</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25"/>
              <w:jc w:val="both"/>
              <w:rPr>
                <w:rFonts w:ascii="宋体" w:hAnsi="宋体" w:cs="宋体" w:eastAsia="宋体" w:hint="default"/>
                <w:sz w:val="21"/>
                <w:szCs w:val="21"/>
              </w:rPr>
            </w:pPr>
            <w:r>
              <w:rPr>
                <w:rFonts w:ascii="宋体" w:hAnsi="宋体" w:cs="宋体" w:eastAsia="宋体" w:hint="default"/>
                <w:spacing w:val="-2"/>
                <w:sz w:val="21"/>
                <w:szCs w:val="21"/>
              </w:rPr>
              <w:t>同一控制下企业合并产生的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子公司期初至合并日的当期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净损益</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25"/>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或有事项产生的损益</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82"/>
        <w:gridCol w:w="3272"/>
        <w:gridCol w:w="3685"/>
      </w:tblGrid>
      <w:tr>
        <w:trPr>
          <w:trHeight w:val="2273"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7"/>
              <w:jc w:val="left"/>
              <w:rPr>
                <w:rFonts w:ascii="宋体" w:hAnsi="宋体" w:cs="宋体" w:eastAsia="宋体" w:hint="default"/>
                <w:sz w:val="21"/>
                <w:szCs w:val="21"/>
              </w:rPr>
            </w:pPr>
            <w:r>
              <w:rPr>
                <w:rFonts w:ascii="宋体" w:hAnsi="宋体" w:cs="宋体" w:eastAsia="宋体" w:hint="default"/>
                <w:sz w:val="21"/>
                <w:szCs w:val="21"/>
              </w:rPr>
              <w:t>除同公司正常经营业务相关</w:t>
            </w:r>
            <w:r>
              <w:rPr>
                <w:rFonts w:ascii="宋体" w:hAnsi="宋体" w:cs="宋体" w:eastAsia="宋体" w:hint="default"/>
                <w:w w:val="100"/>
                <w:sz w:val="21"/>
                <w:szCs w:val="21"/>
              </w:rPr>
              <w:t> </w:t>
            </w:r>
            <w:r>
              <w:rPr>
                <w:rFonts w:ascii="宋体" w:hAnsi="宋体" w:cs="宋体" w:eastAsia="宋体" w:hint="default"/>
                <w:spacing w:val="-9"/>
                <w:w w:val="100"/>
                <w:sz w:val="21"/>
                <w:szCs w:val="21"/>
              </w:rPr>
              <w:t>的有效套期保值业务外，持有</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9"/>
                <w:w w:val="100"/>
                <w:sz w:val="21"/>
                <w:szCs w:val="21"/>
              </w:rPr>
              <w:t>交易性金融资产、交易性金融</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负债产生的公允价值变动损</w:t>
            </w:r>
            <w:r>
              <w:rPr>
                <w:rFonts w:ascii="宋体" w:hAnsi="宋体" w:cs="宋体" w:eastAsia="宋体" w:hint="default"/>
                <w:w w:val="100"/>
                <w:sz w:val="21"/>
                <w:szCs w:val="21"/>
              </w:rPr>
              <w:t> </w:t>
            </w:r>
            <w:r>
              <w:rPr>
                <w:rFonts w:ascii="宋体" w:hAnsi="宋体" w:cs="宋体" w:eastAsia="宋体" w:hint="default"/>
                <w:sz w:val="21"/>
                <w:szCs w:val="21"/>
              </w:rPr>
              <w:t>益，以及处置交易性金融资</w:t>
            </w:r>
            <w:r>
              <w:rPr>
                <w:rFonts w:ascii="宋体" w:hAnsi="宋体" w:cs="宋体" w:eastAsia="宋体" w:hint="default"/>
                <w:w w:val="100"/>
                <w:sz w:val="21"/>
                <w:szCs w:val="21"/>
              </w:rPr>
              <w:t> </w:t>
            </w:r>
            <w:r>
              <w:rPr>
                <w:rFonts w:ascii="宋体" w:hAnsi="宋体" w:cs="宋体" w:eastAsia="宋体" w:hint="default"/>
                <w:spacing w:val="-9"/>
                <w:w w:val="100"/>
                <w:sz w:val="21"/>
                <w:szCs w:val="21"/>
              </w:rPr>
              <w:t>产、交易性金融负债和可供出</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售金融资产取得的投资收益</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25"/>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项减值准备转回</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25"/>
              <w:jc w:val="both"/>
              <w:rPr>
                <w:rFonts w:ascii="宋体" w:hAnsi="宋体" w:cs="宋体" w:eastAsia="宋体" w:hint="default"/>
                <w:sz w:val="21"/>
                <w:szCs w:val="21"/>
              </w:rPr>
            </w:pPr>
            <w:r>
              <w:rPr>
                <w:rFonts w:ascii="宋体" w:hAnsi="宋体" w:cs="宋体" w:eastAsia="宋体" w:hint="default"/>
                <w:spacing w:val="-2"/>
                <w:sz w:val="21"/>
                <w:szCs w:val="21"/>
              </w:rPr>
              <w:t>采用公允价值模式进行后续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计量的投资性房地产公允价</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值变动产生的损益</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7"/>
              <w:jc w:val="left"/>
              <w:rPr>
                <w:rFonts w:ascii="宋体" w:hAnsi="宋体" w:cs="宋体" w:eastAsia="宋体" w:hint="default"/>
                <w:sz w:val="21"/>
                <w:szCs w:val="21"/>
              </w:rPr>
            </w:pPr>
            <w:r>
              <w:rPr>
                <w:rFonts w:ascii="宋体" w:hAnsi="宋体" w:cs="宋体" w:eastAsia="宋体" w:hint="default"/>
                <w:spacing w:val="-9"/>
                <w:sz w:val="21"/>
                <w:szCs w:val="21"/>
              </w:rPr>
              <w:t>根据税收、会计等法律、法规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的要求对当期损益进行一次</w:t>
            </w:r>
            <w:r>
              <w:rPr>
                <w:rFonts w:ascii="宋体" w:hAnsi="宋体" w:cs="宋体" w:eastAsia="宋体" w:hint="default"/>
                <w:w w:val="100"/>
                <w:sz w:val="21"/>
                <w:szCs w:val="21"/>
              </w:rPr>
              <w:t> </w:t>
            </w:r>
            <w:r>
              <w:rPr>
                <w:rFonts w:ascii="宋体" w:hAnsi="宋体" w:cs="宋体" w:eastAsia="宋体" w:hint="default"/>
                <w:sz w:val="21"/>
                <w:szCs w:val="21"/>
              </w:rPr>
              <w:t>性调整对当期损益的影响</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3272" w:type="dxa"/>
            <w:tcBorders>
              <w:top w:val="single" w:sz="4" w:space="0" w:color="000000"/>
              <w:left w:val="single" w:sz="13" w:space="0" w:color="D2D2D2"/>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25"/>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外收入和支出</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2,116,509.36</w:t>
            </w: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25"/>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的损益项目</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8,385,947.38</w:t>
            </w: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1,634,990.37</w:t>
            </w: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-109,294.19</w:t>
            </w: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13,196,987.81</w:t>
            </w:r>
          </w:p>
        </w:tc>
        <w:tc>
          <w:tcPr>
            <w:tcW w:w="3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79"/>
        <w:ind w:right="138"/>
        <w:jc w:val="left"/>
      </w:pPr>
      <w:r>
        <w:rPr/>
        <w:t>对公司根据《公开发行证券的公司信息披露解释性公告第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非经常性损益》定义界定</w:t>
      </w:r>
    </w:p>
    <w:p>
      <w:pPr>
        <w:pStyle w:val="BodyText"/>
        <w:spacing w:line="338" w:lineRule="auto" w:before="133"/>
        <w:ind w:right="172"/>
        <w:jc w:val="left"/>
      </w:pPr>
      <w:r>
        <w:rPr/>
        <w:t>的非经常性损益项目，以及把《公开发行证券的公司信息披露解释性公告第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 性损益》中列举的非经常性损益项目界定为经常性损益的项目，应说明原因。</w:t>
      </w:r>
    </w:p>
    <w:p>
      <w:pPr>
        <w:pStyle w:val="BodyText"/>
        <w:spacing w:line="240" w:lineRule="auto" w:before="96"/>
        <w:ind w:right="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7"/>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89" w:right="0"/>
              <w:jc w:val="left"/>
              <w:rPr>
                <w:rFonts w:ascii="宋体" w:hAnsi="宋体" w:cs="宋体" w:eastAsia="宋体" w:hint="default"/>
                <w:sz w:val="21"/>
                <w:szCs w:val="21"/>
              </w:rPr>
            </w:pPr>
            <w:r>
              <w:rPr>
                <w:rFonts w:ascii="宋体" w:hAnsi="宋体" w:cs="宋体" w:eastAsia="宋体" w:hint="default"/>
                <w:sz w:val="21"/>
                <w:szCs w:val="21"/>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716"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9"/>
              <w:ind w:left="24" w:right="17"/>
              <w:jc w:val="left"/>
              <w:rPr>
                <w:rFonts w:ascii="宋体" w:hAnsi="宋体" w:cs="宋体" w:eastAsia="宋体" w:hint="default"/>
                <w:sz w:val="21"/>
                <w:szCs w:val="21"/>
              </w:rPr>
            </w:pPr>
            <w:r>
              <w:rPr>
                <w:rFonts w:ascii="宋体" w:hAnsi="宋体" w:cs="宋体" w:eastAsia="宋体" w:hint="default"/>
                <w:sz w:val="21"/>
                <w:szCs w:val="21"/>
              </w:rPr>
              <w:t>增值税实际税负超过</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w:t>
            </w:r>
            <w:r>
              <w:rPr>
                <w:rFonts w:ascii="宋体" w:hAnsi="宋体" w:cs="宋体" w:eastAsia="宋体" w:hint="default"/>
                <w:w w:val="100"/>
                <w:sz w:val="21"/>
                <w:szCs w:val="21"/>
              </w:rPr>
              <w:t> </w:t>
            </w:r>
            <w:r>
              <w:rPr>
                <w:rFonts w:ascii="宋体" w:hAnsi="宋体" w:cs="宋体" w:eastAsia="宋体" w:hint="default"/>
                <w:sz w:val="21"/>
                <w:szCs w:val="21"/>
              </w:rPr>
              <w:t>即征即退</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19" w:right="0"/>
              <w:jc w:val="left"/>
              <w:rPr>
                <w:rFonts w:ascii="Times New Roman" w:hAnsi="Times New Roman" w:cs="Times New Roman" w:eastAsia="Times New Roman" w:hint="default"/>
                <w:sz w:val="21"/>
                <w:szCs w:val="21"/>
              </w:rPr>
            </w:pPr>
            <w:r>
              <w:rPr>
                <w:rFonts w:ascii="Times New Roman"/>
                <w:sz w:val="21"/>
              </w:rPr>
              <w:t>24,312,498.70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3" w:right="17"/>
              <w:jc w:val="left"/>
              <w:rPr>
                <w:rFonts w:ascii="宋体" w:hAnsi="宋体" w:cs="宋体" w:eastAsia="宋体" w:hint="default"/>
                <w:sz w:val="21"/>
                <w:szCs w:val="21"/>
              </w:rPr>
            </w:pPr>
            <w:r>
              <w:rPr>
                <w:rFonts w:ascii="宋体" w:hAnsi="宋体" w:cs="宋体" w:eastAsia="宋体" w:hint="default"/>
                <w:spacing w:val="-3"/>
                <w:sz w:val="21"/>
                <w:szCs w:val="21"/>
              </w:rPr>
              <w:t>软件产品销售，增值税实际税负超</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的部分实行即征即退。</w:t>
            </w:r>
          </w:p>
        </w:tc>
      </w:tr>
    </w:tbl>
    <w:p>
      <w:pPr>
        <w:spacing w:line="240" w:lineRule="auto" w:before="1"/>
        <w:rPr>
          <w:rFonts w:ascii="宋体" w:hAnsi="宋体" w:cs="宋体" w:eastAsia="宋体" w:hint="default"/>
          <w:sz w:val="18"/>
          <w:szCs w:val="18"/>
        </w:rPr>
      </w:pPr>
    </w:p>
    <w:p>
      <w:pPr>
        <w:pStyle w:val="Heading2"/>
        <w:spacing w:line="240" w:lineRule="auto" w:before="26"/>
        <w:ind w:right="29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661"/>
        <w:gridCol w:w="3082"/>
        <w:gridCol w:w="1913"/>
        <w:gridCol w:w="1916"/>
      </w:tblGrid>
      <w:tr>
        <w:trPr>
          <w:trHeight w:val="403" w:hRule="exact"/>
        </w:trPr>
        <w:tc>
          <w:tcPr>
            <w:tcW w:w="26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800"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0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713" w:hRule="exact"/>
        </w:trPr>
        <w:tc>
          <w:tcPr>
            <w:tcW w:w="2661" w:type="dxa"/>
            <w:vMerge/>
            <w:tcBorders>
              <w:left w:val="single" w:sz="4" w:space="0" w:color="000000"/>
              <w:bottom w:val="single" w:sz="4" w:space="0" w:color="000000"/>
              <w:right w:val="single" w:sz="4" w:space="0" w:color="000000"/>
            </w:tcBorders>
            <w:shd w:val="clear" w:color="auto" w:fill="D2D2D2"/>
          </w:tcPr>
          <w:p>
            <w:pPr/>
          </w:p>
        </w:tc>
        <w:tc>
          <w:tcPr>
            <w:tcW w:w="3082"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741" w:right="76" w:hanging="658"/>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741" w:right="78" w:hanging="658"/>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股）</w:t>
            </w:r>
          </w:p>
        </w:tc>
      </w:tr>
    </w:tbl>
    <w:p>
      <w:pPr>
        <w:spacing w:after="0" w:line="256" w:lineRule="auto"/>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650"/>
        <w:gridCol w:w="3093"/>
        <w:gridCol w:w="1913"/>
        <w:gridCol w:w="1913"/>
      </w:tblGrid>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92"/>
              <w:jc w:val="left"/>
              <w:rPr>
                <w:rFonts w:ascii="宋体" w:hAnsi="宋体" w:cs="宋体" w:eastAsia="宋体" w:hint="default"/>
                <w:sz w:val="21"/>
                <w:szCs w:val="21"/>
              </w:rPr>
            </w:pPr>
            <w:r>
              <w:rPr>
                <w:rFonts w:ascii="宋体" w:hAnsi="宋体" w:cs="宋体" w:eastAsia="宋体" w:hint="default"/>
                <w:spacing w:val="-2"/>
                <w:sz w:val="21"/>
                <w:szCs w:val="21"/>
              </w:rPr>
              <w:t>归属于公司普通股股东的净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利润</w:t>
            </w:r>
          </w:p>
        </w:tc>
        <w:tc>
          <w:tcPr>
            <w:tcW w:w="30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2"/>
                <w:sz w:val="21"/>
              </w:rPr>
              <w:t>11.49%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0.44</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92"/>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公司普通股股东的净利润</w:t>
            </w:r>
          </w:p>
        </w:tc>
        <w:tc>
          <w:tcPr>
            <w:tcW w:w="30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0.41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pStyle w:val="Heading1"/>
        <w:spacing w:line="240" w:lineRule="auto"/>
        <w:ind w:left="2984" w:right="2985"/>
        <w:jc w:val="center"/>
        <w:rPr>
          <w:b w:val="0"/>
          <w:bCs w:val="0"/>
        </w:rPr>
      </w:pPr>
      <w:bookmarkStart w:name="_bookmark11" w:id="12"/>
      <w:bookmarkEnd w:id="12"/>
      <w:r>
        <w:rPr>
          <w:b w:val="0"/>
          <w:bCs w:val="0"/>
        </w:rPr>
      </w:r>
      <w:r>
        <w:rPr/>
        <w:t>第十二节</w:t>
      </w:r>
      <w:r>
        <w:rPr>
          <w:spacing w:val="-5"/>
        </w:rPr>
        <w:t> </w:t>
      </w:r>
      <w:r>
        <w:rPr/>
        <w:t>备查文件目录</w:t>
      </w:r>
      <w:r>
        <w:rPr>
          <w:b w:val="0"/>
          <w:bCs w:val="0"/>
        </w:rPr>
      </w:r>
    </w:p>
    <w:p>
      <w:pPr>
        <w:spacing w:line="240" w:lineRule="auto" w:before="11"/>
        <w:rPr>
          <w:rFonts w:ascii="宋体" w:hAnsi="宋体" w:cs="宋体" w:eastAsia="宋体" w:hint="default"/>
          <w:b/>
          <w:bCs/>
          <w:sz w:val="44"/>
          <w:szCs w:val="44"/>
        </w:rPr>
      </w:pPr>
    </w:p>
    <w:p>
      <w:pPr>
        <w:pStyle w:val="BodyText"/>
        <w:spacing w:line="357" w:lineRule="auto" w:before="0"/>
        <w:ind w:right="173"/>
        <w:jc w:val="left"/>
      </w:pPr>
      <w:r>
        <w:rPr/>
        <w:t>（一）载有公司负责人、主管会计工作负责人、会计机构负责人（会计主管人员）签名并盖 章的财务报表。</w:t>
      </w:r>
    </w:p>
    <w:p>
      <w:pPr>
        <w:pStyle w:val="BodyText"/>
        <w:spacing w:line="240" w:lineRule="auto" w:before="77"/>
        <w:ind w:right="293"/>
        <w:jc w:val="left"/>
      </w:pPr>
      <w:r>
        <w:rPr/>
        <w:t>（二）载有会计师事务所盖章、注册会计师签名并盖章的审计报告原件。</w:t>
      </w:r>
    </w:p>
    <w:p>
      <w:pPr>
        <w:pStyle w:val="BodyText"/>
        <w:spacing w:line="240" w:lineRule="auto" w:before="194"/>
        <w:ind w:right="138"/>
        <w:jc w:val="left"/>
      </w:pPr>
      <w:r>
        <w:rPr/>
        <w:t>（三）报告期内在中国证监会指定网站上公开披露过的所有公司文件的正本及公告的原稿。</w:t>
      </w:r>
    </w:p>
    <w:p>
      <w:pPr>
        <w:pStyle w:val="BodyText"/>
        <w:spacing w:line="240" w:lineRule="auto" w:before="192"/>
        <w:ind w:right="293"/>
        <w:jc w:val="left"/>
      </w:pPr>
      <w:r>
        <w:rPr/>
        <w:t>（四）在其他证券市场公布的年度报告。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BodyText"/>
        <w:spacing w:line="388" w:lineRule="auto" w:before="0"/>
        <w:ind w:left="8082" w:right="133" w:hanging="1169"/>
        <w:jc w:val="left"/>
      </w:pPr>
      <w:r>
        <w:rPr/>
        <w:t>北京超图软件股份有限公司 董事会</w:t>
      </w:r>
    </w:p>
    <w:p>
      <w:pPr>
        <w:pStyle w:val="BodyText"/>
        <w:spacing w:line="240" w:lineRule="auto" w:before="46"/>
        <w:ind w:left="0" w:right="573"/>
        <w:jc w:val="right"/>
      </w:pP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27 </w:t>
      </w:r>
      <w:r>
        <w:rPr/>
        <w:t>日</w:t>
      </w:r>
    </w:p>
    <w:sectPr>
      <w:pgSz w:w="11910" w:h="16840"/>
      <w:pgMar w:header="877" w:footer="980"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33899pt;width:13.15pt;height:11pt;mso-position-horizontal-relative:page;mso-position-vertical-relative:page;z-index:-999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33899pt;width:15.7pt;height:11pt;mso-position-horizontal-relative:page;mso-position-vertical-relative:page;z-index:-9990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33899pt;width:17.7pt;height:11pt;mso-position-horizontal-relative:page;mso-position-vertical-relative:page;z-index:-998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933899pt;width:17.3pt;height:11pt;mso-position-horizontal-relative:page;mso-position-vertical-relative:page;z-index:-998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33899pt;width:17.7pt;height:11pt;mso-position-horizontal-relative:page;mso-position-vertical-relative:page;z-index:-998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33899pt;width:15.7pt;height:11pt;mso-position-horizontal-relative:page;mso-position-vertical-relative:page;z-index:-9989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33899pt;width:17.7pt;height:11pt;mso-position-horizontal-relative:page;mso-position-vertical-relative:page;z-index:-998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5pt;height:.1pt;mso-position-horizontal-relative:page;mso-position-vertical-relative:page;z-index:-999088" coordorigin="1104,1111" coordsize="9699,2">
          <v:shape style="position:absolute;left:1104;top:1111;width:9699;height:2" coordorigin="1104,1111" coordsize="9699,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62.070007pt;margin-top:42.865608pt;width:177.75pt;height:11.5pt;mso-position-horizontal-relative:page;mso-position-vertical-relative:page;z-index:-999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北京超图软件股份有限公司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1"/>
      <w:ind w:left="635"/>
    </w:pPr>
    <w:rPr>
      <w:rFonts w:ascii="宋体" w:hAnsi="宋体" w:eastAsia="宋体"/>
      <w:b/>
      <w:bCs/>
      <w:sz w:val="24"/>
      <w:szCs w:val="24"/>
    </w:rPr>
  </w:style>
  <w:style w:styleId="BodyText" w:type="paragraph">
    <w:name w:val="Body Text"/>
    <w:basedOn w:val="Normal"/>
    <w:uiPriority w:val="1"/>
    <w:qFormat/>
    <w:pPr>
      <w:spacing w:before="55"/>
      <w:ind w:left="153"/>
    </w:pPr>
    <w:rPr>
      <w:rFonts w:ascii="宋体" w:hAnsi="宋体" w:eastAsia="宋体"/>
      <w:sz w:val="24"/>
      <w:szCs w:val="24"/>
    </w:rPr>
  </w:style>
  <w:style w:styleId="Heading1" w:type="paragraph">
    <w:name w:val="Heading 1"/>
    <w:basedOn w:val="Normal"/>
    <w:uiPriority w:val="1"/>
    <w:qFormat/>
    <w:pPr>
      <w:ind w:left="3268"/>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www.supermap.com.cn/" TargetMode="External"/><Relationship Id="rId9" Type="http://schemas.openxmlformats.org/officeDocument/2006/relationships/hyperlink" Target="http://www.supermap.com/" TargetMode="External"/><Relationship Id="rId10" Type="http://schemas.openxmlformats.org/officeDocument/2006/relationships/hyperlink" Target="mailto:public@supermap.com"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北京超图软件股份有限公司</dc:creator>
  <dc:title>北京超图软件股份有限公司2017年年度报告</dc:title>
  <dcterms:created xsi:type="dcterms:W3CDTF">2020-05-02T23:40:47Z</dcterms:created>
  <dcterms:modified xsi:type="dcterms:W3CDTF">2020-05-02T23:40:47Z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2018-03-28T00:00:00Z</vt:filetime>
  </property>
  <property fmtid="{D5CDD505-2E9C-101B-9397-08002B2CF9AE}" pid="3" name="Creator">
    <vt:lpwstr>Microsoft® Word 2010</vt:lpwstr>
  </property>
  <property fmtid="{D5CDD505-2E9C-101B-9397-08002B2CF9AE}" pid="4" name="LastSaved">
    <vt:filetime>2020-05-02T00:00:00Z</vt:filetime>
  </property>
</Properties>
</file>