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820" w:lineRule="exact" w:before="0"/>
        <w:ind w:left="652" w:right="1273" w:firstLine="0"/>
        <w:jc w:val="left"/>
        <w:rPr>
          <w:rFonts w:ascii="宋体" w:hAnsi="宋体" w:cs="宋体" w:eastAsia="宋体" w:hint="default"/>
          <w:sz w:val="72"/>
          <w:szCs w:val="72"/>
        </w:rPr>
      </w:pPr>
      <w:r>
        <w:rPr>
          <w:rFonts w:ascii="宋体" w:hAnsi="宋体" w:cs="宋体" w:eastAsia="宋体" w:hint="default"/>
          <w:sz w:val="72"/>
          <w:szCs w:val="72"/>
        </w:rPr>
        <w:t>北京超图软件股份有限公司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2037" w:lineRule="exact"/>
        <w:ind w:left="2517"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3413730" cy="129387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413730" cy="1293876"/>
                    </a:xfrm>
                    <a:prstGeom prst="rect">
                      <a:avLst/>
                    </a:prstGeom>
                  </pic:spPr>
                </pic:pic>
              </a:graphicData>
            </a:graphic>
          </wp:inline>
        </w:drawing>
      </w:r>
      <w:r>
        <w:rPr>
          <w:rFonts w:ascii="宋体" w:hAnsi="宋体" w:cs="宋体" w:eastAsia="宋体" w:hint="default"/>
          <w:position w:val="-40"/>
          <w:sz w:val="20"/>
          <w:szCs w:val="20"/>
        </w:rPr>
      </w:r>
    </w:p>
    <w:p>
      <w:pPr>
        <w:spacing w:line="240" w:lineRule="auto" w:before="0"/>
        <w:rPr>
          <w:rFonts w:ascii="宋体" w:hAnsi="宋体" w:cs="宋体" w:eastAsia="宋体" w:hint="default"/>
          <w:sz w:val="72"/>
          <w:szCs w:val="72"/>
        </w:rPr>
      </w:pPr>
    </w:p>
    <w:p>
      <w:pPr>
        <w:spacing w:before="543"/>
        <w:ind w:left="3081" w:right="1273" w:firstLine="0"/>
        <w:jc w:val="left"/>
        <w:rPr>
          <w:rFonts w:ascii="宋体" w:hAnsi="宋体" w:cs="宋体" w:eastAsia="宋体" w:hint="default"/>
          <w:sz w:val="72"/>
          <w:szCs w:val="72"/>
        </w:rPr>
      </w:pPr>
      <w:r>
        <w:rPr>
          <w:rFonts w:ascii="Times New Roman" w:hAnsi="Times New Roman" w:cs="Times New Roman" w:eastAsia="Times New Roman" w:hint="default"/>
          <w:sz w:val="72"/>
          <w:szCs w:val="72"/>
        </w:rPr>
        <w:t>2018 </w:t>
      </w:r>
      <w:r>
        <w:rPr>
          <w:rFonts w:ascii="宋体" w:hAnsi="宋体" w:cs="宋体" w:eastAsia="宋体" w:hint="default"/>
          <w:sz w:val="72"/>
          <w:szCs w:val="72"/>
        </w:rPr>
        <w:t>年年度报告</w:t>
      </w:r>
    </w:p>
    <w:p>
      <w:pPr>
        <w:spacing w:line="240" w:lineRule="auto" w:before="11"/>
        <w:rPr>
          <w:rFonts w:ascii="宋体" w:hAnsi="宋体" w:cs="宋体" w:eastAsia="宋体" w:hint="default"/>
          <w:sz w:val="71"/>
          <w:szCs w:val="71"/>
        </w:rPr>
      </w:pPr>
    </w:p>
    <w:p>
      <w:pPr>
        <w:spacing w:line="379" w:lineRule="auto" w:before="0"/>
        <w:ind w:left="3268" w:right="3528" w:firstLine="0"/>
        <w:jc w:val="center"/>
        <w:rPr>
          <w:rFonts w:ascii="Times New Roman" w:hAnsi="Times New Roman" w:cs="Times New Roman" w:eastAsia="Times New Roman" w:hint="default"/>
          <w:sz w:val="36"/>
          <w:szCs w:val="36"/>
        </w:rPr>
      </w:pPr>
      <w:r>
        <w:rPr>
          <w:rFonts w:ascii="宋体" w:hAnsi="宋体" w:cs="宋体" w:eastAsia="宋体" w:hint="default"/>
          <w:b/>
          <w:bCs/>
          <w:sz w:val="36"/>
          <w:szCs w:val="36"/>
        </w:rPr>
        <w:t>股票简称：超图软件</w:t>
      </w:r>
      <w:r>
        <w:rPr>
          <w:rFonts w:ascii="宋体" w:hAnsi="宋体" w:cs="宋体" w:eastAsia="宋体" w:hint="default"/>
          <w:b/>
          <w:bCs/>
          <w:w w:val="99"/>
          <w:sz w:val="36"/>
          <w:szCs w:val="36"/>
        </w:rPr>
        <w:t> </w:t>
      </w:r>
      <w:r>
        <w:rPr>
          <w:rFonts w:ascii="宋体" w:hAnsi="宋体" w:cs="宋体" w:eastAsia="宋体" w:hint="default"/>
          <w:b/>
          <w:bCs/>
          <w:sz w:val="36"/>
          <w:szCs w:val="36"/>
        </w:rPr>
        <w:t>股票代码：</w:t>
      </w:r>
      <w:r>
        <w:rPr>
          <w:rFonts w:ascii="Times New Roman" w:hAnsi="Times New Roman" w:cs="Times New Roman" w:eastAsia="Times New Roman" w:hint="default"/>
          <w:b/>
          <w:bCs/>
          <w:sz w:val="36"/>
          <w:szCs w:val="36"/>
        </w:rPr>
        <w:t>300036</w:t>
      </w:r>
      <w:r>
        <w:rPr>
          <w:rFonts w:ascii="Times New Roman" w:hAnsi="Times New Roman" w:cs="Times New Roman" w:eastAsia="Times New Roman" w:hint="default"/>
          <w:sz w:val="36"/>
          <w:szCs w:val="36"/>
        </w:rPr>
      </w:r>
    </w:p>
    <w:p>
      <w:pPr>
        <w:spacing w:line="240" w:lineRule="auto" w:before="0"/>
        <w:rPr>
          <w:rFonts w:ascii="Times New Roman" w:hAnsi="Times New Roman" w:cs="Times New Roman" w:eastAsia="Times New Roman" w:hint="default"/>
          <w:b/>
          <w:bCs/>
          <w:sz w:val="38"/>
          <w:szCs w:val="38"/>
        </w:rPr>
      </w:pPr>
    </w:p>
    <w:p>
      <w:pPr>
        <w:spacing w:before="231"/>
        <w:ind w:left="3268" w:right="3603" w:firstLine="0"/>
        <w:jc w:val="center"/>
        <w:rPr>
          <w:rFonts w:ascii="宋体" w:hAnsi="宋体" w:cs="宋体" w:eastAsia="宋体" w:hint="default"/>
          <w:sz w:val="32"/>
          <w:szCs w:val="32"/>
        </w:rPr>
      </w:pPr>
      <w:r>
        <w:rPr>
          <w:rFonts w:ascii="宋体" w:hAnsi="宋体" w:cs="宋体" w:eastAsia="宋体" w:hint="default"/>
          <w:b/>
          <w:bCs/>
          <w:sz w:val="32"/>
          <w:szCs w:val="32"/>
        </w:rPr>
        <w:t>二〇一九年四月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77" w:footer="979" w:top="1060" w:bottom="1160" w:left="980" w:right="0"/>
          <w:pgNumType w:start="1"/>
        </w:sectPr>
      </w:pPr>
    </w:p>
    <w:p>
      <w:pPr>
        <w:spacing w:line="240" w:lineRule="auto" w:before="6"/>
        <w:rPr>
          <w:rFonts w:ascii="宋体" w:hAnsi="宋体" w:cs="宋体" w:eastAsia="宋体" w:hint="default"/>
          <w:b/>
          <w:bCs/>
          <w:sz w:val="28"/>
          <w:szCs w:val="28"/>
        </w:rPr>
      </w:pPr>
    </w:p>
    <w:p>
      <w:pPr>
        <w:pStyle w:val="Heading1"/>
        <w:tabs>
          <w:tab w:pos="3974" w:val="left" w:leader="none"/>
        </w:tabs>
        <w:spacing w:line="240" w:lineRule="auto"/>
        <w:ind w:left="2714" w:right="1273"/>
        <w:jc w:val="left"/>
        <w:rPr>
          <w:b w:val="0"/>
          <w:bCs w:val="0"/>
        </w:rPr>
      </w:pPr>
      <w:bookmarkStart w:name="_bookmark0" w:id="1"/>
      <w:bookmarkEnd w:id="1"/>
      <w:r>
        <w:rPr>
          <w:b w:val="0"/>
          <w:bCs w:val="0"/>
        </w:rPr>
      </w:r>
      <w:r>
        <w:rPr>
          <w:spacing w:val="4"/>
          <w:w w:val="95"/>
        </w:rPr>
        <w:t>第一节</w:t>
        <w:tab/>
      </w:r>
      <w:r>
        <w:rPr>
          <w:spacing w:val="5"/>
        </w:rPr>
        <w:t>重要提示、目录和释义</w:t>
      </w:r>
      <w:r>
        <w:rPr>
          <w:b w:val="0"/>
          <w:bCs w:val="0"/>
          <w:spacing w:val="5"/>
        </w:rPr>
      </w:r>
    </w:p>
    <w:p>
      <w:pPr>
        <w:spacing w:line="240" w:lineRule="auto" w:before="12"/>
        <w:rPr>
          <w:rFonts w:ascii="宋体" w:hAnsi="宋体" w:cs="宋体" w:eastAsia="宋体" w:hint="default"/>
          <w:b/>
          <w:bCs/>
          <w:sz w:val="39"/>
          <w:szCs w:val="39"/>
        </w:rPr>
      </w:pPr>
    </w:p>
    <w:p>
      <w:pPr>
        <w:pStyle w:val="BodyText"/>
        <w:spacing w:line="348" w:lineRule="auto" w:before="0"/>
        <w:ind w:right="1196" w:firstLine="480"/>
        <w:jc w:val="both"/>
      </w:pPr>
      <w:r>
        <w:rPr>
          <w:rFonts w:ascii="Times New Roman" w:hAnsi="Times New Roman" w:cs="Times New Roman" w:eastAsia="Times New Roman" w:hint="default"/>
        </w:rPr>
        <w:t>1</w:t>
      </w:r>
      <w:r>
        <w:rPr/>
        <w:t>、本公司董事会、监事会及董事、监事、高级管理人员保证本报告所载资料不存在任 </w:t>
      </w:r>
      <w:r>
        <w:rPr>
          <w:spacing w:val="-7"/>
        </w:rPr>
        <w:t>何虚假记载、误导性陈述或者重大遗漏，并对其内容的真实性、准确性和完整性承担个别及连</w:t>
      </w:r>
      <w:r>
        <w:rPr>
          <w:spacing w:val="-101"/>
        </w:rPr>
        <w:t> </w:t>
      </w:r>
      <w:r>
        <w:rPr>
          <w:spacing w:val="-101"/>
        </w:rPr>
      </w:r>
      <w:r>
        <w:rPr/>
        <w:t>带责任。</w:t>
      </w:r>
    </w:p>
    <w:p>
      <w:pPr>
        <w:pStyle w:val="BodyText"/>
        <w:spacing w:line="338" w:lineRule="auto" w:before="46"/>
        <w:ind w:right="1273" w:firstLine="480"/>
        <w:jc w:val="left"/>
      </w:pPr>
      <w:r>
        <w:rPr>
          <w:rFonts w:ascii="Times New Roman" w:hAnsi="Times New Roman" w:cs="Times New Roman" w:eastAsia="Times New Roman" w:hint="default"/>
        </w:rPr>
        <w:t>2</w:t>
      </w:r>
      <w:r>
        <w:rPr/>
        <w:t>、没有董事、监事、高级管理人员声明对年度报告内容的真实性、准确性和完整性无 法保证或存在异议。</w:t>
      </w:r>
    </w:p>
    <w:p>
      <w:pPr>
        <w:pStyle w:val="BodyText"/>
        <w:spacing w:line="240" w:lineRule="auto" w:before="55"/>
        <w:ind w:left="633" w:right="1273"/>
        <w:jc w:val="left"/>
      </w:pPr>
      <w:r>
        <w:rPr>
          <w:rFonts w:ascii="Times New Roman" w:hAnsi="Times New Roman" w:cs="Times New Roman" w:eastAsia="Times New Roman" w:hint="default"/>
        </w:rPr>
        <w:t>3</w:t>
      </w:r>
      <w:r>
        <w:rPr/>
        <w:t>、所有董事均已亲自出席审议本次年报的董事会会议。</w:t>
      </w:r>
    </w:p>
    <w:p>
      <w:pPr>
        <w:pStyle w:val="BodyText"/>
        <w:spacing w:line="338" w:lineRule="auto" w:before="136"/>
        <w:ind w:right="1273" w:firstLine="480"/>
        <w:jc w:val="left"/>
      </w:pPr>
      <w:r>
        <w:rPr>
          <w:rFonts w:ascii="Times New Roman" w:hAnsi="Times New Roman" w:cs="Times New Roman" w:eastAsia="Times New Roman" w:hint="default"/>
        </w:rPr>
        <w:t>4</w:t>
      </w:r>
      <w:r>
        <w:rPr/>
        <w:t>、中汇会计师事务所（特殊普通合伙）为本公司</w:t>
      </w:r>
      <w:r>
        <w:rPr>
          <w:rFonts w:ascii="Times New Roman" w:hAnsi="Times New Roman" w:cs="Times New Roman" w:eastAsia="Times New Roman" w:hint="default"/>
        </w:rPr>
        <w:t>2018</w:t>
      </w:r>
      <w:r>
        <w:rPr/>
        <w:t>年度财务报告出具了标准无保留 意见的审计报告。</w:t>
      </w:r>
    </w:p>
    <w:p>
      <w:pPr>
        <w:pStyle w:val="BodyText"/>
        <w:spacing w:line="338" w:lineRule="auto" w:before="55"/>
        <w:ind w:right="1189" w:firstLine="480"/>
        <w:jc w:val="left"/>
      </w:pPr>
      <w:r>
        <w:rPr>
          <w:rFonts w:ascii="Times New Roman" w:hAnsi="Times New Roman" w:cs="Times New Roman" w:eastAsia="Times New Roman" w:hint="default"/>
          <w:spacing w:val="-4"/>
        </w:rPr>
        <w:t>5</w:t>
      </w:r>
      <w:r>
        <w:rPr>
          <w:spacing w:val="-4"/>
        </w:rPr>
        <w:t>、公司负责人钟耳顺、主管会计工作负责人荆钺坤及会计机构负责人（会计主管人员）</w:t>
      </w:r>
      <w:r>
        <w:rPr/>
        <w:t> 荆钺坤声明：保证年度报告中财务报告的真实、完整。</w:t>
      </w:r>
    </w:p>
    <w:p>
      <w:pPr>
        <w:pStyle w:val="BodyText"/>
        <w:spacing w:line="348" w:lineRule="auto" w:before="55"/>
        <w:ind w:right="1193" w:firstLine="480"/>
        <w:jc w:val="left"/>
      </w:pPr>
      <w:r>
        <w:rPr>
          <w:rFonts w:ascii="Times New Roman" w:hAnsi="Times New Roman" w:cs="Times New Roman" w:eastAsia="Times New Roman" w:hint="default"/>
        </w:rPr>
        <w:t>6</w:t>
      </w:r>
      <w:r>
        <w:rPr/>
        <w:t>、本报告中如有涉及未来的计划、业绩预测等方面的内容，均不构成本公司对任何投 </w:t>
      </w:r>
      <w:r>
        <w:rPr>
          <w:spacing w:val="-1"/>
        </w:rPr>
        <w:t>资者及相关人士的承诺，投资者及相关人士均应对此保持足够的风险认识，并且应当理解计</w:t>
      </w:r>
      <w:r>
        <w:rPr>
          <w:spacing w:val="-110"/>
        </w:rPr>
        <w:t> </w:t>
      </w:r>
      <w:r>
        <w:rPr>
          <w:spacing w:val="-110"/>
        </w:rPr>
      </w:r>
      <w:r>
        <w:rPr/>
        <w:t>划、预测与承诺之间的差异。</w:t>
      </w:r>
    </w:p>
    <w:p>
      <w:pPr>
        <w:pStyle w:val="BodyText"/>
        <w:spacing w:line="338" w:lineRule="auto" w:before="46"/>
        <w:ind w:right="1189" w:firstLine="480"/>
        <w:jc w:val="left"/>
      </w:pPr>
      <w:r>
        <w:rPr>
          <w:rFonts w:ascii="Times New Roman" w:hAnsi="Times New Roman" w:cs="Times New Roman" w:eastAsia="Times New Roman" w:hint="default"/>
        </w:rPr>
        <w:t>7</w:t>
      </w:r>
      <w:r>
        <w:rPr/>
        <w:t>、公司经本次董事会审议通过的利润分配预案为：拟以总股本</w:t>
      </w:r>
      <w:r>
        <w:rPr>
          <w:rFonts w:ascii="Times New Roman" w:hAnsi="Times New Roman" w:cs="Times New Roman" w:eastAsia="Times New Roman" w:hint="default"/>
        </w:rPr>
        <w:t>449,537,367</w:t>
      </w:r>
      <w:r>
        <w:rPr/>
        <w:t>股为基数，</w:t>
      </w:r>
      <w:r>
        <w:rPr>
          <w:spacing w:val="2"/>
        </w:rPr>
        <w:t> </w:t>
      </w:r>
      <w:r>
        <w:rPr/>
        <w:t>向全体股东每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0.75</w:t>
      </w:r>
      <w:r>
        <w:rPr/>
        <w:t>元（含税）。</w:t>
      </w:r>
    </w:p>
    <w:p>
      <w:pPr>
        <w:pStyle w:val="BodyText"/>
        <w:spacing w:line="338" w:lineRule="auto" w:before="27"/>
        <w:ind w:right="1189" w:firstLine="480"/>
        <w:jc w:val="left"/>
      </w:pPr>
      <w:r>
        <w:rPr>
          <w:rFonts w:ascii="Times New Roman" w:hAnsi="Times New Roman" w:cs="Times New Roman" w:eastAsia="Times New Roman" w:hint="default"/>
          <w:spacing w:val="-3"/>
        </w:rPr>
        <w:t>8</w:t>
      </w:r>
      <w:r>
        <w:rPr>
          <w:spacing w:val="-3"/>
        </w:rPr>
        <w:t>、公司在本报告第四节</w:t>
      </w:r>
      <w:r>
        <w:rPr>
          <w:rFonts w:ascii="Times New Roman" w:hAnsi="Times New Roman" w:cs="Times New Roman" w:eastAsia="Times New Roman" w:hint="default"/>
          <w:spacing w:val="-3"/>
        </w:rPr>
        <w:t>“</w:t>
      </w:r>
      <w:r>
        <w:rPr>
          <w:spacing w:val="-3"/>
        </w:rPr>
        <w:t>经营情况讨论与分析</w:t>
      </w:r>
      <w:r>
        <w:rPr>
          <w:rFonts w:ascii="Times New Roman" w:hAnsi="Times New Roman" w:cs="Times New Roman" w:eastAsia="Times New Roman" w:hint="default"/>
          <w:spacing w:val="-3"/>
        </w:rPr>
        <w:t>”</w:t>
      </w:r>
      <w:r>
        <w:rPr>
          <w:spacing w:val="-3"/>
        </w:rPr>
        <w:t>之</w:t>
      </w:r>
      <w:r>
        <w:rPr>
          <w:rFonts w:ascii="Times New Roman" w:hAnsi="Times New Roman" w:cs="Times New Roman" w:eastAsia="Times New Roman" w:hint="default"/>
          <w:spacing w:val="-3"/>
        </w:rPr>
        <w:t>“</w:t>
      </w:r>
      <w:r>
        <w:rPr>
          <w:spacing w:val="-3"/>
        </w:rPr>
        <w:t>九、公司未来发展的展望</w:t>
      </w:r>
      <w:r>
        <w:rPr>
          <w:rFonts w:ascii="Times New Roman" w:hAnsi="Times New Roman" w:cs="Times New Roman" w:eastAsia="Times New Roman" w:hint="default"/>
          <w:spacing w:val="-3"/>
        </w:rPr>
        <w:t>”</w:t>
      </w:r>
      <w:r>
        <w:rPr>
          <w:spacing w:val="-3"/>
        </w:rPr>
        <w:t>部分，详细</w:t>
      </w:r>
      <w:r>
        <w:rPr/>
        <w:t> 描述了公司经营中可能存在的风险，并提请投资者特别注意下列风险因素：</w:t>
      </w:r>
    </w:p>
    <w:p>
      <w:pPr>
        <w:spacing w:line="338" w:lineRule="auto" w:before="5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）上下半年业绩不均衡风险</w:t>
      </w:r>
      <w:r>
        <w:rPr>
          <w:rFonts w:ascii="宋体" w:hAnsi="宋体" w:cs="宋体" w:eastAsia="宋体" w:hint="default"/>
          <w:b/>
          <w:bCs/>
          <w:w w:val="99"/>
          <w:sz w:val="24"/>
          <w:szCs w:val="24"/>
        </w:rPr>
        <w:t> </w:t>
      </w:r>
      <w:r>
        <w:rPr>
          <w:rFonts w:ascii="宋体" w:hAnsi="宋体" w:cs="宋体" w:eastAsia="宋体" w:hint="default"/>
          <w:sz w:val="24"/>
          <w:szCs w:val="24"/>
        </w:rPr>
        <w:t>公司利润的实现具有明显的上下半年不均衡特点，下半年实现的收入占全年收入的比例</w:t>
      </w:r>
    </w:p>
    <w:p>
      <w:pPr>
        <w:pStyle w:val="BodyText"/>
        <w:spacing w:line="357" w:lineRule="auto" w:before="55"/>
        <w:ind w:right="1132"/>
        <w:jc w:val="both"/>
      </w:pPr>
      <w:r>
        <w:rPr/>
        <w:t>较高。公司提供的地理信息系统产品和服务的用户多为政府部门或其事业单位，客户一般在 上半年制订采购预算，发布招标公告；正式采购合同通常在下半年签订，故此公司业务合同 </w:t>
      </w:r>
      <w:r>
        <w:rPr>
          <w:spacing w:val="-5"/>
        </w:rPr>
        <w:t>的签订主要集中于下半年。公司能否有效地维护和拓展客户资源，保证合同签订额保持增长，</w:t>
      </w:r>
      <w:r>
        <w:rPr>
          <w:spacing w:val="-117"/>
        </w:rPr>
        <w:t> </w:t>
      </w:r>
      <w:r>
        <w:rPr>
          <w:spacing w:val="-117"/>
        </w:rPr>
      </w:r>
      <w:r>
        <w:rPr/>
        <w:t>并确保合同的实施进度，将决定收入和利润能否保持良好增长。如果客户招投标进度延缓，</w:t>
      </w:r>
      <w:r>
        <w:rPr/>
        <w:t> 或对公司软件产品和技术开发服务的需求下降，都将可能影响公司合同的签订，进而影响全 年的业绩，并导致全年盈利情况存在不确定性。</w:t>
      </w:r>
    </w:p>
    <w:p>
      <w:pPr>
        <w:pStyle w:val="BodyText"/>
        <w:spacing w:line="357" w:lineRule="auto"/>
        <w:ind w:right="1116" w:firstLine="480"/>
        <w:jc w:val="left"/>
      </w:pPr>
      <w:r>
        <w:rPr>
          <w:spacing w:val="-6"/>
        </w:rPr>
        <w:t>应对措施：公司将在保持主营业务优势的基础上，深化融合与创新，有效整合各方资源，</w:t>
      </w:r>
      <w:r>
        <w:rPr/>
        <w:t> 继续以客户和市场需求为导向，持续进行业务模式创新，充分发挥多年积累的技术优势和行</w:t>
      </w:r>
    </w:p>
    <w:p>
      <w:pPr>
        <w:spacing w:after="0" w:line="357"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7" w:lineRule="auto" w:before="26"/>
        <w:ind w:right="1171"/>
        <w:jc w:val="both"/>
      </w:pPr>
      <w:r>
        <w:rPr/>
        <w:t>业经验，实现市场、业务、研发的融合与发展。并且不断加大品牌宣传与市场推广力度，充 分利用现有的客户资源，拓展市场空间，完善销售布局，不断开拓政府领域之外的客户市场 和海外市场，实现核心竞争力及盈利能力的持续提升。</w:t>
      </w:r>
    </w:p>
    <w:p>
      <w:pPr>
        <w:pStyle w:val="Heading2"/>
        <w:spacing w:line="240" w:lineRule="auto" w:before="36"/>
        <w:ind w:left="635" w:right="1273"/>
        <w:jc w:val="left"/>
        <w:rPr>
          <w:b w:val="0"/>
          <w:bCs w:val="0"/>
        </w:rPr>
      </w:pPr>
      <w:r>
        <w:rPr/>
        <w:t>（</w:t>
      </w:r>
      <w:r>
        <w:rPr>
          <w:rFonts w:ascii="Times New Roman" w:hAnsi="Times New Roman" w:cs="Times New Roman" w:eastAsia="Times New Roman" w:hint="default"/>
        </w:rPr>
        <w:t>2</w:t>
      </w:r>
      <w:r>
        <w:rPr/>
        <w:t>）项目管理风险</w:t>
      </w:r>
      <w:r>
        <w:rPr>
          <w:b w:val="0"/>
          <w:bCs w:val="0"/>
        </w:rPr>
      </w:r>
    </w:p>
    <w:p>
      <w:pPr>
        <w:pStyle w:val="BodyText"/>
        <w:spacing w:line="352" w:lineRule="auto" w:before="135"/>
        <w:ind w:right="1150" w:firstLine="480"/>
        <w:jc w:val="both"/>
      </w:pPr>
      <w:r>
        <w:rPr/>
        <w:t>地理信息系统项目业务作为公司的主要收入来源，占总收入</w:t>
      </w:r>
      <w:r>
        <w:rPr>
          <w:spacing w:val="-60"/>
        </w:rPr>
        <w:t> </w:t>
      </w:r>
      <w:r>
        <w:rPr>
          <w:rFonts w:ascii="Times New Roman" w:hAnsi="Times New Roman" w:cs="Times New Roman" w:eastAsia="Times New Roman" w:hint="default"/>
        </w:rPr>
        <w:t>50%</w:t>
      </w:r>
      <w:r>
        <w:rPr/>
        <w:t>以上。随着公司规模的 扩大，项目数量、规模和复杂程度的不断增加，对公司的项目管理能力提出了更高的要求， 公司需要同时协调、实施与监管越来越多的项目，需要统筹安排项目人力资源、及时应对需 求变更，把控项目建设进度和实施质量，公司如未能对众多项目进行有效管理，则存在项目 交付延期、项目质量下滑的风险。</w:t>
      </w:r>
    </w:p>
    <w:p>
      <w:pPr>
        <w:pStyle w:val="BodyText"/>
        <w:spacing w:line="357" w:lineRule="auto" w:before="41"/>
        <w:ind w:right="1171" w:firstLine="480"/>
        <w:jc w:val="both"/>
      </w:pPr>
      <w:r>
        <w:rPr/>
        <w:t>应对措施：公司将加大项目管理平台的支撑投入，进一步完善项目管理机制，强化项目 实施，加强项目重要节点的里程碑监控，合理分解项目总进度控制、主进度控制和详细进度 控制；严把交付质量，落实项目责任制，提高交付效能，确保项目按时按质交付，不断提升 客户满意度。</w:t>
      </w:r>
    </w:p>
    <w:p>
      <w:pPr>
        <w:pStyle w:val="BodyText"/>
        <w:spacing w:line="338" w:lineRule="auto"/>
        <w:ind w:left="633" w:right="1153"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）管理风险</w:t>
      </w:r>
      <w:r>
        <w:rPr>
          <w:rFonts w:ascii="宋体" w:hAnsi="宋体" w:cs="宋体" w:eastAsia="宋体" w:hint="default"/>
          <w:b/>
          <w:bCs/>
          <w:w w:val="99"/>
        </w:rPr>
        <w:t> </w:t>
      </w:r>
      <w:r>
        <w:rPr/>
        <w:t>随着公司的业务规模不断拓展，业务范围也不断扩大，组织结构日益复杂，对公司的管</w:t>
      </w:r>
    </w:p>
    <w:p>
      <w:pPr>
        <w:pStyle w:val="BodyText"/>
        <w:spacing w:line="357" w:lineRule="auto" w:before="56"/>
        <w:ind w:right="1171"/>
        <w:jc w:val="both"/>
      </w:pPr>
      <w:r>
        <w:rPr/>
        <w:t>理提出了更高的要求，如果公司不能及时根据实际情况提高管理水平、建立起更加科学有效 的管理体制，将可能削弱公司的市场竞争力，影响公司的长远发展。</w:t>
      </w:r>
    </w:p>
    <w:p>
      <w:pPr>
        <w:pStyle w:val="BodyText"/>
        <w:spacing w:line="357" w:lineRule="auto"/>
        <w:ind w:right="1170" w:firstLine="480"/>
        <w:jc w:val="both"/>
      </w:pPr>
      <w:r>
        <w:rPr/>
        <w:t>应对措施：公司将进一步健全内部控制体系，优化业务和管理流程，持续规范运作，及 时根据相关法律法规的要求和经营管理的需要不断修订和完善公司各项内部控制制度。进一 步推进公司内部管理与信息化改革，深化信息化系统的集团化应用和数据对接，完善系统整 合，加强对各板块业务的实时监控能力并有效辅助公司决策，充分发挥信息技术对公司运营 管理的促进作用。</w:t>
      </w:r>
    </w:p>
    <w:p>
      <w:pPr>
        <w:spacing w:line="338" w:lineRule="auto" w:before="36"/>
        <w:ind w:left="633" w:right="1116" w:firstLine="2"/>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）应收账款坏账风险</w:t>
      </w:r>
      <w:r>
        <w:rPr>
          <w:rFonts w:ascii="宋体" w:hAnsi="宋体" w:cs="宋体" w:eastAsia="宋体" w:hint="default"/>
          <w:b/>
          <w:bCs/>
          <w:w w:val="99"/>
          <w:sz w:val="24"/>
          <w:szCs w:val="24"/>
        </w:rPr>
        <w:t> </w:t>
      </w:r>
      <w:r>
        <w:rPr>
          <w:rFonts w:ascii="宋体" w:hAnsi="宋体" w:cs="宋体" w:eastAsia="宋体" w:hint="default"/>
          <w:sz w:val="24"/>
          <w:szCs w:val="24"/>
        </w:rPr>
        <w:t>报告期内，随着公司业务领域和规模快速扩大，公司应收账款余额增长迅速。截至</w:t>
      </w:r>
      <w:r>
        <w:rPr>
          <w:rFonts w:ascii="宋体" w:hAnsi="宋体" w:cs="宋体" w:eastAsia="宋体" w:hint="default"/>
          <w:spacing w:val="-83"/>
          <w:sz w:val="24"/>
          <w:szCs w:val="24"/>
        </w:rPr>
        <w:t> </w:t>
      </w:r>
      <w:r>
        <w:rPr>
          <w:rFonts w:ascii="Times New Roman" w:hAnsi="Times New Roman" w:cs="Times New Roman" w:eastAsia="Times New Roman" w:hint="default"/>
          <w:sz w:val="24"/>
          <w:szCs w:val="24"/>
        </w:rPr>
        <w:t>2018</w:t>
      </w:r>
    </w:p>
    <w:p>
      <w:pPr>
        <w:pStyle w:val="BodyText"/>
        <w:spacing w:line="352" w:lineRule="auto" w:before="27"/>
        <w:ind w:right="1130"/>
        <w:jc w:val="both"/>
      </w:pPr>
      <w:r>
        <w:rPr/>
        <w:t>年</w:t>
      </w:r>
      <w:r>
        <w:rPr>
          <w:spacing w:val="-60"/>
        </w:rPr>
        <w:t> </w:t>
      </w:r>
      <w:r>
        <w:rPr>
          <w:rFonts w:ascii="Times New Roman" w:hAnsi="Times New Roman" w:cs="Times New Roman" w:eastAsia="Times New Roman" w:hint="default"/>
        </w:rPr>
        <w:t>12 </w:t>
      </w:r>
      <w:r>
        <w:rPr/>
        <w:t>月</w:t>
      </w:r>
      <w:r>
        <w:rPr>
          <w:spacing w:val="-61"/>
        </w:rPr>
        <w:t> </w:t>
      </w:r>
      <w:r>
        <w:rPr>
          <w:rFonts w:ascii="Times New Roman" w:hAnsi="Times New Roman" w:cs="Times New Roman" w:eastAsia="Times New Roman" w:hint="default"/>
        </w:rPr>
        <w:t>31 </w:t>
      </w:r>
      <w:r>
        <w:rPr>
          <w:spacing w:val="-4"/>
        </w:rPr>
        <w:t>日，公司应收账款净额为</w:t>
      </w:r>
      <w:r>
        <w:rPr>
          <w:spacing w:val="-60"/>
        </w:rPr>
        <w:t> </w:t>
      </w:r>
      <w:r>
        <w:rPr>
          <w:rFonts w:ascii="Times New Roman" w:hAnsi="Times New Roman" w:cs="Times New Roman" w:eastAsia="Times New Roman" w:hint="default"/>
        </w:rPr>
        <w:t>5.03 </w:t>
      </w:r>
      <w:r>
        <w:rPr>
          <w:spacing w:val="-9"/>
        </w:rPr>
        <w:t>亿元，其中</w:t>
      </w:r>
      <w:r>
        <w:rPr>
          <w:spacing w:val="-60"/>
        </w:rPr>
        <w:t> </w:t>
      </w:r>
      <w:r>
        <w:rPr>
          <w:rFonts w:ascii="Times New Roman" w:hAnsi="Times New Roman" w:cs="Times New Roman" w:eastAsia="Times New Roman" w:hint="default"/>
        </w:rPr>
        <w:t>1 </w:t>
      </w:r>
      <w:r>
        <w:rPr/>
        <w:t>年期以内的应收账款净额约为</w:t>
      </w:r>
      <w:r>
        <w:rPr>
          <w:spacing w:val="-59"/>
        </w:rPr>
        <w:t> </w:t>
      </w:r>
      <w:r>
        <w:rPr>
          <w:rFonts w:ascii="Times New Roman" w:hAnsi="Times New Roman" w:cs="Times New Roman" w:eastAsia="Times New Roman" w:hint="default"/>
        </w:rPr>
        <w:t>4.50 </w:t>
      </w:r>
      <w:r>
        <w:rPr/>
        <w:t>亿 元。虽然当前公司主要客户是政府及相关事业单位，该类客户实力雄厚，信誉良好，应收账 款的收回有可靠保障，且从历史经验看相关应收账款回收良好。但如果出现宏观经济环境波 动，地方政府财政状况下降等变化，应收账款不能按期或无法回收发生坏账的情况，公司将 面临流动资金短缺的风险，从而对公司资金使用效率及经营业绩产生不利影响。</w:t>
      </w:r>
    </w:p>
    <w:p>
      <w:pPr>
        <w:spacing w:after="0" w:line="352"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7" w:lineRule="auto" w:before="26"/>
        <w:ind w:right="1171" w:firstLine="480"/>
        <w:jc w:val="both"/>
      </w:pPr>
      <w:r>
        <w:rPr/>
        <w:t>应对措施：公司将进一步加强应收账款管理，定期对应收账款进行监控分析，尤其是针 对现有规模较大的应收账款，公司将进行实时跟踪，定期进行汇总分析，确保每笔应收账款 项有跟踪、有反馈，从而降低应收款项回收风险。</w:t>
      </w:r>
    </w:p>
    <w:p>
      <w:pPr>
        <w:pStyle w:val="Heading2"/>
        <w:spacing w:line="240" w:lineRule="auto" w:before="36"/>
        <w:ind w:left="635" w:right="1273"/>
        <w:jc w:val="left"/>
        <w:rPr>
          <w:b w:val="0"/>
          <w:bCs w:val="0"/>
        </w:rPr>
      </w:pPr>
      <w:r>
        <w:rPr/>
        <w:t>（</w:t>
      </w:r>
      <w:r>
        <w:rPr>
          <w:rFonts w:ascii="Times New Roman" w:hAnsi="Times New Roman" w:cs="Times New Roman" w:eastAsia="Times New Roman" w:hint="default"/>
        </w:rPr>
        <w:t>5</w:t>
      </w:r>
      <w:r>
        <w:rPr/>
        <w:t>）商誉减值的风险</w:t>
      </w:r>
      <w:r>
        <w:rPr>
          <w:b w:val="0"/>
          <w:bCs w:val="0"/>
        </w:rPr>
      </w:r>
    </w:p>
    <w:p>
      <w:pPr>
        <w:pStyle w:val="BodyText"/>
        <w:spacing w:line="350" w:lineRule="auto" w:before="135"/>
        <w:ind w:right="1133" w:firstLine="480"/>
        <w:jc w:val="both"/>
      </w:pPr>
      <w:r>
        <w:rPr/>
        <w:t>报告期末，公司商誉账面价值为</w:t>
      </w:r>
      <w:r>
        <w:rPr>
          <w:spacing w:val="-72"/>
        </w:rPr>
        <w:t> </w:t>
      </w:r>
      <w:r>
        <w:rPr>
          <w:rFonts w:ascii="Times New Roman" w:hAnsi="Times New Roman" w:cs="Times New Roman" w:eastAsia="Times New Roman" w:hint="default"/>
        </w:rPr>
        <w:t>7.07</w:t>
      </w:r>
      <w:r>
        <w:rPr>
          <w:rFonts w:ascii="Times New Roman" w:hAnsi="Times New Roman" w:cs="Times New Roman" w:eastAsia="Times New Roman" w:hint="default"/>
          <w:spacing w:val="-12"/>
        </w:rPr>
        <w:t> </w:t>
      </w:r>
      <w:r>
        <w:rPr/>
        <w:t>亿元，占公司报告期末的归属于母公司所有者权益 比例为</w:t>
      </w:r>
      <w:r>
        <w:rPr>
          <w:spacing w:val="-99"/>
        </w:rPr>
        <w:t> </w:t>
      </w:r>
      <w:r>
        <w:rPr>
          <w:rFonts w:ascii="Times New Roman" w:hAnsi="Times New Roman" w:cs="Times New Roman" w:eastAsia="Times New Roman" w:hint="default"/>
        </w:rPr>
        <w:t>36.55%</w:t>
      </w:r>
      <w:r>
        <w:rPr/>
        <w:t>，主要为近年并购子公司所致。公司根据会计准则于每年度末对形成商誉的相 关资产组或资产组组合进行减值测试。截至期末，商誉资产不存在减值迹象，因此公司未对</w:t>
      </w:r>
      <w:r>
        <w:rPr>
          <w:spacing w:val="-91"/>
        </w:rPr>
        <w:t> </w:t>
      </w:r>
      <w:r>
        <w:rPr>
          <w:spacing w:val="-91"/>
        </w:rPr>
      </w:r>
      <w:r>
        <w:rPr/>
        <w:t>该等商誉资产计提减值准备。未来若出现相关法律法规规定的资产减值迹象，则可能造成公</w:t>
      </w:r>
      <w:r>
        <w:rPr>
          <w:spacing w:val="-91"/>
        </w:rPr>
        <w:t> </w:t>
      </w:r>
      <w:r>
        <w:rPr>
          <w:spacing w:val="-91"/>
        </w:rPr>
      </w:r>
      <w:r>
        <w:rPr/>
        <w:t>司的商誉资产发生减值风险，甚至形成减值损失，从而可能对公司的财务状况和经营业绩造</w:t>
      </w:r>
      <w:r>
        <w:rPr>
          <w:spacing w:val="-91"/>
        </w:rPr>
        <w:t> </w:t>
      </w:r>
      <w:r>
        <w:rPr>
          <w:spacing w:val="-91"/>
        </w:rPr>
      </w:r>
      <w:r>
        <w:rPr/>
        <w:t>成一定的不利影响。</w:t>
      </w:r>
    </w:p>
    <w:p>
      <w:pPr>
        <w:pStyle w:val="BodyText"/>
        <w:spacing w:line="357" w:lineRule="auto" w:before="43"/>
        <w:ind w:right="1132" w:firstLine="480"/>
        <w:jc w:val="both"/>
      </w:pPr>
      <w:r>
        <w:rPr/>
        <w:t>应对措施：公司将继续加强各收购子公司的后续整合和管理工作，深化在财务管理、人 </w:t>
      </w:r>
      <w:r>
        <w:rPr>
          <w:spacing w:val="-5"/>
        </w:rPr>
        <w:t>力资源管理、客户管理、项目管理、资源统筹、业务拓展等方面的融合，发挥整合协同效应，</w:t>
      </w:r>
      <w:r>
        <w:rPr/>
        <w:t> </w:t>
      </w:r>
      <w:r>
        <w:rPr>
          <w:spacing w:val="-5"/>
        </w:rPr>
        <w:t>激发增长新动能。同时通过信息化系统的集团化应用和数据对接，建设集团化风险控制体系，</w:t>
      </w:r>
      <w:r>
        <w:rPr>
          <w:spacing w:val="-118"/>
        </w:rPr>
        <w:t> </w:t>
      </w:r>
      <w:r>
        <w:rPr>
          <w:spacing w:val="-118"/>
        </w:rPr>
      </w:r>
      <w:r>
        <w:rPr/>
        <w:t>最大限度地降低商誉减值风险。</w:t>
      </w:r>
    </w:p>
    <w:p>
      <w:pPr>
        <w:spacing w:line="338" w:lineRule="auto" w:before="36"/>
        <w:ind w:left="633" w:right="111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）行业竞争加剧的风险</w:t>
      </w:r>
      <w:r>
        <w:rPr>
          <w:rFonts w:ascii="宋体" w:hAnsi="宋体" w:cs="宋体" w:eastAsia="宋体" w:hint="default"/>
          <w:b/>
          <w:bCs/>
          <w:w w:val="99"/>
          <w:sz w:val="24"/>
          <w:szCs w:val="24"/>
        </w:rPr>
        <w:t> </w:t>
      </w:r>
      <w:r>
        <w:rPr>
          <w:rFonts w:ascii="宋体" w:hAnsi="宋体" w:cs="宋体" w:eastAsia="宋体" w:hint="default"/>
          <w:sz w:val="24"/>
          <w:szCs w:val="24"/>
        </w:rPr>
        <w:t>在大数据、云计算、移动互联、人工智能等技术应用蓬勃发展的当下，企业产品技术的</w:t>
      </w:r>
    </w:p>
    <w:p>
      <w:pPr>
        <w:pStyle w:val="BodyText"/>
        <w:spacing w:line="355" w:lineRule="auto" w:before="55"/>
        <w:ind w:right="997"/>
        <w:jc w:val="left"/>
      </w:pPr>
      <w:r>
        <w:rPr/>
        <w:t>研发创新能力、产业生态链的构建与运营能力在竞争中愈发重要。随着行业的不断延伸，各</w:t>
      </w:r>
      <w:r>
        <w:rPr>
          <w:spacing w:val="-91"/>
        </w:rPr>
        <w:t> </w:t>
      </w:r>
      <w:r>
        <w:rPr>
          <w:spacing w:val="-91"/>
        </w:rPr>
      </w:r>
      <w:r>
        <w:rPr/>
        <w:t>类参与主体明显增加，尤其是 </w:t>
      </w:r>
      <w:r>
        <w:rPr>
          <w:rFonts w:ascii="Times New Roman" w:hAnsi="Times New Roman" w:cs="Times New Roman" w:eastAsia="Times New Roman" w:hint="default"/>
          <w:spacing w:val="-9"/>
        </w:rPr>
        <w:t>BAT</w:t>
      </w:r>
      <w:r>
        <w:rPr>
          <w:rFonts w:ascii="Times New Roman" w:hAnsi="Times New Roman" w:cs="Times New Roman" w:eastAsia="Times New Roman" w:hint="default"/>
          <w:spacing w:val="3"/>
        </w:rPr>
        <w:t> </w:t>
      </w:r>
      <w:r>
        <w:rPr/>
        <w:t>互联网巨头对地理信息行业的不断渗透，行业竞争加剧。 此外，客户需求的多元化、精细化、综合化要求不断提高。只有高水平的信息技术、精准的</w:t>
      </w:r>
      <w:r>
        <w:rPr>
          <w:spacing w:val="-91"/>
        </w:rPr>
        <w:t> </w:t>
      </w:r>
      <w:r>
        <w:rPr>
          <w:spacing w:val="-91"/>
        </w:rPr>
      </w:r>
      <w:r>
        <w:rPr/>
        <w:t>市场定位以及丰富的运营经验才能更好的满足客户需求不断变化。如果公司不能正确判断、</w:t>
      </w:r>
      <w:r>
        <w:rPr>
          <w:spacing w:val="-87"/>
        </w:rPr>
        <w:t> </w:t>
      </w:r>
      <w:r>
        <w:rPr>
          <w:spacing w:val="-87"/>
        </w:rPr>
      </w:r>
      <w:r>
        <w:rPr/>
        <w:t>把握行业的市场动态和发展趋势，根据技术发展、行业标准和客户需求及时进行技术创新和</w:t>
      </w:r>
      <w:r>
        <w:rPr>
          <w:spacing w:val="-91"/>
        </w:rPr>
        <w:t> </w:t>
      </w:r>
      <w:r>
        <w:rPr>
          <w:spacing w:val="-91"/>
        </w:rPr>
      </w:r>
      <w:r>
        <w:rPr/>
        <w:t>业务模式创新，则存在因竞争优势减弱而导致市场份额下降，经营业绩不能达到预期目标的</w:t>
      </w:r>
      <w:r>
        <w:rPr>
          <w:spacing w:val="-91"/>
        </w:rPr>
        <w:t> </w:t>
      </w:r>
      <w:r>
        <w:rPr>
          <w:spacing w:val="-91"/>
        </w:rPr>
      </w:r>
      <w:r>
        <w:rPr/>
        <w:t>风险。</w:t>
      </w:r>
    </w:p>
    <w:p>
      <w:pPr>
        <w:pStyle w:val="BodyText"/>
        <w:spacing w:line="348" w:lineRule="auto" w:before="39"/>
        <w:ind w:right="1132" w:firstLine="480"/>
        <w:jc w:val="both"/>
      </w:pPr>
      <w:r>
        <w:rPr/>
        <w:t>应对措施：公司将持续关注最新的技术发展趋势和行业竞争格局的变化，进一步提高核 心竞争力。一方面持续进行技术创新，保持公司领先的技术优势，着眼于下一代革命性</w:t>
      </w:r>
      <w:r>
        <w:rPr>
          <w:spacing w:val="5"/>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技术的研究，推动</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领域前沿发展，不断拓展</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技术应用范围，突破技术性难题，规避 技术更新和替代风险；另一方面不断完善产品及解决方案，满足客户日益变化的需求，同时</w:t>
      </w:r>
      <w:r>
        <w:rPr>
          <w:spacing w:val="-91"/>
        </w:rPr>
        <w:t> </w:t>
      </w:r>
      <w:r>
        <w:rPr>
          <w:spacing w:val="-91"/>
        </w:rPr>
      </w:r>
      <w:r>
        <w:rPr/>
        <w:t>积极拓展海外及其他领域市场，整合多方资源，实现公司的持续稳健发展。</w:t>
      </w:r>
    </w:p>
    <w:p>
      <w:pPr>
        <w:spacing w:after="0" w:line="348" w:lineRule="auto"/>
        <w:jc w:val="both"/>
        <w:sectPr>
          <w:pgSz w:w="11910" w:h="16840"/>
          <w:pgMar w:header="877" w:footer="979" w:top="1100" w:bottom="1160" w:left="980" w:right="0"/>
        </w:sectPr>
      </w:pPr>
    </w:p>
    <w:p>
      <w:pPr>
        <w:spacing w:line="240" w:lineRule="auto" w:before="6"/>
        <w:rPr>
          <w:rFonts w:ascii="宋体" w:hAnsi="宋体" w:cs="宋体" w:eastAsia="宋体" w:hint="default"/>
          <w:sz w:val="28"/>
          <w:szCs w:val="28"/>
        </w:rPr>
      </w:pPr>
    </w:p>
    <w:p>
      <w:pPr>
        <w:spacing w:before="0"/>
        <w:ind w:left="3268" w:right="3828" w:firstLine="0"/>
        <w:jc w:val="center"/>
        <w:rPr>
          <w:rFonts w:ascii="宋体" w:hAnsi="宋体" w:cs="宋体" w:eastAsia="宋体" w:hint="default"/>
          <w:sz w:val="32"/>
          <w:szCs w:val="32"/>
        </w:rPr>
      </w:pPr>
      <w:r>
        <w:rPr>
          <w:rFonts w:ascii="宋体" w:hAnsi="宋体" w:cs="宋体" w:eastAsia="宋体" w:hint="default"/>
          <w:b/>
          <w:bCs/>
          <w:spacing w:val="7"/>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593" w:val="left" w:leader="none"/>
              <w:tab w:pos="9781" w:val="right" w:leader="dot"/>
            </w:tabs>
            <w:spacing w:line="240" w:lineRule="auto" w:before="9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spacing w:val="2"/>
                <w:w w:val="95"/>
              </w:rPr>
              <w:t>第一节</w:t>
              <w:tab/>
            </w:r>
            <w:r>
              <w:rPr>
                <w:spacing w:val="3"/>
              </w:rPr>
              <w:t>重要提示、目录和释义</w:t>
            </w:r>
            <w:r>
              <w:rPr>
                <w:rFonts w:ascii="Times New Roman" w:hAnsi="Times New Roman" w:cs="Times New Roman" w:eastAsia="Times New Roman" w:hint="default"/>
                <w:spacing w:val="3"/>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1593" w:val="left" w:leader="none"/>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spacing w:val="2"/>
                <w:w w:val="95"/>
              </w:rPr>
              <w:t>第二节</w:t>
              <w:tab/>
            </w:r>
            <w:r>
              <w:rPr>
                <w:spacing w:val="3"/>
              </w:rPr>
              <w:t>公司简介和主要财务指标</w:t>
            </w:r>
            <w:r>
              <w:rPr>
                <w:rFonts w:ascii="Times New Roman" w:hAnsi="Times New Roman" w:cs="Times New Roman" w:eastAsia="Times New Roman" w:hint="default"/>
                <w:spacing w:val="3"/>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1593" w:val="left" w:leader="none"/>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spacing w:val="2"/>
                <w:w w:val="95"/>
              </w:rPr>
              <w:t>第三节</w:t>
              <w:tab/>
            </w:r>
            <w:r>
              <w:rPr>
                <w:spacing w:val="4"/>
              </w:rPr>
              <w:t>公司业务概要</w:t>
            </w:r>
            <w:r>
              <w:rPr>
                <w:rFonts w:ascii="Times New Roman" w:hAnsi="Times New Roman" w:cs="Times New Roman" w:eastAsia="Times New Roman" w:hint="default"/>
                <w:spacing w:val="4"/>
              </w:rPr>
              <w:tab/>
            </w:r>
            <w:r>
              <w:rPr>
                <w:rFonts w:ascii="Times New Roman" w:hAnsi="Times New Roman" w:cs="Times New Roman" w:eastAsia="Times New Roman" w:hint="default"/>
              </w:rPr>
              <w:t>11</w:t>
            </w:r>
            <w:r>
              <w:rPr>
                <w:rFonts w:ascii="Times New Roman" w:hAnsi="Times New Roman" w:cs="Times New Roman" w:eastAsia="Times New Roman" w:hint="default"/>
                <w:b w:val="0"/>
                <w:bCs w:val="0"/>
              </w:rPr>
            </w:r>
          </w:hyperlink>
        </w:p>
        <w:p>
          <w:pPr>
            <w:pStyle w:val="TOC1"/>
            <w:tabs>
              <w:tab w:pos="1593" w:val="left" w:leader="none"/>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spacing w:val="2"/>
                <w:w w:val="95"/>
              </w:rPr>
              <w:t>第四节</w:t>
              <w:tab/>
            </w:r>
            <w:r>
              <w:rPr>
                <w:spacing w:val="3"/>
              </w:rPr>
              <w:t>经营情况讨论与分析</w:t>
            </w:r>
            <w:r>
              <w:rPr>
                <w:rFonts w:ascii="Times New Roman" w:hAnsi="Times New Roman" w:cs="Times New Roman" w:eastAsia="Times New Roman" w:hint="default"/>
                <w:spacing w:val="3"/>
              </w:rPr>
              <w:tab/>
            </w:r>
            <w:r>
              <w:rPr>
                <w:rFonts w:ascii="Times New Roman" w:hAnsi="Times New Roman" w:cs="Times New Roman" w:eastAsia="Times New Roman" w:hint="default"/>
              </w:rPr>
              <w:t>17</w:t>
            </w:r>
            <w:r>
              <w:rPr>
                <w:rFonts w:ascii="Times New Roman" w:hAnsi="Times New Roman" w:cs="Times New Roman" w:eastAsia="Times New Roman" w:hint="default"/>
                <w:b w:val="0"/>
                <w:bCs w:val="0"/>
              </w:rPr>
            </w:r>
          </w:hyperlink>
        </w:p>
        <w:p>
          <w:pPr>
            <w:pStyle w:val="TOC1"/>
            <w:tabs>
              <w:tab w:pos="9783" w:val="right" w:leader="dot"/>
            </w:tabs>
            <w:spacing w:line="240" w:lineRule="auto" w:before="292"/>
            <w:ind w:right="0"/>
            <w:jc w:val="left"/>
            <w:rPr>
              <w:rFonts w:ascii="Times New Roman" w:hAnsi="Times New Roman" w:cs="Times New Roman" w:eastAsia="Times New Roman" w:hint="default"/>
              <w:b w:val="0"/>
              <w:bCs w:val="0"/>
            </w:rPr>
          </w:pPr>
          <w:hyperlink w:history="true" w:anchor="_bookmark4">
            <w:r>
              <w:rPr>
                <w:spacing w:val="2"/>
              </w:rPr>
              <w:t>第五节</w:t>
            </w:r>
            <w:r>
              <w:rPr>
                <w:spacing w:val="7"/>
              </w:rPr>
              <w:t> </w:t>
            </w:r>
            <w:r>
              <w:rPr>
                <w:spacing w:val="4"/>
              </w:rPr>
              <w:t>重要事项</w:t>
            </w:r>
            <w:r>
              <w:rPr>
                <w:rFonts w:ascii="Times New Roman" w:hAnsi="Times New Roman" w:cs="Times New Roman" w:eastAsia="Times New Roman" w:hint="default"/>
                <w:spacing w:val="4"/>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spacing w:val="2"/>
              </w:rPr>
              <w:t>第六节</w:t>
            </w:r>
            <w:r>
              <w:rPr>
                <w:spacing w:val="7"/>
              </w:rPr>
              <w:t> </w:t>
            </w:r>
            <w:r>
              <w:rPr>
                <w:spacing w:val="4"/>
              </w:rPr>
              <w:t>股份变动及股东情况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spacing w:val="2"/>
              </w:rPr>
              <w:t>第七节</w:t>
            </w:r>
            <w:r>
              <w:rPr>
                <w:spacing w:val="7"/>
              </w:rPr>
              <w:t> </w:t>
            </w:r>
            <w:r>
              <w:rPr>
                <w:spacing w:val="4"/>
              </w:rPr>
              <w:t>优先股相关情况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78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spacing w:val="2"/>
              </w:rPr>
              <w:t>第八节</w:t>
            </w:r>
            <w:r>
              <w:rPr>
                <w:spacing w:val="7"/>
              </w:rPr>
              <w:t> </w:t>
            </w:r>
            <w:r>
              <w:rPr>
                <w:spacing w:val="4"/>
              </w:rPr>
              <w:t>董事、监事和高级管理人员和员工情况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79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spacing w:val="2"/>
              </w:rPr>
              <w:t>第九节</w:t>
            </w:r>
            <w:r>
              <w:rPr>
                <w:spacing w:val="7"/>
              </w:rPr>
              <w:t> </w:t>
            </w:r>
            <w:r>
              <w:rPr>
                <w:spacing w:val="4"/>
              </w:rPr>
              <w:t>公司治理</w:t>
            </w:r>
            <w:r>
              <w:rPr>
                <w:rFonts w:ascii="Times New Roman" w:hAnsi="Times New Roman" w:cs="Times New Roman" w:eastAsia="Times New Roman" w:hint="default"/>
                <w:spacing w:val="4"/>
              </w:rPr>
              <w:tab/>
            </w:r>
            <w:r>
              <w:rPr>
                <w:rFonts w:ascii="Times New Roman" w:hAnsi="Times New Roman" w:cs="Times New Roman" w:eastAsia="Times New Roman" w:hint="default"/>
              </w:rPr>
              <w:t>88</w:t>
            </w:r>
            <w:r>
              <w:rPr>
                <w:rFonts w:ascii="Times New Roman" w:hAnsi="Times New Roman" w:cs="Times New Roman" w:eastAsia="Times New Roman" w:hint="default"/>
                <w:b w:val="0"/>
                <w:bCs w:val="0"/>
              </w:rPr>
            </w:r>
          </w:hyperlink>
        </w:p>
        <w:p>
          <w:pPr>
            <w:pStyle w:val="TOC1"/>
            <w:tabs>
              <w:tab w:pos="9783" w:val="right" w:leader="dot"/>
            </w:tabs>
            <w:spacing w:line="240" w:lineRule="auto" w:before="292"/>
            <w:ind w:right="0"/>
            <w:jc w:val="left"/>
            <w:rPr>
              <w:rFonts w:ascii="Times New Roman" w:hAnsi="Times New Roman" w:cs="Times New Roman" w:eastAsia="Times New Roman" w:hint="default"/>
              <w:b w:val="0"/>
              <w:bCs w:val="0"/>
            </w:rPr>
          </w:pPr>
          <w:hyperlink w:history="true" w:anchor="_bookmark9">
            <w:r>
              <w:rPr>
                <w:spacing w:val="2"/>
              </w:rPr>
              <w:t>第十节</w:t>
            </w:r>
            <w:r>
              <w:rPr>
                <w:spacing w:val="7"/>
              </w:rPr>
              <w:t> </w:t>
            </w:r>
            <w:r>
              <w:rPr>
                <w:spacing w:val="4"/>
              </w:rPr>
              <w:t>公司债券相关情况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96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spacing w:val="3"/>
              </w:rPr>
              <w:t>第十一节</w:t>
            </w:r>
            <w:r>
              <w:rPr>
                <w:spacing w:val="7"/>
              </w:rPr>
              <w:t> </w:t>
            </w:r>
            <w:r>
              <w:rPr>
                <w:spacing w:val="4"/>
              </w:rPr>
              <w:t>财务报告</w:t>
            </w:r>
            <w:r>
              <w:rPr>
                <w:rFonts w:ascii="Times New Roman" w:hAnsi="Times New Roman" w:cs="Times New Roman" w:eastAsia="Times New Roman" w:hint="default"/>
                <w:spacing w:val="4"/>
              </w:rPr>
              <w:tab/>
            </w:r>
            <w:r>
              <w:rPr>
                <w:rFonts w:ascii="Times New Roman" w:hAnsi="Times New Roman" w:cs="Times New Roman" w:eastAsia="Times New Roman" w:hint="default"/>
              </w:rPr>
              <w:t>97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spacing w:val="3"/>
              </w:rPr>
              <w:t>第十二节</w:t>
            </w:r>
            <w:r>
              <w:rPr>
                <w:spacing w:val="7"/>
              </w:rPr>
              <w:t> </w:t>
            </w:r>
            <w:r>
              <w:rPr>
                <w:spacing w:val="4"/>
              </w:rPr>
              <w:t>备查文件目录</w:t>
            </w:r>
            <w:r>
              <w:rPr>
                <w:rFonts w:ascii="Times New Roman" w:hAnsi="Times New Roman" w:cs="Times New Roman" w:eastAsia="Times New Roman" w:hint="default"/>
                <w:spacing w:val="4"/>
              </w:rPr>
              <w:tab/>
            </w:r>
            <w:r>
              <w:rPr>
                <w:rFonts w:ascii="Times New Roman" w:hAnsi="Times New Roman" w:cs="Times New Roman" w:eastAsia="Times New Roman" w:hint="default"/>
                <w:spacing w:val="2"/>
              </w:rPr>
              <w:t>218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79" w:top="1100" w:bottom="1160" w:left="980" w:right="0"/>
        </w:sectPr>
      </w:pPr>
    </w:p>
    <w:p>
      <w:pPr>
        <w:spacing w:before="373"/>
        <w:ind w:left="3268" w:right="376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10"/>
        <w:rPr>
          <w:rFonts w:ascii="宋体" w:hAnsi="宋体" w:cs="宋体" w:eastAsia="宋体" w:hint="default"/>
          <w:b/>
          <w:bCs/>
          <w:sz w:val="11"/>
          <w:szCs w:val="11"/>
        </w:rPr>
      </w:pPr>
    </w:p>
    <w:tbl>
      <w:tblPr>
        <w:tblW w:w="0" w:type="auto"/>
        <w:jc w:val="left"/>
        <w:tblInd w:w="342" w:type="dxa"/>
        <w:tblLayout w:type="fixed"/>
        <w:tblCellMar>
          <w:top w:w="0" w:type="dxa"/>
          <w:left w:w="0" w:type="dxa"/>
          <w:bottom w:w="0" w:type="dxa"/>
          <w:right w:w="0" w:type="dxa"/>
        </w:tblCellMar>
        <w:tblLook w:val="01E0"/>
      </w:tblPr>
      <w:tblGrid>
        <w:gridCol w:w="2300"/>
        <w:gridCol w:w="979"/>
        <w:gridCol w:w="5973"/>
      </w:tblGrid>
      <w:tr>
        <w:trPr>
          <w:trHeight w:val="410" w:hRule="exact"/>
        </w:trPr>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释义项</w:t>
            </w:r>
          </w:p>
        </w:tc>
        <w:tc>
          <w:tcPr>
            <w:tcW w:w="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释义内容</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超图软件</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3"/>
              <w:ind w:left="23" w:right="0"/>
              <w:jc w:val="left"/>
              <w:rPr>
                <w:rFonts w:ascii="Times New Roman" w:hAnsi="Times New Roman" w:cs="Times New Roman" w:eastAsia="Times New Roman" w:hint="default"/>
                <w:sz w:val="21"/>
                <w:szCs w:val="21"/>
              </w:rPr>
            </w:pPr>
            <w:r>
              <w:rPr>
                <w:rFonts w:ascii="Times New Roman"/>
                <w:sz w:val="21"/>
              </w:rPr>
              <w:t>GIS</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地理信息系统</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超图国际有限公司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日本超图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上海超途</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上海超途软件有限公司</w:t>
            </w:r>
          </w:p>
        </w:tc>
      </w:tr>
      <w:tr>
        <w:trPr>
          <w:trHeight w:val="411"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克拉玛依超图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克拉玛依超图软件技术有限公司</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山东超图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山东超图软件有限公司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芜湖联智</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芜湖联智信息技术有限公司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上海南康科技有限公司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南京国图信息产业有限公司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国图不动产</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南京国图不动产评估咨询服务有限公司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北京世纪安图数码科技发展有限责任公司</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安图影文</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重庆安图影文科技有限公司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上海数慧系统技术有限公司</w:t>
            </w:r>
          </w:p>
        </w:tc>
      </w:tr>
      <w:tr>
        <w:trPr>
          <w:trHeight w:val="411"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超图数据</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成都超图数据技术有限公司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地图慧科技</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成都地图慧科技有限公司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浙江超图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浙江超图信息技术有限公司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河南超图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河南超图信息技术有限公司</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湖南超图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湖南超图信息技术有限公司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嘉兴兴球</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嘉兴兴球信息技术有限公司</w:t>
            </w:r>
          </w:p>
        </w:tc>
      </w:tr>
      <w:tr>
        <w:trPr>
          <w:trHeight w:val="411"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嘉兴兴图</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嘉兴兴图软件有限公司</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8"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北京证监局</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中国证券监督管理委员会北京监管局</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中汇</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10" w:hRule="exact"/>
        </w:trPr>
        <w:tc>
          <w:tcPr>
            <w:tcW w:w="23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Heading1"/>
        <w:spacing w:line="240" w:lineRule="auto"/>
        <w:ind w:left="3055" w:right="994"/>
        <w:jc w:val="left"/>
        <w:rPr>
          <w:b w:val="0"/>
          <w:bCs w:val="0"/>
        </w:rPr>
      </w:pPr>
      <w:bookmarkStart w:name="_bookmark1" w:id="2"/>
      <w:bookmarkEnd w:id="2"/>
      <w:r>
        <w:rPr>
          <w:b w:val="0"/>
          <w:bCs w:val="0"/>
        </w:rPr>
      </w:r>
      <w:r>
        <w:rPr>
          <w:spacing w:val="4"/>
        </w:rPr>
        <w:t>第二节</w:t>
      </w:r>
      <w:r>
        <w:rPr>
          <w:spacing w:val="-131"/>
        </w:rPr>
        <w:t> </w:t>
      </w:r>
      <w:r>
        <w:rPr>
          <w:spacing w:val="5"/>
        </w:rPr>
        <w:t>公司简介和主要财务指标</w:t>
      </w:r>
      <w:r>
        <w:rPr>
          <w:b w:val="0"/>
          <w:bCs w:val="0"/>
          <w:spacing w:val="5"/>
        </w:rPr>
      </w:r>
    </w:p>
    <w:p>
      <w:pPr>
        <w:spacing w:line="240" w:lineRule="auto" w:before="0"/>
        <w:rPr>
          <w:rFonts w:ascii="宋体" w:hAnsi="宋体" w:cs="宋体" w:eastAsia="宋体" w:hint="default"/>
          <w:b/>
          <w:bCs/>
          <w:sz w:val="20"/>
          <w:szCs w:val="20"/>
        </w:rPr>
      </w:pPr>
    </w:p>
    <w:p>
      <w:pPr>
        <w:pStyle w:val="Heading2"/>
        <w:spacing w:line="240" w:lineRule="auto" w:before="183"/>
        <w:ind w:left="213" w:right="994"/>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3258"/>
        <w:gridCol w:w="2058"/>
        <w:gridCol w:w="2162"/>
        <w:gridCol w:w="2219"/>
      </w:tblGrid>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058" w:type="dxa"/>
            <w:tcBorders>
              <w:top w:val="single" w:sz="4" w:space="0" w:color="000000"/>
              <w:left w:val="single" w:sz="10" w:space="0" w:color="D2D2D2"/>
              <w:bottom w:val="single" w:sz="4" w:space="0" w:color="000000"/>
              <w:right w:val="single" w:sz="10" w:space="0" w:color="D2D2D2"/>
            </w:tcBorders>
          </w:tcPr>
          <w:p>
            <w:pPr>
              <w:pStyle w:val="TableParagraph"/>
              <w:spacing w:line="262" w:lineRule="exact"/>
              <w:ind w:left="450" w:right="0"/>
              <w:jc w:val="left"/>
              <w:rPr>
                <w:rFonts w:ascii="宋体" w:hAnsi="宋体" w:cs="宋体" w:eastAsia="宋体" w:hint="default"/>
                <w:sz w:val="21"/>
                <w:szCs w:val="21"/>
              </w:rPr>
            </w:pPr>
            <w:r>
              <w:rPr>
                <w:rFonts w:ascii="宋体" w:hAnsi="宋体" w:cs="宋体" w:eastAsia="宋体" w:hint="default"/>
                <w:sz w:val="21"/>
                <w:szCs w:val="21"/>
              </w:rPr>
              <w:t>超图软件</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2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447" w:right="0"/>
              <w:jc w:val="left"/>
              <w:rPr>
                <w:rFonts w:ascii="Times New Roman" w:hAnsi="Times New Roman" w:cs="Times New Roman" w:eastAsia="Times New Roman" w:hint="default"/>
                <w:sz w:val="21"/>
                <w:szCs w:val="21"/>
              </w:rPr>
            </w:pPr>
            <w:r>
              <w:rPr>
                <w:rFonts w:ascii="Times New Roman"/>
                <w:sz w:val="21"/>
              </w:rPr>
              <w:t>300036</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123"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123" w:right="0"/>
              <w:jc w:val="left"/>
              <w:rPr>
                <w:rFonts w:ascii="宋体" w:hAnsi="宋体" w:cs="宋体" w:eastAsia="宋体" w:hint="default"/>
                <w:sz w:val="21"/>
                <w:szCs w:val="21"/>
              </w:rPr>
            </w:pPr>
            <w:r>
              <w:rPr>
                <w:rFonts w:ascii="宋体" w:hAnsi="宋体" w:cs="宋体" w:eastAsia="宋体" w:hint="default"/>
                <w:sz w:val="21"/>
                <w:szCs w:val="21"/>
              </w:rPr>
              <w:t>超图软件</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公司的外文名称</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123" w:right="0"/>
              <w:jc w:val="left"/>
              <w:rPr>
                <w:rFonts w:ascii="Times New Roman" w:hAnsi="Times New Roman" w:cs="Times New Roman" w:eastAsia="Times New Roman" w:hint="default"/>
                <w:sz w:val="21"/>
                <w:szCs w:val="21"/>
              </w:rPr>
            </w:pPr>
            <w:r>
              <w:rPr>
                <w:rFonts w:ascii="Times New Roman"/>
                <w:sz w:val="21"/>
              </w:rPr>
              <w:t>Beijing SuperMap Software Co.,</w:t>
            </w:r>
            <w:r>
              <w:rPr>
                <w:rFonts w:ascii="Times New Roman"/>
                <w:spacing w:val="-10"/>
                <w:sz w:val="21"/>
              </w:rPr>
              <w:t> </w:t>
            </w:r>
            <w:r>
              <w:rPr>
                <w:rFonts w:ascii="Times New Roman"/>
                <w:sz w:val="21"/>
              </w:rPr>
              <w:t>Ltd.</w:t>
            </w:r>
          </w:p>
        </w:tc>
      </w:tr>
      <w:tr>
        <w:trPr>
          <w:trHeight w:val="324"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left="123" w:right="0"/>
              <w:jc w:val="left"/>
              <w:rPr>
                <w:rFonts w:ascii="Times New Roman" w:hAnsi="Times New Roman" w:cs="Times New Roman" w:eastAsia="Times New Roman" w:hint="default"/>
                <w:sz w:val="21"/>
                <w:szCs w:val="21"/>
              </w:rPr>
            </w:pPr>
            <w:r>
              <w:rPr>
                <w:rFonts w:ascii="Times New Roman"/>
                <w:sz w:val="21"/>
              </w:rPr>
              <w:t>SuperMap</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123" w:right="0"/>
              <w:jc w:val="left"/>
              <w:rPr>
                <w:rFonts w:ascii="宋体" w:hAnsi="宋体" w:cs="宋体" w:eastAsia="宋体" w:hint="default"/>
                <w:sz w:val="21"/>
                <w:szCs w:val="21"/>
              </w:rPr>
            </w:pPr>
            <w:r>
              <w:rPr>
                <w:rFonts w:ascii="宋体" w:hAnsi="宋体" w:cs="宋体" w:eastAsia="宋体" w:hint="default"/>
                <w:sz w:val="21"/>
                <w:szCs w:val="21"/>
              </w:rPr>
              <w:t>钟耳顺</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78" w:lineRule="exact"/>
              <w:ind w:left="123"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123" w:right="0"/>
              <w:jc w:val="left"/>
              <w:rPr>
                <w:rFonts w:ascii="Times New Roman" w:hAnsi="Times New Roman" w:cs="Times New Roman" w:eastAsia="Times New Roman" w:hint="default"/>
                <w:sz w:val="21"/>
                <w:szCs w:val="21"/>
              </w:rPr>
            </w:pPr>
            <w:r>
              <w:rPr>
                <w:rFonts w:ascii="Times New Roman"/>
                <w:sz w:val="21"/>
              </w:rPr>
              <w:t>100015</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78" w:lineRule="exact"/>
              <w:ind w:left="123"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123" w:right="0"/>
              <w:jc w:val="left"/>
              <w:rPr>
                <w:rFonts w:ascii="Times New Roman" w:hAnsi="Times New Roman" w:cs="Times New Roman" w:eastAsia="Times New Roman" w:hint="default"/>
                <w:sz w:val="21"/>
                <w:szCs w:val="21"/>
              </w:rPr>
            </w:pPr>
            <w:r>
              <w:rPr>
                <w:rFonts w:ascii="Times New Roman"/>
                <w:sz w:val="21"/>
              </w:rPr>
              <w:t>100015</w:t>
            </w:r>
          </w:p>
        </w:tc>
      </w:tr>
      <w:tr>
        <w:trPr>
          <w:trHeight w:val="324"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81" w:lineRule="exact"/>
              <w:ind w:left="123" w:right="0"/>
              <w:jc w:val="left"/>
              <w:rPr>
                <w:rFonts w:ascii="Times New Roman" w:hAnsi="Times New Roman" w:cs="Times New Roman" w:eastAsia="Times New Roman" w:hint="default"/>
                <w:sz w:val="21"/>
                <w:szCs w:val="21"/>
              </w:rPr>
            </w:pPr>
            <w:hyperlink r:id="rId8">
              <w:r>
                <w:rPr>
                  <w:rFonts w:ascii="Times New Roman" w:hAnsi="Times New Roman" w:cs="Times New Roman" w:eastAsia="Times New Roman" w:hint="default"/>
                  <w:spacing w:val="-2"/>
                  <w:sz w:val="21"/>
                  <w:szCs w:val="21"/>
                </w:rPr>
                <w:t>http://www.supermap.com.cn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或</w:t>
            </w:r>
            <w:r>
              <w:rPr>
                <w:rFonts w:ascii="宋体" w:hAnsi="宋体" w:cs="宋体" w:eastAsia="宋体" w:hint="default"/>
                <w:spacing w:val="-52"/>
                <w:sz w:val="21"/>
                <w:szCs w:val="21"/>
              </w:rPr>
              <w:t> </w:t>
            </w:r>
            <w:hyperlink r:id="rId9">
              <w:r>
                <w:rPr>
                  <w:rFonts w:ascii="Times New Roman" w:hAnsi="Times New Roman" w:cs="Times New Roman" w:eastAsia="Times New Roman" w:hint="default"/>
                  <w:spacing w:val="-2"/>
                  <w:sz w:val="21"/>
                  <w:szCs w:val="21"/>
                </w:rPr>
                <w:t>http://www.supermap.com</w:t>
              </w:r>
            </w:hyperlink>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43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123"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13" w:right="994"/>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79" w:type="dxa"/>
        <w:tblLayout w:type="fixed"/>
        <w:tblCellMar>
          <w:top w:w="0" w:type="dxa"/>
          <w:left w:w="0" w:type="dxa"/>
          <w:bottom w:w="0" w:type="dxa"/>
          <w:right w:w="0" w:type="dxa"/>
        </w:tblCellMar>
        <w:tblLook w:val="01E0"/>
      </w:tblPr>
      <w:tblGrid>
        <w:gridCol w:w="1582"/>
        <w:gridCol w:w="4021"/>
        <w:gridCol w:w="4095"/>
      </w:tblGrid>
      <w:tr>
        <w:trPr>
          <w:trHeight w:val="32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690" w:right="0"/>
              <w:jc w:val="left"/>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620" w:right="0"/>
              <w:jc w:val="left"/>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sz w:val="21"/>
                <w:szCs w:val="21"/>
              </w:rPr>
              <w:t>翟利辉</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hAnsi="宋体" w:cs="宋体" w:eastAsia="宋体" w:hint="default"/>
                <w:sz w:val="21"/>
                <w:szCs w:val="21"/>
              </w:rPr>
              <w:t>谭飞艳</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021" w:type="dxa"/>
            <w:vMerge w:val="restart"/>
            <w:tcBorders>
              <w:top w:val="single" w:sz="4" w:space="0" w:color="000000"/>
              <w:left w:val="single" w:sz="10" w:space="0" w:color="D2D2D2"/>
              <w:right w:val="single" w:sz="4" w:space="0" w:color="000000"/>
            </w:tcBorders>
          </w:tcPr>
          <w:p>
            <w:pPr>
              <w:pStyle w:val="TableParagraph"/>
              <w:spacing w:line="278" w:lineRule="exact"/>
              <w:ind w:left="110"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 </w:t>
            </w:r>
            <w:r>
              <w:rPr>
                <w:rFonts w:ascii="宋体" w:hAnsi="宋体" w:cs="宋体" w:eastAsia="宋体" w:hint="default"/>
                <w:sz w:val="21"/>
                <w:szCs w:val="21"/>
              </w:rPr>
              <w:t>号电子城</w:t>
            </w:r>
          </w:p>
          <w:p>
            <w:pPr>
              <w:pStyle w:val="TableParagraph"/>
              <w:spacing w:line="240" w:lineRule="auto" w:before="21"/>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产业园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c>
          <w:tcPr>
            <w:tcW w:w="4095" w:type="dxa"/>
            <w:vMerge w:val="restart"/>
            <w:tcBorders>
              <w:top w:val="single" w:sz="4" w:space="0" w:color="000000"/>
              <w:left w:val="single" w:sz="4" w:space="0" w:color="000000"/>
              <w:right w:val="single" w:sz="4" w:space="0" w:color="000000"/>
            </w:tcBorders>
          </w:tcPr>
          <w:p>
            <w:pPr>
              <w:pStyle w:val="TableParagraph"/>
              <w:spacing w:line="278"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 </w:t>
            </w:r>
            <w:r>
              <w:rPr>
                <w:rFonts w:ascii="宋体" w:hAnsi="宋体" w:cs="宋体" w:eastAsia="宋体" w:hint="default"/>
                <w:sz w:val="21"/>
                <w:szCs w:val="21"/>
              </w:rPr>
              <w:t>号电子城</w:t>
            </w:r>
            <w:r>
              <w:rPr>
                <w:rFonts w:ascii="宋体" w:hAnsi="宋体" w:cs="宋体" w:eastAsia="宋体" w:hint="default"/>
                <w:spacing w:val="-89"/>
                <w:sz w:val="21"/>
                <w:szCs w:val="21"/>
              </w:rPr>
              <w:t> </w:t>
            </w:r>
            <w:r>
              <w:rPr>
                <w:rFonts w:ascii="Times New Roman" w:hAnsi="Times New Roman" w:cs="Times New Roman" w:eastAsia="Times New Roman" w:hint="default"/>
                <w:spacing w:val="-4"/>
                <w:sz w:val="21"/>
                <w:szCs w:val="21"/>
              </w:rPr>
              <w:t>IT</w:t>
            </w:r>
            <w:r>
              <w:rPr>
                <w:rFonts w:ascii="Times New Roman" w:hAnsi="Times New Roman" w:cs="Times New Roman" w:eastAsia="Times New Roman" w:hint="default"/>
                <w:sz w:val="21"/>
                <w:szCs w:val="21"/>
              </w:rPr>
            </w:r>
          </w:p>
          <w:p>
            <w:pPr>
              <w:pStyle w:val="TableParagraph"/>
              <w:spacing w:line="240" w:lineRule="auto" w:before="21"/>
              <w:ind w:left="117" w:right="0"/>
              <w:jc w:val="left"/>
              <w:rPr>
                <w:rFonts w:ascii="宋体" w:hAnsi="宋体" w:cs="宋体" w:eastAsia="宋体" w:hint="default"/>
                <w:sz w:val="21"/>
                <w:szCs w:val="21"/>
              </w:rPr>
            </w:pPr>
            <w:r>
              <w:rPr>
                <w:rFonts w:ascii="宋体" w:hAnsi="宋体" w:cs="宋体" w:eastAsia="宋体" w:hint="default"/>
                <w:sz w:val="21"/>
                <w:szCs w:val="21"/>
              </w:rPr>
              <w:t>产业园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r>
      <w:tr>
        <w:trPr>
          <w:trHeight w:val="312"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4021" w:type="dxa"/>
            <w:vMerge/>
            <w:tcBorders>
              <w:left w:val="single" w:sz="10" w:space="0" w:color="D2D2D2"/>
              <w:right w:val="single" w:sz="4" w:space="0" w:color="000000"/>
            </w:tcBorders>
          </w:tcPr>
          <w:p>
            <w:pPr/>
          </w:p>
        </w:tc>
        <w:tc>
          <w:tcPr>
            <w:tcW w:w="4095"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021" w:type="dxa"/>
            <w:vMerge/>
            <w:tcBorders>
              <w:left w:val="single" w:sz="10" w:space="0" w:color="D2D2D2"/>
              <w:bottom w:val="single" w:sz="4" w:space="0" w:color="000000"/>
              <w:right w:val="single" w:sz="4" w:space="0" w:color="000000"/>
            </w:tcBorders>
          </w:tcPr>
          <w:p>
            <w:pPr/>
          </w:p>
        </w:tc>
        <w:tc>
          <w:tcPr>
            <w:tcW w:w="4095" w:type="dxa"/>
            <w:vMerge/>
            <w:tcBorders>
              <w:left w:val="single" w:sz="4" w:space="0" w:color="000000"/>
              <w:bottom w:val="single" w:sz="4" w:space="0" w:color="000000"/>
              <w:right w:val="single" w:sz="4" w:space="0" w:color="000000"/>
            </w:tcBorders>
          </w:tcPr>
          <w:p>
            <w:pP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78"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59896167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59896000</w:t>
            </w: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78"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r>
      <w:tr>
        <w:trPr>
          <w:trHeight w:val="32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7"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13" w:right="994"/>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4850"/>
        <w:gridCol w:w="4847"/>
      </w:tblGrid>
      <w:tr>
        <w:trPr>
          <w:trHeight w:val="32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p>
        </w:tc>
      </w:tr>
      <w:tr>
        <w:trPr>
          <w:trHeight w:val="323"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3"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23"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7" w:right="0"/>
              <w:jc w:val="left"/>
              <w:rPr>
                <w:rFonts w:ascii="宋体" w:hAnsi="宋体" w:cs="宋体" w:eastAsia="宋体" w:hint="default"/>
                <w:sz w:val="21"/>
                <w:szCs w:val="21"/>
              </w:rPr>
            </w:pPr>
            <w:r>
              <w:rPr>
                <w:rFonts w:ascii="宋体" w:hAnsi="宋体" w:cs="宋体" w:eastAsia="宋体" w:hint="default"/>
                <w:sz w:val="21"/>
                <w:szCs w:val="21"/>
              </w:rPr>
              <w:t>公司证券投资部</w:t>
            </w:r>
          </w:p>
        </w:tc>
      </w:tr>
    </w:tbl>
    <w:p>
      <w:pPr>
        <w:spacing w:line="240" w:lineRule="auto" w:before="1"/>
        <w:rPr>
          <w:rFonts w:ascii="宋体" w:hAnsi="宋体" w:cs="宋体" w:eastAsia="宋体" w:hint="default"/>
          <w:b/>
          <w:bCs/>
          <w:sz w:val="18"/>
          <w:szCs w:val="18"/>
        </w:rPr>
      </w:pPr>
    </w:p>
    <w:p>
      <w:pPr>
        <w:spacing w:line="525" w:lineRule="auto" w:before="26"/>
        <w:ind w:left="693" w:right="7633" w:hanging="480"/>
        <w:jc w:val="left"/>
        <w:rPr>
          <w:rFonts w:ascii="宋体" w:hAnsi="宋体" w:cs="宋体" w:eastAsia="宋体" w:hint="default"/>
          <w:sz w:val="24"/>
          <w:szCs w:val="24"/>
        </w:rPr>
      </w:pPr>
      <w:r>
        <w:rPr/>
        <w:pict>
          <v:shape style="position:absolute;margin-left:51.060001pt;margin-top:57.195583pt;width:493.5pt;height:48.8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7"/>
                    <w:gridCol w:w="6959"/>
                  </w:tblGrid>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5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99"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浙江</w:t>
                        </w:r>
                        <w:r>
                          <w:rPr>
                            <w:rFonts w:ascii="宋体" w:hAnsi="宋体" w:cs="宋体" w:eastAsia="宋体" w:hint="default"/>
                            <w:spacing w:val="-3"/>
                            <w:w w:val="100"/>
                            <w:sz w:val="21"/>
                            <w:szCs w:val="21"/>
                          </w:rPr>
                          <w:t>省</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市</w:t>
                        </w:r>
                        <w:r>
                          <w:rPr>
                            <w:rFonts w:ascii="宋体" w:hAnsi="宋体" w:cs="宋体" w:eastAsia="宋体" w:hint="default"/>
                            <w:spacing w:val="-3"/>
                            <w:w w:val="100"/>
                            <w:sz w:val="21"/>
                            <w:szCs w:val="21"/>
                          </w:rPr>
                          <w:t>钱</w:t>
                        </w:r>
                        <w:r>
                          <w:rPr>
                            <w:rFonts w:ascii="宋体" w:hAnsi="宋体" w:cs="宋体" w:eastAsia="宋体" w:hint="default"/>
                            <w:w w:val="100"/>
                            <w:sz w:val="21"/>
                            <w:szCs w:val="21"/>
                          </w:rPr>
                          <w:t>江</w:t>
                        </w:r>
                        <w:r>
                          <w:rPr>
                            <w:rFonts w:ascii="宋体" w:hAnsi="宋体" w:cs="宋体" w:eastAsia="宋体" w:hint="default"/>
                            <w:spacing w:val="-3"/>
                            <w:w w:val="100"/>
                            <w:sz w:val="21"/>
                            <w:szCs w:val="21"/>
                          </w:rPr>
                          <w:t>新</w:t>
                        </w:r>
                        <w:r>
                          <w:rPr>
                            <w:rFonts w:ascii="宋体" w:hAnsi="宋体" w:cs="宋体" w:eastAsia="宋体" w:hint="default"/>
                            <w:w w:val="100"/>
                            <w:sz w:val="21"/>
                            <w:szCs w:val="21"/>
                          </w:rPr>
                          <w:t>城</w:t>
                        </w:r>
                        <w:r>
                          <w:rPr>
                            <w:rFonts w:ascii="宋体" w:hAnsi="宋体" w:cs="宋体" w:eastAsia="宋体" w:hint="default"/>
                            <w:spacing w:val="-3"/>
                            <w:w w:val="100"/>
                            <w:sz w:val="21"/>
                            <w:szCs w:val="21"/>
                          </w:rPr>
                          <w:t>新</w:t>
                        </w:r>
                        <w:r>
                          <w:rPr>
                            <w:rFonts w:ascii="宋体" w:hAnsi="宋体" w:cs="宋体" w:eastAsia="宋体" w:hint="default"/>
                            <w:w w:val="100"/>
                            <w:sz w:val="21"/>
                            <w:szCs w:val="21"/>
                          </w:rPr>
                          <w:t>业路</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号</w:t>
                        </w:r>
                        <w:r>
                          <w:rPr>
                            <w:rFonts w:ascii="宋体" w:hAnsi="宋体" w:cs="宋体" w:eastAsia="宋体" w:hint="default"/>
                            <w:spacing w:val="-60"/>
                            <w:sz w:val="21"/>
                            <w:szCs w:val="21"/>
                          </w:rPr>
                          <w:t> </w:t>
                        </w:r>
                        <w:r>
                          <w:rPr>
                            <w:rFonts w:ascii="Times New Roman" w:hAnsi="Times New Roman" w:cs="Times New Roman" w:eastAsia="Times New Roman" w:hint="default"/>
                            <w:spacing w:val="-2"/>
                            <w:w w:val="100"/>
                            <w:sz w:val="21"/>
                            <w:szCs w:val="21"/>
                          </w:rPr>
                          <w:t>U</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6"/>
                            <w:sz w:val="21"/>
                            <w:szCs w:val="21"/>
                          </w:rPr>
                          <w:t> </w:t>
                        </w:r>
                        <w:r>
                          <w:rPr>
                            <w:rFonts w:ascii="宋体" w:hAnsi="宋体" w:cs="宋体" w:eastAsia="宋体" w:hint="default"/>
                            <w:w w:val="100"/>
                            <w:sz w:val="21"/>
                            <w:szCs w:val="21"/>
                          </w:rPr>
                          <w:t>时</w:t>
                        </w:r>
                        <w:r>
                          <w:rPr>
                            <w:rFonts w:ascii="宋体" w:hAnsi="宋体" w:cs="宋体" w:eastAsia="宋体" w:hint="default"/>
                            <w:spacing w:val="-3"/>
                            <w:w w:val="100"/>
                            <w:sz w:val="21"/>
                            <w:szCs w:val="21"/>
                          </w:rPr>
                          <w:t>代</w:t>
                        </w:r>
                        <w:r>
                          <w:rPr>
                            <w:rFonts w:ascii="宋体" w:hAnsi="宋体" w:cs="宋体" w:eastAsia="宋体" w:hint="default"/>
                            <w:w w:val="100"/>
                            <w:sz w:val="21"/>
                            <w:szCs w:val="21"/>
                          </w:rPr>
                          <w:t>大厦</w:t>
                        </w:r>
                        <w:r>
                          <w:rPr>
                            <w:rFonts w:ascii="宋体" w:hAnsi="宋体" w:cs="宋体" w:eastAsia="宋体" w:hint="default"/>
                            <w:spacing w:val="-60"/>
                            <w:sz w:val="21"/>
                            <w:szCs w:val="21"/>
                          </w:rPr>
                          <w:t> </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w w:val="100"/>
                            <w:sz w:val="21"/>
                            <w:szCs w:val="21"/>
                          </w:rPr>
                          <w:t>座</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层</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邮</w:t>
                        </w:r>
                        <w:r>
                          <w:rPr>
                            <w:rFonts w:ascii="宋体" w:hAnsi="宋体" w:cs="宋体" w:eastAsia="宋体" w:hint="default"/>
                            <w:w w:val="100"/>
                            <w:sz w:val="21"/>
                            <w:szCs w:val="21"/>
                          </w:rPr>
                          <w:t>编</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签字会计师姓名</w:t>
                        </w:r>
                      </w:p>
                    </w:tc>
                    <w:tc>
                      <w:tcPr>
                        <w:tcW w:w="6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hAnsi="宋体" w:cs="宋体" w:eastAsia="宋体" w:hint="default"/>
                            <w:sz w:val="21"/>
                            <w:szCs w:val="21"/>
                          </w:rPr>
                          <w:t>赵亦飞、刘成龙</w:t>
                        </w:r>
                      </w:p>
                    </w:tc>
                  </w:tr>
                </w:tbl>
                <w:p>
                  <w:pPr/>
                </w:p>
              </w:txbxContent>
            </v:textbox>
            <w10:wrap type="none"/>
          </v:shape>
        </w:pict>
      </w:r>
      <w:r>
        <w:rPr>
          <w:rFonts w:ascii="宋体" w:hAnsi="宋体" w:cs="宋体" w:eastAsia="宋体" w:hint="default"/>
          <w:b/>
          <w:bCs/>
          <w:sz w:val="24"/>
          <w:szCs w:val="24"/>
        </w:rPr>
        <w:t>四、其他有关资料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693" w:right="994"/>
        <w:jc w:val="left"/>
      </w:pPr>
      <w:r>
        <w:rPr/>
        <w:t>公司聘请的报告期内履行持续督导职责的保荐机构</w:t>
      </w:r>
    </w:p>
    <w:p>
      <w:pPr>
        <w:spacing w:after="0" w:line="240" w:lineRule="auto"/>
        <w:jc w:val="left"/>
        <w:sectPr>
          <w:pgSz w:w="11910" w:h="16840"/>
          <w:pgMar w:header="877" w:footer="979" w:top="1100" w:bottom="1160" w:left="920" w:right="0"/>
        </w:sectPr>
      </w:pPr>
    </w:p>
    <w:p>
      <w:pPr>
        <w:spacing w:line="240" w:lineRule="auto" w:before="8"/>
        <w:rPr>
          <w:rFonts w:ascii="宋体" w:hAnsi="宋体" w:cs="宋体" w:eastAsia="宋体" w:hint="default"/>
          <w:sz w:val="25"/>
          <w:szCs w:val="25"/>
        </w:rPr>
      </w:pPr>
    </w:p>
    <w:p>
      <w:pPr>
        <w:pStyle w:val="BodyText"/>
        <w:spacing w:line="338" w:lineRule="auto" w:before="26"/>
        <w:ind w:left="75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公司聘请的报告期内履行持续督导职责的财务顾问</w:t>
      </w:r>
    </w:p>
    <w:p>
      <w:pPr>
        <w:tabs>
          <w:tab w:pos="1617" w:val="left" w:leader="none"/>
        </w:tabs>
        <w:spacing w:line="499" w:lineRule="auto" w:before="55"/>
        <w:ind w:left="273" w:right="7640" w:firstLine="48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适用</w:t>
        <w:tab/>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五、主要会计数据和财务指标</w:t>
      </w:r>
      <w:r>
        <w:rPr>
          <w:rFonts w:ascii="宋体" w:hAnsi="宋体" w:cs="宋体" w:eastAsia="宋体" w:hint="default"/>
          <w:sz w:val="24"/>
          <w:szCs w:val="24"/>
        </w:rPr>
      </w:r>
    </w:p>
    <w:p>
      <w:pPr>
        <w:pStyle w:val="BodyText"/>
        <w:spacing w:line="240" w:lineRule="auto" w:before="118"/>
        <w:ind w:left="753" w:right="4993"/>
        <w:jc w:val="left"/>
      </w:pPr>
      <w:r>
        <w:rPr/>
        <w:t>公司是否需追溯调整或重述以前年度会计数据</w:t>
      </w:r>
    </w:p>
    <w:p>
      <w:pPr>
        <w:pStyle w:val="BodyText"/>
        <w:spacing w:line="240" w:lineRule="auto" w:before="154"/>
        <w:ind w:left="753"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5"/>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239"/>
        <w:gridCol w:w="384"/>
        <w:gridCol w:w="1647"/>
        <w:gridCol w:w="1849"/>
        <w:gridCol w:w="1308"/>
        <w:gridCol w:w="1536"/>
      </w:tblGrid>
      <w:tr>
        <w:trPr>
          <w:trHeight w:val="199" w:hRule="exact"/>
        </w:trPr>
        <w:tc>
          <w:tcPr>
            <w:tcW w:w="323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34" w:right="122" w:hanging="317"/>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39" w:type="dxa"/>
            <w:tcBorders>
              <w:top w:val="nil" w:sz="6" w:space="0" w:color="auto"/>
              <w:left w:val="single" w:sz="4" w:space="0" w:color="000000"/>
              <w:bottom w:val="nil" w:sz="6" w:space="0" w:color="auto"/>
              <w:right w:val="single" w:sz="4" w:space="0" w:color="000000"/>
            </w:tcBorders>
            <w:shd w:val="clear" w:color="auto" w:fill="D2D2D2"/>
          </w:tcPr>
          <w:p>
            <w:pPr/>
          </w:p>
        </w:tc>
        <w:tc>
          <w:tcPr>
            <w:tcW w:w="203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87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w:t>
            </w:r>
            <w:r>
              <w:rPr>
                <w:rFonts w:ascii="宋体" w:hAnsi="宋体" w:cs="宋体" w:eastAsia="宋体" w:hint="default"/>
                <w:sz w:val="21"/>
                <w:szCs w:val="21"/>
              </w:rPr>
            </w:r>
          </w:p>
        </w:tc>
        <w:tc>
          <w:tcPr>
            <w:tcW w:w="18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57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08" w:type="dxa"/>
            <w:vMerge/>
            <w:tcBorders>
              <w:left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41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93" w:hRule="exact"/>
        </w:trPr>
        <w:tc>
          <w:tcPr>
            <w:tcW w:w="323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24" w:hRule="exact"/>
        </w:trPr>
        <w:tc>
          <w:tcPr>
            <w:tcW w:w="32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71"/>
              <w:ind w:left="2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2031" w:type="dxa"/>
            <w:gridSpan w:val="2"/>
            <w:tcBorders>
              <w:top w:val="single" w:sz="4" w:space="0" w:color="000000"/>
              <w:left w:val="single" w:sz="10" w:space="0" w:color="D2D2D2"/>
              <w:bottom w:val="single" w:sz="4" w:space="0" w:color="FFFFFF"/>
              <w:right w:val="single" w:sz="4" w:space="0" w:color="000000"/>
            </w:tcBorders>
          </w:tcPr>
          <w:p>
            <w:pPr>
              <w:pStyle w:val="TableParagraph"/>
              <w:spacing w:line="240" w:lineRule="auto" w:before="116"/>
              <w:ind w:left="518" w:right="0"/>
              <w:jc w:val="left"/>
              <w:rPr>
                <w:rFonts w:ascii="Times New Roman" w:hAnsi="Times New Roman" w:cs="Times New Roman" w:eastAsia="Times New Roman" w:hint="default"/>
                <w:sz w:val="21"/>
                <w:szCs w:val="21"/>
              </w:rPr>
            </w:pPr>
            <w:r>
              <w:rPr>
                <w:rFonts w:ascii="Times New Roman"/>
                <w:sz w:val="21"/>
              </w:rPr>
              <w:t>1,517,788,227.33</w:t>
            </w:r>
          </w:p>
        </w:tc>
        <w:tc>
          <w:tcPr>
            <w:tcW w:w="184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pacing w:val="-1"/>
                <w:sz w:val="21"/>
              </w:rPr>
              <w:t>1,249,758,548.46</w:t>
            </w:r>
          </w:p>
        </w:tc>
        <w:tc>
          <w:tcPr>
            <w:tcW w:w="1308" w:type="dxa"/>
            <w:tcBorders>
              <w:top w:val="single" w:sz="14" w:space="0" w:color="D2D2D2"/>
              <w:left w:val="single" w:sz="4" w:space="0" w:color="000000"/>
              <w:bottom w:val="single" w:sz="4" w:space="0" w:color="FFFFFF"/>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21"/>
                <w:szCs w:val="21"/>
              </w:rPr>
            </w:pPr>
            <w:r>
              <w:rPr>
                <w:rFonts w:ascii="Times New Roman"/>
                <w:sz w:val="21"/>
              </w:rPr>
              <w:t>21.45%</w:t>
            </w:r>
          </w:p>
        </w:tc>
        <w:tc>
          <w:tcPr>
            <w:tcW w:w="153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spacing w:val="-1"/>
                <w:sz w:val="21"/>
              </w:rPr>
              <w:t>833,150,645.25</w:t>
            </w:r>
          </w:p>
        </w:tc>
      </w:tr>
      <w:tr>
        <w:trPr>
          <w:trHeight w:val="438" w:hRule="exact"/>
        </w:trPr>
        <w:tc>
          <w:tcPr>
            <w:tcW w:w="32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归属于上市公司股东的净利润（元</w:t>
            </w:r>
          </w:p>
        </w:tc>
        <w:tc>
          <w:tcPr>
            <w:tcW w:w="384" w:type="dxa"/>
            <w:tcBorders>
              <w:top w:val="single" w:sz="4" w:space="0" w:color="FFFFFF"/>
              <w:left w:val="single" w:sz="10" w:space="0" w:color="D2D2D2"/>
              <w:bottom w:val="single" w:sz="4" w:space="0" w:color="000000"/>
              <w:right w:val="nil" w:sz="6" w:space="0" w:color="auto"/>
            </w:tcBorders>
          </w:tcPr>
          <w:p>
            <w:pPr>
              <w:pStyle w:val="TableParagraph"/>
              <w:spacing w:line="240" w:lineRule="auto" w:before="24"/>
              <w:ind w:left="-14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47" w:type="dxa"/>
            <w:tcBorders>
              <w:top w:val="single" w:sz="4" w:space="0" w:color="FFFFFF"/>
              <w:left w:val="nil" w:sz="6" w:space="0" w:color="auto"/>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167,612,442.09</w:t>
            </w:r>
          </w:p>
        </w:tc>
        <w:tc>
          <w:tcPr>
            <w:tcW w:w="18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196,266,033.25</w:t>
            </w:r>
          </w:p>
        </w:tc>
        <w:tc>
          <w:tcPr>
            <w:tcW w:w="13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pacing w:val="-1"/>
                <w:sz w:val="21"/>
              </w:rPr>
              <w:t>-14.60%</w:t>
            </w:r>
          </w:p>
        </w:tc>
        <w:tc>
          <w:tcPr>
            <w:tcW w:w="153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127,450,223.24</w:t>
            </w:r>
          </w:p>
        </w:tc>
      </w:tr>
      <w:tr>
        <w:trPr>
          <w:trHeight w:val="674" w:hRule="exact"/>
        </w:trPr>
        <w:tc>
          <w:tcPr>
            <w:tcW w:w="32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3" w:lineRule="auto"/>
              <w:ind w:left="21" w:right="51"/>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性损益的净利润（元）</w:t>
            </w:r>
          </w:p>
        </w:tc>
        <w:tc>
          <w:tcPr>
            <w:tcW w:w="2031" w:type="dxa"/>
            <w:gridSpan w:val="2"/>
            <w:tcBorders>
              <w:top w:val="single" w:sz="4" w:space="0" w:color="000000"/>
              <w:left w:val="single" w:sz="10" w:space="0" w:color="D2D2D2"/>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6" w:right="0"/>
              <w:jc w:val="left"/>
              <w:rPr>
                <w:rFonts w:ascii="Times New Roman" w:hAnsi="Times New Roman" w:cs="Times New Roman" w:eastAsia="Times New Roman" w:hint="default"/>
                <w:sz w:val="21"/>
                <w:szCs w:val="21"/>
              </w:rPr>
            </w:pPr>
            <w:r>
              <w:rPr>
                <w:rFonts w:ascii="Times New Roman"/>
                <w:sz w:val="21"/>
              </w:rPr>
              <w:t>137,973,522.47</w:t>
            </w:r>
          </w:p>
        </w:tc>
        <w:tc>
          <w:tcPr>
            <w:tcW w:w="184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183,069,045.44</w:t>
            </w:r>
          </w:p>
        </w:tc>
        <w:tc>
          <w:tcPr>
            <w:tcW w:w="130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-24.63%</w:t>
            </w:r>
          </w:p>
        </w:tc>
        <w:tc>
          <w:tcPr>
            <w:tcW w:w="153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107,216,363.61</w:t>
            </w:r>
          </w:p>
        </w:tc>
      </w:tr>
      <w:tr>
        <w:trPr>
          <w:trHeight w:val="479" w:hRule="exact"/>
        </w:trPr>
        <w:tc>
          <w:tcPr>
            <w:tcW w:w="3239"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经营活动产生的现金流量净额（元</w:t>
            </w:r>
          </w:p>
        </w:tc>
        <w:tc>
          <w:tcPr>
            <w:tcW w:w="384" w:type="dxa"/>
            <w:tcBorders>
              <w:top w:val="single" w:sz="4" w:space="0" w:color="FFFFFF"/>
              <w:left w:val="single" w:sz="10" w:space="0" w:color="D2D2D2"/>
              <w:bottom w:val="single" w:sz="4" w:space="0" w:color="FFFFFF"/>
              <w:right w:val="nil" w:sz="6" w:space="0" w:color="auto"/>
            </w:tcBorders>
          </w:tcPr>
          <w:p>
            <w:pPr>
              <w:pStyle w:val="TableParagraph"/>
              <w:spacing w:line="240" w:lineRule="auto" w:before="23"/>
              <w:ind w:left="-14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47" w:type="dxa"/>
            <w:tcBorders>
              <w:top w:val="single" w:sz="4" w:space="0" w:color="FFFFFF"/>
              <w:left w:val="nil" w:sz="6" w:space="0" w:color="auto"/>
              <w:bottom w:val="single" w:sz="4" w:space="0" w:color="FFFFFF"/>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pacing w:val="-1"/>
                <w:sz w:val="21"/>
              </w:rPr>
              <w:t>166,227,588.88</w:t>
            </w:r>
          </w:p>
        </w:tc>
        <w:tc>
          <w:tcPr>
            <w:tcW w:w="184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249,360,832.91</w:t>
            </w:r>
          </w:p>
        </w:tc>
        <w:tc>
          <w:tcPr>
            <w:tcW w:w="13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pacing w:val="-1"/>
                <w:sz w:val="21"/>
              </w:rPr>
              <w:t>-33.34%</w:t>
            </w:r>
          </w:p>
        </w:tc>
        <w:tc>
          <w:tcPr>
            <w:tcW w:w="153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223,170,130.99</w:t>
            </w:r>
          </w:p>
        </w:tc>
      </w:tr>
      <w:tr>
        <w:trPr>
          <w:trHeight w:val="478" w:hRule="exact"/>
        </w:trPr>
        <w:tc>
          <w:tcPr>
            <w:tcW w:w="3239"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031" w:type="dxa"/>
            <w:gridSpan w:val="2"/>
            <w:tcBorders>
              <w:top w:val="single" w:sz="4" w:space="0" w:color="FFFFFF"/>
              <w:left w:val="single" w:sz="10" w:space="0" w:color="D2D2D2"/>
              <w:bottom w:val="single" w:sz="4" w:space="0" w:color="FFFFFF"/>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0.37</w:t>
            </w:r>
          </w:p>
        </w:tc>
        <w:tc>
          <w:tcPr>
            <w:tcW w:w="184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0.44</w:t>
            </w:r>
          </w:p>
        </w:tc>
        <w:tc>
          <w:tcPr>
            <w:tcW w:w="13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21"/>
                <w:szCs w:val="21"/>
              </w:rPr>
            </w:pPr>
            <w:r>
              <w:rPr>
                <w:rFonts w:ascii="Times New Roman"/>
                <w:spacing w:val="-1"/>
                <w:sz w:val="21"/>
              </w:rPr>
              <w:t>-15.91%</w:t>
            </w:r>
          </w:p>
        </w:tc>
        <w:tc>
          <w:tcPr>
            <w:tcW w:w="153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0.31</w:t>
            </w:r>
          </w:p>
        </w:tc>
      </w:tr>
      <w:tr>
        <w:trPr>
          <w:trHeight w:val="478" w:hRule="exact"/>
        </w:trPr>
        <w:tc>
          <w:tcPr>
            <w:tcW w:w="3239"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031" w:type="dxa"/>
            <w:gridSpan w:val="2"/>
            <w:tcBorders>
              <w:top w:val="single" w:sz="4" w:space="0" w:color="FFFFFF"/>
              <w:left w:val="single" w:sz="10" w:space="0" w:color="D2D2D2"/>
              <w:bottom w:val="single" w:sz="4" w:space="0" w:color="FFFFFF"/>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0.37</w:t>
            </w:r>
          </w:p>
        </w:tc>
        <w:tc>
          <w:tcPr>
            <w:tcW w:w="184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0.44</w:t>
            </w:r>
          </w:p>
        </w:tc>
        <w:tc>
          <w:tcPr>
            <w:tcW w:w="13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21"/>
                <w:szCs w:val="21"/>
              </w:rPr>
            </w:pPr>
            <w:r>
              <w:rPr>
                <w:rFonts w:ascii="Times New Roman"/>
                <w:spacing w:val="-1"/>
                <w:sz w:val="21"/>
              </w:rPr>
              <w:t>-15.91%</w:t>
            </w:r>
          </w:p>
        </w:tc>
        <w:tc>
          <w:tcPr>
            <w:tcW w:w="153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0.30</w:t>
            </w:r>
          </w:p>
        </w:tc>
      </w:tr>
      <w:tr>
        <w:trPr>
          <w:trHeight w:val="443" w:hRule="exact"/>
        </w:trPr>
        <w:tc>
          <w:tcPr>
            <w:tcW w:w="32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5"/>
              <w:ind w:left="2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31" w:type="dxa"/>
            <w:gridSpan w:val="2"/>
            <w:tcBorders>
              <w:top w:val="single" w:sz="4" w:space="0" w:color="FFFFFF"/>
              <w:left w:val="single" w:sz="10" w:space="0" w:color="D2D2D2"/>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8.98</w:t>
            </w:r>
          </w:p>
        </w:tc>
        <w:tc>
          <w:tcPr>
            <w:tcW w:w="18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2"/>
                <w:sz w:val="21"/>
              </w:rPr>
              <w:t>11.49</w:t>
            </w:r>
          </w:p>
        </w:tc>
        <w:tc>
          <w:tcPr>
            <w:tcW w:w="1308" w:type="dxa"/>
            <w:tcBorders>
              <w:top w:val="single" w:sz="4" w:space="0" w:color="FFFFFF"/>
              <w:left w:val="single" w:sz="4" w:space="0" w:color="000000"/>
              <w:bottom w:val="single" w:sz="7" w:space="0" w:color="000000"/>
              <w:right w:val="single" w:sz="4" w:space="0" w:color="000000"/>
            </w:tcBorders>
          </w:tcPr>
          <w:p>
            <w:pPr>
              <w:pStyle w:val="TableParagraph"/>
              <w:spacing w:line="240" w:lineRule="auto" w:before="69"/>
              <w:ind w:right="24"/>
              <w:jc w:val="right"/>
              <w:rPr>
                <w:rFonts w:ascii="Times New Roman" w:hAnsi="Times New Roman" w:cs="Times New Roman" w:eastAsia="Times New Roman" w:hint="default"/>
                <w:sz w:val="21"/>
                <w:szCs w:val="21"/>
              </w:rPr>
            </w:pPr>
            <w:r>
              <w:rPr>
                <w:rFonts w:ascii="Times New Roman"/>
                <w:spacing w:val="-1"/>
                <w:sz w:val="21"/>
              </w:rPr>
              <w:t>-2.51</w:t>
            </w:r>
          </w:p>
        </w:tc>
        <w:tc>
          <w:tcPr>
            <w:tcW w:w="153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2"/>
                <w:sz w:val="21"/>
              </w:rPr>
              <w:t>11.04</w:t>
            </w:r>
          </w:p>
        </w:tc>
      </w:tr>
      <w:tr>
        <w:trPr>
          <w:trHeight w:val="161" w:hRule="exact"/>
        </w:trPr>
        <w:tc>
          <w:tcPr>
            <w:tcW w:w="323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23" w:right="122" w:hanging="106"/>
              <w:jc w:val="left"/>
              <w:rPr>
                <w:rFonts w:ascii="宋体" w:hAnsi="宋体" w:cs="宋体" w:eastAsia="宋体" w:hint="default"/>
                <w:sz w:val="21"/>
                <w:szCs w:val="21"/>
              </w:rPr>
            </w:pPr>
            <w:r>
              <w:rPr>
                <w:rFonts w:ascii="宋体" w:hAnsi="宋体" w:cs="宋体" w:eastAsia="宋体" w:hint="default"/>
                <w:b/>
                <w:bCs/>
                <w:sz w:val="21"/>
                <w:szCs w:val="21"/>
              </w:rPr>
              <w:t>本年末比上</w:t>
            </w:r>
            <w:r>
              <w:rPr>
                <w:rFonts w:ascii="宋体" w:hAnsi="宋体" w:cs="宋体" w:eastAsia="宋体" w:hint="default"/>
                <w:b/>
                <w:bCs/>
                <w:w w:val="100"/>
                <w:sz w:val="21"/>
                <w:szCs w:val="21"/>
              </w:rPr>
              <w:t> </w:t>
            </w:r>
            <w:r>
              <w:rPr>
                <w:rFonts w:ascii="宋体" w:hAnsi="宋体" w:cs="宋体" w:eastAsia="宋体" w:hint="default"/>
                <w:b/>
                <w:bCs/>
                <w:sz w:val="21"/>
                <w:szCs w:val="21"/>
              </w:rPr>
              <w:t>年末增减</w:t>
            </w:r>
            <w:r>
              <w:rPr>
                <w:rFonts w:ascii="宋体" w:hAnsi="宋体" w:cs="宋体" w:eastAsia="宋体" w:hint="default"/>
                <w:sz w:val="21"/>
                <w:szCs w:val="21"/>
              </w:rPr>
            </w:r>
          </w:p>
        </w:tc>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39" w:type="dxa"/>
            <w:tcBorders>
              <w:top w:val="nil" w:sz="6" w:space="0" w:color="auto"/>
              <w:left w:val="single" w:sz="4" w:space="0" w:color="000000"/>
              <w:bottom w:val="nil" w:sz="6" w:space="0" w:color="auto"/>
              <w:right w:val="single" w:sz="4" w:space="0" w:color="000000"/>
            </w:tcBorders>
            <w:shd w:val="clear" w:color="auto" w:fill="D2D2D2"/>
          </w:tcPr>
          <w:p>
            <w:pPr/>
          </w:p>
        </w:tc>
        <w:tc>
          <w:tcPr>
            <w:tcW w:w="203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55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年末</w:t>
            </w:r>
            <w:r>
              <w:rPr>
                <w:rFonts w:ascii="宋体" w:hAnsi="宋体" w:cs="宋体" w:eastAsia="宋体" w:hint="default"/>
                <w:sz w:val="21"/>
                <w:szCs w:val="21"/>
              </w:rPr>
            </w:r>
          </w:p>
        </w:tc>
        <w:tc>
          <w:tcPr>
            <w:tcW w:w="18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47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年末</w:t>
            </w:r>
            <w:r>
              <w:rPr>
                <w:rFonts w:ascii="宋体" w:hAnsi="宋体" w:cs="宋体" w:eastAsia="宋体" w:hint="default"/>
                <w:sz w:val="21"/>
                <w:szCs w:val="21"/>
              </w:rPr>
            </w:r>
          </w:p>
        </w:tc>
        <w:tc>
          <w:tcPr>
            <w:tcW w:w="1308" w:type="dxa"/>
            <w:vMerge/>
            <w:tcBorders>
              <w:left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204" w:hRule="exact"/>
        </w:trPr>
        <w:tc>
          <w:tcPr>
            <w:tcW w:w="323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39"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203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left="518" w:right="0"/>
              <w:jc w:val="left"/>
              <w:rPr>
                <w:rFonts w:ascii="Times New Roman" w:hAnsi="Times New Roman" w:cs="Times New Roman" w:eastAsia="Times New Roman" w:hint="default"/>
                <w:sz w:val="21"/>
                <w:szCs w:val="21"/>
              </w:rPr>
            </w:pPr>
            <w:r>
              <w:rPr>
                <w:rFonts w:ascii="Times New Roman"/>
                <w:sz w:val="21"/>
              </w:rPr>
              <w:t>2,822,793,446.81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2,629,728,087.14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z w:val="21"/>
              </w:rPr>
              <w:t>7.34%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2,194,270,891.85</w:t>
            </w:r>
          </w:p>
        </w:tc>
      </w:tr>
      <w:tr>
        <w:trPr>
          <w:trHeight w:val="63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归属于上市公司股东的所有者权益</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03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8" w:right="0"/>
              <w:jc w:val="left"/>
              <w:rPr>
                <w:rFonts w:ascii="Times New Roman" w:hAnsi="Times New Roman" w:cs="Times New Roman" w:eastAsia="Times New Roman" w:hint="default"/>
                <w:sz w:val="21"/>
                <w:szCs w:val="21"/>
              </w:rPr>
            </w:pPr>
            <w:r>
              <w:rPr>
                <w:rFonts w:ascii="Times New Roman"/>
                <w:sz w:val="21"/>
              </w:rPr>
              <w:t>1,935,136,166.58</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1,805,894,167.44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7.16%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1,615,854,933.04</w:t>
            </w:r>
          </w:p>
        </w:tc>
      </w:tr>
    </w:tbl>
    <w:p>
      <w:pPr>
        <w:pStyle w:val="BodyText"/>
        <w:spacing w:line="357" w:lineRule="auto" w:before="79"/>
        <w:ind w:left="273" w:right="1153"/>
        <w:jc w:val="left"/>
      </w:pPr>
      <w:r>
        <w:rPr/>
        <w:t>公司报告期末至年度报告披露日股本是否因发行新股、增发、配股、股权激励行权、回购等 原因发生变化且影响所有者权益金额</w:t>
      </w:r>
    </w:p>
    <w:p>
      <w:pPr>
        <w:pStyle w:val="BodyText"/>
        <w:spacing w:line="240" w:lineRule="auto" w:before="77"/>
        <w:ind w:left="273"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4"/>
        <w:rPr>
          <w:rFonts w:ascii="宋体" w:hAnsi="宋体" w:cs="宋体" w:eastAsia="宋体" w:hint="default"/>
          <w:sz w:val="10"/>
          <w:szCs w:val="10"/>
        </w:rPr>
      </w:pPr>
    </w:p>
    <w:tbl>
      <w:tblPr>
        <w:tblW w:w="0" w:type="auto"/>
        <w:jc w:val="left"/>
        <w:tblInd w:w="269" w:type="dxa"/>
        <w:tblLayout w:type="fixed"/>
        <w:tblCellMar>
          <w:top w:w="0" w:type="dxa"/>
          <w:left w:w="0" w:type="dxa"/>
          <w:bottom w:w="0" w:type="dxa"/>
          <w:right w:w="0" w:type="dxa"/>
        </w:tblCellMar>
        <w:tblLook w:val="01E0"/>
      </w:tblPr>
      <w:tblGrid>
        <w:gridCol w:w="4524"/>
        <w:gridCol w:w="5046"/>
      </w:tblGrid>
      <w:tr>
        <w:trPr>
          <w:trHeight w:val="404"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用最新股本计算的全面摊薄每股收益（元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left="273" w:right="4993"/>
        <w:jc w:val="left"/>
        <w:rPr>
          <w:b w:val="0"/>
          <w:bCs w:val="0"/>
        </w:rPr>
      </w:pPr>
      <w:r>
        <w:rPr/>
        <w:t>六、分季度主要财务指标</w:t>
      </w:r>
      <w:r>
        <w:rPr>
          <w:b w:val="0"/>
          <w:bCs w:val="0"/>
        </w:rPr>
      </w:r>
    </w:p>
    <w:p>
      <w:pPr>
        <w:spacing w:line="240" w:lineRule="auto" w:before="11"/>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3152"/>
        <w:gridCol w:w="1737"/>
        <w:gridCol w:w="1692"/>
        <w:gridCol w:w="1465"/>
        <w:gridCol w:w="1772"/>
      </w:tblGrid>
      <w:tr>
        <w:trPr>
          <w:trHeight w:val="478"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7"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66"/>
              <w:ind w:left="438" w:right="0"/>
              <w:jc w:val="left"/>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b/>
                <w:bCs/>
                <w:sz w:val="21"/>
                <w:szCs w:val="21"/>
              </w:rPr>
              <w:t>第二季度</w:t>
            </w:r>
            <w:r>
              <w:rPr>
                <w:rFonts w:ascii="宋体" w:hAnsi="宋体" w:cs="宋体" w:eastAsia="宋体" w:hint="default"/>
                <w:sz w:val="21"/>
                <w:szCs w:val="21"/>
              </w:rPr>
            </w:r>
          </w:p>
        </w:tc>
        <w:tc>
          <w:tcPr>
            <w:tcW w:w="1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5" w:right="0"/>
              <w:jc w:val="center"/>
              <w:rPr>
                <w:rFonts w:ascii="宋体" w:hAnsi="宋体" w:cs="宋体" w:eastAsia="宋体" w:hint="default"/>
                <w:sz w:val="21"/>
                <w:szCs w:val="21"/>
              </w:rPr>
            </w:pPr>
            <w:r>
              <w:rPr>
                <w:rFonts w:ascii="宋体" w:hAnsi="宋体" w:cs="宋体" w:eastAsia="宋体" w:hint="default"/>
                <w:b/>
                <w:bCs/>
                <w:sz w:val="21"/>
                <w:szCs w:val="21"/>
              </w:rPr>
              <w:t>第三季度</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第四季度</w:t>
            </w:r>
            <w:r>
              <w:rPr>
                <w:rFonts w:ascii="宋体" w:hAnsi="宋体" w:cs="宋体" w:eastAsia="宋体" w:hint="default"/>
                <w:sz w:val="21"/>
                <w:szCs w:val="21"/>
              </w:rPr>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0"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05" w:right="0"/>
              <w:jc w:val="left"/>
              <w:rPr>
                <w:rFonts w:ascii="Times New Roman" w:hAnsi="Times New Roman" w:cs="Times New Roman" w:eastAsia="Times New Roman" w:hint="default"/>
                <w:sz w:val="21"/>
                <w:szCs w:val="21"/>
              </w:rPr>
            </w:pPr>
            <w:r>
              <w:rPr>
                <w:rFonts w:ascii="Times New Roman"/>
                <w:sz w:val="21"/>
              </w:rPr>
              <w:t>236,208,635.06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317,086,882.45</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362,266,588.53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602,226,121.29</w:t>
            </w:r>
          </w:p>
        </w:tc>
      </w:tr>
      <w:tr>
        <w:trPr>
          <w:trHeight w:val="636"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40" w:lineRule="auto" w:before="37"/>
              <w:ind w:left="2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58" w:right="0"/>
              <w:jc w:val="left"/>
              <w:rPr>
                <w:rFonts w:ascii="Times New Roman" w:hAnsi="Times New Roman" w:cs="Times New Roman" w:eastAsia="Times New Roman" w:hint="default"/>
                <w:sz w:val="21"/>
                <w:szCs w:val="21"/>
              </w:rPr>
            </w:pPr>
            <w:r>
              <w:rPr>
                <w:rFonts w:ascii="Times New Roman"/>
                <w:sz w:val="21"/>
              </w:rPr>
              <w:t>12,767,036.21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26,727,122.58</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66,589,874.15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61,528,409.15</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100" w:bottom="1160" w:left="860" w:right="0"/>
        </w:sectPr>
      </w:pPr>
    </w:p>
    <w:p>
      <w:pPr>
        <w:spacing w:line="240" w:lineRule="auto" w:before="8"/>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3152"/>
        <w:gridCol w:w="1737"/>
        <w:gridCol w:w="1692"/>
        <w:gridCol w:w="1465"/>
        <w:gridCol w:w="1772"/>
      </w:tblGrid>
      <w:tr>
        <w:trPr>
          <w:trHeight w:val="634"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0" w:right="17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常性损益的净利润（元）</w:t>
            </w:r>
          </w:p>
        </w:tc>
        <w:tc>
          <w:tcPr>
            <w:tcW w:w="17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10,611,490.75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21,789,122.44</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49,739,634.56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55,833,274.72</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37"/>
              <w:ind w:left="2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-246,374,016.83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-95,635,713.77</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-62,386,473.69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570,623,793.17</w:t>
            </w:r>
          </w:p>
        </w:tc>
      </w:tr>
    </w:tbl>
    <w:p>
      <w:pPr>
        <w:pStyle w:val="BodyText"/>
        <w:spacing w:line="357" w:lineRule="auto" w:before="39"/>
        <w:ind w:left="193" w:right="1153" w:firstLine="480"/>
        <w:jc w:val="left"/>
      </w:pPr>
      <w:r>
        <w:rPr/>
        <w:t>上述财务指标或其加总数是否与公司已披露季度报告、半年度报告相关财务指标存在重 大差异</w:t>
      </w:r>
    </w:p>
    <w:p>
      <w:pPr>
        <w:spacing w:line="499" w:lineRule="auto" w:before="36"/>
        <w:ind w:left="193" w:right="6898"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七、境内外会计准则下会计数据差异</w:t>
      </w:r>
      <w:r>
        <w:rPr>
          <w:rFonts w:ascii="宋体" w:hAnsi="宋体" w:cs="宋体" w:eastAsia="宋体" w:hint="default"/>
          <w:sz w:val="24"/>
          <w:szCs w:val="24"/>
        </w:rPr>
      </w:r>
    </w:p>
    <w:p>
      <w:pPr>
        <w:pStyle w:val="Heading2"/>
        <w:spacing w:line="240" w:lineRule="auto" w:before="118"/>
        <w:ind w:left="193" w:right="1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pStyle w:val="BodyText"/>
        <w:spacing w:line="338" w:lineRule="auto" w:before="135"/>
        <w:ind w:left="67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公司报告期不存在按照国际会计准则与按照中国会计准则披露的财务报告中净利润和净</w:t>
      </w:r>
    </w:p>
    <w:p>
      <w:pPr>
        <w:pStyle w:val="BodyText"/>
        <w:spacing w:line="240" w:lineRule="auto" w:before="55"/>
        <w:ind w:left="193" w:right="1153"/>
        <w:jc w:val="left"/>
      </w:pPr>
      <w:r>
        <w:rPr/>
        <w:t>资产差异情况。</w:t>
      </w:r>
    </w:p>
    <w:p>
      <w:pPr>
        <w:pStyle w:val="Heading2"/>
        <w:spacing w:line="240" w:lineRule="auto" w:before="154"/>
        <w:ind w:left="193" w:right="1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pStyle w:val="BodyText"/>
        <w:spacing w:line="338" w:lineRule="auto" w:before="135"/>
        <w:ind w:left="67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公司报告期不存在按照境外会计准则与按照中国会计准则披露的财务报告中净利润和净</w:t>
      </w:r>
    </w:p>
    <w:p>
      <w:pPr>
        <w:pStyle w:val="BodyText"/>
        <w:spacing w:line="240" w:lineRule="auto" w:before="55"/>
        <w:ind w:left="193" w:right="1153"/>
        <w:jc w:val="left"/>
      </w:pPr>
      <w:r>
        <w:rPr/>
        <w:t>资产差异情况。</w:t>
      </w:r>
    </w:p>
    <w:p>
      <w:pPr>
        <w:pStyle w:val="Heading2"/>
        <w:spacing w:line="240" w:lineRule="auto" w:before="154"/>
        <w:ind w:left="193" w:right="1153"/>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499" w:lineRule="auto" w:before="135"/>
        <w:ind w:left="193" w:right="738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八、非经常性损益的项目及金额</w:t>
      </w:r>
      <w:r>
        <w:rPr>
          <w:rFonts w:ascii="宋体" w:hAnsi="宋体" w:cs="宋体" w:eastAsia="宋体" w:hint="default"/>
          <w:sz w:val="24"/>
          <w:szCs w:val="24"/>
        </w:rPr>
      </w:r>
    </w:p>
    <w:p>
      <w:pPr>
        <w:spacing w:before="143"/>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12"/>
          <w:szCs w:val="12"/>
        </w:rPr>
      </w:pPr>
    </w:p>
    <w:tbl>
      <w:tblPr>
        <w:tblW w:w="0" w:type="auto"/>
        <w:jc w:val="left"/>
        <w:tblInd w:w="171" w:type="dxa"/>
        <w:tblLayout w:type="fixed"/>
        <w:tblCellMar>
          <w:top w:w="0" w:type="dxa"/>
          <w:left w:w="0" w:type="dxa"/>
          <w:bottom w:w="0" w:type="dxa"/>
          <w:right w:w="0" w:type="dxa"/>
        </w:tblCellMar>
        <w:tblLook w:val="01E0"/>
      </w:tblPr>
      <w:tblGrid>
        <w:gridCol w:w="3765"/>
        <w:gridCol w:w="1751"/>
        <w:gridCol w:w="1808"/>
        <w:gridCol w:w="1445"/>
        <w:gridCol w:w="917"/>
      </w:tblGrid>
      <w:tr>
        <w:trPr>
          <w:trHeight w:val="400"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4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2016 </w:t>
            </w:r>
            <w:r>
              <w:rPr>
                <w:rFonts w:ascii="宋体" w:hAnsi="宋体" w:cs="宋体" w:eastAsia="宋体" w:hint="default"/>
                <w:b/>
                <w:bCs/>
                <w:sz w:val="21"/>
                <w:szCs w:val="21"/>
              </w:rPr>
              <w:t>年金额</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0"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673"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9" w:right="6"/>
              <w:jc w:val="left"/>
              <w:rPr>
                <w:rFonts w:ascii="宋体" w:hAnsi="宋体" w:cs="宋体" w:eastAsia="宋体" w:hint="default"/>
                <w:sz w:val="21"/>
                <w:szCs w:val="21"/>
              </w:rPr>
            </w:pPr>
            <w:r>
              <w:rPr>
                <w:rFonts w:ascii="宋体" w:hAnsi="宋体" w:cs="宋体" w:eastAsia="宋体" w:hint="default"/>
                <w:spacing w:val="-4"/>
                <w:sz w:val="21"/>
                <w:szCs w:val="21"/>
              </w:rPr>
              <w:t>非流动资产处置损益（包括已计提资产减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值准备的冲销部分）</w:t>
            </w:r>
          </w:p>
        </w:tc>
        <w:tc>
          <w:tcPr>
            <w:tcW w:w="1751" w:type="dxa"/>
            <w:tcBorders>
              <w:top w:val="single" w:sz="36" w:space="0" w:color="D2D2D2"/>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73,947.43</w:t>
            </w:r>
          </w:p>
        </w:tc>
        <w:tc>
          <w:tcPr>
            <w:tcW w:w="1808"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-186,929.10</w:t>
            </w:r>
          </w:p>
        </w:tc>
        <w:tc>
          <w:tcPr>
            <w:tcW w:w="1445"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-235,963.91</w:t>
            </w:r>
          </w:p>
        </w:tc>
        <w:tc>
          <w:tcPr>
            <w:tcW w:w="917"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 w:right="6"/>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切相关，按照国家统一标准定额或定量享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受的政府补助除外）</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22,300,796.56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4,407,156.35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20,460,974.52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1570"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 w:right="6"/>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r>
              <w:rPr>
                <w:rFonts w:ascii="宋体" w:hAnsi="宋体" w:cs="宋体" w:eastAsia="宋体" w:hint="default"/>
                <w:w w:val="100"/>
                <w:sz w:val="21"/>
                <w:szCs w:val="21"/>
              </w:rPr>
              <w:t> </w:t>
            </w:r>
            <w:r>
              <w:rPr>
                <w:rFonts w:ascii="宋体" w:hAnsi="宋体" w:cs="宋体" w:eastAsia="宋体" w:hint="default"/>
                <w:spacing w:val="-4"/>
                <w:sz w:val="21"/>
                <w:szCs w:val="21"/>
              </w:rPr>
              <w:t>保值业务外，持有交易性金融资产、交易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性金融负债产生的公允价值变动损益，以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及处置交易性金融资产、交易性金融负债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和可供出售金融资产取得的投资收益</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9"/>
              <w:jc w:val="right"/>
              <w:rPr>
                <w:rFonts w:ascii="Times New Roman" w:hAnsi="Times New Roman" w:cs="Times New Roman" w:eastAsia="Times New Roman" w:hint="default"/>
                <w:sz w:val="21"/>
                <w:szCs w:val="21"/>
              </w:rPr>
            </w:pPr>
            <w:r>
              <w:rPr>
                <w:rFonts w:ascii="Times New Roman"/>
                <w:sz w:val="21"/>
              </w:rPr>
              <w:t>240.43</w:t>
            </w:r>
          </w:p>
        </w:tc>
        <w:tc>
          <w:tcPr>
            <w:tcW w:w="180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 w:right="6"/>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期损益进行一次性调整对当期损益的影</w:t>
            </w:r>
          </w:p>
        </w:tc>
        <w:tc>
          <w:tcPr>
            <w:tcW w:w="1751" w:type="dxa"/>
            <w:tcBorders>
              <w:top w:val="single" w:sz="4" w:space="0" w:color="000000"/>
              <w:left w:val="single" w:sz="10" w:space="0" w:color="D2D2D2"/>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40" w:right="0"/>
        </w:sectPr>
      </w:pPr>
    </w:p>
    <w:p>
      <w:pPr>
        <w:spacing w:line="240" w:lineRule="auto" w:before="8"/>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3787"/>
        <w:gridCol w:w="1740"/>
        <w:gridCol w:w="1808"/>
        <w:gridCol w:w="1445"/>
        <w:gridCol w:w="917"/>
      </w:tblGrid>
      <w:tr>
        <w:trPr>
          <w:trHeight w:val="322" w:hRule="exact"/>
        </w:trPr>
        <w:tc>
          <w:tcPr>
            <w:tcW w:w="378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20" w:right="0"/>
              <w:jc w:val="left"/>
              <w:rPr>
                <w:rFonts w:ascii="宋体" w:hAnsi="宋体" w:cs="宋体" w:eastAsia="宋体" w:hint="default"/>
                <w:sz w:val="21"/>
                <w:szCs w:val="21"/>
              </w:rPr>
            </w:pPr>
            <w:r>
              <w:rPr>
                <w:rFonts w:ascii="宋体" w:hAnsi="宋体" w:cs="宋体" w:eastAsia="宋体" w:hint="default"/>
                <w:w w:val="100"/>
                <w:sz w:val="21"/>
                <w:szCs w:val="21"/>
              </w:rPr>
              <w:t>响</w:t>
            </w:r>
          </w:p>
        </w:tc>
        <w:tc>
          <w:tcPr>
            <w:tcW w:w="1740" w:type="dxa"/>
            <w:tcBorders>
              <w:top w:val="single" w:sz="4" w:space="0" w:color="000000"/>
              <w:left w:val="single" w:sz="4" w:space="0" w:color="000000"/>
              <w:bottom w:val="single" w:sz="4" w:space="0" w:color="FFFFFF"/>
              <w:right w:val="single" w:sz="4" w:space="0" w:color="000000"/>
            </w:tcBorders>
          </w:tcPr>
          <w:p>
            <w:pPr/>
          </w:p>
        </w:tc>
        <w:tc>
          <w:tcPr>
            <w:tcW w:w="1808" w:type="dxa"/>
            <w:tcBorders>
              <w:top w:val="single" w:sz="4" w:space="0" w:color="000000"/>
              <w:left w:val="single" w:sz="4" w:space="0" w:color="000000"/>
              <w:bottom w:val="single" w:sz="4" w:space="0" w:color="FFFFFF"/>
              <w:right w:val="single" w:sz="4" w:space="0" w:color="000000"/>
            </w:tcBorders>
          </w:tcPr>
          <w:p>
            <w:pPr/>
          </w:p>
        </w:tc>
        <w:tc>
          <w:tcPr>
            <w:tcW w:w="1445" w:type="dxa"/>
            <w:tcBorders>
              <w:top w:val="single" w:sz="4" w:space="0" w:color="000000"/>
              <w:left w:val="single" w:sz="4" w:space="0" w:color="000000"/>
              <w:bottom w:val="single" w:sz="4" w:space="0" w:color="FFFFFF"/>
              <w:right w:val="single" w:sz="4" w:space="0" w:color="000000"/>
            </w:tcBorders>
          </w:tcPr>
          <w:p>
            <w:pPr/>
          </w:p>
        </w:tc>
        <w:tc>
          <w:tcPr>
            <w:tcW w:w="917" w:type="dxa"/>
            <w:tcBorders>
              <w:top w:val="single" w:sz="4" w:space="0" w:color="000000"/>
              <w:left w:val="single" w:sz="4" w:space="0" w:color="000000"/>
              <w:bottom w:val="single" w:sz="4" w:space="0" w:color="FFFFFF"/>
              <w:right w:val="single" w:sz="4" w:space="0" w:color="000000"/>
            </w:tcBorders>
          </w:tcPr>
          <w:p>
            <w:pPr/>
          </w:p>
        </w:tc>
      </w:tr>
      <w:tr>
        <w:trPr>
          <w:trHeight w:val="478" w:hRule="exact"/>
        </w:trPr>
        <w:tc>
          <w:tcPr>
            <w:tcW w:w="378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6"/>
              <w:ind w:left="2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40" w:type="dxa"/>
            <w:tcBorders>
              <w:top w:val="single" w:sz="4" w:space="0" w:color="FFFFFF"/>
              <w:left w:val="single" w:sz="4" w:space="0" w:color="000000"/>
              <w:bottom w:val="single" w:sz="4" w:space="0" w:color="000000"/>
              <w:right w:val="single" w:sz="4" w:space="0" w:color="000000"/>
            </w:tcBorders>
          </w:tcPr>
          <w:p>
            <w:pPr/>
          </w:p>
        </w:tc>
        <w:tc>
          <w:tcPr>
            <w:tcW w:w="1808" w:type="dxa"/>
            <w:tcBorders>
              <w:top w:val="single" w:sz="4" w:space="0" w:color="FFFFFF"/>
              <w:left w:val="single" w:sz="4" w:space="0" w:color="000000"/>
              <w:bottom w:val="single" w:sz="4" w:space="0" w:color="000000"/>
              <w:right w:val="single" w:sz="4" w:space="0" w:color="000000"/>
            </w:tcBorders>
          </w:tcPr>
          <w:p>
            <w:pPr/>
          </w:p>
        </w:tc>
        <w:tc>
          <w:tcPr>
            <w:tcW w:w="1445" w:type="dxa"/>
            <w:tcBorders>
              <w:top w:val="single" w:sz="4" w:space="0" w:color="FFFFFF"/>
              <w:left w:val="single" w:sz="4" w:space="0" w:color="000000"/>
              <w:bottom w:val="single" w:sz="4" w:space="0" w:color="000000"/>
              <w:right w:val="single" w:sz="4" w:space="0" w:color="000000"/>
            </w:tcBorders>
          </w:tcPr>
          <w:p>
            <w:pPr/>
          </w:p>
        </w:tc>
        <w:tc>
          <w:tcPr>
            <w:tcW w:w="9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635" w:hRule="exact"/>
        </w:trPr>
        <w:tc>
          <w:tcPr>
            <w:tcW w:w="3787"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73" w:lineRule="auto"/>
              <w:ind w:left="20" w:right="180"/>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除上述各项之外的其他营业外收入和支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出</w:t>
            </w:r>
          </w:p>
        </w:tc>
        <w:tc>
          <w:tcPr>
            <w:tcW w:w="1740" w:type="dxa"/>
            <w:tcBorders>
              <w:top w:val="single" w:sz="4" w:space="0" w:color="000000"/>
              <w:left w:val="single" w:sz="4" w:space="0" w:color="000000"/>
              <w:bottom w:val="single" w:sz="5"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3,081.46</w:t>
            </w:r>
          </w:p>
        </w:tc>
        <w:tc>
          <w:tcPr>
            <w:tcW w:w="1808" w:type="dxa"/>
            <w:tcBorders>
              <w:top w:val="single" w:sz="4" w:space="0" w:color="000000"/>
              <w:left w:val="single" w:sz="4" w:space="0" w:color="000000"/>
              <w:bottom w:val="single" w:sz="5"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2,116,509.36</w:t>
            </w:r>
          </w:p>
        </w:tc>
        <w:tc>
          <w:tcPr>
            <w:tcW w:w="1445" w:type="dxa"/>
            <w:tcBorders>
              <w:top w:val="single" w:sz="4" w:space="0" w:color="000000"/>
              <w:left w:val="single" w:sz="4" w:space="0" w:color="000000"/>
              <w:bottom w:val="single" w:sz="5"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527,515.01</w:t>
            </w:r>
          </w:p>
        </w:tc>
        <w:tc>
          <w:tcPr>
            <w:tcW w:w="917" w:type="dxa"/>
            <w:tcBorders>
              <w:top w:val="single" w:sz="4" w:space="0" w:color="000000"/>
              <w:left w:val="single" w:sz="4" w:space="0" w:color="000000"/>
              <w:bottom w:val="single" w:sz="5"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79" w:hRule="exact"/>
        </w:trPr>
        <w:tc>
          <w:tcPr>
            <w:tcW w:w="3787" w:type="dxa"/>
            <w:tcBorders>
              <w:top w:val="single" w:sz="5"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4"/>
              <w:ind w:left="2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40" w:type="dxa"/>
            <w:tcBorders>
              <w:top w:val="single" w:sz="5" w:space="0" w:color="FFFFFF"/>
              <w:left w:val="single" w:sz="4" w:space="0" w:color="000000"/>
              <w:bottom w:val="single" w:sz="4" w:space="0" w:color="FFFFFF"/>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10,549,448.87</w:t>
            </w:r>
          </w:p>
        </w:tc>
        <w:tc>
          <w:tcPr>
            <w:tcW w:w="1808" w:type="dxa"/>
            <w:tcBorders>
              <w:top w:val="single" w:sz="5"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8,385,947.38</w:t>
            </w:r>
          </w:p>
        </w:tc>
        <w:tc>
          <w:tcPr>
            <w:tcW w:w="1445" w:type="dxa"/>
            <w:tcBorders>
              <w:top w:val="single" w:sz="5"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2,268,495.34</w:t>
            </w:r>
          </w:p>
        </w:tc>
        <w:tc>
          <w:tcPr>
            <w:tcW w:w="917" w:type="dxa"/>
            <w:tcBorders>
              <w:top w:val="single" w:sz="5" w:space="0" w:color="FFFFFF"/>
              <w:left w:val="single" w:sz="4" w:space="0" w:color="000000"/>
              <w:bottom w:val="single" w:sz="4" w:space="0" w:color="FFFFFF"/>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3787"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4"/>
              <w:ind w:left="20"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3,295,335.40</w:t>
            </w:r>
          </w:p>
        </w:tc>
        <w:tc>
          <w:tcPr>
            <w:tcW w:w="18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1,634,990.37</w:t>
            </w:r>
          </w:p>
        </w:tc>
        <w:tc>
          <w:tcPr>
            <w:tcW w:w="144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2,664,583.05</w:t>
            </w:r>
          </w:p>
        </w:tc>
        <w:tc>
          <w:tcPr>
            <w:tcW w:w="91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3787"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4"/>
              <w:ind w:left="2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74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-6,740.27</w:t>
            </w:r>
          </w:p>
        </w:tc>
        <w:tc>
          <w:tcPr>
            <w:tcW w:w="18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-109,294.19</w:t>
            </w:r>
          </w:p>
        </w:tc>
        <w:tc>
          <w:tcPr>
            <w:tcW w:w="144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122,578.28</w:t>
            </w:r>
          </w:p>
        </w:tc>
        <w:tc>
          <w:tcPr>
            <w:tcW w:w="91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378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4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29,638,919.62</w:t>
            </w:r>
          </w:p>
        </w:tc>
        <w:tc>
          <w:tcPr>
            <w:tcW w:w="18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13,196,987.81</w:t>
            </w:r>
          </w:p>
        </w:tc>
        <w:tc>
          <w:tcPr>
            <w:tcW w:w="144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20,233,859.63</w:t>
            </w:r>
          </w:p>
        </w:tc>
        <w:tc>
          <w:tcPr>
            <w:tcW w:w="91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3"/>
              <w:ind w:right="21"/>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39"/>
        <w:ind w:left="693" w:right="994"/>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38" w:lineRule="auto" w:before="136"/>
        <w:ind w:left="213" w:right="1152"/>
        <w:jc w:val="left"/>
      </w:pPr>
      <w:r>
        <w:rPr/>
        <w:t>界定的非经常性损益项目，以及把《公开发行证券的公司信息披露解释性公告第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tabs>
          <w:tab w:pos="1545" w:val="left" w:leader="none"/>
        </w:tabs>
        <w:spacing w:line="240" w:lineRule="auto" w:before="55"/>
        <w:ind w:left="693" w:right="994"/>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line="240" w:lineRule="auto" w:before="5"/>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751"/>
        <w:gridCol w:w="2758"/>
        <w:gridCol w:w="4347"/>
      </w:tblGrid>
      <w:tr>
        <w:trPr>
          <w:trHeight w:val="478" w:hRule="exact"/>
        </w:trPr>
        <w:tc>
          <w:tcPr>
            <w:tcW w:w="27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7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left="532" w:right="0"/>
              <w:jc w:val="left"/>
              <w:rPr>
                <w:rFonts w:ascii="宋体" w:hAnsi="宋体" w:cs="宋体" w:eastAsia="宋体" w:hint="default"/>
                <w:sz w:val="24"/>
                <w:szCs w:val="24"/>
              </w:rPr>
            </w:pPr>
            <w:r>
              <w:rPr>
                <w:rFonts w:ascii="宋体" w:hAnsi="宋体" w:cs="宋体" w:eastAsia="宋体" w:hint="default"/>
                <w:b/>
                <w:bCs/>
                <w:sz w:val="24"/>
                <w:szCs w:val="24"/>
              </w:rPr>
              <w:t>涉及金额（元）</w:t>
            </w:r>
            <w:r>
              <w:rPr>
                <w:rFonts w:ascii="宋体" w:hAnsi="宋体" w:cs="宋体" w:eastAsia="宋体" w:hint="default"/>
                <w:sz w:val="24"/>
                <w:szCs w:val="24"/>
              </w:rPr>
            </w:r>
          </w:p>
        </w:tc>
        <w:tc>
          <w:tcPr>
            <w:tcW w:w="4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b/>
                <w:bCs/>
                <w:sz w:val="24"/>
                <w:szCs w:val="24"/>
              </w:rPr>
              <w:t>原因</w:t>
            </w:r>
            <w:r>
              <w:rPr>
                <w:rFonts w:ascii="宋体" w:hAnsi="宋体" w:cs="宋体" w:eastAsia="宋体" w:hint="default"/>
                <w:sz w:val="24"/>
                <w:szCs w:val="24"/>
              </w:rPr>
            </w:r>
          </w:p>
        </w:tc>
      </w:tr>
      <w:tr>
        <w:trPr>
          <w:trHeight w:val="63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99"/>
              <w:jc w:val="left"/>
              <w:rPr>
                <w:rFonts w:ascii="宋体" w:hAnsi="宋体" w:cs="宋体" w:eastAsia="宋体" w:hint="default"/>
                <w:sz w:val="21"/>
                <w:szCs w:val="21"/>
              </w:rPr>
            </w:pPr>
            <w:r>
              <w:rPr>
                <w:rFonts w:ascii="宋体" w:hAnsi="宋体" w:cs="宋体" w:eastAsia="宋体" w:hint="default"/>
                <w:sz w:val="21"/>
                <w:szCs w:val="21"/>
              </w:rPr>
              <w:t>增值税实际税负超过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部分实行即征即退</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13,178,218.61</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19"/>
              <w:jc w:val="left"/>
              <w:rPr>
                <w:rFonts w:ascii="宋体" w:hAnsi="宋体" w:cs="宋体" w:eastAsia="宋体" w:hint="default"/>
                <w:sz w:val="21"/>
                <w:szCs w:val="21"/>
              </w:rPr>
            </w:pPr>
            <w:r>
              <w:rPr>
                <w:rFonts w:ascii="宋体" w:hAnsi="宋体" w:cs="宋体" w:eastAsia="宋体" w:hint="default"/>
                <w:sz w:val="21"/>
                <w:szCs w:val="21"/>
              </w:rPr>
              <w:t>软件产品销售，增值税实际税负超过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w:t>
            </w:r>
            <w:r>
              <w:rPr>
                <w:rFonts w:ascii="宋体" w:hAnsi="宋体" w:cs="宋体" w:eastAsia="宋体" w:hint="default"/>
                <w:spacing w:val="-3"/>
                <w:w w:val="100"/>
                <w:sz w:val="21"/>
                <w:szCs w:val="21"/>
              </w:rPr>
              <w:t> </w:t>
            </w:r>
            <w:r>
              <w:rPr>
                <w:rFonts w:ascii="宋体" w:hAnsi="宋体" w:cs="宋体" w:eastAsia="宋体" w:hint="default"/>
                <w:sz w:val="21"/>
                <w:szCs w:val="21"/>
              </w:rPr>
              <w:t>分实行即征即退。</w:t>
            </w:r>
          </w:p>
        </w:tc>
      </w:tr>
    </w:tbl>
    <w:p>
      <w:pPr>
        <w:spacing w:after="0" w:line="256" w:lineRule="auto"/>
        <w:jc w:val="left"/>
        <w:rPr>
          <w:rFonts w:ascii="宋体" w:hAnsi="宋体" w:cs="宋体" w:eastAsia="宋体" w:hint="default"/>
          <w:sz w:val="21"/>
          <w:szCs w:val="21"/>
        </w:rPr>
        <w:sectPr>
          <w:pgSz w:w="11910" w:h="16840"/>
          <w:pgMar w:header="877" w:footer="979" w:top="1100" w:bottom="1160" w:left="920" w:right="0"/>
        </w:sectPr>
      </w:pPr>
    </w:p>
    <w:p>
      <w:pPr>
        <w:spacing w:line="240" w:lineRule="auto" w:before="6"/>
        <w:rPr>
          <w:rFonts w:ascii="宋体" w:hAnsi="宋体" w:cs="宋体" w:eastAsia="宋体" w:hint="default"/>
          <w:sz w:val="28"/>
          <w:szCs w:val="28"/>
        </w:rPr>
      </w:pPr>
    </w:p>
    <w:p>
      <w:pPr>
        <w:pStyle w:val="Heading1"/>
        <w:tabs>
          <w:tab w:pos="4836" w:val="left" w:leader="none"/>
        </w:tabs>
        <w:spacing w:line="240" w:lineRule="auto"/>
        <w:ind w:left="3581" w:right="1273"/>
        <w:jc w:val="left"/>
        <w:rPr>
          <w:b w:val="0"/>
          <w:bCs w:val="0"/>
        </w:rPr>
      </w:pPr>
      <w:bookmarkStart w:name="_bookmark2" w:id="3"/>
      <w:bookmarkEnd w:id="3"/>
      <w:r>
        <w:rPr>
          <w:b w:val="0"/>
          <w:bCs w:val="0"/>
        </w:rPr>
      </w:r>
      <w:r>
        <w:rPr>
          <w:spacing w:val="4"/>
          <w:w w:val="95"/>
        </w:rPr>
        <w:t>第三节</w:t>
        <w:tab/>
      </w:r>
      <w:r>
        <w:rPr>
          <w:spacing w:val="4"/>
        </w:rPr>
        <w:t>公司业务概要</w:t>
      </w:r>
      <w:r>
        <w:rPr>
          <w:b w:val="0"/>
          <w:bCs w:val="0"/>
          <w:spacing w:val="4"/>
        </w:rPr>
      </w:r>
    </w:p>
    <w:p>
      <w:pPr>
        <w:spacing w:line="690" w:lineRule="atLeast" w:before="69"/>
        <w:ind w:left="578" w:right="6248" w:hanging="425"/>
        <w:jc w:val="left"/>
        <w:rPr>
          <w:rFonts w:ascii="宋体" w:hAnsi="宋体" w:cs="宋体" w:eastAsia="宋体" w:hint="default"/>
          <w:sz w:val="24"/>
          <w:szCs w:val="24"/>
        </w:rPr>
      </w:pP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公司是否需要遵守特殊行业的披露要求</w:t>
      </w:r>
    </w:p>
    <w:p>
      <w:pPr>
        <w:pStyle w:val="BodyText"/>
        <w:tabs>
          <w:tab w:pos="1365" w:val="left" w:leader="none"/>
        </w:tabs>
        <w:spacing w:line="338" w:lineRule="auto" w:before="154"/>
        <w:ind w:left="633" w:right="7891"/>
        <w:jc w:val="left"/>
      </w:pPr>
      <w:r>
        <w:rPr>
          <w:rFonts w:ascii="Times New Roman" w:hAnsi="Times New Roman" w:cs="Times New Roman" w:eastAsia="Times New Roman" w:hint="default"/>
        </w:rPr>
        <w:t>√  </w:t>
      </w:r>
      <w:r>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软件与信息技术服务业</w:t>
      </w:r>
    </w:p>
    <w:p>
      <w:pPr>
        <w:pStyle w:val="BodyText"/>
        <w:spacing w:line="338" w:lineRule="auto" w:before="55"/>
        <w:ind w:right="1117"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号——上市公司从事软件与信息技 术服务业务》的披露要求</w:t>
      </w:r>
    </w:p>
    <w:p>
      <w:pPr>
        <w:pStyle w:val="Heading2"/>
        <w:spacing w:line="240" w:lineRule="auto" w:before="56"/>
        <w:ind w:left="635" w:right="1273"/>
        <w:jc w:val="left"/>
        <w:rPr>
          <w:b w:val="0"/>
          <w:bCs w:val="0"/>
        </w:rPr>
      </w:pPr>
      <w:r>
        <w:rPr>
          <w:rFonts w:ascii="Times New Roman" w:hAnsi="Times New Roman" w:cs="Times New Roman" w:eastAsia="Times New Roman" w:hint="default"/>
        </w:rPr>
        <w:t>1</w:t>
      </w:r>
      <w:r>
        <w:rPr/>
        <w:t>、公司业务介绍</w:t>
      </w:r>
      <w:r>
        <w:rPr>
          <w:b w:val="0"/>
          <w:bCs w:val="0"/>
        </w:rPr>
      </w:r>
    </w:p>
    <w:p>
      <w:pPr>
        <w:pStyle w:val="BodyText"/>
        <w:spacing w:line="345" w:lineRule="auto" w:before="176"/>
        <w:ind w:right="1118" w:firstLine="480"/>
        <w:jc w:val="left"/>
      </w:pPr>
      <w:r>
        <w:rPr>
          <w:spacing w:val="-1"/>
          <w:w w:val="100"/>
        </w:rPr>
        <w:t>公司秉承</w:t>
      </w:r>
      <w:r>
        <w:rPr>
          <w:rFonts w:ascii="Times New Roman" w:hAnsi="Times New Roman" w:cs="Times New Roman" w:eastAsia="Times New Roman" w:hint="default"/>
          <w:spacing w:val="-1"/>
          <w:w w:val="100"/>
        </w:rPr>
        <w:t>“</w:t>
      </w:r>
      <w:r>
        <w:rPr>
          <w:spacing w:val="-1"/>
          <w:w w:val="100"/>
        </w:rPr>
        <w:t>地理智慧创新</w:t>
      </w:r>
      <w:r>
        <w:rPr>
          <w:w w:val="100"/>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rPr>
        <w:t> </w:t>
      </w:r>
      <w:r>
        <w:rPr>
          <w:spacing w:val="-8"/>
          <w:w w:val="99"/>
        </w:rPr>
        <w:t>价值</w:t>
      </w:r>
      <w:r>
        <w:rPr>
          <w:rFonts w:ascii="Times New Roman" w:hAnsi="Times New Roman" w:cs="Times New Roman" w:eastAsia="Times New Roman" w:hint="default"/>
          <w:spacing w:val="-8"/>
          <w:w w:val="99"/>
        </w:rPr>
        <w:t>”</w:t>
      </w:r>
      <w:r>
        <w:rPr>
          <w:spacing w:val="-8"/>
          <w:w w:val="99"/>
        </w:rPr>
        <w:t>的企业宗旨，聚焦地理信息系统（</w:t>
      </w:r>
      <w:r>
        <w:rPr>
          <w:rFonts w:ascii="Times New Roman" w:hAnsi="Times New Roman" w:cs="Times New Roman" w:eastAsia="Times New Roman" w:hint="default"/>
          <w:spacing w:val="-8"/>
          <w:w w:val="99"/>
        </w:rPr>
        <w:t>Geographic</w:t>
      </w:r>
      <w:r>
        <w:rPr>
          <w:rFonts w:ascii="Times New Roman" w:hAnsi="Times New Roman" w:cs="Times New Roman" w:eastAsia="Times New Roman" w:hint="default"/>
          <w:spacing w:val="-27"/>
          <w:w w:val="99"/>
        </w:rPr>
        <w:t> </w:t>
      </w:r>
      <w:r>
        <w:rPr>
          <w:rFonts w:ascii="Times New Roman" w:hAnsi="Times New Roman" w:cs="Times New Roman" w:eastAsia="Times New Roman" w:hint="default"/>
          <w:spacing w:val="-1"/>
          <w:w w:val="99"/>
        </w:rPr>
        <w:t>Information</w:t>
      </w:r>
      <w:r>
        <w:rPr>
          <w:rFonts w:ascii="Times New Roman" w:hAnsi="Times New Roman" w:cs="Times New Roman" w:eastAsia="Times New Roman" w:hint="default"/>
          <w:w w:val="99"/>
        </w:rPr>
        <w:t> </w:t>
      </w:r>
      <w:r>
        <w:rPr>
          <w:rFonts w:ascii="Times New Roman" w:hAnsi="Times New Roman" w:cs="Times New Roman" w:eastAsia="Times New Roman" w:hint="default"/>
        </w:rPr>
        <w:t>System</w:t>
      </w:r>
      <w:r>
        <w:rPr/>
        <w:t>，</w:t>
      </w:r>
      <w:r>
        <w:rPr>
          <w:rFonts w:ascii="Times New Roman" w:hAnsi="Times New Roman" w:cs="Times New Roman" w:eastAsia="Times New Roman" w:hint="default"/>
        </w:rPr>
        <w:t>GIS</w:t>
      </w:r>
      <w:r>
        <w:rPr/>
        <w:t>）相关软件技术研发与应用服务，下设</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基础研发机构和基础软件、应用软 </w:t>
      </w:r>
      <w:r>
        <w:rPr>
          <w:spacing w:val="-5"/>
        </w:rPr>
        <w:t>件、云服务及国际四大业务线，不断提升地理信息技术水平，拓展地理信息应用广度和深度，</w:t>
      </w:r>
      <w:r>
        <w:rPr/>
        <w:t> 赋能政府、企事业单位的信息化建设与业务智能。</w:t>
      </w:r>
    </w:p>
    <w:p>
      <w:pPr>
        <w:spacing w:line="240" w:lineRule="auto" w:before="4"/>
        <w:rPr>
          <w:rFonts w:ascii="宋体" w:hAnsi="宋体" w:cs="宋体" w:eastAsia="宋体" w:hint="default"/>
          <w:sz w:val="8"/>
          <w:szCs w:val="8"/>
        </w:rPr>
      </w:pPr>
    </w:p>
    <w:p>
      <w:pPr>
        <w:spacing w:line="5493" w:lineRule="exact"/>
        <w:ind w:left="514"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6112064" cy="348843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6112064" cy="3488436"/>
                    </a:xfrm>
                    <a:prstGeom prst="rect">
                      <a:avLst/>
                    </a:prstGeom>
                  </pic:spPr>
                </pic:pic>
              </a:graphicData>
            </a:graphic>
          </wp:inline>
        </w:drawing>
      </w:r>
      <w:r>
        <w:rPr>
          <w:rFonts w:ascii="宋体" w:hAnsi="宋体" w:cs="宋体" w:eastAsia="宋体" w:hint="default"/>
          <w:position w:val="-109"/>
          <w:sz w:val="20"/>
          <w:szCs w:val="20"/>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2"/>
        <w:spacing w:line="240" w:lineRule="auto"/>
        <w:ind w:left="635" w:right="1273"/>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基础研发机构</w:t>
      </w:r>
      <w:r>
        <w:rPr>
          <w:b w:val="0"/>
          <w:bCs w:val="0"/>
        </w:rPr>
      </w:r>
    </w:p>
    <w:p>
      <w:pPr>
        <w:pStyle w:val="BodyText"/>
        <w:spacing w:line="338" w:lineRule="auto" w:before="174"/>
        <w:ind w:right="1117" w:firstLine="482"/>
        <w:jc w:val="left"/>
      </w:pPr>
      <w:r>
        <w:rPr/>
        <w:t>公司设立研究院，专注于</w:t>
      </w:r>
      <w:r>
        <w:rPr>
          <w:spacing w:val="-57"/>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基础软件产品研发，在北京、成都设立研发基地，超图研 究院设置上、中、下游三层研发机构，其中上游先进技术实验室负责前沿技术探索，中游大</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48" w:lineRule="auto" w:before="26"/>
        <w:ind w:right="1132"/>
        <w:jc w:val="both"/>
      </w:pPr>
      <w:r>
        <w:rPr/>
        <w:t>数据与</w:t>
      </w:r>
      <w:r>
        <w:rPr>
          <w:spacing w:val="-53"/>
        </w:rPr>
        <w:t> </w:t>
      </w:r>
      <w:r>
        <w:rPr>
          <w:rFonts w:ascii="Times New Roman" w:hAnsi="Times New Roman" w:cs="Times New Roman" w:eastAsia="Times New Roman" w:hint="default"/>
        </w:rPr>
        <w:t>AI</w:t>
      </w:r>
      <w:r>
        <w:rPr>
          <w:rFonts w:ascii="Times New Roman" w:hAnsi="Times New Roman" w:cs="Times New Roman" w:eastAsia="Times New Roman" w:hint="default"/>
          <w:spacing w:val="2"/>
        </w:rPr>
        <w:t> </w:t>
      </w:r>
      <w:r>
        <w:rPr>
          <w:spacing w:val="-3"/>
        </w:rPr>
        <w:t>研发中心、三维研发中心、云产品研发中心、端产品研发中心等负责产品研发，下</w:t>
      </w:r>
      <w:r>
        <w:rPr/>
        <w:t> 游质控与支持中心等部门负责产品质量保障，超图研究院建立了兼顾效率与质量的精益敏捷</w:t>
      </w:r>
      <w:r>
        <w:rPr>
          <w:spacing w:val="-91"/>
        </w:rPr>
        <w:t> </w:t>
      </w:r>
      <w:r>
        <w:rPr>
          <w:spacing w:val="-91"/>
        </w:rPr>
      </w:r>
      <w:r>
        <w:rPr/>
        <w:t>研发管理体系，形成了超过</w:t>
      </w:r>
      <w:r>
        <w:rPr>
          <w:spacing w:val="-60"/>
        </w:rPr>
        <w:t> </w:t>
      </w:r>
      <w:r>
        <w:rPr>
          <w:rFonts w:ascii="Times New Roman" w:hAnsi="Times New Roman" w:cs="Times New Roman" w:eastAsia="Times New Roman" w:hint="default"/>
        </w:rPr>
        <w:t>6 </w:t>
      </w:r>
      <w:r>
        <w:rPr/>
        <w:t>万个测试程序的自动化测试机制。</w:t>
      </w:r>
    </w:p>
    <w:p>
      <w:pPr>
        <w:pStyle w:val="BodyText"/>
        <w:spacing w:line="350" w:lineRule="auto" w:before="57"/>
        <w:ind w:right="1133" w:firstLine="482"/>
        <w:jc w:val="both"/>
      </w:pPr>
      <w:r>
        <w:rPr/>
        <w:t>同时超图研究院设有院士专家工作站、国家测绘地理信息局工程技术研究中心、</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云 计算服务平台关键技术北京市工程实验室、北京市地理信息系统平台软件研发与应用工程技</w:t>
      </w:r>
      <w:r>
        <w:rPr>
          <w:spacing w:val="-88"/>
        </w:rPr>
        <w:t> </w:t>
      </w:r>
      <w:r>
        <w:rPr>
          <w:spacing w:val="-88"/>
        </w:rPr>
      </w:r>
      <w:r>
        <w:rPr/>
        <w:t>术研究中心、北京市企业技术中心等科研载体，为科技研发与人才培养提供了良好的发展平</w:t>
      </w:r>
      <w:r>
        <w:rPr>
          <w:spacing w:val="-91"/>
        </w:rPr>
        <w:t> </w:t>
      </w:r>
      <w:r>
        <w:rPr>
          <w:spacing w:val="-91"/>
        </w:rPr>
      </w:r>
      <w:r>
        <w:rPr/>
        <w:t>台。</w:t>
      </w:r>
    </w:p>
    <w:p>
      <w:pPr>
        <w:pStyle w:val="Heading2"/>
        <w:spacing w:line="240" w:lineRule="auto" w:before="82"/>
        <w:ind w:left="635" w:right="1273"/>
        <w:jc w:val="left"/>
        <w:rPr>
          <w:b w:val="0"/>
          <w:bCs w:val="0"/>
        </w:rPr>
      </w:pPr>
      <w:r>
        <w:rPr/>
        <w:t>（</w:t>
      </w:r>
      <w:r>
        <w:rPr>
          <w:rFonts w:ascii="Times New Roman" w:hAnsi="Times New Roman" w:cs="Times New Roman" w:eastAsia="Times New Roman" w:hint="default"/>
        </w:rPr>
        <w:t>2</w:t>
      </w:r>
      <w:r>
        <w:rPr/>
        <w:t>）基础软件业务线</w:t>
      </w:r>
      <w:r>
        <w:rPr>
          <w:b w:val="0"/>
          <w:bCs w:val="0"/>
        </w:rPr>
      </w:r>
    </w:p>
    <w:p>
      <w:pPr>
        <w:pStyle w:val="BodyText"/>
        <w:spacing w:line="338" w:lineRule="auto" w:before="177"/>
        <w:ind w:right="1130" w:firstLine="482"/>
        <w:jc w:val="both"/>
      </w:pPr>
      <w:r>
        <w:rPr/>
        <w:t>公司设立平台业务群，专注开展</w:t>
      </w:r>
      <w:r>
        <w:rPr>
          <w:spacing w:val="-61"/>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7"/>
        </w:rPr>
        <w:t> </w:t>
      </w:r>
      <w:r>
        <w:rPr>
          <w:rFonts w:ascii="Times New Roman" w:hAnsi="Times New Roman" w:cs="Times New Roman" w:eastAsia="Times New Roman" w:hint="default"/>
        </w:rPr>
        <w:t>GIS </w:t>
      </w:r>
      <w:r>
        <w:rPr/>
        <w:t>基础软件的营销与服务，包括</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个境内 分公司及办事处，平台业务群支持</w:t>
      </w:r>
      <w:r>
        <w:rPr>
          <w:spacing w:val="-59"/>
        </w:rPr>
        <w:t> </w:t>
      </w:r>
      <w:r>
        <w:rPr>
          <w:rFonts w:ascii="Times New Roman" w:hAnsi="Times New Roman" w:cs="Times New Roman" w:eastAsia="Times New Roman" w:hint="default"/>
        </w:rPr>
        <w:t>700</w:t>
      </w:r>
      <w:r>
        <w:rPr>
          <w:rFonts w:ascii="Times New Roman" w:hAnsi="Times New Roman" w:cs="Times New Roman" w:eastAsia="Times New Roman" w:hint="default"/>
          <w:spacing w:val="1"/>
        </w:rPr>
        <w:t> </w:t>
      </w:r>
      <w:r>
        <w:rPr/>
        <w:t>余家合作伙伴为各行业提供</w:t>
      </w:r>
      <w:r>
        <w:rPr>
          <w:spacing w:val="-58"/>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应用解决方案。</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SuperMap </w:t>
      </w:r>
      <w:r>
        <w:rPr/>
        <w:t>超越国外品牌，跃居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基础平台软件中国区市场份额第一。</w:t>
      </w:r>
    </w:p>
    <w:p>
      <w:pPr>
        <w:pStyle w:val="BodyText"/>
        <w:spacing w:line="338" w:lineRule="auto" w:before="67"/>
        <w:ind w:right="1133" w:firstLine="482"/>
        <w:jc w:val="both"/>
      </w:pPr>
      <w:r>
        <w:rPr>
          <w:rFonts w:ascii="Times New Roman" w:hAnsi="Times New Roman" w:cs="Times New Roman" w:eastAsia="Times New Roman" w:hint="default"/>
        </w:rPr>
        <w:t>SuperMap GIS 9D(2019) </w:t>
      </w:r>
      <w:r>
        <w:rPr/>
        <w:t>是超图软件研发的新一代 </w:t>
      </w:r>
      <w:r>
        <w:rPr>
          <w:rFonts w:ascii="Times New Roman" w:hAnsi="Times New Roman" w:cs="Times New Roman" w:eastAsia="Times New Roman" w:hint="default"/>
        </w:rPr>
        <w:t>GIS </w:t>
      </w:r>
      <w:r>
        <w:rPr>
          <w:spacing w:val="-6"/>
        </w:rPr>
        <w:t>基础软件，实现并创新了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软 件四大技术</w:t>
      </w:r>
      <w:r>
        <w:rPr>
          <w:rFonts w:ascii="Times New Roman" w:hAnsi="Times New Roman" w:cs="Times New Roman" w:eastAsia="Times New Roman" w:hint="default"/>
        </w:rPr>
        <w:t>“CCTB”</w:t>
      </w:r>
      <w:r>
        <w:rPr/>
        <w:t>，即跨平台</w:t>
      </w:r>
      <w:r>
        <w:rPr>
          <w:spacing w:val="-50"/>
        </w:rPr>
        <w:t> </w:t>
      </w:r>
      <w:r>
        <w:rPr>
          <w:rFonts w:ascii="Times New Roman" w:hAnsi="Times New Roman" w:cs="Times New Roman" w:eastAsia="Times New Roman" w:hint="default"/>
        </w:rPr>
        <w:t>GIS</w:t>
      </w:r>
      <w:r>
        <w:rPr>
          <w:rFonts w:ascii="Times New Roman" w:hAnsi="Times New Roman" w:cs="Times New Roman" w:eastAsia="Times New Roman" w:hint="default"/>
          <w:spacing w:val="11"/>
        </w:rPr>
        <w:t> </w:t>
      </w:r>
      <w:r>
        <w:rPr/>
        <w:t>技术、云端一体化</w:t>
      </w:r>
      <w:r>
        <w:rPr>
          <w:spacing w:val="-50"/>
        </w:rPr>
        <w:t> </w:t>
      </w:r>
      <w:r>
        <w:rPr>
          <w:rFonts w:ascii="Times New Roman" w:hAnsi="Times New Roman" w:cs="Times New Roman" w:eastAsia="Times New Roman" w:hint="default"/>
        </w:rPr>
        <w:t>GIS</w:t>
      </w:r>
      <w:r>
        <w:rPr>
          <w:rFonts w:ascii="Times New Roman" w:hAnsi="Times New Roman" w:cs="Times New Roman" w:eastAsia="Times New Roman" w:hint="default"/>
          <w:spacing w:val="11"/>
        </w:rPr>
        <w:t> </w:t>
      </w:r>
      <w:r>
        <w:rPr/>
        <w:t>技术、新一代三维</w:t>
      </w:r>
      <w:r>
        <w:rPr>
          <w:spacing w:val="-50"/>
        </w:rPr>
        <w:t> </w:t>
      </w:r>
      <w:r>
        <w:rPr>
          <w:rFonts w:ascii="Times New Roman" w:hAnsi="Times New Roman" w:cs="Times New Roman" w:eastAsia="Times New Roman" w:hint="default"/>
        </w:rPr>
        <w:t>GIS</w:t>
      </w:r>
      <w:r>
        <w:rPr>
          <w:rFonts w:ascii="Times New Roman" w:hAnsi="Times New Roman" w:cs="Times New Roman" w:eastAsia="Times New Roman" w:hint="default"/>
          <w:spacing w:val="11"/>
        </w:rPr>
        <w:t> </w:t>
      </w:r>
      <w:r>
        <w:rPr/>
        <w:t>技术和大 数据 </w:t>
      </w:r>
      <w:r>
        <w:rPr>
          <w:rFonts w:ascii="Times New Roman" w:hAnsi="Times New Roman" w:cs="Times New Roman" w:eastAsia="Times New Roman" w:hint="default"/>
        </w:rPr>
        <w:t>GIS </w:t>
      </w:r>
      <w:r>
        <w:rPr/>
        <w:t>技术，全面兼容自主软、硬件，满足多行业、多层次的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应用需求。</w:t>
      </w:r>
    </w:p>
    <w:p>
      <w:pPr>
        <w:spacing w:line="338" w:lineRule="auto" w:before="65"/>
        <w:ind w:left="580" w:right="1116" w:hanging="48"/>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）应用软件业务线</w:t>
      </w:r>
      <w:r>
        <w:rPr>
          <w:rFonts w:ascii="宋体" w:hAnsi="宋体" w:cs="宋体" w:eastAsia="宋体" w:hint="default"/>
          <w:b/>
          <w:bCs/>
          <w:w w:val="99"/>
          <w:sz w:val="24"/>
          <w:szCs w:val="24"/>
        </w:rPr>
        <w:t> </w:t>
      </w:r>
      <w:r>
        <w:rPr>
          <w:rFonts w:ascii="宋体" w:hAnsi="宋体" w:cs="宋体" w:eastAsia="宋体" w:hint="default"/>
          <w:spacing w:val="-2"/>
          <w:sz w:val="24"/>
          <w:szCs w:val="24"/>
        </w:rPr>
        <w:t>公司全资子公司超图信息、上海南康、南京国图、北京安图、上海数慧等专注于</w:t>
      </w:r>
      <w:r>
        <w:rPr>
          <w:rFonts w:ascii="Times New Roman" w:hAnsi="Times New Roman" w:cs="Times New Roman" w:eastAsia="Times New Roman" w:hint="default"/>
          <w:spacing w:val="-2"/>
          <w:sz w:val="24"/>
          <w:szCs w:val="24"/>
        </w:rPr>
        <w:t>GIS</w:t>
      </w:r>
      <w:r>
        <w:rPr>
          <w:rFonts w:ascii="宋体" w:hAnsi="宋体" w:cs="宋体" w:eastAsia="宋体" w:hint="default"/>
          <w:spacing w:val="-2"/>
          <w:sz w:val="24"/>
          <w:szCs w:val="24"/>
        </w:rPr>
        <w:t>应用</w:t>
      </w:r>
    </w:p>
    <w:p>
      <w:pPr>
        <w:pStyle w:val="BodyText"/>
        <w:spacing w:line="357" w:lineRule="auto" w:before="27"/>
        <w:ind w:right="1138"/>
        <w:jc w:val="both"/>
      </w:pPr>
      <w:r>
        <w:rPr/>
        <w:t>软件业务，在智慧城市、规划、国土、不动产登记、资源环境和国防军工等领域表现突出，</w:t>
      </w:r>
      <w:r>
        <w:rPr>
          <w:spacing w:val="-91"/>
        </w:rPr>
        <w:t> </w:t>
      </w:r>
      <w:r>
        <w:rPr>
          <w:spacing w:val="-91"/>
        </w:rPr>
      </w:r>
      <w:r>
        <w:rPr/>
        <w:t>目前主要围绕四大产品线开展业务：</w:t>
      </w:r>
    </w:p>
    <w:p>
      <w:pPr>
        <w:pStyle w:val="BodyText"/>
        <w:spacing w:line="338" w:lineRule="auto"/>
        <w:ind w:right="997" w:firstLine="427"/>
        <w:jc w:val="left"/>
      </w:pPr>
      <w:r>
        <w:rPr>
          <w:rFonts w:ascii="Times New Roman" w:hAnsi="Times New Roman" w:cs="Times New Roman" w:eastAsia="Times New Roman" w:hint="default"/>
        </w:rPr>
        <w:t>●</w:t>
      </w:r>
      <w:r>
        <w:rPr/>
        <w:t>大资源产品线：包括不动产登记与管理、自然资源登记与监管、土地利用调查与管理、</w:t>
      </w:r>
      <w:r>
        <w:rPr>
          <w:w w:val="99"/>
        </w:rPr>
        <w:t> </w:t>
      </w:r>
      <w:r>
        <w:rPr/>
        <w:t>土地市场管理、房产交易房管理、多规合一、城乡规划和城市设计等。</w:t>
      </w:r>
    </w:p>
    <w:p>
      <w:pPr>
        <w:pStyle w:val="BodyText"/>
        <w:spacing w:line="357" w:lineRule="auto" w:before="55"/>
        <w:ind w:right="1129" w:firstLine="427"/>
        <w:jc w:val="both"/>
      </w:pPr>
      <w:r>
        <w:rPr/>
        <w:t>公司在资源资产业务应用中，采用云计算、大数据、物联网等新一代信息技术与理念，</w:t>
      </w:r>
      <w:r>
        <w:rPr>
          <w:spacing w:val="2"/>
        </w:rPr>
        <w:t> </w:t>
      </w:r>
      <w:r>
        <w:rPr/>
        <w:t>面向自然资源行业、房产行业、不动产统一登记行业应用，形成了不动产登记与管理、自然</w:t>
      </w:r>
      <w:r>
        <w:rPr>
          <w:spacing w:val="-91"/>
        </w:rPr>
        <w:t> </w:t>
      </w:r>
      <w:r>
        <w:rPr>
          <w:spacing w:val="-91"/>
        </w:rPr>
      </w:r>
      <w:r>
        <w:rPr/>
        <w:t>资源登记与监管、土地利用调查与管理、</w:t>
      </w:r>
      <w:r>
        <w:rPr>
          <w:spacing w:val="-76"/>
        </w:rPr>
        <w:t> </w:t>
      </w:r>
      <w:r>
        <w:rPr/>
        <w:t>土地市场管理、房产交易管理、多规合一等一整套</w:t>
      </w:r>
      <w:r>
        <w:rPr/>
        <w:t> 成熟完备的解决方案。</w:t>
      </w:r>
    </w:p>
    <w:p>
      <w:pPr>
        <w:pStyle w:val="BodyText"/>
        <w:spacing w:line="338" w:lineRule="auto"/>
        <w:ind w:right="1130" w:firstLine="427"/>
        <w:jc w:val="both"/>
      </w:pPr>
      <w:r>
        <w:rPr>
          <w:rFonts w:ascii="Times New Roman" w:hAnsi="Times New Roman" w:cs="Times New Roman" w:eastAsia="Times New Roman" w:hint="default"/>
          <w:spacing w:val="-2"/>
        </w:rPr>
        <w:t>●</w:t>
      </w:r>
      <w:r>
        <w:rPr>
          <w:spacing w:val="-2"/>
        </w:rPr>
        <w:t>大智慧产品线：智慧城市时空信息云平台、智慧城管、智慧社管、智慧社区和智慧园区</w:t>
      </w:r>
      <w:r>
        <w:rPr>
          <w:w w:val="99"/>
        </w:rPr>
        <w:t> </w:t>
      </w:r>
      <w:r>
        <w:rPr/>
        <w:t>等。</w:t>
      </w:r>
    </w:p>
    <w:p>
      <w:pPr>
        <w:pStyle w:val="BodyText"/>
        <w:spacing w:line="348" w:lineRule="auto" w:before="55"/>
        <w:ind w:right="1131" w:firstLine="427"/>
        <w:jc w:val="both"/>
      </w:pPr>
      <w:r>
        <w:rPr>
          <w:spacing w:val="-2"/>
        </w:rPr>
        <w:t>公司引入云计算、物联网、大数据、二三维</w:t>
      </w:r>
      <w:r>
        <w:rPr>
          <w:rFonts w:ascii="Times New Roman" w:hAnsi="Times New Roman" w:cs="Times New Roman" w:eastAsia="Times New Roman" w:hint="default"/>
          <w:spacing w:val="-2"/>
        </w:rPr>
        <w:t>GIS</w:t>
      </w:r>
      <w:r>
        <w:rPr>
          <w:spacing w:val="-2"/>
        </w:rPr>
        <w:t>等新技术，以时空框架集成城市全空间信</w:t>
      </w:r>
      <w:r>
        <w:rPr/>
        <w:t> 息资源，以时空信息支撑城市规划、建设、管理与服务全流程，以时空模型分析表达城市运</w:t>
      </w:r>
      <w:r>
        <w:rPr>
          <w:spacing w:val="-91"/>
        </w:rPr>
        <w:t> </w:t>
      </w:r>
      <w:r>
        <w:rPr>
          <w:spacing w:val="-91"/>
        </w:rPr>
      </w:r>
      <w:r>
        <w:rPr>
          <w:spacing w:val="-1"/>
        </w:rPr>
        <w:t>行状态，围绕城市</w:t>
      </w:r>
      <w:r>
        <w:rPr>
          <w:rFonts w:ascii="Times New Roman" w:hAnsi="Times New Roman" w:cs="Times New Roman" w:eastAsia="Times New Roman" w:hint="default"/>
          <w:spacing w:val="-1"/>
        </w:rPr>
        <w:t>“</w:t>
      </w:r>
      <w:r>
        <w:rPr>
          <w:spacing w:val="-1"/>
        </w:rPr>
        <w:t>规划</w:t>
      </w:r>
      <w:r>
        <w:rPr>
          <w:rFonts w:ascii="Times New Roman" w:hAnsi="Times New Roman" w:cs="Times New Roman" w:eastAsia="Times New Roman" w:hint="default"/>
          <w:spacing w:val="-1"/>
        </w:rPr>
        <w:t>-</w:t>
      </w:r>
      <w:r>
        <w:rPr>
          <w:spacing w:val="-1"/>
        </w:rPr>
        <w:t>建设</w:t>
      </w:r>
      <w:r>
        <w:rPr>
          <w:rFonts w:ascii="Times New Roman" w:hAnsi="Times New Roman" w:cs="Times New Roman" w:eastAsia="Times New Roman" w:hint="default"/>
          <w:spacing w:val="-1"/>
        </w:rPr>
        <w:t>-</w:t>
      </w:r>
      <w:r>
        <w:rPr>
          <w:spacing w:val="-1"/>
        </w:rPr>
        <w:t>管理</w:t>
      </w:r>
      <w:r>
        <w:rPr>
          <w:rFonts w:ascii="Times New Roman" w:hAnsi="Times New Roman" w:cs="Times New Roman" w:eastAsia="Times New Roman" w:hint="default"/>
          <w:spacing w:val="-1"/>
        </w:rPr>
        <w:t>-</w:t>
      </w:r>
      <w:r>
        <w:rPr>
          <w:spacing w:val="-1"/>
        </w:rPr>
        <w:t>服务</w:t>
      </w:r>
      <w:r>
        <w:rPr>
          <w:rFonts w:ascii="Times New Roman" w:hAnsi="Times New Roman" w:cs="Times New Roman" w:eastAsia="Times New Roman" w:hint="default"/>
          <w:spacing w:val="-1"/>
        </w:rPr>
        <w:t>”</w:t>
      </w:r>
      <w:r>
        <w:rPr>
          <w:spacing w:val="-1"/>
        </w:rPr>
        <w:t>的发展主线和</w:t>
      </w:r>
      <w:r>
        <w:rPr>
          <w:rFonts w:ascii="Times New Roman" w:hAnsi="Times New Roman" w:cs="Times New Roman" w:eastAsia="Times New Roman" w:hint="default"/>
          <w:spacing w:val="-1"/>
        </w:rPr>
        <w:t>“</w:t>
      </w:r>
      <w:r>
        <w:rPr>
          <w:spacing w:val="-1"/>
        </w:rPr>
        <w:t>动态感知</w:t>
      </w:r>
      <w:r>
        <w:rPr>
          <w:rFonts w:ascii="Times New Roman" w:hAnsi="Times New Roman" w:cs="Times New Roman" w:eastAsia="Times New Roman" w:hint="default"/>
          <w:spacing w:val="-1"/>
        </w:rPr>
        <w:t>-</w:t>
      </w:r>
      <w:r>
        <w:rPr>
          <w:spacing w:val="-1"/>
        </w:rPr>
        <w:t>资源融合</w:t>
      </w:r>
      <w:r>
        <w:rPr>
          <w:rFonts w:ascii="Times New Roman" w:hAnsi="Times New Roman" w:cs="Times New Roman" w:eastAsia="Times New Roman" w:hint="default"/>
          <w:spacing w:val="-1"/>
        </w:rPr>
        <w:t>-</w:t>
      </w:r>
      <w:r>
        <w:rPr>
          <w:spacing w:val="-1"/>
        </w:rPr>
        <w:t>业务协同</w:t>
      </w:r>
      <w:r>
        <w:rPr>
          <w:rFonts w:ascii="Times New Roman" w:hAnsi="Times New Roman" w:cs="Times New Roman" w:eastAsia="Times New Roman" w:hint="default"/>
          <w:spacing w:val="-1"/>
        </w:rPr>
        <w:t>-</w:t>
      </w:r>
      <w:r>
        <w:rPr>
          <w:spacing w:val="-1"/>
        </w:rPr>
        <w:t>智能服</w:t>
      </w:r>
    </w:p>
    <w:p>
      <w:pPr>
        <w:spacing w:after="0" w:line="348"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45" w:lineRule="auto" w:before="26"/>
        <w:ind w:right="997"/>
        <w:jc w:val="left"/>
      </w:pPr>
      <w:r>
        <w:rPr>
          <w:spacing w:val="2"/>
        </w:rPr>
        <w:t>务</w:t>
      </w:r>
      <w:r>
        <w:rPr>
          <w:rFonts w:ascii="Times New Roman" w:hAnsi="Times New Roman" w:cs="Times New Roman" w:eastAsia="Times New Roman" w:hint="default"/>
          <w:spacing w:val="2"/>
        </w:rPr>
        <w:t>”</w:t>
      </w:r>
      <w:r>
        <w:rPr>
          <w:spacing w:val="2"/>
        </w:rPr>
        <w:t>的信息化主线，为智慧城市提供时空信息云平台</w:t>
      </w:r>
      <w:r>
        <w:rPr>
          <w:rFonts w:ascii="Times New Roman" w:hAnsi="Times New Roman" w:cs="Times New Roman" w:eastAsia="Times New Roman" w:hint="default"/>
          <w:spacing w:val="2"/>
        </w:rPr>
        <w:t>/</w:t>
      </w:r>
      <w:r>
        <w:rPr>
          <w:spacing w:val="2"/>
        </w:rPr>
        <w:t>城市公共信息平台、智慧城管、智慧园</w:t>
      </w:r>
      <w:r>
        <w:rPr>
          <w:spacing w:val="-115"/>
        </w:rPr>
        <w:t> </w:t>
      </w:r>
      <w:r>
        <w:rPr>
          <w:spacing w:val="-115"/>
        </w:rPr>
      </w:r>
      <w:r>
        <w:rPr/>
        <w:t>区</w:t>
      </w:r>
      <w:r>
        <w:rPr>
          <w:rFonts w:ascii="Times New Roman" w:hAnsi="Times New Roman" w:cs="Times New Roman" w:eastAsia="Times New Roman" w:hint="default"/>
        </w:rPr>
        <w:t>/</w:t>
      </w:r>
      <w:r>
        <w:rPr/>
        <w:t>开发区、智慧社区、智慧国土、智慧基础设施、政务大数据、智慧统计等领域解决方案，</w:t>
      </w:r>
      <w:r>
        <w:rPr>
          <w:spacing w:val="-41"/>
        </w:rPr>
        <w:t> </w:t>
      </w:r>
      <w:r>
        <w:rPr>
          <w:spacing w:val="-41"/>
        </w:rPr>
      </w:r>
      <w:r>
        <w:rPr/>
        <w:t>实现服务空间规划一张图，监管城市建设全流程，监测城市管理全状态，共享资源全协同，</w:t>
      </w:r>
      <w:r>
        <w:rPr>
          <w:spacing w:val="-91"/>
        </w:rPr>
        <w:t> </w:t>
      </w:r>
      <w:r>
        <w:rPr>
          <w:spacing w:val="-91"/>
        </w:rPr>
      </w:r>
      <w:r>
        <w:rPr/>
        <w:t>智慧城市业务全覆盖四个全面服务。</w:t>
      </w:r>
    </w:p>
    <w:p>
      <w:pPr>
        <w:pStyle w:val="BodyText"/>
        <w:spacing w:line="338" w:lineRule="auto" w:before="48"/>
        <w:ind w:left="580" w:right="1153"/>
        <w:jc w:val="left"/>
      </w:pPr>
      <w:r>
        <w:rPr>
          <w:rFonts w:ascii="Times New Roman" w:hAnsi="Times New Roman" w:cs="Times New Roman" w:eastAsia="Times New Roman" w:hint="default"/>
        </w:rPr>
        <w:t>●</w:t>
      </w:r>
      <w:r>
        <w:rPr/>
        <w:t>大环境产品线：环保、气象和水利</w:t>
      </w:r>
      <w:r>
        <w:rPr>
          <w:w w:val="99"/>
        </w:rPr>
        <w:t> </w:t>
      </w:r>
      <w:r>
        <w:rPr/>
        <w:t>依靠积累多年的环境业务经验，公司围绕气象、水利、环保等业务，形成了气象灾害风</w:t>
      </w:r>
    </w:p>
    <w:p>
      <w:pPr>
        <w:pStyle w:val="BodyText"/>
        <w:spacing w:line="357" w:lineRule="auto" w:before="55"/>
        <w:ind w:right="1134"/>
        <w:jc w:val="both"/>
      </w:pPr>
      <w:r>
        <w:rPr>
          <w:spacing w:val="-5"/>
        </w:rPr>
        <w:t>险管理、突发事件预警信息发布、农业气象服务、精细化格点预报、水利一张图、河长管理、</w:t>
      </w:r>
      <w:r>
        <w:rPr/>
        <w:t> 地下水资源管理、防灾减灾一张图等应用解决方案。</w:t>
      </w:r>
    </w:p>
    <w:p>
      <w:pPr>
        <w:pStyle w:val="BodyText"/>
        <w:spacing w:line="338" w:lineRule="auto" w:before="37"/>
        <w:ind w:left="580" w:right="1116"/>
        <w:jc w:val="left"/>
      </w:pPr>
      <w:r>
        <w:rPr>
          <w:rFonts w:ascii="Times New Roman" w:hAnsi="Times New Roman" w:cs="Times New Roman" w:eastAsia="Times New Roman" w:hint="default"/>
        </w:rPr>
        <w:t>●</w:t>
      </w:r>
      <w:r>
        <w:rPr/>
        <w:t>大国防产品线</w:t>
      </w:r>
      <w:r>
        <w:rPr>
          <w:w w:val="99"/>
        </w:rPr>
        <w:t> </w:t>
      </w:r>
      <w:r>
        <w:rPr>
          <w:spacing w:val="-3"/>
          <w:w w:val="99"/>
        </w:rPr>
        <w:t>积极响应国家</w:t>
      </w:r>
      <w:r>
        <w:rPr>
          <w:rFonts w:ascii="Times New Roman" w:hAnsi="Times New Roman" w:cs="Times New Roman" w:eastAsia="Times New Roman" w:hint="default"/>
          <w:spacing w:val="-3"/>
          <w:w w:val="99"/>
        </w:rPr>
        <w:t>"</w:t>
      </w:r>
      <w:r>
        <w:rPr>
          <w:spacing w:val="-3"/>
          <w:w w:val="99"/>
        </w:rPr>
        <w:t>军民融合发展战略</w:t>
      </w:r>
      <w:r>
        <w:rPr>
          <w:rFonts w:ascii="Times New Roman" w:hAnsi="Times New Roman" w:cs="Times New Roman" w:eastAsia="Times New Roman" w:hint="default"/>
          <w:spacing w:val="-3"/>
          <w:w w:val="99"/>
        </w:rPr>
        <w:t>"</w:t>
      </w:r>
      <w:r>
        <w:rPr>
          <w:spacing w:val="-3"/>
          <w:w w:val="99"/>
        </w:rPr>
        <w:t>的号召，依托公司多年在民用领域的优秀经验的积累与</w:t>
      </w:r>
    </w:p>
    <w:p>
      <w:pPr>
        <w:pStyle w:val="BodyText"/>
        <w:spacing w:line="357" w:lineRule="auto" w:before="27"/>
        <w:ind w:right="1134"/>
        <w:jc w:val="both"/>
      </w:pPr>
      <w:r>
        <w:rPr/>
        <w:t>先进技术的储备，以大数据、云计算以及多源地理信息可视化融合展现为技术核心，严格遵</w:t>
      </w:r>
      <w:r>
        <w:rPr>
          <w:spacing w:val="-91"/>
        </w:rPr>
        <w:t> </w:t>
      </w:r>
      <w:r>
        <w:rPr>
          <w:spacing w:val="-91"/>
        </w:rPr>
      </w:r>
      <w:r>
        <w:rPr/>
        <w:t>循国防军工信息化建设的高自主可控、高稳定型的总体要求，形成了一系列自主可控的军民</w:t>
      </w:r>
      <w:r>
        <w:rPr>
          <w:spacing w:val="-87"/>
        </w:rPr>
        <w:t> </w:t>
      </w:r>
      <w:r>
        <w:rPr>
          <w:spacing w:val="-87"/>
        </w:rPr>
      </w:r>
      <w:r>
        <w:rPr/>
        <w:t>融合解决方案并得到了广泛的应用。</w:t>
      </w:r>
    </w:p>
    <w:p>
      <w:pPr>
        <w:pStyle w:val="Heading2"/>
        <w:spacing w:line="240" w:lineRule="auto" w:before="36"/>
        <w:ind w:left="635" w:right="1273"/>
        <w:jc w:val="left"/>
        <w:rPr>
          <w:b w:val="0"/>
          <w:bCs w:val="0"/>
        </w:rPr>
      </w:pPr>
      <w:r>
        <w:rPr/>
        <w:t>（</w:t>
      </w:r>
      <w:r>
        <w:rPr>
          <w:rFonts w:ascii="Times New Roman" w:hAnsi="Times New Roman" w:cs="Times New Roman" w:eastAsia="Times New Roman" w:hint="default"/>
        </w:rPr>
        <w:t>4</w:t>
      </w:r>
      <w:r>
        <w:rPr/>
        <w:t>）云服务业务线</w:t>
      </w:r>
      <w:r>
        <w:rPr>
          <w:b w:val="0"/>
          <w:bCs w:val="0"/>
        </w:rPr>
      </w:r>
    </w:p>
    <w:p>
      <w:pPr>
        <w:pStyle w:val="BodyText"/>
        <w:spacing w:line="338" w:lineRule="auto" w:before="135"/>
        <w:ind w:right="1136" w:firstLine="480"/>
        <w:jc w:val="both"/>
      </w:pPr>
      <w:r>
        <w:rPr/>
        <w:t>公司致力于创新</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云服务，提供</w:t>
      </w:r>
      <w:r>
        <w:rPr>
          <w:spacing w:val="-60"/>
        </w:rPr>
        <w:t> </w:t>
      </w:r>
      <w:r>
        <w:rPr>
          <w:rFonts w:ascii="Times New Roman" w:hAnsi="Times New Roman" w:cs="Times New Roman" w:eastAsia="Times New Roman" w:hint="default"/>
        </w:rPr>
        <w:t>IaaS</w:t>
      </w:r>
      <w:r>
        <w:rPr/>
        <w:t>、</w:t>
      </w:r>
      <w:r>
        <w:rPr>
          <w:rFonts w:ascii="Times New Roman" w:hAnsi="Times New Roman" w:cs="Times New Roman" w:eastAsia="Times New Roman" w:hint="default"/>
        </w:rPr>
        <w:t>PaaS</w:t>
      </w:r>
      <w:r>
        <w:rPr>
          <w:rFonts w:ascii="Times New Roman" w:hAnsi="Times New Roman" w:cs="Times New Roman" w:eastAsia="Times New Roman" w:hint="default"/>
          <w:spacing w:val="-2"/>
        </w:rPr>
        <w:t> </w:t>
      </w:r>
      <w:r>
        <w:rPr/>
        <w:t>模式的在线</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平台</w:t>
      </w:r>
      <w:r>
        <w:rPr>
          <w:spacing w:val="-60"/>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Online</w:t>
      </w:r>
      <w:r>
        <w:rPr>
          <w:rFonts w:ascii="Times New Roman" w:hAnsi="Times New Roman" w:cs="Times New Roman" w:eastAsia="Times New Roman" w:hint="default"/>
          <w:spacing w:val="-2"/>
        </w:rPr>
        <w:t> </w:t>
      </w:r>
      <w:r>
        <w:rPr/>
        <w:t>和 </w:t>
      </w:r>
      <w:r>
        <w:rPr>
          <w:rFonts w:ascii="Times New Roman" w:hAnsi="Times New Roman" w:cs="Times New Roman" w:eastAsia="Times New Roman" w:hint="default"/>
        </w:rPr>
        <w:t>SaaS</w:t>
      </w:r>
      <w:r>
        <w:rPr>
          <w:rFonts w:ascii="Times New Roman" w:hAnsi="Times New Roman" w:cs="Times New Roman" w:eastAsia="Times New Roman" w:hint="default"/>
          <w:spacing w:val="-10"/>
        </w:rPr>
        <w:t> </w:t>
      </w:r>
      <w:r>
        <w:rPr/>
        <w:t>模式的地图慧，不断开拓公有云应用市场，为行业用户提供在线</w:t>
      </w:r>
      <w:r>
        <w:rPr>
          <w:spacing w:val="-70"/>
        </w:rPr>
        <w:t> </w:t>
      </w:r>
      <w:r>
        <w:rPr>
          <w:rFonts w:ascii="Times New Roman" w:hAnsi="Times New Roman" w:cs="Times New Roman" w:eastAsia="Times New Roman" w:hint="default"/>
        </w:rPr>
        <w:t>GIS</w:t>
      </w:r>
      <w:r>
        <w:rPr>
          <w:rFonts w:ascii="Times New Roman" w:hAnsi="Times New Roman" w:cs="Times New Roman" w:eastAsia="Times New Roman" w:hint="default"/>
          <w:spacing w:val="-10"/>
        </w:rPr>
        <w:t> </w:t>
      </w:r>
      <w:r>
        <w:rPr>
          <w:spacing w:val="-3"/>
        </w:rPr>
        <w:t>应用服务，为企业</w:t>
      </w:r>
      <w:r>
        <w:rPr/>
        <w:t> 客户及合伙伴提供在线地图数据与</w:t>
      </w:r>
      <w:r>
        <w:rPr>
          <w:spacing w:val="-59"/>
        </w:rPr>
        <w:t> </w:t>
      </w:r>
      <w:r>
        <w:rPr>
          <w:rFonts w:ascii="Times New Roman" w:hAnsi="Times New Roman" w:cs="Times New Roman" w:eastAsia="Times New Roman" w:hint="default"/>
        </w:rPr>
        <w:t>API</w:t>
      </w:r>
      <w:r>
        <w:rPr>
          <w:rFonts w:ascii="Times New Roman" w:hAnsi="Times New Roman" w:cs="Times New Roman" w:eastAsia="Times New Roman" w:hint="default"/>
          <w:spacing w:val="-5"/>
        </w:rPr>
        <w:t> </w:t>
      </w:r>
      <w:r>
        <w:rPr/>
        <w:t>服务，以及大众化的在线地图绘制和地理分析服务。</w:t>
      </w:r>
    </w:p>
    <w:p>
      <w:pPr>
        <w:pStyle w:val="BodyText"/>
        <w:spacing w:line="338" w:lineRule="auto" w:before="27"/>
        <w:ind w:left="633" w:right="1153"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）国际业务线</w:t>
      </w:r>
      <w:r>
        <w:rPr>
          <w:rFonts w:ascii="宋体" w:hAnsi="宋体" w:cs="宋体" w:eastAsia="宋体" w:hint="default"/>
          <w:b/>
          <w:bCs/>
          <w:w w:val="99"/>
        </w:rPr>
        <w:t> </w:t>
      </w:r>
      <w:r>
        <w:rPr/>
        <w:t>公司本着</w:t>
      </w:r>
      <w:r>
        <w:rPr>
          <w:rFonts w:ascii="Times New Roman" w:hAnsi="Times New Roman" w:cs="Times New Roman" w:eastAsia="Times New Roman" w:hint="default"/>
        </w:rPr>
        <w:t>“</w:t>
      </w:r>
      <w:r>
        <w:rPr/>
        <w:t>国际视野，自主创新</w:t>
      </w:r>
      <w:r>
        <w:rPr>
          <w:rFonts w:ascii="Times New Roman" w:hAnsi="Times New Roman" w:cs="Times New Roman" w:eastAsia="Times New Roman" w:hint="default"/>
        </w:rPr>
        <w:t>”</w:t>
      </w:r>
      <w:r>
        <w:rPr/>
        <w:t>的理念，坚持走国际化道路，大力拓展国际市场，目前</w:t>
      </w:r>
    </w:p>
    <w:p>
      <w:pPr>
        <w:pStyle w:val="BodyText"/>
        <w:spacing w:line="338" w:lineRule="auto" w:before="27"/>
        <w:ind w:right="1131"/>
        <w:jc w:val="both"/>
      </w:pPr>
      <w:r>
        <w:rPr/>
        <w:t>在</w:t>
      </w:r>
      <w:r>
        <w:rPr>
          <w:spacing w:val="-60"/>
        </w:rPr>
        <w:t> </w:t>
      </w:r>
      <w:r>
        <w:rPr>
          <w:rFonts w:ascii="Times New Roman" w:hAnsi="Times New Roman" w:cs="Times New Roman" w:eastAsia="Times New Roman" w:hint="default"/>
        </w:rPr>
        <w:t>30 </w:t>
      </w:r>
      <w:r>
        <w:rPr>
          <w:spacing w:val="-3"/>
        </w:rPr>
        <w:t>多个国家发展了代理商，是华为、中兴等</w:t>
      </w:r>
      <w:r>
        <w:rPr>
          <w:spacing w:val="-57"/>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
        </w:rPr>
        <w:t> </w:t>
      </w:r>
      <w:r>
        <w:rPr/>
        <w:t>企业的</w:t>
      </w:r>
      <w:r>
        <w:rPr>
          <w:spacing w:val="-58"/>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spacing w:val="-3"/>
        </w:rPr>
        <w:t>软件全球供应商，将</w:t>
      </w:r>
      <w:r>
        <w:rPr>
          <w:spacing w:val="-60"/>
        </w:rPr>
        <w:t> </w:t>
      </w:r>
      <w:r>
        <w:rPr>
          <w:rFonts w:ascii="Times New Roman" w:hAnsi="Times New Roman" w:cs="Times New Roman" w:eastAsia="Times New Roman" w:hint="default"/>
        </w:rPr>
        <w:t>SuperMap GIS </w:t>
      </w:r>
      <w:r>
        <w:rPr/>
        <w:t>基础软件推广到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多个国家和地区。公司已成功进入亚洲、欧洲、非洲和南美洲等国 家和地区，公司正在向成为全球领先的</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品牌方向努力。</w:t>
      </w:r>
    </w:p>
    <w:p>
      <w:pPr>
        <w:pStyle w:val="Heading2"/>
        <w:spacing w:line="240" w:lineRule="auto" w:before="27"/>
        <w:ind w:left="635" w:right="1273"/>
        <w:jc w:val="left"/>
        <w:rPr>
          <w:b w:val="0"/>
          <w:bCs w:val="0"/>
        </w:rPr>
      </w:pPr>
      <w:r>
        <w:rPr>
          <w:rFonts w:ascii="Times New Roman" w:hAnsi="Times New Roman" w:cs="Times New Roman" w:eastAsia="Times New Roman" w:hint="default"/>
        </w:rPr>
        <w:t>2</w:t>
      </w:r>
      <w:r>
        <w:rPr/>
        <w:t>、业绩总体情况</w:t>
      </w:r>
      <w:r>
        <w:rPr>
          <w:b w:val="0"/>
          <w:bCs w:val="0"/>
        </w:rPr>
      </w:r>
    </w:p>
    <w:p>
      <w:pPr>
        <w:pStyle w:val="BodyText"/>
        <w:spacing w:line="352" w:lineRule="auto" w:before="136"/>
        <w:ind w:right="1132" w:firstLine="480"/>
        <w:jc w:val="both"/>
      </w:pPr>
      <w:r>
        <w:rPr>
          <w:rFonts w:ascii="Times New Roman" w:hAnsi="Times New Roman" w:cs="Times New Roman" w:eastAsia="Times New Roman" w:hint="default"/>
          <w:color w:val="181818"/>
        </w:rPr>
        <w:t>2018</w:t>
      </w:r>
      <w:r>
        <w:rPr>
          <w:rFonts w:ascii="Times New Roman" w:hAnsi="Times New Roman" w:cs="Times New Roman" w:eastAsia="Times New Roman" w:hint="default"/>
          <w:color w:val="181818"/>
          <w:spacing w:val="-22"/>
        </w:rPr>
        <w:t> </w:t>
      </w:r>
      <w:r>
        <w:rPr>
          <w:color w:val="181818"/>
        </w:rPr>
        <w:t>年，公司进一步加强了技术创新以及市场开拓，市场竞争力进一步增强，市场规模 进一步扩大，但由于机构改革逐步进入落地期，人员机构的变动调整导致部分订单招标推迟 以及影响项目进度与回款。此外，公司对子公司超图信息进行了组织结构变革，并加大了对 国际市场的投入，导致成本费用增加。随着内外改革的完成，公司将迎来机构改革带来的重 大市场发展机遇。</w:t>
      </w:r>
      <w:r>
        <w:rPr/>
      </w:r>
    </w:p>
    <w:p>
      <w:pPr>
        <w:pStyle w:val="BodyText"/>
        <w:spacing w:line="240" w:lineRule="auto" w:before="41"/>
        <w:ind w:left="633" w:right="1116"/>
        <w:jc w:val="left"/>
      </w:pPr>
      <w:r>
        <w:rPr>
          <w:rFonts w:ascii="Times New Roman" w:hAnsi="Times New Roman" w:cs="Times New Roman" w:eastAsia="Times New Roman" w:hint="default"/>
          <w:color w:val="181818"/>
        </w:rPr>
        <w:t>2018</w:t>
      </w:r>
      <w:r>
        <w:rPr>
          <w:rFonts w:ascii="Times New Roman" w:hAnsi="Times New Roman" w:cs="Times New Roman" w:eastAsia="Times New Roman" w:hint="default"/>
          <w:color w:val="181818"/>
          <w:spacing w:val="-2"/>
        </w:rPr>
        <w:t> </w:t>
      </w:r>
      <w:r>
        <w:rPr>
          <w:color w:val="181818"/>
        </w:rPr>
        <w:t>年，公司实现营业收入</w:t>
      </w:r>
      <w:r>
        <w:rPr>
          <w:color w:val="181818"/>
          <w:spacing w:val="-61"/>
        </w:rPr>
        <w:t> </w:t>
      </w:r>
      <w:r>
        <w:rPr>
          <w:rFonts w:ascii="Times New Roman" w:hAnsi="Times New Roman" w:cs="Times New Roman" w:eastAsia="Times New Roman" w:hint="default"/>
        </w:rPr>
        <w:t>151,778.82</w:t>
      </w:r>
      <w:r>
        <w:rPr>
          <w:rFonts w:ascii="Times New Roman" w:hAnsi="Times New Roman" w:cs="Times New Roman" w:eastAsia="Times New Roman" w:hint="default"/>
          <w:spacing w:val="-1"/>
        </w:rPr>
        <w:t> </w:t>
      </w:r>
      <w:r>
        <w:rPr>
          <w:color w:val="181818"/>
        </w:rPr>
        <w:t>万元，同比增长</w:t>
      </w:r>
      <w:r>
        <w:rPr>
          <w:color w:val="181818"/>
          <w:spacing w:val="-61"/>
        </w:rPr>
        <w:t> </w:t>
      </w:r>
      <w:r>
        <w:rPr>
          <w:rFonts w:ascii="Times New Roman" w:hAnsi="Times New Roman" w:cs="Times New Roman" w:eastAsia="Times New Roman" w:hint="default"/>
          <w:color w:val="181818"/>
        </w:rPr>
        <w:t>21.45%</w:t>
      </w:r>
      <w:r>
        <w:rPr>
          <w:color w:val="181818"/>
        </w:rPr>
        <w:t>；营业利润</w:t>
      </w:r>
      <w:r>
        <w:rPr>
          <w:color w:val="181818"/>
          <w:spacing w:val="-61"/>
        </w:rPr>
        <w:t> </w:t>
      </w:r>
      <w:r>
        <w:rPr>
          <w:rFonts w:ascii="Times New Roman" w:hAnsi="Times New Roman" w:cs="Times New Roman" w:eastAsia="Times New Roman" w:hint="default"/>
        </w:rPr>
        <w:t>15,792.29</w:t>
      </w:r>
      <w:r>
        <w:rPr>
          <w:rFonts w:ascii="Times New Roman" w:hAnsi="Times New Roman" w:cs="Times New Roman" w:eastAsia="Times New Roman" w:hint="default"/>
          <w:spacing w:val="-1"/>
        </w:rPr>
        <w:t> </w:t>
      </w:r>
      <w:r>
        <w:rPr>
          <w:color w:val="181818"/>
        </w:rPr>
        <w:t>万</w:t>
      </w:r>
      <w:r>
        <w:rPr/>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left="213" w:right="1131"/>
        <w:jc w:val="both"/>
      </w:pPr>
      <w:r>
        <w:rPr>
          <w:color w:val="181818"/>
        </w:rPr>
        <w:t>元，同比减少</w:t>
      </w:r>
      <w:r>
        <w:rPr>
          <w:color w:val="181818"/>
          <w:spacing w:val="-62"/>
        </w:rPr>
        <w:t> </w:t>
      </w:r>
      <w:r>
        <w:rPr>
          <w:rFonts w:ascii="Times New Roman" w:hAnsi="Times New Roman" w:cs="Times New Roman" w:eastAsia="Times New Roman" w:hint="default"/>
          <w:color w:val="181818"/>
        </w:rPr>
        <w:t>21.12%</w:t>
      </w:r>
      <w:r>
        <w:rPr>
          <w:color w:val="181818"/>
        </w:rPr>
        <w:t>；实现利润总额</w:t>
      </w:r>
      <w:r>
        <w:rPr>
          <w:color w:val="181818"/>
          <w:spacing w:val="-61"/>
        </w:rPr>
        <w:t> </w:t>
      </w:r>
      <w:r>
        <w:rPr>
          <w:rFonts w:ascii="Times New Roman" w:hAnsi="Times New Roman" w:cs="Times New Roman" w:eastAsia="Times New Roman" w:hint="default"/>
        </w:rPr>
        <w:t>16,884.66</w:t>
      </w:r>
      <w:r>
        <w:rPr>
          <w:rFonts w:ascii="Times New Roman" w:hAnsi="Times New Roman" w:cs="Times New Roman" w:eastAsia="Times New Roman" w:hint="default"/>
          <w:spacing w:val="-1"/>
        </w:rPr>
        <w:t> </w:t>
      </w:r>
      <w:r>
        <w:rPr>
          <w:color w:val="181818"/>
        </w:rPr>
        <w:t>万元，同比减少</w:t>
      </w:r>
      <w:r>
        <w:rPr>
          <w:color w:val="181818"/>
          <w:spacing w:val="-61"/>
        </w:rPr>
        <w:t> </w:t>
      </w:r>
      <w:r>
        <w:rPr>
          <w:rFonts w:ascii="Times New Roman" w:hAnsi="Times New Roman" w:cs="Times New Roman" w:eastAsia="Times New Roman" w:hint="default"/>
        </w:rPr>
        <w:t>16.95</w:t>
      </w:r>
      <w:r>
        <w:rPr>
          <w:rFonts w:ascii="Times New Roman" w:hAnsi="Times New Roman" w:cs="Times New Roman" w:eastAsia="Times New Roman" w:hint="default"/>
          <w:color w:val="181818"/>
        </w:rPr>
        <w:t>%</w:t>
      </w:r>
      <w:r>
        <w:rPr>
          <w:color w:val="181818"/>
        </w:rPr>
        <w:t>；归属于上市公司股 东的净利润</w:t>
      </w:r>
      <w:r>
        <w:rPr>
          <w:color w:val="181818"/>
          <w:spacing w:val="-62"/>
        </w:rPr>
        <w:t> </w:t>
      </w:r>
      <w:r>
        <w:rPr>
          <w:rFonts w:ascii="Times New Roman" w:hAnsi="Times New Roman" w:cs="Times New Roman" w:eastAsia="Times New Roman" w:hint="default"/>
        </w:rPr>
        <w:t>16,761.24</w:t>
      </w:r>
      <w:r>
        <w:rPr>
          <w:rFonts w:ascii="Times New Roman" w:hAnsi="Times New Roman" w:cs="Times New Roman" w:eastAsia="Times New Roman" w:hint="default"/>
          <w:spacing w:val="-1"/>
        </w:rPr>
        <w:t> </w:t>
      </w:r>
      <w:r>
        <w:rPr>
          <w:color w:val="181818"/>
        </w:rPr>
        <w:t>万元，同比减少</w:t>
      </w:r>
      <w:r>
        <w:rPr>
          <w:color w:val="181818"/>
          <w:spacing w:val="-61"/>
        </w:rPr>
        <w:t> </w:t>
      </w:r>
      <w:r>
        <w:rPr>
          <w:rFonts w:ascii="Times New Roman" w:hAnsi="Times New Roman" w:cs="Times New Roman" w:eastAsia="Times New Roman" w:hint="default"/>
          <w:color w:val="181818"/>
        </w:rPr>
        <w:t>14.60%</w:t>
      </w:r>
      <w:r>
        <w:rPr>
          <w:color w:val="181818"/>
        </w:rPr>
        <w:t>；归属于上市公司普通股股东的扣除非经常性 损益的净利润</w:t>
      </w:r>
      <w:r>
        <w:rPr>
          <w:color w:val="181818"/>
          <w:spacing w:val="-62"/>
        </w:rPr>
        <w:t> </w:t>
      </w:r>
      <w:r>
        <w:rPr>
          <w:rFonts w:ascii="Times New Roman" w:hAnsi="Times New Roman" w:cs="Times New Roman" w:eastAsia="Times New Roman" w:hint="default"/>
        </w:rPr>
        <w:t>13,797.35</w:t>
      </w:r>
      <w:r>
        <w:rPr>
          <w:rFonts w:ascii="Times New Roman" w:hAnsi="Times New Roman" w:cs="Times New Roman" w:eastAsia="Times New Roman" w:hint="default"/>
          <w:spacing w:val="-1"/>
        </w:rPr>
        <w:t> </w:t>
      </w:r>
      <w:r>
        <w:rPr>
          <w:color w:val="181818"/>
        </w:rPr>
        <w:t>万元，同比减少</w:t>
      </w:r>
      <w:r>
        <w:rPr>
          <w:color w:val="181818"/>
          <w:spacing w:val="-61"/>
        </w:rPr>
        <w:t> </w:t>
      </w:r>
      <w:r>
        <w:rPr>
          <w:rFonts w:ascii="Times New Roman" w:hAnsi="Times New Roman" w:cs="Times New Roman" w:eastAsia="Times New Roman" w:hint="default"/>
          <w:color w:val="181818"/>
        </w:rPr>
        <w:t>24.63%</w:t>
      </w:r>
      <w:r>
        <w:rPr>
          <w:color w:val="181818"/>
        </w:rPr>
        <w:t>。</w:t>
      </w:r>
      <w:r>
        <w:rPr/>
      </w:r>
    </w:p>
    <w:p>
      <w:pPr>
        <w:pStyle w:val="BodyText"/>
        <w:spacing w:line="338" w:lineRule="auto" w:before="27"/>
        <w:ind w:left="779" w:right="994" w:hanging="84"/>
        <w:jc w:val="left"/>
      </w:pPr>
      <w:r>
        <w:rPr>
          <w:rFonts w:ascii="Times New Roman" w:hAnsi="Times New Roman" w:cs="Times New Roman" w:eastAsia="Times New Roman" w:hint="default"/>
          <w:b/>
          <w:bCs/>
          <w:color w:val="181818"/>
        </w:rPr>
        <w:t>3</w:t>
      </w:r>
      <w:r>
        <w:rPr>
          <w:rFonts w:ascii="宋体" w:hAnsi="宋体" w:cs="宋体" w:eastAsia="宋体" w:hint="default"/>
          <w:b/>
          <w:bCs/>
          <w:color w:val="181818"/>
        </w:rPr>
        <w:t>、行业情况</w:t>
      </w:r>
      <w:r>
        <w:rPr>
          <w:rFonts w:ascii="宋体" w:hAnsi="宋体" w:cs="宋体" w:eastAsia="宋体" w:hint="default"/>
          <w:b/>
          <w:bCs/>
          <w:color w:val="181818"/>
          <w:w w:val="99"/>
        </w:rPr>
        <w:t> </w:t>
      </w:r>
      <w:r>
        <w:rPr>
          <w:spacing w:val="-2"/>
        </w:rPr>
        <w:t>当今世界正进入万物互联的新时代，在这个大趋势下，地理信息产业发展迎来了良好的</w:t>
      </w:r>
    </w:p>
    <w:p>
      <w:pPr>
        <w:pStyle w:val="BodyText"/>
        <w:spacing w:line="357" w:lineRule="auto" w:before="55"/>
        <w:ind w:left="213" w:right="1133"/>
        <w:jc w:val="both"/>
      </w:pPr>
      <w:r>
        <w:rPr/>
        <w:t>发展机遇。从全球看，移动互联网、大数据、物联网与地理信息的结合，将引发新的产业革</w:t>
      </w:r>
      <w:r>
        <w:rPr>
          <w:spacing w:val="-91"/>
        </w:rPr>
        <w:t> </w:t>
      </w:r>
      <w:r>
        <w:rPr>
          <w:spacing w:val="-91"/>
        </w:rPr>
      </w:r>
      <w:r>
        <w:rPr/>
        <w:t>命，基于高精度位置服务的新产业新业态将不断涌现。在可预见的未来，地理信息产业有望</w:t>
      </w:r>
      <w:r>
        <w:rPr>
          <w:spacing w:val="-86"/>
        </w:rPr>
        <w:t> </w:t>
      </w:r>
      <w:r>
        <w:rPr>
          <w:spacing w:val="-86"/>
        </w:rPr>
      </w:r>
      <w:r>
        <w:rPr/>
        <w:t>成为一片</w:t>
      </w:r>
      <w:r>
        <w:rPr>
          <w:rFonts w:ascii="Times New Roman" w:hAnsi="Times New Roman" w:cs="Times New Roman" w:eastAsia="Times New Roman" w:hint="default"/>
        </w:rPr>
        <w:t>“</w:t>
      </w:r>
      <w:r>
        <w:rPr/>
        <w:t>新蓝海</w:t>
      </w:r>
      <w:r>
        <w:rPr>
          <w:rFonts w:ascii="Times New Roman" w:hAnsi="Times New Roman" w:cs="Times New Roman" w:eastAsia="Times New Roman" w:hint="default"/>
        </w:rPr>
        <w:t>”</w:t>
      </w:r>
      <w:r>
        <w:rPr/>
        <w:t>。</w:t>
      </w:r>
    </w:p>
    <w:p>
      <w:pPr>
        <w:pStyle w:val="BodyText"/>
        <w:spacing w:line="240" w:lineRule="auto" w:before="6"/>
        <w:ind w:left="638" w:right="994"/>
        <w:jc w:val="left"/>
        <w:rPr>
          <w:rFonts w:ascii="Times New Roman" w:hAnsi="Times New Roman" w:cs="Times New Roman" w:eastAsia="Times New Roman" w:hint="default"/>
        </w:rPr>
      </w:pPr>
      <w:r>
        <w:rPr/>
        <w:t>中国地理信息产业协会常务副会长胥燕婴在</w:t>
      </w:r>
      <w:r>
        <w:rPr>
          <w:spacing w:val="-7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年中国地理信息产业大会上表示，</w:t>
      </w:r>
      <w:r>
        <w:rPr>
          <w:rFonts w:ascii="Times New Roman" w:hAnsi="Times New Roman" w:cs="Times New Roman" w:eastAsia="Times New Roman" w:hint="default"/>
        </w:rPr>
        <w:t>2018</w:t>
      </w:r>
    </w:p>
    <w:p>
      <w:pPr>
        <w:pStyle w:val="BodyText"/>
        <w:spacing w:line="338" w:lineRule="auto" w:before="135"/>
        <w:ind w:left="213" w:right="994"/>
        <w:jc w:val="left"/>
      </w:pPr>
      <w:r>
        <w:rPr/>
        <w:t>年中国地理信息产业继续稳步发展，并向高质量方向转变，产业总产值预计超过 </w:t>
      </w:r>
      <w:r>
        <w:rPr>
          <w:rFonts w:ascii="Times New Roman" w:hAnsi="Times New Roman" w:cs="Times New Roman" w:eastAsia="Times New Roman" w:hint="default"/>
        </w:rPr>
        <w:t>6200</w:t>
      </w:r>
      <w:r>
        <w:rPr>
          <w:rFonts w:ascii="Times New Roman" w:hAnsi="Times New Roman" w:cs="Times New Roman" w:eastAsia="Times New Roman" w:hint="default"/>
          <w:spacing w:val="-21"/>
        </w:rPr>
        <w:t> </w:t>
      </w:r>
      <w:r>
        <w:rPr/>
        <w:t>亿元， 同比增长</w:t>
      </w:r>
      <w:r>
        <w:rPr>
          <w:spacing w:val="-42"/>
        </w:rPr>
        <w:t> </w:t>
      </w:r>
      <w:r>
        <w:rPr>
          <w:rFonts w:ascii="Times New Roman" w:hAnsi="Times New Roman" w:cs="Times New Roman" w:eastAsia="Times New Roman" w:hint="default"/>
        </w:rPr>
        <w:t>20%</w:t>
      </w:r>
      <w:r>
        <w:rPr/>
        <w:t>。此外，三调、自然资源登记、时空云平台、国土空间规划等等一系列国家重 大工程以及自主可控政策的进一步落地，公司所处的行业发展不断向好，前景广阔。</w:t>
      </w:r>
    </w:p>
    <w:p>
      <w:pPr>
        <w:spacing w:line="240" w:lineRule="auto" w:before="4"/>
        <w:rPr>
          <w:rFonts w:ascii="宋体" w:hAnsi="宋体" w:cs="宋体" w:eastAsia="宋体" w:hint="default"/>
          <w:sz w:val="21"/>
          <w:szCs w:val="21"/>
        </w:rPr>
      </w:pPr>
    </w:p>
    <w:p>
      <w:pPr>
        <w:pStyle w:val="Heading2"/>
        <w:spacing w:line="240" w:lineRule="auto"/>
        <w:ind w:left="213" w:right="0"/>
        <w:jc w:val="both"/>
        <w:rPr>
          <w:b w:val="0"/>
          <w:bCs w:val="0"/>
        </w:rPr>
      </w:pPr>
      <w:r>
        <w:rPr/>
        <w:t>二、主要资产重大变化情况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left="213"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2204"/>
        <w:gridCol w:w="7653"/>
      </w:tblGrid>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重大变化说明</w:t>
            </w:r>
            <w:r>
              <w:rPr>
                <w:rFonts w:ascii="宋体" w:hAnsi="宋体" w:cs="宋体" w:eastAsia="宋体" w:hint="default"/>
                <w:sz w:val="21"/>
                <w:szCs w:val="21"/>
              </w:rPr>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股权资产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未发生重大变化，较年初增长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0.70%</w:t>
            </w:r>
            <w:r>
              <w:rPr>
                <w:rFonts w:ascii="宋体" w:hAnsi="宋体" w:cs="宋体" w:eastAsia="宋体" w:hint="default"/>
                <w:sz w:val="21"/>
                <w:szCs w:val="21"/>
              </w:rPr>
              <w:t>。</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固定资产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未发生重大变化，较年初下降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1.79%</w:t>
            </w:r>
            <w:r>
              <w:rPr>
                <w:rFonts w:ascii="宋体" w:hAnsi="宋体" w:cs="宋体" w:eastAsia="宋体" w:hint="default"/>
                <w:sz w:val="21"/>
                <w:szCs w:val="21"/>
              </w:rPr>
              <w:t>。</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无形资产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未发生重大变化，较年初增长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6.69%</w:t>
            </w:r>
            <w:r>
              <w:rPr>
                <w:rFonts w:ascii="宋体" w:hAnsi="宋体" w:cs="宋体" w:eastAsia="宋体" w:hint="default"/>
                <w:sz w:val="21"/>
                <w:szCs w:val="21"/>
              </w:rPr>
              <w:t>。</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可供出售金融资产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未发生重大变化，较年初增长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0.03%</w:t>
            </w:r>
            <w:r>
              <w:rPr>
                <w:rFonts w:ascii="宋体" w:hAnsi="宋体" w:cs="宋体" w:eastAsia="宋体" w:hint="default"/>
                <w:sz w:val="21"/>
                <w:szCs w:val="21"/>
              </w:rPr>
              <w:t>。</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在建工程</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5"/>
              <w:jc w:val="left"/>
              <w:rPr>
                <w:rFonts w:ascii="宋体" w:hAnsi="宋体" w:cs="宋体" w:eastAsia="宋体" w:hint="default"/>
                <w:sz w:val="21"/>
                <w:szCs w:val="21"/>
              </w:rPr>
            </w:pPr>
            <w:r>
              <w:rPr>
                <w:rFonts w:ascii="宋体" w:hAnsi="宋体" w:cs="宋体" w:eastAsia="宋体" w:hint="default"/>
                <w:w w:val="100"/>
                <w:sz w:val="21"/>
                <w:szCs w:val="21"/>
              </w:rPr>
              <w:t>较年</w:t>
            </w:r>
            <w:r>
              <w:rPr>
                <w:rFonts w:ascii="宋体" w:hAnsi="宋体" w:cs="宋体" w:eastAsia="宋体" w:hint="default"/>
                <w:spacing w:val="-3"/>
                <w:w w:val="100"/>
                <w:sz w:val="21"/>
                <w:szCs w:val="21"/>
              </w:rPr>
              <w:t>初增</w:t>
            </w:r>
            <w:r>
              <w:rPr>
                <w:rFonts w:ascii="宋体" w:hAnsi="宋体" w:cs="宋体" w:eastAsia="宋体" w:hint="default"/>
                <w:w w:val="100"/>
                <w:sz w:val="21"/>
                <w:szCs w:val="21"/>
              </w:rPr>
              <w:t>长</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347</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66</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主要</w:t>
            </w:r>
            <w:r>
              <w:rPr>
                <w:rFonts w:ascii="宋体" w:hAnsi="宋体" w:cs="宋体" w:eastAsia="宋体" w:hint="default"/>
                <w:w w:val="100"/>
                <w:sz w:val="21"/>
                <w:szCs w:val="21"/>
              </w:rPr>
              <w:t>系成</w:t>
            </w:r>
            <w:r>
              <w:rPr>
                <w:rFonts w:ascii="宋体" w:hAnsi="宋体" w:cs="宋体" w:eastAsia="宋体" w:hint="default"/>
                <w:spacing w:val="-3"/>
                <w:w w:val="100"/>
                <w:sz w:val="21"/>
                <w:szCs w:val="21"/>
              </w:rPr>
              <w:t>都</w:t>
            </w:r>
            <w:r>
              <w:rPr>
                <w:rFonts w:ascii="宋体" w:hAnsi="宋体" w:cs="宋体" w:eastAsia="宋体" w:hint="default"/>
                <w:w w:val="100"/>
                <w:sz w:val="21"/>
                <w:szCs w:val="21"/>
              </w:rPr>
              <w:t>办</w:t>
            </w:r>
            <w:r>
              <w:rPr>
                <w:rFonts w:ascii="宋体" w:hAnsi="宋体" w:cs="宋体" w:eastAsia="宋体" w:hint="default"/>
                <w:spacing w:val="-3"/>
                <w:w w:val="100"/>
                <w:sz w:val="21"/>
                <w:szCs w:val="21"/>
              </w:rPr>
              <w:t>公</w:t>
            </w:r>
            <w:r>
              <w:rPr>
                <w:rFonts w:ascii="宋体" w:hAnsi="宋体" w:cs="宋体" w:eastAsia="宋体" w:hint="default"/>
                <w:w w:val="100"/>
                <w:sz w:val="21"/>
                <w:szCs w:val="21"/>
              </w:rPr>
              <w:t>大</w:t>
            </w:r>
            <w:r>
              <w:rPr>
                <w:rFonts w:ascii="宋体" w:hAnsi="宋体" w:cs="宋体" w:eastAsia="宋体" w:hint="default"/>
                <w:spacing w:val="-3"/>
                <w:w w:val="100"/>
                <w:sz w:val="21"/>
                <w:szCs w:val="21"/>
              </w:rPr>
              <w:t>楼</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进</w:t>
            </w:r>
            <w:r>
              <w:rPr>
                <w:rFonts w:ascii="宋体" w:hAnsi="宋体" w:cs="宋体" w:eastAsia="宋体" w:hint="default"/>
                <w:spacing w:val="-3"/>
                <w:w w:val="100"/>
                <w:sz w:val="21"/>
                <w:szCs w:val="21"/>
              </w:rPr>
              <w:t>度</w:t>
            </w:r>
            <w:r>
              <w:rPr>
                <w:rFonts w:ascii="宋体" w:hAnsi="宋体" w:cs="宋体" w:eastAsia="宋体" w:hint="default"/>
                <w:w w:val="100"/>
                <w:sz w:val="21"/>
                <w:szCs w:val="21"/>
              </w:rPr>
              <w:t>增加</w:t>
            </w:r>
            <w:r>
              <w:rPr>
                <w:rFonts w:ascii="宋体" w:hAnsi="宋体" w:cs="宋体" w:eastAsia="宋体" w:hint="default"/>
                <w:spacing w:val="-99"/>
                <w:w w:val="100"/>
                <w:sz w:val="21"/>
                <w:szCs w:val="21"/>
              </w:rPr>
              <w:t>、</w:t>
            </w:r>
            <w:r>
              <w:rPr>
                <w:rFonts w:ascii="宋体" w:hAnsi="宋体" w:cs="宋体" w:eastAsia="宋体" w:hint="default"/>
                <w:w w:val="100"/>
                <w:sz w:val="21"/>
                <w:szCs w:val="21"/>
              </w:rPr>
              <w:t>浙</w:t>
            </w:r>
            <w:r>
              <w:rPr>
                <w:rFonts w:ascii="宋体" w:hAnsi="宋体" w:cs="宋体" w:eastAsia="宋体" w:hint="default"/>
                <w:spacing w:val="-3"/>
                <w:w w:val="100"/>
                <w:sz w:val="21"/>
                <w:szCs w:val="21"/>
              </w:rPr>
              <w:t>江</w:t>
            </w:r>
            <w:r>
              <w:rPr>
                <w:rFonts w:ascii="宋体" w:hAnsi="宋体" w:cs="宋体" w:eastAsia="宋体" w:hint="default"/>
                <w:w w:val="100"/>
                <w:sz w:val="21"/>
                <w:szCs w:val="21"/>
              </w:rPr>
              <w:t>大</w:t>
            </w:r>
            <w:r>
              <w:rPr>
                <w:rFonts w:ascii="宋体" w:hAnsi="宋体" w:cs="宋体" w:eastAsia="宋体" w:hint="default"/>
                <w:spacing w:val="-3"/>
                <w:w w:val="100"/>
                <w:sz w:val="21"/>
                <w:szCs w:val="21"/>
              </w:rPr>
              <w:t>楼</w:t>
            </w:r>
            <w:r>
              <w:rPr>
                <w:rFonts w:ascii="宋体" w:hAnsi="宋体" w:cs="宋体" w:eastAsia="宋体" w:hint="default"/>
                <w:w w:val="100"/>
                <w:sz w:val="21"/>
                <w:szCs w:val="21"/>
              </w:rPr>
              <w:t>交</w:t>
            </w:r>
            <w:r>
              <w:rPr>
                <w:rFonts w:ascii="宋体" w:hAnsi="宋体" w:cs="宋体" w:eastAsia="宋体" w:hint="default"/>
                <w:spacing w:val="-3"/>
                <w:w w:val="100"/>
                <w:sz w:val="21"/>
                <w:szCs w:val="21"/>
              </w:rPr>
              <w:t>房</w:t>
            </w:r>
            <w:r>
              <w:rPr>
                <w:rFonts w:ascii="宋体" w:hAnsi="宋体" w:cs="宋体" w:eastAsia="宋体" w:hint="default"/>
                <w:w w:val="100"/>
                <w:sz w:val="21"/>
                <w:szCs w:val="21"/>
              </w:rPr>
              <w:t>装</w:t>
            </w:r>
            <w:r>
              <w:rPr>
                <w:rFonts w:ascii="宋体" w:hAnsi="宋体" w:cs="宋体" w:eastAsia="宋体" w:hint="default"/>
                <w:spacing w:val="-3"/>
                <w:w w:val="100"/>
                <w:sz w:val="21"/>
                <w:szCs w:val="21"/>
              </w:rPr>
              <w:t>修所</w:t>
            </w:r>
            <w:r>
              <w:rPr>
                <w:rFonts w:ascii="宋体" w:hAnsi="宋体" w:cs="宋体" w:eastAsia="宋体" w:hint="default"/>
                <w:w w:val="100"/>
                <w:sz w:val="21"/>
                <w:szCs w:val="21"/>
              </w:rPr>
              <w:t>致。</w:t>
            </w:r>
          </w:p>
        </w:tc>
      </w:tr>
      <w:tr>
        <w:trPr>
          <w:trHeight w:val="324"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b/>
                <w:bCs/>
                <w:sz w:val="21"/>
                <w:szCs w:val="21"/>
              </w:rPr>
              <w:t>商誉</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未发生重大变化，较年初无变动。</w:t>
            </w:r>
          </w:p>
        </w:tc>
      </w:tr>
    </w:tbl>
    <w:p>
      <w:pPr>
        <w:spacing w:line="240" w:lineRule="auto" w:before="12"/>
        <w:rPr>
          <w:rFonts w:ascii="宋体" w:hAnsi="宋体" w:cs="宋体" w:eastAsia="宋体" w:hint="default"/>
          <w:b/>
          <w:bCs/>
          <w:sz w:val="23"/>
          <w:szCs w:val="23"/>
        </w:rPr>
      </w:pPr>
    </w:p>
    <w:p>
      <w:pPr>
        <w:pStyle w:val="Heading2"/>
        <w:spacing w:line="240" w:lineRule="auto" w:before="26"/>
        <w:ind w:left="213" w:right="9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33"/>
          <w:szCs w:val="33"/>
        </w:rPr>
      </w:pPr>
    </w:p>
    <w:p>
      <w:pPr>
        <w:spacing w:line="499" w:lineRule="auto" w:before="0"/>
        <w:ind w:left="213" w:right="76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BodyText"/>
        <w:spacing w:line="240" w:lineRule="auto" w:before="115"/>
        <w:ind w:left="573" w:right="994"/>
        <w:jc w:val="left"/>
      </w:pPr>
      <w:r>
        <w:rPr/>
        <w:t>公司是否需要遵守特殊行业的披露要求</w:t>
      </w:r>
    </w:p>
    <w:p>
      <w:pPr>
        <w:pStyle w:val="BodyText"/>
        <w:tabs>
          <w:tab w:pos="1425" w:val="left" w:leader="none"/>
        </w:tabs>
        <w:spacing w:line="240" w:lineRule="auto" w:before="154"/>
        <w:ind w:left="693" w:right="994"/>
        <w:jc w:val="left"/>
      </w:pPr>
      <w:r>
        <w:rPr>
          <w:rFonts w:ascii="Times New Roman" w:hAnsi="Times New Roman" w:cs="Times New Roman" w:eastAsia="Times New Roman" w:hint="default"/>
        </w:rPr>
        <w:t>√  </w:t>
      </w:r>
      <w:r>
        <w:rPr/>
        <w:t>是</w:t>
        <w:tab/>
      </w:r>
      <w:r>
        <w:rPr>
          <w:rFonts w:ascii="Times New Roman" w:hAnsi="Times New Roman" w:cs="Times New Roman" w:eastAsia="Times New Roman" w:hint="default"/>
        </w:rPr>
        <w:t>□</w:t>
      </w:r>
      <w:r>
        <w:rPr/>
        <w:t>否</w:t>
      </w:r>
    </w:p>
    <w:p>
      <w:pPr>
        <w:pStyle w:val="BodyText"/>
        <w:spacing w:line="338" w:lineRule="auto" w:before="135"/>
        <w:ind w:left="213" w:right="1117" w:firstLine="480"/>
        <w:jc w:val="left"/>
      </w:pPr>
      <w:r>
        <w:rPr>
          <w:spacing w:val="-4"/>
        </w:rPr>
        <w:t>公司需要遵守《深圳证券交易所行业信息披露指引第</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上市公司从事软件与信息 技术服务业务》的披露要求</w:t>
      </w:r>
    </w:p>
    <w:p>
      <w:pPr>
        <w:spacing w:after="0" w:line="338" w:lineRule="auto"/>
        <w:jc w:val="left"/>
        <w:sectPr>
          <w:pgSz w:w="11910" w:h="16840"/>
          <w:pgMar w:header="877" w:footer="979" w:top="1100" w:bottom="1160" w:left="920" w:right="0"/>
        </w:sectPr>
      </w:pPr>
    </w:p>
    <w:p>
      <w:pPr>
        <w:spacing w:line="240" w:lineRule="auto" w:before="8"/>
        <w:rPr>
          <w:rFonts w:ascii="宋体" w:hAnsi="宋体" w:cs="宋体" w:eastAsia="宋体" w:hint="default"/>
          <w:sz w:val="25"/>
          <w:szCs w:val="25"/>
        </w:rPr>
      </w:pPr>
    </w:p>
    <w:p>
      <w:pPr>
        <w:pStyle w:val="Heading2"/>
        <w:spacing w:line="240" w:lineRule="auto" w:before="26"/>
        <w:ind w:left="635" w:right="1273"/>
        <w:jc w:val="left"/>
        <w:rPr>
          <w:b w:val="0"/>
          <w:bCs w:val="0"/>
        </w:rPr>
      </w:pPr>
      <w:r>
        <w:rPr>
          <w:rFonts w:ascii="Times New Roman" w:hAnsi="Times New Roman" w:cs="Times New Roman" w:eastAsia="Times New Roman" w:hint="default"/>
        </w:rPr>
        <w:t>1</w:t>
      </w:r>
      <w:r>
        <w:rPr/>
        <w:t>、技术优势</w:t>
      </w:r>
      <w:r>
        <w:rPr>
          <w:b w:val="0"/>
          <w:bCs w:val="0"/>
        </w:rPr>
      </w:r>
    </w:p>
    <w:p>
      <w:pPr>
        <w:pStyle w:val="Heading2"/>
        <w:spacing w:line="240" w:lineRule="auto" w:before="135"/>
        <w:ind w:left="635" w:right="1273"/>
        <w:jc w:val="left"/>
        <w:rPr>
          <w:b w:val="0"/>
          <w:bCs w:val="0"/>
        </w:rPr>
      </w:pPr>
      <w:r>
        <w:rPr/>
        <w:t>（</w:t>
      </w:r>
      <w:r>
        <w:rPr>
          <w:rFonts w:ascii="Times New Roman" w:hAnsi="Times New Roman" w:cs="Times New Roman" w:eastAsia="Times New Roman" w:hint="default"/>
        </w:rPr>
        <w:t>1</w:t>
      </w:r>
      <w:r>
        <w:rPr/>
        <w:t>）领先的产品技术</w:t>
      </w:r>
      <w:r>
        <w:rPr>
          <w:b w:val="0"/>
          <w:bCs w:val="0"/>
        </w:rPr>
      </w:r>
    </w:p>
    <w:p>
      <w:pPr>
        <w:pStyle w:val="BodyText"/>
        <w:spacing w:line="338" w:lineRule="auto" w:before="135"/>
        <w:ind w:right="997" w:firstLine="480"/>
        <w:jc w:val="left"/>
      </w:pPr>
      <w:r>
        <w:rPr/>
        <w:t>公司坚持立足用户需求，紧跟</w:t>
      </w:r>
      <w:r>
        <w:rPr>
          <w:spacing w:val="-76"/>
        </w:rPr>
        <w:t> </w:t>
      </w:r>
      <w:r>
        <w:rPr>
          <w:rFonts w:ascii="Times New Roman" w:hAnsi="Times New Roman" w:cs="Times New Roman" w:eastAsia="Times New Roman" w:hint="default"/>
        </w:rPr>
        <w:t>IT</w:t>
      </w:r>
      <w:r>
        <w:rPr>
          <w:rFonts w:ascii="Times New Roman" w:hAnsi="Times New Roman" w:cs="Times New Roman" w:eastAsia="Times New Roman" w:hint="default"/>
          <w:spacing w:val="-18"/>
        </w:rPr>
        <w:t> </w:t>
      </w:r>
      <w:r>
        <w:rPr/>
        <w:t>发展趋势，自主创新，保证了自身技术体系的先进性和 创造性，在</w:t>
      </w:r>
      <w:r>
        <w:rPr>
          <w:spacing w:val="-53"/>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技术发展中，公司的组件式</w:t>
      </w:r>
      <w:r>
        <w:rPr>
          <w:spacing w:val="-47"/>
        </w:rPr>
        <w:t> </w:t>
      </w:r>
      <w:r>
        <w:rPr>
          <w:rFonts w:ascii="Times New Roman" w:hAnsi="Times New Roman" w:cs="Times New Roman" w:eastAsia="Times New Roman" w:hint="default"/>
        </w:rPr>
        <w:t>GIS</w:t>
      </w:r>
      <w:r>
        <w:rPr>
          <w:rFonts w:ascii="Times New Roman" w:hAnsi="Times New Roman" w:cs="Times New Roman" w:eastAsia="Times New Roman" w:hint="default"/>
          <w:spacing w:val="9"/>
        </w:rPr>
        <w:t> </w:t>
      </w:r>
      <w:r>
        <w:rPr/>
        <w:t>技术、服务式</w:t>
      </w:r>
      <w:r>
        <w:rPr>
          <w:spacing w:val="-49"/>
        </w:rPr>
        <w:t> </w:t>
      </w:r>
      <w:r>
        <w:rPr>
          <w:rFonts w:ascii="Times New Roman" w:hAnsi="Times New Roman" w:cs="Times New Roman" w:eastAsia="Times New Roman" w:hint="default"/>
        </w:rPr>
        <w:t>GIS</w:t>
      </w:r>
      <w:r>
        <w:rPr>
          <w:rFonts w:ascii="Times New Roman" w:hAnsi="Times New Roman" w:cs="Times New Roman" w:eastAsia="Times New Roman" w:hint="default"/>
          <w:spacing w:val="13"/>
        </w:rPr>
        <w:t> </w:t>
      </w:r>
      <w:r>
        <w:rPr/>
        <w:t>技术都走在业界的前列，</w:t>
      </w:r>
      <w:r>
        <w:rPr>
          <w:spacing w:val="-118"/>
        </w:rPr>
        <w:t> </w:t>
      </w:r>
      <w:r>
        <w:rPr/>
        <w:t>跨平台</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技术方面公司更是开了</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基础软件的先河，并建立起了长久的差异化优势，基 于此，公司现在在跨平台</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技术、二三维一体化</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技术、云端一体化</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技术和大数据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技术方面在业界确立了领先地位，形成了公司在</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市场的独特竞争优势。</w:t>
      </w:r>
    </w:p>
    <w:p>
      <w:pPr>
        <w:spacing w:line="240" w:lineRule="auto" w:before="9"/>
        <w:rPr>
          <w:rFonts w:ascii="宋体" w:hAnsi="宋体" w:cs="宋体" w:eastAsia="宋体" w:hint="default"/>
          <w:sz w:val="2"/>
          <w:szCs w:val="2"/>
        </w:rPr>
      </w:pPr>
    </w:p>
    <w:p>
      <w:pPr>
        <w:spacing w:line="3940" w:lineRule="exact"/>
        <w:ind w:left="1553"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618874" cy="250202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4618874" cy="2502027"/>
                    </a:xfrm>
                    <a:prstGeom prst="rect">
                      <a:avLst/>
                    </a:prstGeom>
                  </pic:spPr>
                </pic:pic>
              </a:graphicData>
            </a:graphic>
          </wp:inline>
        </w:drawing>
      </w:r>
      <w:r>
        <w:rPr>
          <w:rFonts w:ascii="宋体" w:hAnsi="宋体" w:cs="宋体" w:eastAsia="宋体" w:hint="default"/>
          <w:position w:val="-78"/>
          <w:sz w:val="20"/>
          <w:szCs w:val="20"/>
        </w:rPr>
      </w:r>
    </w:p>
    <w:p>
      <w:pPr>
        <w:pStyle w:val="BodyText"/>
        <w:spacing w:line="357" w:lineRule="auto" w:before="149"/>
        <w:ind w:right="1116" w:firstLine="480"/>
        <w:jc w:val="left"/>
      </w:pPr>
      <w:r>
        <w:rPr/>
        <w:t>公司产品获得工信部重大发明奖、地理信息科技进步奖唯一特等奖，国家科技进步奖二 等奖等等诸多奖项，技术实力得到认可。</w:t>
      </w:r>
    </w:p>
    <w:p>
      <w:pPr>
        <w:pStyle w:val="BodyText"/>
        <w:spacing w:line="345" w:lineRule="auto" w:before="74"/>
        <w:ind w:right="1171" w:firstLine="48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年，公司发布了</w:t>
      </w:r>
      <w:r>
        <w:rPr>
          <w:spacing w:val="-62"/>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rFonts w:ascii="Times New Roman" w:hAnsi="Times New Roman" w:cs="Times New Roman" w:eastAsia="Times New Roman" w:hint="default"/>
        </w:rPr>
        <w:t>9D(2019)</w:t>
      </w:r>
      <w:r>
        <w:rPr/>
        <w:t>系列产品。</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rFonts w:ascii="Times New Roman" w:hAnsi="Times New Roman" w:cs="Times New Roman" w:eastAsia="Times New Roman" w:hint="default"/>
        </w:rPr>
        <w:t>9D(2019)</w:t>
      </w:r>
      <w:r>
        <w:rPr/>
        <w:t>包含云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平台、在线</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平台，以及支持</w:t>
      </w:r>
      <w:r>
        <w:rPr>
          <w:spacing w:val="-62"/>
        </w:rPr>
        <w:t> </w:t>
      </w:r>
      <w:r>
        <w:rPr>
          <w:rFonts w:ascii="Times New Roman" w:hAnsi="Times New Roman" w:cs="Times New Roman" w:eastAsia="Times New Roman" w:hint="default"/>
        </w:rPr>
        <w:t>PC</w:t>
      </w:r>
      <w:r>
        <w:rPr>
          <w:rFonts w:ascii="Times New Roman" w:hAnsi="Times New Roman" w:cs="Times New Roman" w:eastAsia="Times New Roman" w:hint="default"/>
          <w:spacing w:val="-2"/>
        </w:rPr>
        <w:t> </w:t>
      </w:r>
      <w:r>
        <w:rPr/>
        <w:t>端、</w:t>
      </w:r>
      <w:r>
        <w:rPr>
          <w:rFonts w:ascii="Times New Roman" w:hAnsi="Times New Roman" w:cs="Times New Roman" w:eastAsia="Times New Roman" w:hint="default"/>
        </w:rPr>
        <w:t>Web</w:t>
      </w:r>
      <w:r>
        <w:rPr>
          <w:rFonts w:ascii="Times New Roman" w:hAnsi="Times New Roman" w:cs="Times New Roman" w:eastAsia="Times New Roman" w:hint="default"/>
          <w:spacing w:val="-2"/>
        </w:rPr>
        <w:t> </w:t>
      </w:r>
      <w:r>
        <w:rPr/>
        <w:t>端和移动端的多种</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开发平台。该版本 全面拥抱空间大数据技术，并在微服务、容器化、云原生、自动化运维等方面全新升级，进 一步优化和提升了云</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功能，构建了新一代三维</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技术体系。</w:t>
      </w:r>
    </w:p>
    <w:p>
      <w:pPr>
        <w:pStyle w:val="BodyText"/>
        <w:spacing w:line="357" w:lineRule="auto" w:before="19"/>
        <w:ind w:right="1153" w:firstLine="480"/>
        <w:jc w:val="left"/>
      </w:pPr>
      <w:r>
        <w:rPr/>
        <w:t>随着自主可控的进一步落地，公司产品技术竞争力将得到进一步释放，进而进一步稳固 公司竞争力。</w:t>
      </w:r>
    </w:p>
    <w:p>
      <w:pPr>
        <w:spacing w:line="338" w:lineRule="auto" w:before="3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）先进科学的研发管理体系以及项目管理体系，有效确保产品品质</w:t>
      </w:r>
      <w:r>
        <w:rPr>
          <w:rFonts w:ascii="宋体" w:hAnsi="宋体" w:cs="宋体" w:eastAsia="宋体" w:hint="default"/>
          <w:b/>
          <w:bCs/>
          <w:w w:val="99"/>
          <w:sz w:val="24"/>
          <w:szCs w:val="24"/>
        </w:rPr>
        <w:t> </w:t>
      </w:r>
      <w:r>
        <w:rPr>
          <w:rFonts w:ascii="宋体" w:hAnsi="宋体" w:cs="宋体" w:eastAsia="宋体" w:hint="default"/>
          <w:sz w:val="24"/>
          <w:szCs w:val="24"/>
        </w:rPr>
        <w:t>经过多年的不断完善、改进和积累，公司研发创造了精益敏捷研发管理体系，该体系将</w:t>
      </w:r>
    </w:p>
    <w:p>
      <w:pPr>
        <w:pStyle w:val="BodyText"/>
        <w:spacing w:line="350" w:lineRule="auto" w:before="55"/>
        <w:ind w:right="1140"/>
        <w:jc w:val="both"/>
      </w:pPr>
      <w:r>
        <w:rPr/>
        <w:t>精益质量管控模式与敏捷研发模式完美融合，为业界独创的先进研发质控系统，引领软件研 发管理创新潮流。该体系由自动测试、代码审查和持续集成构成，构建了基于持续集成和自 动化测试技术的</w:t>
      </w:r>
      <w:r>
        <w:rPr>
          <w:rFonts w:ascii="Times New Roman" w:hAnsi="Times New Roman" w:cs="Times New Roman" w:eastAsia="Times New Roman" w:hint="default"/>
        </w:rPr>
        <w:t>“</w:t>
      </w:r>
      <w:r>
        <w:rPr/>
        <w:t>测试农场</w:t>
      </w:r>
      <w:r>
        <w:rPr>
          <w:rFonts w:ascii="Times New Roman" w:hAnsi="Times New Roman" w:cs="Times New Roman" w:eastAsia="Times New Roman" w:hint="default"/>
        </w:rPr>
        <w:t>”</w:t>
      </w:r>
      <w:r>
        <w:rPr/>
        <w:t>，</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万多个测试程序</w:t>
      </w:r>
      <w:r>
        <w:rPr>
          <w:spacing w:val="-62"/>
        </w:rPr>
        <w:t> </w:t>
      </w:r>
      <w:r>
        <w:rPr>
          <w:rFonts w:ascii="Times New Roman" w:hAnsi="Times New Roman" w:cs="Times New Roman" w:eastAsia="Times New Roman" w:hint="default"/>
        </w:rPr>
        <w:t>7x24</w:t>
      </w:r>
      <w:r>
        <w:rPr>
          <w:rFonts w:ascii="Times New Roman" w:hAnsi="Times New Roman" w:cs="Times New Roman" w:eastAsia="Times New Roman" w:hint="default"/>
          <w:spacing w:val="-2"/>
        </w:rPr>
        <w:t> </w:t>
      </w:r>
      <w:r>
        <w:rPr/>
        <w:t>小时运行，自动测试，自动报错提示开 发工程师修改缺陷，能够有效配置和合理使用资源，对产品的质量管理更严格。</w:t>
      </w:r>
    </w:p>
    <w:p>
      <w:pPr>
        <w:spacing w:after="0" w:line="350"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38" w:lineRule="auto" w:before="26"/>
        <w:ind w:right="1125" w:firstLine="480"/>
        <w:jc w:val="both"/>
      </w:pPr>
      <w:r>
        <w:rPr>
          <w:spacing w:val="-18"/>
        </w:rPr>
        <w:t>此外，公司通过</w:t>
      </w:r>
      <w:r>
        <w:rPr>
          <w:spacing w:val="-55"/>
        </w:rPr>
        <w:t> </w:t>
      </w:r>
      <w:r>
        <w:rPr>
          <w:rFonts w:ascii="Times New Roman" w:hAnsi="Times New Roman" w:cs="Times New Roman" w:eastAsia="Times New Roman" w:hint="default"/>
          <w:w w:val="99"/>
        </w:rPr>
        <w:t>CMMI </w:t>
      </w:r>
      <w:r>
        <w:rPr>
          <w:rFonts w:ascii="Times New Roman" w:hAnsi="Times New Roman" w:cs="Times New Roman" w:eastAsia="Times New Roman" w:hint="default"/>
          <w:spacing w:val="-1"/>
          <w:w w:val="99"/>
        </w:rPr>
        <w:t>L5</w:t>
      </w:r>
      <w:r>
        <w:rPr>
          <w:rFonts w:ascii="Times New Roman" w:hAnsi="Times New Roman" w:cs="Times New Roman" w:eastAsia="Times New Roman" w:hint="default"/>
          <w:spacing w:val="5"/>
          <w:w w:val="99"/>
        </w:rPr>
        <w:t> </w:t>
      </w:r>
      <w:r>
        <w:rPr>
          <w:spacing w:val="-10"/>
          <w:w w:val="99"/>
        </w:rPr>
        <w:t>级认证，确保了项目过程管理达到了很高的成熟度。通过</w:t>
      </w:r>
      <w:r>
        <w:rPr>
          <w:spacing w:val="-54"/>
          <w:w w:val="99"/>
        </w:rPr>
        <w:t> </w:t>
      </w:r>
      <w:r>
        <w:rPr>
          <w:rFonts w:ascii="Times New Roman" w:hAnsi="Times New Roman" w:cs="Times New Roman" w:eastAsia="Times New Roman" w:hint="default"/>
          <w:w w:val="99"/>
        </w:rPr>
        <w:t>CMMI</w:t>
      </w:r>
      <w:r>
        <w:rPr>
          <w:rFonts w:ascii="Times New Roman" w:hAnsi="Times New Roman" w:cs="Times New Roman" w:eastAsia="Times New Roman" w:hint="default"/>
          <w:w w:val="99"/>
        </w:rPr>
        <w:t> </w:t>
      </w:r>
      <w:r>
        <w:rPr/>
        <w:t>的过程管理思想构建了严格受控的研发项目管理过程，确保项目交付达成</w:t>
      </w:r>
      <w:r>
        <w:rPr>
          <w:rFonts w:ascii="Times New Roman" w:hAnsi="Times New Roman" w:cs="Times New Roman" w:eastAsia="Times New Roman" w:hint="default"/>
        </w:rPr>
        <w:t>“</w:t>
      </w:r>
      <w:r>
        <w:rPr/>
        <w:t>多、快、好、省</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的目标，有力地保障了项目成功交付。</w:t>
      </w:r>
    </w:p>
    <w:p>
      <w:pPr>
        <w:pStyle w:val="BodyText"/>
        <w:spacing w:line="283" w:lineRule="auto" w:before="94"/>
        <w:ind w:left="633" w:right="1153"/>
        <w:jc w:val="left"/>
      </w:pPr>
      <w:r>
        <w:rPr>
          <w:rFonts w:ascii="Times New Roman" w:hAnsi="Times New Roman" w:cs="Times New Roman" w:eastAsia="Times New Roman" w:hint="default"/>
          <w:b/>
          <w:bCs/>
        </w:rPr>
        <w:t>2</w:t>
      </w:r>
      <w:r>
        <w:rPr>
          <w:rFonts w:ascii="宋体" w:hAnsi="宋体" w:cs="宋体" w:eastAsia="宋体" w:hint="default"/>
          <w:b/>
          <w:bCs/>
        </w:rPr>
        <w:t>、品牌优势</w:t>
      </w:r>
      <w:r>
        <w:rPr>
          <w:rFonts w:ascii="宋体" w:hAnsi="宋体" w:cs="宋体" w:eastAsia="宋体" w:hint="default"/>
          <w:b/>
          <w:bCs/>
          <w:w w:val="99"/>
        </w:rPr>
        <w:t> </w:t>
      </w:r>
      <w:r>
        <w:rPr/>
        <w:t>经过多年的积累和建设，公司在行业内形成了突出的品牌优势。在产业链最具核心技术</w:t>
      </w:r>
    </w:p>
    <w:p>
      <w:pPr>
        <w:pStyle w:val="BodyText"/>
        <w:spacing w:line="348" w:lineRule="auto" w:before="110"/>
        <w:ind w:right="1132"/>
        <w:jc w:val="both"/>
      </w:pPr>
      <w:r>
        <w:rPr>
          <w:spacing w:val="-3"/>
        </w:rPr>
        <w:t>的</w:t>
      </w:r>
      <w:r>
        <w:rPr>
          <w:rFonts w:ascii="Times New Roman" w:hAnsi="Times New Roman" w:cs="Times New Roman" w:eastAsia="Times New Roman" w:hint="default"/>
          <w:spacing w:val="-3"/>
        </w:rPr>
        <w:t>GIS</w:t>
      </w:r>
      <w:r>
        <w:rPr>
          <w:spacing w:val="-3"/>
        </w:rPr>
        <w:t>基础软件领域，无论技术水平还是市场份额，公司均处于国内领先水平。公司经过多年</w:t>
      </w:r>
      <w:r>
        <w:rPr>
          <w:spacing w:val="-105"/>
        </w:rPr>
        <w:t> </w:t>
      </w:r>
      <w:r>
        <w:rPr>
          <w:spacing w:val="-105"/>
        </w:rPr>
      </w:r>
      <w:r>
        <w:rPr/>
        <w:t>的国内市场及国际化开拓，不仅赢得了众多用户，形成多项典型成功案例，也大幅度提升了 公司在国内市场的品牌影响力。</w:t>
      </w:r>
    </w:p>
    <w:p>
      <w:pPr>
        <w:pStyle w:val="BodyText"/>
        <w:spacing w:line="357" w:lineRule="auto" w:before="46"/>
        <w:ind w:right="1170" w:firstLine="480"/>
        <w:jc w:val="both"/>
      </w:pPr>
      <w:r>
        <w:rPr/>
        <w:t>公司本着诚信经营的原则，十分关注客户满意度和顾客口碑，不断改进创新研发管理体 系、项目管理体系以及售前售后服务体系，通过提供优质产品和高质量服务来提高客户满意 度。公司积累的客户资源及与增值开发商之间的深度合作，一方面有力推动了公司技术水平 的不断提高和服务手段的不断改进，另一方面也保障了业务的持续稳定发展，为公司进一步 拓展新的市场空间、保持稳定的增长奠定了坚实的基础。</w:t>
      </w:r>
    </w:p>
    <w:p>
      <w:pPr>
        <w:pStyle w:val="Heading2"/>
        <w:spacing w:line="240" w:lineRule="auto" w:before="36"/>
        <w:ind w:left="635" w:right="1273"/>
        <w:jc w:val="left"/>
        <w:rPr>
          <w:b w:val="0"/>
          <w:bCs w:val="0"/>
        </w:rPr>
      </w:pPr>
      <w:r>
        <w:rPr>
          <w:rFonts w:ascii="Times New Roman" w:hAnsi="Times New Roman" w:cs="Times New Roman" w:eastAsia="Times New Roman" w:hint="default"/>
        </w:rPr>
        <w:t>3</w:t>
      </w:r>
      <w:r>
        <w:rPr/>
        <w:t>、完整的行业解决方案为公司在机构改革后占据优势</w:t>
      </w:r>
      <w:r>
        <w:rPr>
          <w:b w:val="0"/>
          <w:bCs w:val="0"/>
        </w:rPr>
      </w:r>
    </w:p>
    <w:p>
      <w:pPr>
        <w:pStyle w:val="BodyText"/>
        <w:spacing w:line="352" w:lineRule="auto" w:before="135"/>
        <w:ind w:right="1132" w:firstLine="48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月，国务院机构改革，将国土资源部的职责、国家发展和改革委员会的组织编 制主体功能区规划职责、住房和城乡建设部的城乡规划管理职责、水利部的水资源调查和确 权登记管理职责，农业部的草原资源调查和确权登记管理职责，国家林业局的森林、湿地等 资源调查和确权登记管理职责，国家海洋局的职责、国家测绘地理信息局的职责整合，组建 自然资源部。</w:t>
      </w:r>
    </w:p>
    <w:p>
      <w:pPr>
        <w:pStyle w:val="BodyText"/>
        <w:spacing w:line="357" w:lineRule="auto" w:before="41"/>
        <w:ind w:right="1171" w:firstLine="480"/>
        <w:jc w:val="both"/>
      </w:pPr>
      <w:r>
        <w:rPr/>
        <w:t>这是新中国史上管理对象最多的一个部委，囊括了土、川、林、海、草、矿等全部自然 资源的资产化管理职能以及前所未有的空间规划职能，整合城市规划、土地利用规划、生态 环保规划、林业规划、交通规划、水利规划等各类规划空间信息。</w:t>
      </w:r>
    </w:p>
    <w:p>
      <w:pPr>
        <w:pStyle w:val="BodyText"/>
        <w:spacing w:line="348" w:lineRule="auto"/>
        <w:ind w:right="1116" w:firstLine="511"/>
        <w:jc w:val="left"/>
      </w:pPr>
      <w:r>
        <w:rPr>
          <w:spacing w:val="12"/>
        </w:rPr>
        <w:t>公司的解决方案业务集中在国土、规划和测绘等重度使用 </w:t>
      </w:r>
      <w:r>
        <w:rPr>
          <w:rFonts w:ascii="Times New Roman" w:hAnsi="Times New Roman" w:cs="Times New Roman" w:eastAsia="Times New Roman" w:hint="default"/>
          <w:spacing w:val="4"/>
        </w:rPr>
        <w:t>GIS</w:t>
      </w:r>
      <w:r>
        <w:rPr>
          <w:rFonts w:ascii="Times New Roman" w:hAnsi="Times New Roman" w:cs="Times New Roman" w:eastAsia="Times New Roman" w:hint="default"/>
          <w:spacing w:val="-22"/>
        </w:rPr>
        <w:t> </w:t>
      </w:r>
      <w:r>
        <w:rPr>
          <w:spacing w:val="9"/>
        </w:rPr>
        <w:t>的业务领域，公司在</w:t>
      </w:r>
      <w:r>
        <w:rPr>
          <w:spacing w:val="16"/>
        </w:rPr>
        <w:t> </w:t>
      </w:r>
      <w:r>
        <w:rPr>
          <w:spacing w:val="4"/>
        </w:rPr>
        <w:t>相关领域深耕十数年，积累了非常丰富的经验以及深刻的行业应用理解，并形成了完善的</w:t>
      </w:r>
      <w:r>
        <w:rPr/>
        <w:t> </w:t>
      </w:r>
      <w:r>
        <w:rPr>
          <w:spacing w:val="12"/>
        </w:rPr>
        <w:t>解决方案体系。机构改革之后，公司成为对应自然资源部提供解决方案最完整的、竞争</w:t>
      </w:r>
      <w:r>
        <w:rPr>
          <w:spacing w:val="-102"/>
        </w:rPr>
        <w:t> </w:t>
      </w:r>
      <w:r>
        <w:rPr>
          <w:spacing w:val="-102"/>
        </w:rPr>
      </w:r>
      <w:r>
        <w:rPr>
          <w:spacing w:val="10"/>
        </w:rPr>
        <w:t>力最强的企业，有利于公司抓住机构改革这一重大机遇在强</w:t>
      </w:r>
      <w:r>
        <w:rPr>
          <w:spacing w:val="-30"/>
        </w:rPr>
        <w:t> </w:t>
      </w:r>
      <w:r>
        <w:rPr>
          <w:rFonts w:ascii="Times New Roman" w:hAnsi="Times New Roman" w:cs="Times New Roman" w:eastAsia="Times New Roman" w:hint="default"/>
          <w:spacing w:val="4"/>
          <w:w w:val="99"/>
        </w:rPr>
        <w:t>GIS</w:t>
      </w:r>
      <w:r>
        <w:rPr>
          <w:rFonts w:ascii="Times New Roman" w:hAnsi="Times New Roman" w:cs="Times New Roman" w:eastAsia="Times New Roman" w:hint="default"/>
          <w:spacing w:val="22"/>
          <w:w w:val="99"/>
        </w:rPr>
        <w:t> </w:t>
      </w:r>
      <w:r>
        <w:rPr>
          <w:spacing w:val="15"/>
        </w:rPr>
        <w:t>解决方案业务领域进一</w:t>
      </w:r>
      <w:r>
        <w:rPr>
          <w:spacing w:val="-118"/>
        </w:rPr>
        <w:t> </w:t>
      </w:r>
      <w:r>
        <w:rPr>
          <w:spacing w:val="-118"/>
        </w:rPr>
      </w:r>
      <w:r>
        <w:rPr>
          <w:spacing w:val="14"/>
        </w:rPr>
        <w:t>步深耕，进一步扩大市场规模。</w:t>
      </w:r>
    </w:p>
    <w:p>
      <w:pPr>
        <w:spacing w:after="0" w:line="348" w:lineRule="auto"/>
        <w:jc w:val="left"/>
        <w:sectPr>
          <w:pgSz w:w="11910" w:h="16840"/>
          <w:pgMar w:header="877" w:footer="979" w:top="1100" w:bottom="1160" w:left="980" w:right="0"/>
        </w:sectPr>
      </w:pPr>
    </w:p>
    <w:p>
      <w:pPr>
        <w:spacing w:line="240" w:lineRule="auto" w:before="6"/>
        <w:rPr>
          <w:rFonts w:ascii="宋体" w:hAnsi="宋体" w:cs="宋体" w:eastAsia="宋体" w:hint="default"/>
          <w:sz w:val="28"/>
          <w:szCs w:val="28"/>
        </w:rPr>
      </w:pPr>
    </w:p>
    <w:p>
      <w:pPr>
        <w:pStyle w:val="Heading1"/>
        <w:tabs>
          <w:tab w:pos="4348" w:val="left" w:leader="none"/>
        </w:tabs>
        <w:spacing w:line="240" w:lineRule="auto"/>
        <w:ind w:left="3093" w:right="1273"/>
        <w:jc w:val="left"/>
        <w:rPr>
          <w:b w:val="0"/>
          <w:bCs w:val="0"/>
        </w:rPr>
      </w:pPr>
      <w:bookmarkStart w:name="_bookmark3" w:id="4"/>
      <w:bookmarkEnd w:id="4"/>
      <w:r>
        <w:rPr>
          <w:b w:val="0"/>
          <w:bCs w:val="0"/>
        </w:rPr>
      </w:r>
      <w:r>
        <w:rPr>
          <w:spacing w:val="4"/>
          <w:w w:val="95"/>
        </w:rPr>
        <w:t>第四节</w:t>
        <w:tab/>
      </w:r>
      <w:r>
        <w:rPr>
          <w:spacing w:val="5"/>
        </w:rPr>
        <w:t>经营情况讨论与分析</w:t>
      </w:r>
      <w:r>
        <w:rPr>
          <w:b w:val="0"/>
          <w:bCs w:val="0"/>
          <w:spacing w:val="5"/>
        </w:rPr>
      </w:r>
    </w:p>
    <w:p>
      <w:pPr>
        <w:spacing w:line="240" w:lineRule="auto" w:before="0"/>
        <w:rPr>
          <w:rFonts w:ascii="宋体" w:hAnsi="宋体" w:cs="宋体" w:eastAsia="宋体" w:hint="default"/>
          <w:b/>
          <w:bCs/>
          <w:sz w:val="20"/>
          <w:szCs w:val="20"/>
        </w:rPr>
      </w:pPr>
    </w:p>
    <w:p>
      <w:pPr>
        <w:pStyle w:val="Heading2"/>
        <w:spacing w:line="240" w:lineRule="auto" w:before="183"/>
        <w:ind w:right="1273"/>
        <w:jc w:val="left"/>
        <w:rPr>
          <w:b w:val="0"/>
          <w:bCs w:val="0"/>
        </w:rPr>
      </w:pPr>
      <w:r>
        <w:rPr/>
        <w:t>一、概述</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left="635" w:right="1273"/>
        <w:jc w:val="left"/>
        <w:rPr>
          <w:b w:val="0"/>
          <w:bCs w:val="0"/>
        </w:rPr>
      </w:pPr>
      <w:r>
        <w:rPr/>
        <w:t>（一）</w:t>
      </w:r>
      <w:r>
        <w:rPr>
          <w:spacing w:val="-3"/>
        </w:rPr>
        <w:t> </w:t>
      </w:r>
      <w:r>
        <w:rPr/>
        <w:t>内外部环境迎变化，机遇与挑战并存</w:t>
      </w:r>
      <w:r>
        <w:rPr>
          <w:b w:val="0"/>
          <w:bCs w:val="0"/>
        </w:rPr>
      </w:r>
    </w:p>
    <w:p>
      <w:pPr>
        <w:pStyle w:val="Heading2"/>
        <w:spacing w:line="240" w:lineRule="auto" w:before="154"/>
        <w:ind w:left="635" w:right="1273"/>
        <w:jc w:val="left"/>
        <w:rPr>
          <w:b w:val="0"/>
          <w:bCs w:val="0"/>
        </w:rPr>
      </w:pPr>
      <w:r>
        <w:rPr>
          <w:rFonts w:ascii="Times New Roman" w:hAnsi="Times New Roman" w:cs="Times New Roman" w:eastAsia="Times New Roman" w:hint="default"/>
        </w:rPr>
        <w:t>1</w:t>
      </w:r>
      <w:r>
        <w:rPr/>
        <w:t>、机构改革带来短期震动，调整步伐迎来全新机遇</w:t>
      </w:r>
      <w:r>
        <w:rPr>
          <w:b w:val="0"/>
          <w:bCs w:val="0"/>
        </w:rPr>
      </w:r>
    </w:p>
    <w:p>
      <w:pPr>
        <w:pStyle w:val="BodyText"/>
        <w:spacing w:line="240" w:lineRule="auto" w:before="135"/>
        <w:ind w:left="573" w:right="99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月中共中央印</w:t>
      </w:r>
      <w:r>
        <w:rPr>
          <w:spacing w:val="-27"/>
        </w:rPr>
        <w:t>发</w:t>
      </w:r>
      <w:r>
        <w:rPr/>
        <w:t>《深化党和国家机构改革方案</w:t>
      </w:r>
      <w:r>
        <w:rPr>
          <w:spacing w:val="-120"/>
        </w:rPr>
        <w:t>》</w:t>
      </w:r>
      <w:r>
        <w:rPr>
          <w:spacing w:val="-27"/>
        </w:rPr>
        <w:t>，</w:t>
      </w:r>
      <w:r>
        <w:rPr/>
        <w:t>确定组建自然资源部</w:t>
      </w:r>
      <w:r>
        <w:rPr>
          <w:spacing w:val="-27"/>
        </w:rPr>
        <w:t>，</w:t>
      </w:r>
      <w:r>
        <w:rPr/>
        <w:t>决定组</w:t>
      </w:r>
    </w:p>
    <w:p>
      <w:pPr>
        <w:pStyle w:val="BodyText"/>
        <w:spacing w:line="350" w:lineRule="auto" w:before="135"/>
        <w:ind w:right="995"/>
        <w:jc w:val="left"/>
      </w:pPr>
      <w:r>
        <w:rPr>
          <w:spacing w:val="-3"/>
        </w:rPr>
        <w:t>建自然资源部，不再保留国土资源部、国家海洋局、国家测绘地理信息局，同年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日自</w:t>
      </w:r>
      <w:r>
        <w:rPr>
          <w:spacing w:val="-113"/>
        </w:rPr>
        <w:t> </w:t>
      </w:r>
      <w:r>
        <w:rPr/>
        <w:t>然资源部正式挂牌。</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月以来，省一级的机构改革方案开始陆续实施，省级机构开始 挂牌。自然资源部的设立对于解决各部门行业间的数据共享、促进地理信息产业发展提供了</w:t>
      </w:r>
      <w:r>
        <w:rPr>
          <w:spacing w:val="-88"/>
        </w:rPr>
        <w:t> </w:t>
      </w:r>
      <w:r>
        <w:rPr>
          <w:spacing w:val="-88"/>
        </w:rPr>
      </w:r>
      <w:r>
        <w:rPr/>
        <w:t>有利机遇；但机构改革所带来的人员调整、职能变更和架构重组也对地理信息行业带来了短</w:t>
      </w:r>
      <w:r>
        <w:rPr>
          <w:spacing w:val="-91"/>
        </w:rPr>
        <w:t> </w:t>
      </w:r>
      <w:r>
        <w:rPr>
          <w:spacing w:val="-91"/>
        </w:rPr>
      </w:r>
      <w:r>
        <w:rPr>
          <w:spacing w:val="-5"/>
        </w:rPr>
        <w:t>期震动。报告期内，市、县一级的政府单位三定方案在陆续推进当中。作为公司的主要客户，</w:t>
      </w:r>
      <w:r>
        <w:rPr/>
        <w:t> </w:t>
      </w:r>
      <w:r>
        <w:rPr>
          <w:spacing w:val="-2"/>
        </w:rPr>
        <w:t>各部门机构和人员的变动导致部分订单招标进度延迟、部分合同的验收进度和回款进度推迟，</w:t>
      </w:r>
      <w:r>
        <w:rPr/>
        <w:t> 从而短期内造成了公司本报告期净利润较前一年度小幅下降。</w:t>
      </w:r>
    </w:p>
    <w:p>
      <w:pPr>
        <w:pStyle w:val="BodyText"/>
        <w:spacing w:line="350" w:lineRule="auto" w:before="43"/>
        <w:ind w:right="1130" w:firstLine="420"/>
        <w:jc w:val="both"/>
      </w:pPr>
      <w:r>
        <w:rPr>
          <w:spacing w:val="2"/>
        </w:rPr>
        <w:t>但机构改革同样也带来了新的市场机会：国土空间规划、生态修复、所有者权益管理等</w:t>
      </w:r>
      <w:r>
        <w:rPr/>
        <w:t> 机构职能的落地都离不开信息化的支撑。公司的解决方案业务集中在国土、规划和测绘等重</w:t>
      </w:r>
      <w:r>
        <w:rPr>
          <w:spacing w:val="-91"/>
        </w:rPr>
        <w:t> </w:t>
      </w:r>
      <w:r>
        <w:rPr>
          <w:spacing w:val="-91"/>
        </w:rPr>
      </w:r>
      <w:r>
        <w:rPr/>
        <w:t>度使用</w:t>
      </w:r>
      <w:r>
        <w:rPr>
          <w:spacing w:val="-57"/>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的业务领域，公司成为对应自然资源部提供解决方案最完整的企业，机构改革为 公司带来重要发展机遇。</w:t>
      </w:r>
    </w:p>
    <w:p>
      <w:pPr>
        <w:spacing w:line="338" w:lineRule="auto" w:before="43"/>
        <w:ind w:left="633" w:right="115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、内部销售体系改革完成，深入市场提升品牌影响力</w:t>
      </w:r>
      <w:r>
        <w:rPr>
          <w:rFonts w:ascii="宋体" w:hAnsi="宋体" w:cs="宋体" w:eastAsia="宋体" w:hint="default"/>
          <w:b/>
          <w:bCs/>
          <w:w w:val="99"/>
          <w:sz w:val="24"/>
          <w:szCs w:val="24"/>
        </w:rPr>
        <w:t> </w:t>
      </w:r>
      <w:r>
        <w:rPr>
          <w:rFonts w:ascii="宋体" w:hAnsi="宋体" w:cs="宋体" w:eastAsia="宋体" w:hint="default"/>
          <w:sz w:val="24"/>
          <w:szCs w:val="24"/>
        </w:rPr>
        <w:t>报告期内，公司对应用软件业务及相应子公司进行了组织架构变革，取消了原有的以行</w:t>
      </w:r>
    </w:p>
    <w:p>
      <w:pPr>
        <w:pStyle w:val="BodyText"/>
        <w:spacing w:line="355" w:lineRule="auto" w:before="55"/>
        <w:ind w:right="1169"/>
        <w:jc w:val="both"/>
      </w:pPr>
      <w:r>
        <w:rPr/>
        <w:t>业划分的事业部制，重新整合为产品与交付和销售服务两大体系。其中，产品与交付体系负 责解决方案的研发和项目实施交付，把分散过细的技术队伍归并为智慧城市产品线、自然资 源产品线、生态环境产品线和专用产品线，构建了统一的应用软件研发体系，进一步提升项 目实施的效率，促进内部技术的资源共享，并为客户提供了更加全面完整的解决方案。销售 服务体系方面，新的组织架构集中了原来分散在各事业部的销售力量，组建了</w:t>
      </w:r>
      <w:r>
        <w:rPr>
          <w:spacing w:val="-59"/>
        </w:rPr>
        <w:t> </w:t>
      </w:r>
      <w:r>
        <w:rPr>
          <w:rFonts w:ascii="Times New Roman" w:hAnsi="Times New Roman" w:cs="Times New Roman" w:eastAsia="Times New Roman" w:hint="default"/>
        </w:rPr>
        <w:t>9 </w:t>
      </w:r>
      <w:r>
        <w:rPr/>
        <w:t>大区域销售 中心。新的销售服务体系扩大了市场的覆盖面，提高了对市场需求的反应速度，使公司产品 服务更贴近市场终端，进一步增强公司的区域竞争力，为扩大市场份额，保持持续竞争优势 提供了有力支持。</w:t>
      </w:r>
    </w:p>
    <w:p>
      <w:pPr>
        <w:spacing w:line="357" w:lineRule="auto" w:before="38"/>
        <w:ind w:left="573" w:right="1116" w:firstLine="62"/>
        <w:jc w:val="left"/>
        <w:rPr>
          <w:rFonts w:ascii="宋体" w:hAnsi="宋体" w:cs="宋体" w:eastAsia="宋体" w:hint="default"/>
          <w:sz w:val="24"/>
          <w:szCs w:val="24"/>
        </w:rPr>
      </w:pPr>
      <w:r>
        <w:rPr>
          <w:rFonts w:ascii="宋体" w:hAnsi="宋体" w:cs="宋体" w:eastAsia="宋体" w:hint="default"/>
          <w:b/>
          <w:bCs/>
          <w:sz w:val="24"/>
          <w:szCs w:val="24"/>
        </w:rPr>
        <w:t>（二）基础软件升级，新技术赋能地理智慧</w:t>
      </w:r>
      <w:r>
        <w:rPr>
          <w:rFonts w:ascii="宋体" w:hAnsi="宋体" w:cs="宋体" w:eastAsia="宋体" w:hint="default"/>
          <w:b/>
          <w:bCs/>
          <w:w w:val="99"/>
          <w:sz w:val="24"/>
          <w:szCs w:val="24"/>
        </w:rPr>
        <w:t> </w:t>
      </w:r>
      <w:r>
        <w:rPr>
          <w:rFonts w:ascii="宋体" w:hAnsi="宋体" w:cs="宋体" w:eastAsia="宋体" w:hint="default"/>
          <w:spacing w:val="2"/>
          <w:sz w:val="24"/>
          <w:szCs w:val="24"/>
        </w:rPr>
        <w:t>随着技术的不断发展和演变，边缘计算等技术不断取得新的突破。作为地理信息产业的</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right="1132"/>
        <w:jc w:val="both"/>
      </w:pPr>
      <w:r>
        <w:rPr>
          <w:rFonts w:ascii="Times New Roman" w:hAnsi="Times New Roman" w:cs="Times New Roman" w:eastAsia="Times New Roman" w:hint="default"/>
        </w:rPr>
        <w:t>“</w:t>
      </w:r>
      <w:r>
        <w:rPr/>
        <w:t>操作系统</w:t>
      </w:r>
      <w:r>
        <w:rPr>
          <w:rFonts w:ascii="Times New Roman" w:hAnsi="Times New Roman" w:cs="Times New Roman" w:eastAsia="Times New Roman" w:hint="default"/>
        </w:rPr>
        <w:t>”</w:t>
      </w:r>
      <w:r>
        <w:rPr/>
        <w:t>，公司基础软件产品不断融合先进、实用的</w:t>
      </w:r>
      <w:r>
        <w:rPr>
          <w:spacing w:val="-80"/>
        </w:rPr>
        <w:t> </w:t>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t>技术和理念，地理智慧不断加持新 技术，行业赋能能力持续增强。</w:t>
      </w:r>
    </w:p>
    <w:p>
      <w:pPr>
        <w:pStyle w:val="BodyText"/>
        <w:spacing w:line="345" w:lineRule="auto" w:before="55"/>
        <w:ind w:right="1130" w:firstLine="420"/>
        <w:jc w:val="both"/>
      </w:pPr>
      <w:r>
        <w:rPr>
          <w:spacing w:val="-13"/>
        </w:rPr>
        <w:t>报告期内，公司发布了</w:t>
      </w:r>
      <w:r>
        <w:rPr/>
        <w:t> </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spacing w:val="-33"/>
          <w:w w:val="99"/>
        </w:rPr>
        <w:t> </w:t>
      </w:r>
      <w:r>
        <w:rPr>
          <w:rFonts w:ascii="Times New Roman" w:hAnsi="Times New Roman" w:cs="Times New Roman" w:eastAsia="Times New Roman" w:hint="default"/>
          <w:spacing w:val="-5"/>
          <w:w w:val="99"/>
        </w:rPr>
        <w:t>9D(2019)</w:t>
      </w:r>
      <w:r>
        <w:rPr>
          <w:spacing w:val="-5"/>
          <w:w w:val="99"/>
        </w:rPr>
        <w:t>系列产品，对公司基础软件产品进行升级。</w:t>
      </w:r>
      <w:r>
        <w:rPr/>
        <w:t> </w:t>
      </w:r>
      <w:r>
        <w:rPr>
          <w:spacing w:val="-5"/>
        </w:rPr>
        <w:t>该版本全面拥抱空间大数据技术，在微服务、容器化、云原生、自动化运维等方面全新升级，</w:t>
      </w:r>
      <w:r>
        <w:rPr/>
        <w:t> 进一步优化和提升了云</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功能，构建了新一代三维</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spacing w:val="-3"/>
        </w:rPr>
        <w:t>技术体系。其中，边缘计算</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 术和云原生</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技术等方面的技术进展显著。</w:t>
      </w:r>
    </w:p>
    <w:p>
      <w:pPr>
        <w:pStyle w:val="BodyText"/>
        <w:spacing w:line="343" w:lineRule="auto" w:before="19"/>
        <w:ind w:right="1122" w:firstLine="420"/>
        <w:jc w:val="both"/>
      </w:pPr>
      <w:r>
        <w:rPr>
          <w:rFonts w:ascii="宋体" w:hAnsi="宋体" w:cs="宋体" w:eastAsia="宋体" w:hint="default"/>
          <w:b/>
          <w:bCs/>
        </w:rPr>
        <w:t>边缘计算 </w:t>
      </w:r>
      <w:r>
        <w:rPr>
          <w:rFonts w:ascii="Times New Roman" w:hAnsi="Times New Roman" w:cs="Times New Roman" w:eastAsia="Times New Roman" w:hint="default"/>
          <w:b/>
          <w:bCs/>
        </w:rPr>
        <w:t>GIS</w:t>
      </w:r>
      <w:r>
        <w:rPr>
          <w:rFonts w:ascii="Times New Roman" w:hAnsi="Times New Roman" w:cs="Times New Roman" w:eastAsia="Times New Roman" w:hint="default"/>
          <w:b/>
          <w:bCs/>
          <w:spacing w:val="-25"/>
        </w:rPr>
        <w:t> </w:t>
      </w:r>
      <w:r>
        <w:rPr>
          <w:rFonts w:ascii="宋体" w:hAnsi="宋体" w:cs="宋体" w:eastAsia="宋体" w:hint="default"/>
          <w:b/>
          <w:bCs/>
        </w:rPr>
        <w:t>技术：</w:t>
      </w:r>
      <w:r>
        <w:rPr/>
        <w:t>边缘计算是指在靠近客户端或数据源头的一侧，采用网络、计算、 存储、应用核心能力为一体的开放平台，就近提供最近端服务。其应用程序在边缘侧发起，</w:t>
      </w:r>
      <w:r>
        <w:rPr>
          <w:spacing w:val="-91"/>
        </w:rPr>
        <w:t> </w:t>
      </w:r>
      <w:r>
        <w:rPr>
          <w:spacing w:val="-91"/>
        </w:rPr>
      </w:r>
      <w:r>
        <w:rPr/>
        <w:t>产生更快的网络服务响应。边缘计算</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技术指的是以一种更加灵活的方式，高效率、低成 </w:t>
      </w:r>
      <w:r>
        <w:rPr>
          <w:spacing w:val="4"/>
        </w:rPr>
        <w:t>本地使用地理信息资源，是云 </w:t>
      </w:r>
      <w:r>
        <w:rPr>
          <w:rFonts w:ascii="Times New Roman" w:hAnsi="Times New Roman" w:cs="Times New Roman" w:eastAsia="Times New Roman" w:hint="default"/>
        </w:rPr>
        <w:t>GIS </w:t>
      </w:r>
      <w:r>
        <w:rPr>
          <w:spacing w:val="4"/>
        </w:rPr>
        <w:t>技术的重要补充。本次产品系列中新增的</w:t>
      </w:r>
      <w:r>
        <w:rPr>
          <w:spacing w:val="38"/>
        </w:rPr>
        <w:t> </w:t>
      </w:r>
      <w:r>
        <w:rPr>
          <w:rFonts w:ascii="Times New Roman" w:hAnsi="Times New Roman" w:cs="Times New Roman" w:eastAsia="Times New Roman" w:hint="default"/>
        </w:rPr>
        <w:t>SUPERMAP</w:t>
      </w:r>
      <w:r>
        <w:rPr>
          <w:rFonts w:ascii="Times New Roman" w:hAnsi="Times New Roman" w:cs="Times New Roman" w:eastAsia="Times New Roman" w:hint="default"/>
          <w:w w:val="99"/>
        </w:rPr>
        <w:t> </w:t>
      </w:r>
      <w:r>
        <w:rPr>
          <w:rFonts w:ascii="Times New Roman" w:hAnsi="Times New Roman" w:cs="Times New Roman" w:eastAsia="Times New Roman" w:hint="default"/>
        </w:rPr>
        <w:t>IEDGE</w:t>
      </w:r>
      <w:r>
        <w:rPr>
          <w:rFonts w:ascii="Times New Roman" w:hAnsi="Times New Roman" w:cs="Times New Roman" w:eastAsia="Times New Roman" w:hint="default"/>
          <w:spacing w:val="-3"/>
        </w:rPr>
        <w:t> </w:t>
      </w:r>
      <w:r>
        <w:rPr>
          <w:rFonts w:ascii="Times New Roman" w:hAnsi="Times New Roman" w:cs="Times New Roman" w:eastAsia="Times New Roman" w:hint="default"/>
        </w:rPr>
        <w:t>9D(2019)</w:t>
      </w:r>
      <w:r>
        <w:rPr/>
        <w:t>充分利用边缘</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spacing w:val="-10"/>
        </w:rPr>
        <w:t>技术，提供边缘前置代理、边缘服务聚合、边缘内容分发、</w:t>
      </w:r>
      <w:r>
        <w:rPr/>
        <w:t> 边缘分析计算等各种边缘</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能力，助力构建更强大、更可靠、更高效的云</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应用。</w:t>
      </w:r>
    </w:p>
    <w:p>
      <w:pPr>
        <w:pStyle w:val="BodyText"/>
        <w:spacing w:line="338" w:lineRule="auto" w:before="21"/>
        <w:ind w:right="1131" w:firstLine="420"/>
        <w:jc w:val="both"/>
      </w:pPr>
      <w:r>
        <w:rPr>
          <w:rFonts w:ascii="宋体" w:hAnsi="宋体" w:cs="宋体" w:eastAsia="宋体" w:hint="default"/>
          <w:b/>
          <w:bCs/>
        </w:rPr>
        <w:t>云原生</w:t>
      </w:r>
      <w:r>
        <w:rPr>
          <w:rFonts w:ascii="宋体" w:hAnsi="宋体" w:cs="宋体" w:eastAsia="宋体" w:hint="default"/>
          <w:b/>
          <w:bCs/>
          <w:spacing w:val="-59"/>
        </w:rPr>
        <w:t> </w:t>
      </w:r>
      <w:r>
        <w:rPr>
          <w:rFonts w:ascii="Times New Roman" w:hAnsi="Times New Roman" w:cs="Times New Roman" w:eastAsia="Times New Roman" w:hint="default"/>
          <w:b/>
          <w:bCs/>
        </w:rPr>
        <w:t>GIS</w:t>
      </w:r>
      <w:r>
        <w:rPr>
          <w:rFonts w:ascii="Times New Roman" w:hAnsi="Times New Roman" w:cs="Times New Roman" w:eastAsia="Times New Roman" w:hint="default"/>
          <w:b/>
          <w:bCs/>
          <w:spacing w:val="1"/>
        </w:rPr>
        <w:t> </w:t>
      </w:r>
      <w:r>
        <w:rPr>
          <w:rFonts w:ascii="宋体" w:hAnsi="宋体" w:cs="宋体" w:eastAsia="宋体" w:hint="default"/>
          <w:b/>
          <w:bCs/>
        </w:rPr>
        <w:t>技术：</w:t>
      </w:r>
      <w:r>
        <w:rPr/>
        <w:t>云原生</w:t>
      </w:r>
      <w:r>
        <w:rPr>
          <w:spacing w:val="-60"/>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是面向云环境设计的，基于微服务架构思想的，以容器为 部署载体的，可自动化编排、运维管理的，更弹性、更稳定、更新更实时的</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软件体系架 </w:t>
      </w:r>
      <w:r>
        <w:rPr>
          <w:spacing w:val="-5"/>
        </w:rPr>
        <w:t>构。云原生</w:t>
      </w:r>
      <w:r>
        <w:rPr>
          <w:spacing w:val="-55"/>
        </w:rPr>
        <w:t> </w:t>
      </w:r>
      <w:r>
        <w:rPr>
          <w:rFonts w:ascii="Times New Roman" w:hAnsi="Times New Roman" w:cs="Times New Roman" w:eastAsia="Times New Roman" w:hint="default"/>
        </w:rPr>
        <w:t>GIS</w:t>
      </w:r>
      <w:r>
        <w:rPr>
          <w:rFonts w:ascii="Times New Roman" w:hAnsi="Times New Roman" w:cs="Times New Roman" w:eastAsia="Times New Roman" w:hint="default"/>
          <w:spacing w:val="7"/>
        </w:rPr>
        <w:t> </w:t>
      </w:r>
      <w:r>
        <w:rPr>
          <w:spacing w:val="-3"/>
        </w:rPr>
        <w:t>有三个关键技术：</w:t>
      </w:r>
      <w:r>
        <w:rPr>
          <w:rFonts w:ascii="Times New Roman" w:hAnsi="Times New Roman" w:cs="Times New Roman" w:eastAsia="Times New Roman" w:hint="default"/>
          <w:spacing w:val="-3"/>
        </w:rPr>
        <w:t>1</w:t>
      </w:r>
      <w:r>
        <w:rPr>
          <w:spacing w:val="-3"/>
        </w:rPr>
        <w:t>）微服务架构：避免不同服务之间相互影响，可以以更小</w:t>
      </w:r>
      <w:r>
        <w:rPr/>
        <w:t> </w:t>
      </w:r>
      <w:r>
        <w:rPr>
          <w:spacing w:val="-3"/>
        </w:rPr>
        <w:t>粒度弹性伸缩，使应用更稳定、更灵活。</w:t>
      </w:r>
      <w:r>
        <w:rPr>
          <w:rFonts w:ascii="Times New Roman" w:hAnsi="Times New Roman" w:cs="Times New Roman" w:eastAsia="Times New Roman" w:hint="default"/>
          <w:spacing w:val="-3"/>
        </w:rPr>
        <w:t>2</w:t>
      </w:r>
      <w:r>
        <w:rPr>
          <w:spacing w:val="-3"/>
        </w:rPr>
        <w:t>）容器化：资源更集约，通用配置可以运行更多服</w:t>
      </w:r>
      <w:r>
        <w:rPr>
          <w:spacing w:val="-80"/>
        </w:rPr>
        <w:t> </w:t>
      </w:r>
      <w:r>
        <w:rPr>
          <w:spacing w:val="-80"/>
        </w:rPr>
      </w:r>
      <w:r>
        <w:rPr/>
        <w:t>务。</w:t>
      </w:r>
      <w:r>
        <w:rPr>
          <w:rFonts w:ascii="Times New Roman" w:hAnsi="Times New Roman" w:cs="Times New Roman" w:eastAsia="Times New Roman" w:hint="default"/>
        </w:rPr>
        <w:t>3</w:t>
      </w:r>
      <w:r>
        <w:rPr/>
        <w:t>）自动化编排：快速建站，实时更新，降低运维成本。</w:t>
      </w:r>
    </w:p>
    <w:p>
      <w:pPr>
        <w:spacing w:line="348" w:lineRule="auto" w:before="27"/>
        <w:ind w:left="635" w:right="1123" w:firstLine="0"/>
        <w:jc w:val="left"/>
        <w:rPr>
          <w:rFonts w:ascii="宋体" w:hAnsi="宋体" w:cs="宋体" w:eastAsia="宋体" w:hint="default"/>
          <w:sz w:val="24"/>
          <w:szCs w:val="24"/>
        </w:rPr>
      </w:pPr>
      <w:r>
        <w:rPr>
          <w:rFonts w:ascii="宋体" w:hAnsi="宋体" w:cs="宋体" w:eastAsia="宋体" w:hint="default"/>
          <w:b/>
          <w:bCs/>
          <w:sz w:val="24"/>
          <w:szCs w:val="24"/>
        </w:rPr>
        <w:t>（三） 应用业务多点开花，新增长点不断涌现</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、不动产登记提速增效需求强劲，国土三调正当时</w:t>
      </w:r>
      <w:r>
        <w:rPr>
          <w:rFonts w:ascii="宋体" w:hAnsi="宋体" w:cs="宋体" w:eastAsia="宋体" w:hint="default"/>
          <w:b/>
          <w:bCs/>
          <w:w w:val="99"/>
          <w:sz w:val="24"/>
          <w:szCs w:val="24"/>
        </w:rPr>
        <w:t> </w:t>
      </w:r>
      <w:r>
        <w:rPr>
          <w:rFonts w:ascii="宋体" w:hAnsi="宋体" w:cs="宋体" w:eastAsia="宋体" w:hint="default"/>
          <w:spacing w:val="-2"/>
          <w:sz w:val="24"/>
          <w:szCs w:val="24"/>
        </w:rPr>
        <w:t>公司持续完善不动产登记信息管理基础平台，通过</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互联网</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政务服务</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，协助不动产登记</w:t>
      </w:r>
    </w:p>
    <w:p>
      <w:pPr>
        <w:pStyle w:val="BodyText"/>
        <w:spacing w:line="350" w:lineRule="auto" w:before="16"/>
        <w:ind w:right="1130"/>
        <w:jc w:val="both"/>
      </w:pPr>
      <w:r>
        <w:rPr/>
        <w:t>机构实现</w:t>
      </w:r>
      <w:r>
        <w:rPr>
          <w:rFonts w:ascii="Times New Roman" w:hAnsi="Times New Roman" w:cs="Times New Roman" w:eastAsia="Times New Roman" w:hint="default"/>
        </w:rPr>
        <w:t>“</w:t>
      </w:r>
      <w:r>
        <w:rPr/>
        <w:t>一窗受理、并行办理</w:t>
      </w:r>
      <w:r>
        <w:rPr>
          <w:rFonts w:ascii="Times New Roman" w:hAnsi="Times New Roman" w:cs="Times New Roman" w:eastAsia="Times New Roman" w:hint="default"/>
        </w:rPr>
        <w:t>”</w:t>
      </w:r>
      <w:r>
        <w:rPr/>
        <w:t>，积极发挥技术优势，做到线上线下功能互补、融合发展，</w:t>
      </w:r>
      <w:r>
        <w:rPr>
          <w:spacing w:val="-60"/>
        </w:rPr>
        <w:t> </w:t>
      </w:r>
      <w:r>
        <w:rPr>
          <w:spacing w:val="-60"/>
        </w:rPr>
      </w:r>
      <w:r>
        <w:rPr>
          <w:spacing w:val="-3"/>
        </w:rPr>
        <w:t>推行不动产登记便民利民。根据</w:t>
      </w:r>
      <w:r>
        <w:rPr>
          <w:spacing w:val="-7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年自然资源部发布《关于全面推进不动产登记便民利民 </w:t>
      </w:r>
      <w:r>
        <w:rPr>
          <w:spacing w:val="-6"/>
        </w:rPr>
        <w:t>工作的通知》、《关于加快推进不动产登记存量数据整合汇交工作的函》的相关要求，公司继</w:t>
      </w:r>
      <w:r>
        <w:rPr>
          <w:spacing w:val="-85"/>
        </w:rPr>
        <w:t> </w:t>
      </w:r>
      <w:r>
        <w:rPr>
          <w:spacing w:val="-85"/>
        </w:rPr>
      </w:r>
      <w:r>
        <w:rPr/>
        <w:t>续落实不动产登记相关的数据整合建库工作，积极探索新的业务模式并推进不动产登记信息</w:t>
      </w:r>
      <w:r>
        <w:rPr>
          <w:spacing w:val="-91"/>
        </w:rPr>
        <w:t> </w:t>
      </w:r>
      <w:r>
        <w:rPr>
          <w:spacing w:val="-91"/>
        </w:rPr>
      </w:r>
      <w:r>
        <w:rPr/>
        <w:t>的共享。报告期内，公司参与了不动产登记机构与银行、法院的接口建设，助力登记信息共</w:t>
      </w:r>
      <w:r>
        <w:rPr>
          <w:spacing w:val="-91"/>
        </w:rPr>
        <w:t> </w:t>
      </w:r>
      <w:r>
        <w:rPr>
          <w:spacing w:val="-91"/>
        </w:rPr>
      </w:r>
      <w:r>
        <w:rPr/>
        <w:t>享应用的推进。随着不动产登记平台建设的完成和数据整合的加速推进，不动产登记信息的</w:t>
      </w:r>
      <w:r>
        <w:rPr>
          <w:spacing w:val="-91"/>
        </w:rPr>
        <w:t> </w:t>
      </w:r>
      <w:r>
        <w:rPr>
          <w:spacing w:val="-91"/>
        </w:rPr>
      </w:r>
      <w:r>
        <w:rPr/>
        <w:t>共享服务和应用将有更加广大的应用空间。</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月，国务院办公厅印发《关于压缩不动 </w:t>
      </w:r>
      <w:r>
        <w:rPr>
          <w:spacing w:val="-5"/>
        </w:rPr>
        <w:t>产登记办理时间的通知》，提出加强部门协作，实行信息共享集成、流程集成或人员集成，进</w:t>
      </w:r>
      <w:r>
        <w:rPr>
          <w:spacing w:val="-117"/>
        </w:rPr>
        <w:t> </w:t>
      </w:r>
      <w:r>
        <w:rPr>
          <w:spacing w:val="-117"/>
        </w:rPr>
      </w:r>
      <w:r>
        <w:rPr/>
        <w:t>行全流程优化，压缩办理时间的要求。不动产登记提速增效成为不动产登记新阶段的工作重</w:t>
      </w:r>
    </w:p>
    <w:p>
      <w:pPr>
        <w:spacing w:after="0" w:line="350"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1273"/>
        <w:jc w:val="left"/>
      </w:pPr>
      <w:r>
        <w:rPr/>
        <w:t>点。</w:t>
      </w:r>
    </w:p>
    <w:p>
      <w:pPr>
        <w:pStyle w:val="BodyText"/>
        <w:spacing w:line="240" w:lineRule="auto" w:before="154"/>
        <w:ind w:left="638" w:right="997"/>
        <w:jc w:val="left"/>
      </w:pPr>
      <w:r>
        <w:rPr>
          <w:spacing w:val="-3"/>
        </w:rPr>
        <w:t>公司积极参与第三次全国土地调查，协助地方政府相关部门全面查清土地资源利用状况，</w:t>
      </w:r>
    </w:p>
    <w:p>
      <w:pPr>
        <w:spacing w:line="240" w:lineRule="auto" w:before="10"/>
        <w:rPr>
          <w:rFonts w:ascii="宋体" w:hAnsi="宋体" w:cs="宋体" w:eastAsia="宋体" w:hint="default"/>
          <w:sz w:val="9"/>
          <w:szCs w:val="9"/>
        </w:rPr>
      </w:pPr>
    </w:p>
    <w:p>
      <w:pPr>
        <w:pStyle w:val="BodyText"/>
        <w:spacing w:line="350" w:lineRule="auto" w:before="26"/>
        <w:ind w:right="1132"/>
        <w:jc w:val="both"/>
      </w:pPr>
      <w:r>
        <w:rPr/>
        <w:t>掌握准确土地基础数据。为助力三调的顺利开展，公司研发了集外业调查、数据建库、数据</w:t>
      </w:r>
      <w:r>
        <w:rPr>
          <w:spacing w:val="-91"/>
        </w:rPr>
        <w:t> </w:t>
      </w:r>
      <w:r>
        <w:rPr>
          <w:spacing w:val="-91"/>
        </w:rPr>
      </w:r>
      <w:r>
        <w:rPr/>
        <w:t>管理和共享应用在内的三调软件产品，提供了一套内外一体、上下协同、云端互联的解决方</w:t>
      </w:r>
      <w:r>
        <w:rPr>
          <w:spacing w:val="-91"/>
        </w:rPr>
        <w:t> </w:t>
      </w:r>
      <w:r>
        <w:rPr>
          <w:spacing w:val="-91"/>
        </w:rPr>
      </w:r>
      <w:r>
        <w:rPr/>
        <w:t>案。</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年下半年，全国各省陆续启动三调招投标工作，公司子公司南京国图在国土三调市 场中占领先地位。</w:t>
      </w:r>
    </w:p>
    <w:p>
      <w:pPr>
        <w:spacing w:line="338" w:lineRule="auto" w:before="43"/>
        <w:ind w:left="573" w:right="1116" w:firstLine="6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、智慧城市业务持续发力，国土空间规划业务有力增长</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报告期内，公司积极助力智慧城市的建设，为包括湖南益阳市、广西柳州市、陕西宝鸡</w:t>
      </w:r>
      <w:r>
        <w:rPr>
          <w:rFonts w:ascii="宋体" w:hAnsi="宋体" w:cs="宋体" w:eastAsia="宋体" w:hint="default"/>
          <w:sz w:val="24"/>
          <w:szCs w:val="24"/>
        </w:rPr>
      </w:r>
    </w:p>
    <w:p>
      <w:pPr>
        <w:pStyle w:val="BodyText"/>
        <w:spacing w:line="345" w:lineRule="auto" w:before="56"/>
        <w:ind w:right="1131"/>
        <w:jc w:val="both"/>
      </w:pPr>
      <w:r>
        <w:rPr/>
        <w:t>市、河南平顶山市等多地建设了时空信息云平台。时空信息云平台旨在为政府部门各类 </w:t>
      </w:r>
      <w:r>
        <w:rPr>
          <w:rFonts w:ascii="Times New Roman" w:hAnsi="Times New Roman" w:cs="Times New Roman" w:eastAsia="Times New Roman" w:hint="default"/>
        </w:rPr>
        <w:t>GIS</w:t>
      </w:r>
      <w:r>
        <w:rPr>
          <w:rFonts w:ascii="Times New Roman" w:hAnsi="Times New Roman" w:cs="Times New Roman" w:eastAsia="Times New Roman" w:hint="default"/>
          <w:spacing w:val="-54"/>
        </w:rPr>
        <w:t> </w:t>
      </w:r>
      <w:r>
        <w:rPr>
          <w:rFonts w:ascii="Times New Roman" w:hAnsi="Times New Roman" w:cs="Times New Roman" w:eastAsia="Times New Roman" w:hint="default"/>
          <w:spacing w:val="-54"/>
        </w:rPr>
      </w:r>
      <w:r>
        <w:rPr/>
        <w:t>应用提供基础支撑服务，避免基础</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软件、公共地理数据以及基础</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功能开发等时空信 息资源的重复投资。云平台的建立推动时空信息资源在线服务与个性应用，打破部门条块分</w:t>
      </w:r>
      <w:r>
        <w:rPr>
          <w:spacing w:val="-91"/>
        </w:rPr>
        <w:t> </w:t>
      </w:r>
      <w:r>
        <w:rPr>
          <w:spacing w:val="-91"/>
        </w:rPr>
      </w:r>
      <w:r>
        <w:rPr/>
        <w:t>割和信息孤岛，为社会公众提供了权威的、统一的信息渠道，达到了政府、企业、公众共赢</w:t>
      </w:r>
      <w:r>
        <w:rPr>
          <w:spacing w:val="-91"/>
        </w:rPr>
        <w:t> </w:t>
      </w:r>
      <w:r>
        <w:rPr>
          <w:spacing w:val="-91"/>
        </w:rPr>
      </w:r>
      <w:r>
        <w:rPr/>
        <w:t>的局面，实现新型智慧城市时空基础设施建设。</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月，自然资源部印发了《智慧城市 </w:t>
      </w:r>
      <w:r>
        <w:rPr>
          <w:spacing w:val="-1"/>
        </w:rPr>
        <w:t>时空大数据平台建设技术大纲（</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5"/>
        </w:rPr>
        <w:t> </w:t>
      </w:r>
      <w:r>
        <w:rPr>
          <w:spacing w:val="-10"/>
        </w:rPr>
        <w:t>版）》，进一步确定了时空大数据平台作为智慧城市建设</w:t>
      </w:r>
      <w:r>
        <w:rPr/>
        <w:t> 与运行的基础支撑。</w:t>
      </w:r>
    </w:p>
    <w:p>
      <w:pPr>
        <w:pStyle w:val="BodyText"/>
        <w:spacing w:line="357" w:lineRule="auto" w:before="48"/>
        <w:ind w:right="1133" w:firstLine="420"/>
        <w:jc w:val="both"/>
      </w:pPr>
      <w:r>
        <w:rPr>
          <w:spacing w:val="2"/>
        </w:rPr>
        <w:t>报告期内，公司及子公司上海数慧在国土空间（城市）规划领域助力多地地方政府推动 </w:t>
      </w:r>
      <w:r>
        <w:rPr/>
        <w:t>多规合一一张图，通过搭建信息化平台统一空间基准、数据标准和数据库，整合各类空间规</w:t>
      </w:r>
      <w:r>
        <w:rPr>
          <w:spacing w:val="-91"/>
        </w:rPr>
        <w:t> </w:t>
      </w:r>
      <w:r>
        <w:rPr>
          <w:spacing w:val="-91"/>
        </w:rPr>
      </w:r>
      <w:r>
        <w:rPr/>
        <w:t>划成果，协调不同规划之间的差异，为智慧城市建设提供不同维度的空间信息支撑。当前，</w:t>
      </w:r>
      <w:r>
        <w:rPr>
          <w:spacing w:val="-91"/>
        </w:rPr>
        <w:t> </w:t>
      </w:r>
      <w:r>
        <w:rPr>
          <w:spacing w:val="-91"/>
        </w:rPr>
      </w:r>
      <w:r>
        <w:rPr/>
        <w:t>规划行业正处于空间规划体系重构、规划转型变革、精细化治理等多重改革叠加的重要发展</w:t>
      </w:r>
      <w:r>
        <w:rPr>
          <w:spacing w:val="-91"/>
        </w:rPr>
        <w:t> </w:t>
      </w:r>
      <w:r>
        <w:rPr>
          <w:spacing w:val="-91"/>
        </w:rPr>
      </w:r>
      <w:r>
        <w:rPr/>
        <w:t>期。随着中央全面深化改革委员会第六次会议审议通过《关于建立国土空间规划体系并监督</w:t>
      </w:r>
      <w:r>
        <w:rPr>
          <w:spacing w:val="-91"/>
        </w:rPr>
        <w:t> </w:t>
      </w:r>
      <w:r>
        <w:rPr>
          <w:spacing w:val="-91"/>
        </w:rPr>
      </w:r>
      <w:r>
        <w:rPr/>
        <w:t>实施的若干意见》这一纲领性文件，国土空间规划将迎来更大的发展机遇。</w:t>
      </w:r>
    </w:p>
    <w:p>
      <w:pPr>
        <w:spacing w:line="338" w:lineRule="auto" w:before="36"/>
        <w:ind w:left="638" w:right="1116" w:hanging="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、水利、气象、环保业务陆续开展，未来增量可期</w:t>
      </w:r>
      <w:r>
        <w:rPr>
          <w:rFonts w:ascii="宋体" w:hAnsi="宋体" w:cs="宋体" w:eastAsia="宋体" w:hint="default"/>
          <w:b/>
          <w:bCs/>
          <w:w w:val="99"/>
          <w:sz w:val="24"/>
          <w:szCs w:val="24"/>
        </w:rPr>
        <w:t> </w:t>
      </w:r>
      <w:r>
        <w:rPr>
          <w:rFonts w:ascii="宋体" w:hAnsi="宋体" w:cs="宋体" w:eastAsia="宋体" w:hint="default"/>
          <w:sz w:val="24"/>
          <w:szCs w:val="24"/>
        </w:rPr>
        <w:t>报告期内，公司大环境业务线持续发挥技术优势，围绕气象、水利、环保等多个领域开</w:t>
      </w:r>
    </w:p>
    <w:p>
      <w:pPr>
        <w:pStyle w:val="BodyText"/>
        <w:spacing w:line="352" w:lineRule="auto" w:before="56"/>
        <w:ind w:right="1132"/>
        <w:jc w:val="both"/>
      </w:pPr>
      <w:r>
        <w:rPr>
          <w:spacing w:val="-5"/>
        </w:rPr>
        <w:t>展信息化建设工作，并多次承建国家级政策支持单位及省市一级的平台建设项目。水利方面，</w:t>
      </w:r>
      <w:r>
        <w:rPr>
          <w:spacing w:val="-117"/>
        </w:rPr>
        <w:t> </w:t>
      </w:r>
      <w:r>
        <w:rPr>
          <w:spacing w:val="-117"/>
        </w:rPr>
      </w:r>
      <w:r>
        <w:rPr/>
        <w:t>公司在河湖管理保护方面建立</w:t>
      </w:r>
      <w:r>
        <w:rPr>
          <w:rFonts w:ascii="Times New Roman" w:hAnsi="Times New Roman" w:cs="Times New Roman" w:eastAsia="Times New Roman" w:hint="default"/>
        </w:rPr>
        <w:t>“</w:t>
      </w:r>
      <w:r>
        <w:rPr/>
        <w:t>河长制</w:t>
      </w:r>
      <w:r>
        <w:rPr>
          <w:rFonts w:ascii="Times New Roman" w:hAnsi="Times New Roman" w:cs="Times New Roman" w:eastAsia="Times New Roman" w:hint="default"/>
        </w:rPr>
        <w:t>”</w:t>
      </w:r>
      <w:r>
        <w:rPr/>
        <w:t>信息系统及运行机制，实现了精细化管理，全面构建</w:t>
      </w:r>
      <w:r>
        <w:rPr>
          <w:spacing w:val="-62"/>
        </w:rPr>
        <w:t> </w:t>
      </w:r>
      <w:r>
        <w:rPr>
          <w:spacing w:val="-62"/>
        </w:rPr>
      </w:r>
      <w:r>
        <w:rPr/>
        <w:t>发现及时、处置到位、可量化的河长制河湖管理保护体系。气象方面，公司围绕各省市为农</w:t>
      </w:r>
      <w:r>
        <w:rPr>
          <w:spacing w:val="-91"/>
        </w:rPr>
        <w:t> </w:t>
      </w:r>
      <w:r>
        <w:rPr>
          <w:spacing w:val="-91"/>
        </w:rPr>
      </w:r>
      <w:r>
        <w:rPr/>
        <w:t>服务的实际需求，协助云南、陕西、重庆等地气象部门着力建设气象为农服务的业务体系，</w:t>
      </w:r>
      <w:r>
        <w:rPr>
          <w:spacing w:val="-91"/>
        </w:rPr>
        <w:t> </w:t>
      </w:r>
      <w:r>
        <w:rPr>
          <w:spacing w:val="-91"/>
        </w:rPr>
      </w:r>
      <w:r>
        <w:rPr/>
        <w:t>积极研发气象精细化智能服务平台软件。环保方面，公司响应生态环境部相关政策，承建了</w:t>
      </w:r>
      <w:r>
        <w:rPr>
          <w:spacing w:val="-91"/>
        </w:rPr>
        <w:t> </w:t>
      </w:r>
      <w:r>
        <w:rPr>
          <w:spacing w:val="-91"/>
        </w:rPr>
      </w:r>
      <w:r>
        <w:rPr/>
        <w:t>济南市的三线一单数据应用平台，在一张图上落实生态保护、环境质量目标管理、资源利用</w:t>
      </w:r>
    </w:p>
    <w:p>
      <w:pPr>
        <w:spacing w:after="0" w:line="352"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1273"/>
        <w:jc w:val="left"/>
      </w:pPr>
      <w:r>
        <w:rPr/>
        <w:t>管控要求，按照环境管控单元编制环境准入负面清单，构建环境分区管控体系。</w:t>
      </w:r>
    </w:p>
    <w:p>
      <w:pPr>
        <w:spacing w:line="357" w:lineRule="auto" w:before="154"/>
        <w:ind w:left="638" w:right="1116" w:hanging="3"/>
        <w:jc w:val="left"/>
        <w:rPr>
          <w:rFonts w:ascii="宋体" w:hAnsi="宋体" w:cs="宋体" w:eastAsia="宋体" w:hint="default"/>
          <w:sz w:val="24"/>
          <w:szCs w:val="24"/>
        </w:rPr>
      </w:pPr>
      <w:r>
        <w:rPr>
          <w:rFonts w:ascii="宋体" w:hAnsi="宋体" w:cs="宋体" w:eastAsia="宋体" w:hint="default"/>
          <w:b/>
          <w:bCs/>
          <w:sz w:val="24"/>
          <w:szCs w:val="24"/>
        </w:rPr>
        <w:t>（四） 国际业务积极投入，云和大数据板块有力拓展</w:t>
      </w:r>
      <w:r>
        <w:rPr>
          <w:rFonts w:ascii="宋体" w:hAnsi="宋体" w:cs="宋体" w:eastAsia="宋体" w:hint="default"/>
          <w:b/>
          <w:bCs/>
          <w:w w:val="99"/>
          <w:sz w:val="24"/>
          <w:szCs w:val="24"/>
        </w:rPr>
        <w:t> </w:t>
      </w:r>
      <w:r>
        <w:rPr>
          <w:rFonts w:ascii="宋体" w:hAnsi="宋体" w:cs="宋体" w:eastAsia="宋体" w:hint="default"/>
          <w:sz w:val="24"/>
          <w:szCs w:val="24"/>
        </w:rPr>
        <w:t>报告期内，公司在国际领域持续投入，通过积极参与行业活动、扩大人员投入、携手合</w:t>
      </w:r>
    </w:p>
    <w:p>
      <w:pPr>
        <w:pStyle w:val="BodyText"/>
        <w:spacing w:line="340" w:lineRule="auto"/>
        <w:ind w:right="997"/>
        <w:jc w:val="left"/>
      </w:pPr>
      <w:r>
        <w:rPr/>
        <w:t>作伙伴、开展教育培训等扩大公司的国际影响力，提升公司的品牌形象。公司在报告期内参</w:t>
      </w:r>
      <w:r>
        <w:rPr>
          <w:spacing w:val="-91"/>
        </w:rPr>
        <w:t> </w:t>
      </w:r>
      <w:r>
        <w:rPr>
          <w:spacing w:val="-91"/>
        </w:rPr>
      </w:r>
      <w:r>
        <w:rPr/>
        <w:t>与了多个国际性展会，其中包括：</w:t>
      </w:r>
      <w:r>
        <w:rPr>
          <w:color w:val="333333"/>
        </w:rPr>
        <w:t>国际测绘师联合会全会</w:t>
      </w:r>
      <w:r>
        <w:rPr>
          <w:rFonts w:ascii="Times New Roman" w:hAnsi="Times New Roman" w:cs="Times New Roman" w:eastAsia="Times New Roman" w:hint="default"/>
          <w:color w:val="333333"/>
        </w:rPr>
        <w:t>(FIG 2018)</w:t>
      </w:r>
      <w:r>
        <w:rPr>
          <w:color w:val="333333"/>
        </w:rPr>
        <w:t>、</w:t>
      </w:r>
      <w:r>
        <w:rPr>
          <w:rFonts w:ascii="Times New Roman" w:hAnsi="Times New Roman" w:cs="Times New Roman" w:eastAsia="Times New Roman" w:hint="default"/>
          <w:color w:val="333333"/>
        </w:rPr>
        <w:t>INTERGEO</w:t>
      </w:r>
      <w:r>
        <w:rPr>
          <w:rFonts w:ascii="Times New Roman" w:hAnsi="Times New Roman" w:cs="Times New Roman" w:eastAsia="Times New Roman" w:hint="default"/>
          <w:color w:val="333333"/>
          <w:spacing w:val="29"/>
        </w:rPr>
        <w:t> </w:t>
      </w:r>
      <w:r>
        <w:rPr>
          <w:rFonts w:ascii="Times New Roman" w:hAnsi="Times New Roman" w:cs="Times New Roman" w:eastAsia="Times New Roman" w:hint="default"/>
          <w:color w:val="333333"/>
        </w:rPr>
        <w:t>2018</w:t>
      </w:r>
      <w:r>
        <w:rPr>
          <w:color w:val="333333"/>
        </w:rPr>
        <w:t>、</w:t>
      </w:r>
      <w:r>
        <w:rPr/>
        <w:t>联</w:t>
      </w:r>
      <w:r>
        <w:rPr/>
        <w:t> 合国世界地理信息大会、</w:t>
      </w:r>
      <w:r>
        <w:rPr>
          <w:rFonts w:ascii="Times New Roman" w:hAnsi="Times New Roman" w:cs="Times New Roman" w:eastAsia="Times New Roman" w:hint="default"/>
        </w:rPr>
        <w:t>BIM </w:t>
      </w:r>
      <w:r>
        <w:rPr>
          <w:rFonts w:ascii="Times New Roman" w:hAnsi="Times New Roman" w:cs="Times New Roman" w:eastAsia="Times New Roman" w:hint="default"/>
          <w:spacing w:val="-4"/>
        </w:rPr>
        <w:t>World</w:t>
      </w:r>
      <w:r>
        <w:rPr>
          <w:rFonts w:ascii="Times New Roman" w:hAnsi="Times New Roman" w:cs="Times New Roman" w:eastAsia="Times New Roman" w:hint="default"/>
          <w:spacing w:val="10"/>
        </w:rPr>
        <w:t> </w:t>
      </w:r>
      <w:r>
        <w:rPr/>
        <w:t>等。公司加强人员投入，进一步扩大海外团队，并重视 拓展合作伙伴网络，在一带一路沿线国家新增代理商</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spacing w:val="-4"/>
        </w:rPr>
        <w:t>余家。报告期内，公司联合中国测绘</w:t>
      </w:r>
      <w:r>
        <w:rPr/>
        <w:t> 学会、中国测绘学会 </w:t>
      </w:r>
      <w:r>
        <w:rPr>
          <w:rFonts w:ascii="Times New Roman" w:hAnsi="Times New Roman" w:cs="Times New Roman" w:eastAsia="Times New Roman" w:hint="default"/>
        </w:rPr>
        <w:t>GIS </w:t>
      </w:r>
      <w:r>
        <w:rPr/>
        <w:t>国际培训学院承办了首届 </w:t>
      </w:r>
      <w:r>
        <w:rPr>
          <w:rFonts w:ascii="Times New Roman" w:hAnsi="Times New Roman" w:cs="Times New Roman" w:eastAsia="Times New Roman" w:hint="default"/>
        </w:rPr>
        <w:t>GIS</w:t>
      </w:r>
      <w:r>
        <w:rPr>
          <w:rFonts w:ascii="Times New Roman" w:hAnsi="Times New Roman" w:cs="Times New Roman" w:eastAsia="Times New Roman" w:hint="default"/>
          <w:spacing w:val="-18"/>
        </w:rPr>
        <w:t> </w:t>
      </w:r>
      <w:r>
        <w:rPr/>
        <w:t>软件新技术及应用国际高级研修班， 与来自</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个国家的近</w:t>
      </w:r>
      <w:r>
        <w:rPr>
          <w:spacing w:val="-48"/>
        </w:rPr>
        <w:t> </w:t>
      </w:r>
      <w:r>
        <w:rPr>
          <w:rFonts w:ascii="Times New Roman" w:hAnsi="Times New Roman" w:cs="Times New Roman" w:eastAsia="Times New Roman" w:hint="default"/>
        </w:rPr>
        <w:t>40</w:t>
      </w:r>
      <w:r>
        <w:rPr>
          <w:rFonts w:ascii="Times New Roman" w:hAnsi="Times New Roman" w:cs="Times New Roman" w:eastAsia="Times New Roman" w:hint="default"/>
          <w:spacing w:val="12"/>
        </w:rPr>
        <w:t> </w:t>
      </w:r>
      <w:r>
        <w:rPr/>
        <w:t>名测绘地理信息领域的政府官员、科研学者、企业主管就前沿技术 发展、地理信息软件体系以及</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教育实践经验进行了探讨。</w:t>
      </w:r>
    </w:p>
    <w:p>
      <w:pPr>
        <w:pStyle w:val="BodyText"/>
        <w:spacing w:line="240" w:lineRule="auto" w:before="24"/>
        <w:ind w:left="573" w:right="997"/>
        <w:jc w:val="left"/>
      </w:pPr>
      <w:r>
        <w:rPr/>
        <w:t>报告期内，地图慧持续优化产品并扩展企业客户，注册用户达到</w:t>
      </w:r>
      <w:r>
        <w:rPr>
          <w:spacing w:val="-72"/>
        </w:rPr>
        <w:t> </w:t>
      </w:r>
      <w:r>
        <w:rPr>
          <w:rFonts w:ascii="Times New Roman" w:hAnsi="Times New Roman" w:cs="Times New Roman" w:eastAsia="Times New Roman" w:hint="default"/>
        </w:rPr>
        <w:t>92</w:t>
      </w:r>
      <w:r>
        <w:rPr>
          <w:rFonts w:ascii="Times New Roman" w:hAnsi="Times New Roman" w:cs="Times New Roman" w:eastAsia="Times New Roman" w:hint="default"/>
          <w:spacing w:val="-12"/>
        </w:rPr>
        <w:t> </w:t>
      </w:r>
      <w:r>
        <w:rPr/>
        <w:t>万，新增企业注册用</w:t>
      </w:r>
    </w:p>
    <w:p>
      <w:pPr>
        <w:pStyle w:val="BodyText"/>
        <w:spacing w:line="348" w:lineRule="auto" w:before="135"/>
        <w:ind w:right="1131"/>
        <w:jc w:val="both"/>
      </w:pPr>
      <w:r>
        <w:rPr/>
        <w:t>户数量超</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3"/>
        </w:rPr>
        <w:t>万。地图慧企业版完成了产品的持续优化和迭代，将小微企业平台和大客户企业</w:t>
      </w:r>
      <w:r>
        <w:rPr/>
        <w:t> 平台打通，并完成了业务流、智能预警等功能模块的开发。为满足客户的二次开发需求，地</w:t>
      </w:r>
      <w:r>
        <w:rPr>
          <w:spacing w:val="-90"/>
        </w:rPr>
        <w:t> </w:t>
      </w:r>
      <w:r>
        <w:rPr>
          <w:spacing w:val="-90"/>
        </w:rPr>
      </w:r>
      <w:r>
        <w:rPr/>
        <w:t>图慧发布了底层</w:t>
      </w:r>
      <w:r>
        <w:rPr>
          <w:spacing w:val="-70"/>
        </w:rPr>
        <w:t> </w:t>
      </w:r>
      <w:r>
        <w:rPr>
          <w:rFonts w:ascii="Times New Roman" w:hAnsi="Times New Roman" w:cs="Times New Roman" w:eastAsia="Times New Roman" w:hint="default"/>
          <w:spacing w:val="-1"/>
          <w:w w:val="99"/>
        </w:rPr>
        <w:t>Paas</w:t>
      </w:r>
      <w:r>
        <w:rPr>
          <w:rFonts w:ascii="Times New Roman" w:hAnsi="Times New Roman" w:cs="Times New Roman" w:eastAsia="Times New Roman" w:hint="default"/>
          <w:spacing w:val="-9"/>
          <w:w w:val="99"/>
        </w:rPr>
        <w:t> </w:t>
      </w:r>
      <w:r>
        <w:rPr>
          <w:spacing w:val="-8"/>
        </w:rPr>
        <w:t>开放平台，并为有开发能力的客户提供</w:t>
      </w:r>
      <w:r>
        <w:rPr>
          <w:spacing w:val="-70"/>
        </w:rPr>
        <w:t> </w:t>
      </w:r>
      <w:r>
        <w:rPr>
          <w:rFonts w:ascii="Times New Roman" w:hAnsi="Times New Roman" w:cs="Times New Roman" w:eastAsia="Times New Roman" w:hint="default"/>
          <w:w w:val="99"/>
        </w:rPr>
        <w:t>API</w:t>
      </w:r>
      <w:r>
        <w:rPr>
          <w:rFonts w:ascii="Times New Roman" w:hAnsi="Times New Roman" w:cs="Times New Roman" w:eastAsia="Times New Roman" w:hint="default"/>
          <w:spacing w:val="-16"/>
          <w:w w:val="99"/>
        </w:rPr>
        <w:t> </w:t>
      </w:r>
      <w:r>
        <w:rPr>
          <w:spacing w:val="-10"/>
          <w:w w:val="99"/>
        </w:rPr>
        <w:t>接口。地图慧积极拓展市场，</w:t>
      </w:r>
      <w:r>
        <w:rPr>
          <w:w w:val="99"/>
        </w:rPr>
        <w:t> </w:t>
      </w:r>
      <w:r>
        <w:rPr/>
        <w:t>新签了物流、家电、零售、金融、制造、食品等行业的客户，并与包括海尔、美的、方太、</w:t>
      </w:r>
      <w:r>
        <w:rPr>
          <w:spacing w:val="-91"/>
        </w:rPr>
        <w:t> </w:t>
      </w:r>
      <w:r>
        <w:rPr>
          <w:spacing w:val="-91"/>
        </w:rPr>
      </w:r>
      <w:r>
        <w:rPr/>
        <w:t>太平洋保险等大客户顺利续签。</w:t>
      </w:r>
    </w:p>
    <w:p>
      <w:pPr>
        <w:pStyle w:val="BodyText"/>
        <w:spacing w:line="345" w:lineRule="auto" w:before="46"/>
        <w:ind w:right="1131" w:firstLine="484"/>
        <w:jc w:val="both"/>
      </w:pPr>
      <w:r>
        <w:rPr/>
        <w:t>报告期内，公司加大 </w:t>
      </w:r>
      <w:r>
        <w:rPr>
          <w:rFonts w:ascii="Times New Roman" w:hAnsi="Times New Roman" w:cs="Times New Roman" w:eastAsia="Times New Roman" w:hint="default"/>
        </w:rPr>
        <w:t>SuperMap Online</w:t>
      </w:r>
      <w:r>
        <w:rPr>
          <w:rFonts w:ascii="Times New Roman" w:hAnsi="Times New Roman" w:cs="Times New Roman" w:eastAsia="Times New Roman" w:hint="default"/>
          <w:spacing w:val="-3"/>
        </w:rPr>
        <w:t> </w:t>
      </w:r>
      <w:r>
        <w:rPr/>
        <w:t>等云服务产品的研发力度，引入云原生等技术， 进一步优化云存储、云分析业务，向行业用户及企业客户、开发者提供更优化的企业级服务</w:t>
      </w:r>
      <w:r>
        <w:rPr>
          <w:spacing w:val="-91"/>
        </w:rPr>
        <w:t> </w:t>
      </w:r>
      <w:r>
        <w:rPr>
          <w:spacing w:val="-91"/>
        </w:rPr>
      </w:r>
      <w:r>
        <w:rPr/>
        <w:t>和解决方案。</w:t>
      </w:r>
      <w:r>
        <w:rPr>
          <w:rFonts w:ascii="Times New Roman" w:hAnsi="Times New Roman" w:cs="Times New Roman" w:eastAsia="Times New Roman" w:hint="default"/>
        </w:rPr>
        <w:t>SuperMap</w:t>
      </w:r>
      <w:r>
        <w:rPr>
          <w:rFonts w:ascii="Times New Roman" w:hAnsi="Times New Roman" w:cs="Times New Roman" w:eastAsia="Times New Roman" w:hint="default"/>
          <w:spacing w:val="-26"/>
        </w:rPr>
        <w:t> </w:t>
      </w:r>
      <w:r>
        <w:rPr>
          <w:rFonts w:ascii="Times New Roman" w:hAnsi="Times New Roman" w:cs="Times New Roman" w:eastAsia="Times New Roman" w:hint="default"/>
        </w:rPr>
        <w:t>Online</w:t>
      </w:r>
      <w:r>
        <w:rPr>
          <w:rFonts w:ascii="Times New Roman" w:hAnsi="Times New Roman" w:cs="Times New Roman" w:eastAsia="Times New Roman" w:hint="default"/>
          <w:spacing w:val="-28"/>
        </w:rPr>
        <w:t> </w:t>
      </w:r>
      <w:r>
        <w:rPr/>
        <w:t>增加了中国水科院、泰康保险、税友等多个行业客户，同时开 发者用户新增</w:t>
      </w:r>
      <w:r>
        <w:rPr>
          <w:spacing w:val="-61"/>
        </w:rPr>
        <w:t> </w:t>
      </w:r>
      <w:r>
        <w:rPr>
          <w:rFonts w:ascii="Times New Roman" w:hAnsi="Times New Roman" w:cs="Times New Roman" w:eastAsia="Times New Roman" w:hint="default"/>
        </w:rPr>
        <w:t>1.2 </w:t>
      </w:r>
      <w:r>
        <w:rPr/>
        <w:t>万。</w:t>
      </w:r>
    </w:p>
    <w:p>
      <w:pPr>
        <w:spacing w:line="240" w:lineRule="auto" w:before="6"/>
        <w:rPr>
          <w:rFonts w:ascii="宋体" w:hAnsi="宋体" w:cs="宋体" w:eastAsia="宋体" w:hint="default"/>
          <w:sz w:val="18"/>
          <w:szCs w:val="18"/>
        </w:rPr>
      </w:pPr>
    </w:p>
    <w:p>
      <w:pPr>
        <w:spacing w:before="0"/>
        <w:ind w:left="153" w:right="1273"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b/>
          <w:bCs/>
          <w:sz w:val="24"/>
          <w:szCs w:val="24"/>
        </w:rPr>
        <w:t>主营业务分析</w:t>
      </w:r>
      <w:r>
        <w:rPr>
          <w:rFonts w:ascii="宋体" w:hAnsi="宋体" w:cs="宋体" w:eastAsia="宋体" w:hint="default"/>
          <w:sz w:val="24"/>
          <w:szCs w:val="24"/>
        </w:rPr>
      </w:r>
    </w:p>
    <w:p>
      <w:pPr>
        <w:spacing w:line="240" w:lineRule="auto" w:before="8"/>
        <w:rPr>
          <w:rFonts w:ascii="宋体" w:hAnsi="宋体" w:cs="宋体" w:eastAsia="宋体" w:hint="default"/>
          <w:b/>
          <w:bCs/>
          <w:sz w:val="28"/>
          <w:szCs w:val="28"/>
        </w:rPr>
      </w:pPr>
    </w:p>
    <w:p>
      <w:pPr>
        <w:pStyle w:val="Heading2"/>
        <w:spacing w:line="240" w:lineRule="auto"/>
        <w:ind w:right="127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33"/>
          <w:szCs w:val="33"/>
        </w:rPr>
      </w:pPr>
    </w:p>
    <w:p>
      <w:pPr>
        <w:pStyle w:val="BodyText"/>
        <w:spacing w:line="240" w:lineRule="auto" w:before="0"/>
        <w:ind w:left="633" w:right="1273"/>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4"/>
        <w:rPr>
          <w:rFonts w:ascii="宋体" w:hAnsi="宋体" w:cs="宋体" w:eastAsia="宋体" w:hint="default"/>
          <w:sz w:val="33"/>
          <w:szCs w:val="33"/>
        </w:rPr>
      </w:pPr>
    </w:p>
    <w:p>
      <w:pPr>
        <w:pStyle w:val="Heading2"/>
        <w:spacing w:line="240" w:lineRule="auto"/>
        <w:ind w:right="127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4"/>
        <w:rPr>
          <w:rFonts w:ascii="宋体" w:hAnsi="宋体" w:cs="宋体" w:eastAsia="宋体" w:hint="default"/>
          <w:b/>
          <w:bCs/>
          <w:sz w:val="33"/>
          <w:szCs w:val="33"/>
        </w:rPr>
      </w:pPr>
    </w:p>
    <w:p>
      <w:pPr>
        <w:spacing w:line="554" w:lineRule="auto" w:before="0"/>
        <w:ind w:left="393" w:right="5233" w:hanging="24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）营业收入构成</w:t>
      </w:r>
      <w:r>
        <w:rPr>
          <w:rFonts w:ascii="宋体" w:hAnsi="宋体" w:cs="宋体" w:eastAsia="宋体" w:hint="default"/>
          <w:b/>
          <w:bCs/>
          <w:w w:val="99"/>
          <w:sz w:val="24"/>
          <w:szCs w:val="24"/>
        </w:rPr>
        <w:t> </w:t>
      </w:r>
      <w:r>
        <w:rPr>
          <w:rFonts w:ascii="宋体" w:hAnsi="宋体" w:cs="宋体" w:eastAsia="宋体" w:hint="default"/>
          <w:sz w:val="24"/>
          <w:szCs w:val="24"/>
        </w:rPr>
        <w:t>公司是否需要遵守光伏产业链相关业的披露要求：</w:t>
      </w:r>
    </w:p>
    <w:p>
      <w:pPr>
        <w:spacing w:after="0" w:line="554" w:lineRule="auto"/>
        <w:jc w:val="left"/>
        <w:rPr>
          <w:rFonts w:ascii="宋体" w:hAnsi="宋体" w:cs="宋体" w:eastAsia="宋体" w:hint="default"/>
          <w:sz w:val="24"/>
          <w:szCs w:val="24"/>
        </w:rPr>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left="693"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35"/>
        <w:ind w:left="213" w:right="994" w:firstLine="240"/>
        <w:jc w:val="left"/>
      </w:pPr>
      <w:r>
        <w:rPr>
          <w:spacing w:val="-4"/>
        </w:rPr>
        <w:t>公司是否需遵守《深圳证券交易所创业板行业信息披露指引第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上市公司从事广播 电影电视业务》的披露要求：</w:t>
      </w:r>
    </w:p>
    <w:p>
      <w:pPr>
        <w:pStyle w:val="BodyText"/>
        <w:spacing w:line="240" w:lineRule="auto" w:before="55"/>
        <w:ind w:left="693"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35"/>
        <w:ind w:left="213" w:right="994" w:firstLine="240"/>
        <w:jc w:val="left"/>
      </w:pPr>
      <w:r>
        <w:rPr>
          <w:spacing w:val="-4"/>
        </w:rPr>
        <w:t>公司是否需遵守《深圳证券交易所创业板行业信息披露指引第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上市公司从事互联 网游戏业务》的披露要求：</w:t>
      </w:r>
    </w:p>
    <w:p>
      <w:pPr>
        <w:pStyle w:val="BodyText"/>
        <w:spacing w:line="240" w:lineRule="auto" w:before="55"/>
        <w:ind w:left="693"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240" w:lineRule="auto" w:before="135"/>
        <w:ind w:left="453" w:right="994"/>
        <w:jc w:val="left"/>
        <w:rPr>
          <w:rFonts w:ascii="Times New Roman" w:hAnsi="Times New Roman" w:cs="Times New Roman" w:eastAsia="Times New Roman" w:hint="default"/>
        </w:rPr>
      </w:pPr>
      <w:r>
        <w:rPr>
          <w:spacing w:val="-3"/>
        </w:rPr>
        <w:t>公司是否需遵守《深圳证券交易所创业板行业信息披露指引第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7"/>
        </w:rPr>
        <w:t> </w:t>
      </w:r>
      <w:r>
        <w:rPr>
          <w:rFonts w:ascii="Times New Roman" w:hAnsi="Times New Roman" w:cs="Times New Roman" w:eastAsia="Times New Roman" w:hint="default"/>
        </w:rPr>
        <w:t>LED</w:t>
      </w:r>
    </w:p>
    <w:p>
      <w:pPr>
        <w:pStyle w:val="BodyText"/>
        <w:spacing w:line="240" w:lineRule="auto" w:before="136"/>
        <w:ind w:left="213" w:right="994"/>
        <w:jc w:val="left"/>
      </w:pPr>
      <w:r>
        <w:rPr/>
        <w:t>产为链相关业务》的披露要求：</w:t>
      </w:r>
    </w:p>
    <w:p>
      <w:pPr>
        <w:pStyle w:val="BodyText"/>
        <w:spacing w:line="240" w:lineRule="auto" w:before="154"/>
        <w:ind w:left="693"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35"/>
        <w:ind w:left="213" w:right="1212" w:firstLine="240"/>
        <w:jc w:val="left"/>
      </w:pPr>
      <w:r>
        <w:rPr/>
        <w:t>公司是否需遵守《深圳证券交易所创业板行业信息披露指引第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 疗器械业务》的披露要求：</w:t>
      </w:r>
    </w:p>
    <w:p>
      <w:pPr>
        <w:pStyle w:val="BodyText"/>
        <w:spacing w:line="240" w:lineRule="auto" w:before="55"/>
        <w:ind w:left="693"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35"/>
        <w:ind w:left="213" w:right="1117" w:firstLine="480"/>
        <w:jc w:val="left"/>
      </w:pPr>
      <w:r>
        <w:rPr>
          <w:spacing w:val="-4"/>
        </w:rPr>
        <w:t>公司是否遵守《深圳证券交易所行业信息披露指引第</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上市公司从事软件与信息 技术服务业务》的披露要求</w:t>
      </w:r>
    </w:p>
    <w:p>
      <w:pPr>
        <w:pStyle w:val="BodyText"/>
        <w:tabs>
          <w:tab w:pos="1425" w:val="left" w:leader="none"/>
        </w:tabs>
        <w:spacing w:line="240" w:lineRule="auto" w:before="56"/>
        <w:ind w:left="693" w:right="994"/>
        <w:jc w:val="left"/>
      </w:pPr>
      <w:r>
        <w:rPr>
          <w:rFonts w:ascii="Times New Roman" w:hAnsi="Times New Roman" w:cs="Times New Roman" w:eastAsia="Times New Roman" w:hint="default"/>
        </w:rPr>
        <w:t>√  </w:t>
      </w:r>
      <w:r>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before="16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848"/>
        <w:gridCol w:w="1133"/>
        <w:gridCol w:w="1136"/>
        <w:gridCol w:w="1133"/>
        <w:gridCol w:w="1136"/>
        <w:gridCol w:w="1274"/>
        <w:gridCol w:w="994"/>
        <w:gridCol w:w="991"/>
        <w:gridCol w:w="987"/>
      </w:tblGrid>
      <w:tr>
        <w:trPr>
          <w:trHeight w:val="322" w:hRule="exact"/>
        </w:trPr>
        <w:tc>
          <w:tcPr>
            <w:tcW w:w="848" w:type="dxa"/>
            <w:vMerge w:val="restart"/>
            <w:tcBorders>
              <w:top w:val="single" w:sz="4" w:space="0" w:color="000000"/>
              <w:left w:val="single" w:sz="4" w:space="0" w:color="000000"/>
              <w:right w:val="single" w:sz="4" w:space="0" w:color="000000"/>
            </w:tcBorders>
            <w:shd w:val="clear" w:color="auto" w:fill="BEBEBE"/>
          </w:tcPr>
          <w:p>
            <w:pPr/>
          </w:p>
        </w:tc>
        <w:tc>
          <w:tcPr>
            <w:tcW w:w="4537"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4247"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634" w:hRule="exact"/>
        </w:trPr>
        <w:tc>
          <w:tcPr>
            <w:tcW w:w="848" w:type="dxa"/>
            <w:vMerge/>
            <w:tcBorders>
              <w:left w:val="single" w:sz="4" w:space="0" w:color="000000"/>
              <w:bottom w:val="single" w:sz="4" w:space="0" w:color="000000"/>
              <w:right w:val="single" w:sz="4" w:space="0" w:color="000000"/>
            </w:tcBorders>
            <w:shd w:val="clear" w:color="auto" w:fill="BEBEBE"/>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b/>
                <w:bCs/>
                <w:sz w:val="21"/>
                <w:szCs w:val="21"/>
              </w:rPr>
              <w:t>第二季度</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b/>
                <w:bCs/>
                <w:sz w:val="21"/>
                <w:szCs w:val="21"/>
              </w:rPr>
              <w:t>第三季度</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b/>
                <w:bCs/>
                <w:sz w:val="21"/>
                <w:szCs w:val="21"/>
              </w:rPr>
              <w:t>第四季度</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86" w:right="173" w:hanging="212"/>
              <w:jc w:val="left"/>
              <w:rPr>
                <w:rFonts w:ascii="宋体" w:hAnsi="宋体" w:cs="宋体" w:eastAsia="宋体" w:hint="default"/>
                <w:sz w:val="21"/>
                <w:szCs w:val="21"/>
              </w:rPr>
            </w:pPr>
            <w:r>
              <w:rPr>
                <w:rFonts w:ascii="宋体" w:hAnsi="宋体" w:cs="宋体" w:eastAsia="宋体" w:hint="default"/>
                <w:b/>
                <w:bCs/>
                <w:sz w:val="21"/>
                <w:szCs w:val="21"/>
              </w:rPr>
              <w:t>第二季</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83" w:right="173" w:hanging="212"/>
              <w:jc w:val="left"/>
              <w:rPr>
                <w:rFonts w:ascii="宋体" w:hAnsi="宋体" w:cs="宋体" w:eastAsia="宋体" w:hint="default"/>
                <w:sz w:val="21"/>
                <w:szCs w:val="21"/>
              </w:rPr>
            </w:pPr>
            <w:r>
              <w:rPr>
                <w:rFonts w:ascii="宋体" w:hAnsi="宋体" w:cs="宋体" w:eastAsia="宋体" w:hint="default"/>
                <w:b/>
                <w:bCs/>
                <w:sz w:val="21"/>
                <w:szCs w:val="21"/>
              </w:rPr>
              <w:t>第三季</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sz w:val="21"/>
                <w:szCs w:val="21"/>
              </w:rPr>
            </w:r>
          </w:p>
        </w:tc>
        <w:tc>
          <w:tcPr>
            <w:tcW w:w="9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81" w:right="171" w:hanging="212"/>
              <w:jc w:val="left"/>
              <w:rPr>
                <w:rFonts w:ascii="宋体" w:hAnsi="宋体" w:cs="宋体" w:eastAsia="宋体" w:hint="default"/>
                <w:sz w:val="21"/>
                <w:szCs w:val="21"/>
              </w:rPr>
            </w:pPr>
            <w:r>
              <w:rPr>
                <w:rFonts w:ascii="宋体" w:hAnsi="宋体" w:cs="宋体" w:eastAsia="宋体" w:hint="default"/>
                <w:b/>
                <w:bCs/>
                <w:sz w:val="21"/>
                <w:szCs w:val="21"/>
              </w:rPr>
              <w:t>第四季</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sz w:val="21"/>
                <w:szCs w:val="21"/>
              </w:rPr>
            </w:r>
          </w:p>
        </w:tc>
      </w:tr>
      <w:tr>
        <w:trPr>
          <w:trHeight w:val="634" w:hRule="exact"/>
        </w:trPr>
        <w:tc>
          <w:tcPr>
            <w:tcW w:w="8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236,208,6</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35.06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317,086,8</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82.45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362,266,5</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88.53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602,226,1</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21.29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190,653,814</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6" w:right="0"/>
              <w:jc w:val="left"/>
              <w:rPr>
                <w:rFonts w:ascii="Times New Roman" w:hAnsi="Times New Roman" w:cs="Times New Roman" w:eastAsia="Times New Roman" w:hint="default"/>
                <w:sz w:val="21"/>
                <w:szCs w:val="21"/>
              </w:rPr>
            </w:pPr>
            <w:r>
              <w:rPr>
                <w:rFonts w:ascii="Times New Roman"/>
                <w:sz w:val="21"/>
              </w:rPr>
              <w:t>212,607,</w:t>
            </w:r>
          </w:p>
          <w:p>
            <w:pPr>
              <w:pStyle w:val="TableParagraph"/>
              <w:spacing w:line="240" w:lineRule="auto" w:before="70"/>
              <w:ind w:left="106" w:right="0"/>
              <w:jc w:val="left"/>
              <w:rPr>
                <w:rFonts w:ascii="Times New Roman" w:hAnsi="Times New Roman" w:cs="Times New Roman" w:eastAsia="Times New Roman" w:hint="default"/>
                <w:sz w:val="21"/>
                <w:szCs w:val="21"/>
              </w:rPr>
            </w:pPr>
            <w:r>
              <w:rPr>
                <w:rFonts w:ascii="Times New Roman"/>
                <w:sz w:val="21"/>
              </w:rPr>
              <w:t>844.12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314,035,</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544.71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532,461,</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345.61</w:t>
            </w:r>
          </w:p>
        </w:tc>
      </w:tr>
      <w:tr>
        <w:trPr>
          <w:trHeight w:val="1260" w:hRule="exact"/>
        </w:trPr>
        <w:tc>
          <w:tcPr>
            <w:tcW w:w="8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属于上</w:t>
            </w:r>
            <w:r>
              <w:rPr>
                <w:rFonts w:ascii="宋体" w:hAnsi="宋体" w:cs="宋体" w:eastAsia="宋体" w:hint="default"/>
                <w:spacing w:val="-102"/>
                <w:sz w:val="21"/>
                <w:szCs w:val="21"/>
              </w:rPr>
              <w:t> </w:t>
            </w:r>
            <w:r>
              <w:rPr>
                <w:rFonts w:ascii="宋体" w:hAnsi="宋体" w:cs="宋体" w:eastAsia="宋体" w:hint="default"/>
                <w:sz w:val="21"/>
                <w:szCs w:val="21"/>
              </w:rPr>
              <w:t>市公司</w:t>
            </w:r>
            <w:r>
              <w:rPr>
                <w:rFonts w:ascii="宋体" w:hAnsi="宋体" w:cs="宋体" w:eastAsia="宋体" w:hint="default"/>
                <w:spacing w:val="-102"/>
                <w:sz w:val="21"/>
                <w:szCs w:val="21"/>
              </w:rPr>
              <w:t> </w:t>
            </w:r>
            <w:r>
              <w:rPr>
                <w:rFonts w:ascii="宋体" w:hAnsi="宋体" w:cs="宋体" w:eastAsia="宋体" w:hint="default"/>
                <w:sz w:val="21"/>
                <w:szCs w:val="21"/>
              </w:rPr>
              <w:t>股东的</w:t>
            </w:r>
            <w:r>
              <w:rPr>
                <w:rFonts w:ascii="宋体" w:hAnsi="宋体" w:cs="宋体" w:eastAsia="宋体" w:hint="default"/>
                <w:spacing w:val="-102"/>
                <w:sz w:val="21"/>
                <w:szCs w:val="21"/>
              </w:rPr>
              <w:t> </w:t>
            </w:r>
            <w:r>
              <w:rPr>
                <w:rFonts w:ascii="宋体" w:hAnsi="宋体" w:cs="宋体" w:eastAsia="宋体" w:hint="default"/>
                <w:sz w:val="21"/>
                <w:szCs w:val="21"/>
              </w:rPr>
              <w:t>净利润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12,767,03</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6.21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26,727,12</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2.58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66,589,87</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4.15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61,528,40</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9.15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7,644,197.3</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6" w:right="0"/>
              <w:jc w:val="left"/>
              <w:rPr>
                <w:rFonts w:ascii="Times New Roman" w:hAnsi="Times New Roman" w:cs="Times New Roman" w:eastAsia="Times New Roman" w:hint="default"/>
                <w:sz w:val="21"/>
                <w:szCs w:val="21"/>
              </w:rPr>
            </w:pPr>
            <w:r>
              <w:rPr>
                <w:rFonts w:ascii="Times New Roman"/>
                <w:sz w:val="21"/>
              </w:rPr>
              <w:t>18,376,4</w:t>
            </w:r>
          </w:p>
          <w:p>
            <w:pPr>
              <w:pStyle w:val="TableParagraph"/>
              <w:spacing w:line="240" w:lineRule="auto" w:before="70"/>
              <w:ind w:left="106" w:right="0"/>
              <w:jc w:val="left"/>
              <w:rPr>
                <w:rFonts w:ascii="Times New Roman" w:hAnsi="Times New Roman" w:cs="Times New Roman" w:eastAsia="Times New Roman" w:hint="default"/>
                <w:sz w:val="21"/>
                <w:szCs w:val="21"/>
              </w:rPr>
            </w:pPr>
            <w:r>
              <w:rPr>
                <w:rFonts w:ascii="Times New Roman"/>
                <w:sz w:val="21"/>
              </w:rPr>
              <w:t>52.34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44,016,5</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28.35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126,228,</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855.19</w:t>
            </w:r>
          </w:p>
        </w:tc>
      </w:tr>
    </w:tbl>
    <w:p>
      <w:pPr>
        <w:pStyle w:val="BodyText"/>
        <w:spacing w:line="357" w:lineRule="auto" w:before="39"/>
        <w:ind w:left="693" w:right="1153"/>
        <w:jc w:val="left"/>
      </w:pPr>
      <w:r>
        <w:rPr/>
        <w:t>说明经营季节性（或周期性）发生的原因及波动风险： 公司经营具有明显的上下半年不均衡特点及风险，下半年实现的收入占全年收入的比例</w:t>
      </w:r>
    </w:p>
    <w:p>
      <w:pPr>
        <w:pStyle w:val="BodyText"/>
        <w:spacing w:line="357" w:lineRule="auto"/>
        <w:ind w:left="213" w:right="1171"/>
        <w:jc w:val="both"/>
      </w:pPr>
      <w:r>
        <w:rPr/>
        <w:t>较高，主要原因在于：公司提供的地理信息系统产品和服务的用户多为政府部门或其事业单 位，客户一般在上半年制订采购预算，发布招标公告；正式采购合同通常在下半年签订，故 此公司业务合同的签订主要集中于下半年。</w:t>
      </w:r>
    </w:p>
    <w:p>
      <w:pPr>
        <w:pStyle w:val="BodyText"/>
        <w:spacing w:line="240" w:lineRule="auto"/>
        <w:ind w:left="693" w:right="994"/>
        <w:jc w:val="left"/>
      </w:pPr>
      <w:r>
        <w:rPr/>
        <w:t>营业收入整体情况：</w:t>
      </w:r>
    </w:p>
    <w:p>
      <w:pPr>
        <w:spacing w:after="0" w:line="240" w:lineRule="auto"/>
        <w:jc w:val="left"/>
        <w:sectPr>
          <w:pgSz w:w="11910" w:h="16840"/>
          <w:pgMar w:header="877" w:footer="979" w:top="1100" w:bottom="1160" w:left="920" w:right="0"/>
        </w:sectPr>
      </w:pPr>
    </w:p>
    <w:p>
      <w:pPr>
        <w:spacing w:line="240" w:lineRule="auto" w:before="9"/>
        <w:rPr>
          <w:rFonts w:ascii="宋体" w:hAnsi="宋体" w:cs="宋体" w:eastAsia="宋体" w:hint="default"/>
          <w:sz w:val="26"/>
          <w:szCs w:val="26"/>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599"/>
        <w:gridCol w:w="1591"/>
        <w:gridCol w:w="1594"/>
        <w:gridCol w:w="1596"/>
        <w:gridCol w:w="1591"/>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5"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5" w:right="0"/>
              <w:jc w:val="left"/>
              <w:rPr>
                <w:rFonts w:ascii="宋体" w:hAnsi="宋体" w:cs="宋体" w:eastAsia="宋体" w:hint="default"/>
                <w:sz w:val="21"/>
                <w:szCs w:val="21"/>
              </w:rPr>
            </w:pPr>
            <w:r>
              <w:rPr>
                <w:rFonts w:ascii="宋体" w:hAnsi="宋体" w:cs="宋体" w:eastAsia="宋体" w:hint="default"/>
                <w:b/>
                <w:bCs/>
                <w:sz w:val="21"/>
                <w:szCs w:val="21"/>
              </w:rPr>
              <w:t>占营业收入比重</w:t>
            </w:r>
            <w:r>
              <w:rPr>
                <w:rFonts w:ascii="宋体" w:hAnsi="宋体" w:cs="宋体" w:eastAsia="宋体" w:hint="default"/>
                <w:sz w:val="21"/>
                <w:szCs w:val="21"/>
              </w:rPr>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5" w:right="0"/>
              <w:jc w:val="left"/>
              <w:rPr>
                <w:rFonts w:ascii="宋体" w:hAnsi="宋体" w:cs="宋体" w:eastAsia="宋体" w:hint="default"/>
                <w:sz w:val="21"/>
                <w:szCs w:val="21"/>
              </w:rPr>
            </w:pPr>
            <w:r>
              <w:rPr>
                <w:rFonts w:ascii="宋体" w:hAnsi="宋体" w:cs="宋体" w:eastAsia="宋体" w:hint="default"/>
                <w:b/>
                <w:bCs/>
                <w:sz w:val="21"/>
                <w:szCs w:val="21"/>
              </w:rPr>
              <w:t>占营业收入比重</w:t>
            </w:r>
            <w:r>
              <w:rPr>
                <w:rFonts w:ascii="宋体" w:hAnsi="宋体" w:cs="宋体" w:eastAsia="宋体" w:hint="default"/>
                <w:sz w:val="21"/>
                <w:szCs w:val="21"/>
              </w:rPr>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5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1,517,788,227.33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1,249,758,548.46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21.45%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sz w:val="21"/>
                <w:szCs w:val="21"/>
              </w:rPr>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1,498,575,562.57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98.73%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1,230,785,737.30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98.48%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21.76%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19,212,664.76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18,972,811.16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1.52%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1.26%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1,498,575,562.57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98.73%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1,199,170,370.49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95.95%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24.97%</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9"/>
              <w:ind w:left="24" w:right="12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软件配套产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31,615,366.81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21"/>
                <w:szCs w:val="21"/>
              </w:rPr>
            </w:pPr>
            <w:r>
              <w:rPr>
                <w:rFonts w:ascii="Times New Roman"/>
                <w:sz w:val="21"/>
              </w:rPr>
              <w:t>2.53%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19,212,664.76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18,972,811.16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1.52%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1.26%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sz w:val="21"/>
                <w:szCs w:val="21"/>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192,060,145.75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12.65%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148,826,149.36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pacing w:val="-2"/>
                <w:sz w:val="21"/>
              </w:rPr>
              <w:t>11.91%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29.05%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625,517,765.30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41.21%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465,011,235.81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37.21%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34.52%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188,870,940.00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12.44%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160,114,394.71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12.81%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17.96%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162,450,324.12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134,802,360.07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10.79%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20.51%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74,624,868.52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4.92%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68,924,788.51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5.52%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8.27%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73,958,636.11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75,552,800.19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6.05%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-2.11%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102,287,632.63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6.74%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99,598,473.84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7.95%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2.70%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78,805,250.14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77,955,534.81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6.24%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19,212,664.76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18,972,811.16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1.52%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1.26%</w:t>
            </w:r>
          </w:p>
        </w:tc>
      </w:tr>
    </w:tbl>
    <w:p>
      <w:pPr>
        <w:spacing w:line="240" w:lineRule="auto" w:before="12"/>
        <w:rPr>
          <w:rFonts w:ascii="宋体" w:hAnsi="宋体" w:cs="宋体" w:eastAsia="宋体" w:hint="default"/>
          <w:sz w:val="23"/>
          <w:szCs w:val="23"/>
        </w:rPr>
      </w:pPr>
    </w:p>
    <w:p>
      <w:pPr>
        <w:pStyle w:val="Heading2"/>
        <w:spacing w:line="240" w:lineRule="auto" w:before="26"/>
        <w:ind w:right="1273"/>
        <w:jc w:val="left"/>
        <w:rPr>
          <w:b w:val="0"/>
          <w:bCs w:val="0"/>
        </w:rPr>
      </w:pPr>
      <w:r>
        <w:rPr/>
        <w:t>（</w:t>
      </w:r>
      <w:r>
        <w:rPr>
          <w:rFonts w:ascii="Times New Roman" w:hAnsi="Times New Roman" w:cs="Times New Roman" w:eastAsia="Times New Roman" w:hint="default"/>
        </w:rPr>
        <w:t>2</w:t>
      </w:r>
      <w:r>
        <w:rPr/>
        <w:t>）占公司营业收入或营业利润</w:t>
      </w:r>
      <w:r>
        <w:rPr>
          <w:spacing w:val="-6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right="1117"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p>
      <w:pPr>
        <w:spacing w:before="8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102"/>
        <w:gridCol w:w="1633"/>
        <w:gridCol w:w="1486"/>
        <w:gridCol w:w="1246"/>
        <w:gridCol w:w="1369"/>
        <w:gridCol w:w="1366"/>
        <w:gridCol w:w="1373"/>
      </w:tblGrid>
      <w:tr>
        <w:trPr>
          <w:trHeight w:val="715"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1" w:right="44" w:hanging="106"/>
              <w:jc w:val="left"/>
              <w:rPr>
                <w:rFonts w:ascii="宋体" w:hAnsi="宋体" w:cs="宋体" w:eastAsia="宋体" w:hint="default"/>
                <w:sz w:val="21"/>
                <w:szCs w:val="21"/>
              </w:rPr>
            </w:pPr>
            <w:r>
              <w:rPr>
                <w:rFonts w:ascii="宋体" w:hAnsi="宋体" w:cs="宋体" w:eastAsia="宋体" w:hint="default"/>
                <w:b/>
                <w:bCs/>
                <w:sz w:val="21"/>
                <w:szCs w:val="21"/>
              </w:rPr>
              <w:t>营业收入比上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1" w:right="41" w:hanging="106"/>
              <w:jc w:val="left"/>
              <w:rPr>
                <w:rFonts w:ascii="宋体" w:hAnsi="宋体" w:cs="宋体" w:eastAsia="宋体" w:hint="default"/>
                <w:sz w:val="21"/>
                <w:szCs w:val="21"/>
              </w:rPr>
            </w:pPr>
            <w:r>
              <w:rPr>
                <w:rFonts w:ascii="宋体" w:hAnsi="宋体" w:cs="宋体" w:eastAsia="宋体" w:hint="default"/>
                <w:b/>
                <w:bCs/>
                <w:sz w:val="21"/>
                <w:szCs w:val="21"/>
              </w:rPr>
              <w:t>营业成本比上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1" w:right="45" w:hanging="212"/>
              <w:jc w:val="left"/>
              <w:rPr>
                <w:rFonts w:ascii="宋体" w:hAnsi="宋体" w:cs="宋体" w:eastAsia="宋体" w:hint="default"/>
                <w:sz w:val="21"/>
                <w:szCs w:val="21"/>
              </w:rPr>
            </w:pPr>
            <w:r>
              <w:rPr>
                <w:rFonts w:ascii="宋体" w:hAnsi="宋体" w:cs="宋体" w:eastAsia="宋体" w:hint="default"/>
                <w:b/>
                <w:bCs/>
                <w:sz w:val="21"/>
                <w:szCs w:val="21"/>
              </w:rPr>
              <w:t>毛利率比上年</w:t>
            </w:r>
            <w:r>
              <w:rPr>
                <w:rFonts w:ascii="宋体" w:hAnsi="宋体" w:cs="宋体" w:eastAsia="宋体" w:hint="default"/>
                <w:b/>
                <w:bCs/>
                <w:spacing w:val="-104"/>
                <w:sz w:val="21"/>
                <w:szCs w:val="21"/>
              </w:rPr>
              <w:t> </w:t>
            </w:r>
            <w:r>
              <w:rPr>
                <w:rFonts w:ascii="宋体" w:hAnsi="宋体" w:cs="宋体" w:eastAsia="宋体" w:hint="default"/>
                <w:b/>
                <w:bCs/>
                <w:sz w:val="21"/>
                <w:szCs w:val="21"/>
              </w:rPr>
              <w:t>同期增减</w:t>
            </w:r>
            <w:r>
              <w:rPr>
                <w:rFonts w:ascii="宋体" w:hAnsi="宋体" w:cs="宋体" w:eastAsia="宋体" w:hint="default"/>
                <w:sz w:val="21"/>
                <w:szCs w:val="21"/>
              </w:rPr>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sz w:val="21"/>
                <w:szCs w:val="21"/>
              </w:rPr>
            </w: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9" w:right="0"/>
              <w:jc w:val="center"/>
              <w:rPr>
                <w:rFonts w:ascii="Times New Roman" w:hAnsi="Times New Roman" w:cs="Times New Roman" w:eastAsia="Times New Roman" w:hint="default"/>
                <w:sz w:val="21"/>
                <w:szCs w:val="21"/>
              </w:rPr>
            </w:pPr>
            <w:r>
              <w:rPr>
                <w:rFonts w:ascii="Times New Roman"/>
                <w:sz w:val="21"/>
              </w:rPr>
              <w:t>1,498,575,562.57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2" w:right="0"/>
              <w:jc w:val="center"/>
              <w:rPr>
                <w:rFonts w:ascii="Times New Roman" w:hAnsi="Times New Roman" w:cs="Times New Roman" w:eastAsia="Times New Roman" w:hint="default"/>
                <w:sz w:val="21"/>
                <w:szCs w:val="21"/>
              </w:rPr>
            </w:pPr>
            <w:r>
              <w:rPr>
                <w:rFonts w:ascii="Times New Roman"/>
                <w:sz w:val="21"/>
              </w:rPr>
              <w:t>677,904,314.90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6" w:right="0"/>
              <w:jc w:val="left"/>
              <w:rPr>
                <w:rFonts w:ascii="Times New Roman" w:hAnsi="Times New Roman" w:cs="Times New Roman" w:eastAsia="Times New Roman" w:hint="default"/>
                <w:sz w:val="21"/>
                <w:szCs w:val="21"/>
              </w:rPr>
            </w:pPr>
            <w:r>
              <w:rPr>
                <w:rFonts w:ascii="Times New Roman"/>
                <w:sz w:val="21"/>
              </w:rPr>
              <w:t>54.76%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21.76%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33.98%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29" w:right="0"/>
              <w:jc w:val="left"/>
              <w:rPr>
                <w:rFonts w:ascii="Times New Roman" w:hAnsi="Times New Roman" w:cs="Times New Roman" w:eastAsia="Times New Roman" w:hint="default"/>
                <w:sz w:val="21"/>
                <w:szCs w:val="21"/>
              </w:rPr>
            </w:pPr>
            <w:r>
              <w:rPr>
                <w:rFonts w:ascii="Times New Roman"/>
                <w:sz w:val="21"/>
              </w:rPr>
              <w:t>-4.13%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102"/>
        <w:gridCol w:w="1633"/>
        <w:gridCol w:w="1486"/>
        <w:gridCol w:w="1246"/>
        <w:gridCol w:w="1369"/>
        <w:gridCol w:w="1366"/>
        <w:gridCol w:w="1373"/>
      </w:tblGrid>
      <w:tr>
        <w:trPr>
          <w:trHeight w:val="40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1,498,575,562.57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677,904,314.90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54.76%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38.92</w:t>
            </w:r>
            <w:r>
              <w:rPr>
                <w:rFonts w:ascii="Times New Roman"/>
                <w:spacing w:val="3"/>
                <w:sz w:val="21"/>
              </w:rPr>
              <w:t> </w:t>
            </w:r>
            <w:r>
              <w:rPr>
                <w:rFonts w:ascii="Times New Roman"/>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-4.54%</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sz w:val="21"/>
                <w:szCs w:val="21"/>
              </w:rPr>
            </w:r>
          </w:p>
        </w:tc>
      </w:tr>
      <w:tr>
        <w:trPr>
          <w:trHeight w:val="4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192,060,145.75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51,433,707.03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73.22%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51.78%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-4.01%</w:t>
            </w: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625,517,765.30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285,986,722.29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54.28%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34.52%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pacing w:val="-2"/>
                <w:sz w:val="21"/>
              </w:rPr>
              <w:t>51.11%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-5.02%</w:t>
            </w:r>
          </w:p>
        </w:tc>
      </w:tr>
      <w:tr>
        <w:trPr>
          <w:trHeight w:val="4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188,870,940.00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73,111,940.87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61.29%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17.93%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0.01%</w:t>
            </w: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162,450,324.12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86,212,387.01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46.93%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20.51%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33.41%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-5.13%</w:t>
            </w:r>
          </w:p>
        </w:tc>
      </w:tr>
    </w:tbl>
    <w:p>
      <w:pPr>
        <w:pStyle w:val="BodyText"/>
        <w:spacing w:line="338" w:lineRule="auto" w:before="39"/>
        <w:ind w:right="1212" w:firstLine="420"/>
        <w:jc w:val="left"/>
      </w:pPr>
      <w:r>
        <w:rPr/>
        <w:t>公司主营业务数据统计口径在报告期发生调整的情况下，公司最近</w:t>
      </w:r>
      <w:r>
        <w:rPr>
          <w:spacing w:val="-59"/>
        </w:rPr>
        <w:t> </w:t>
      </w:r>
      <w:r>
        <w:rPr>
          <w:rFonts w:ascii="Times New Roman" w:hAnsi="Times New Roman" w:cs="Times New Roman" w:eastAsia="Times New Roman" w:hint="default"/>
        </w:rPr>
        <w:t>1 </w:t>
      </w:r>
      <w:r>
        <w:rPr/>
        <w:t>年按报告期末口径 调整后的主营业务数据</w:t>
      </w:r>
    </w:p>
    <w:p>
      <w:pPr>
        <w:pStyle w:val="BodyText"/>
        <w:spacing w:line="240" w:lineRule="auto" w:before="55"/>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33"/>
          <w:szCs w:val="33"/>
        </w:rPr>
      </w:pPr>
    </w:p>
    <w:p>
      <w:pPr>
        <w:pStyle w:val="Heading2"/>
        <w:spacing w:line="240" w:lineRule="auto"/>
        <w:ind w:right="127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4"/>
        <w:rPr>
          <w:rFonts w:ascii="宋体" w:hAnsi="宋体" w:cs="宋体" w:eastAsia="宋体" w:hint="default"/>
          <w:sz w:val="33"/>
          <w:szCs w:val="33"/>
        </w:rPr>
      </w:pPr>
    </w:p>
    <w:p>
      <w:pPr>
        <w:pStyle w:val="Heading2"/>
        <w:spacing w:line="240" w:lineRule="auto"/>
        <w:ind w:right="127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right="1117"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p>
      <w:pPr>
        <w:pStyle w:val="BodyText"/>
        <w:spacing w:line="240" w:lineRule="auto" w:before="17"/>
        <w:ind w:left="726" w:right="1273"/>
        <w:jc w:val="left"/>
      </w:pPr>
      <w:r>
        <w:rPr/>
        <w:t>主营业务成本构成</w:t>
      </w:r>
    </w:p>
    <w:p>
      <w:pPr>
        <w:pStyle w:val="BodyText"/>
        <w:spacing w:line="240" w:lineRule="auto" w:before="115"/>
        <w:ind w:left="0" w:right="1131"/>
        <w:jc w:val="right"/>
      </w:pPr>
      <w:r>
        <w:rPr/>
        <w:t>单位：元</w:t>
      </w:r>
    </w:p>
    <w:p>
      <w:pPr>
        <w:spacing w:line="240" w:lineRule="auto" w:before="6"/>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1217"/>
        <w:gridCol w:w="1918"/>
        <w:gridCol w:w="1652"/>
        <w:gridCol w:w="1892"/>
        <w:gridCol w:w="1841"/>
        <w:gridCol w:w="1433"/>
      </w:tblGrid>
      <w:tr>
        <w:trPr>
          <w:trHeight w:val="335" w:hRule="exact"/>
        </w:trPr>
        <w:tc>
          <w:tcPr>
            <w:tcW w:w="121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b/>
                <w:bCs/>
                <w:sz w:val="21"/>
                <w:szCs w:val="21"/>
              </w:rPr>
              <w:t>成本构成</w:t>
            </w:r>
            <w:r>
              <w:rPr>
                <w:rFonts w:ascii="宋体" w:hAnsi="宋体" w:cs="宋体" w:eastAsia="宋体" w:hint="default"/>
                <w:sz w:val="21"/>
                <w:szCs w:val="21"/>
              </w:rPr>
            </w:r>
          </w:p>
        </w:tc>
        <w:tc>
          <w:tcPr>
            <w:tcW w:w="35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本报告期</w:t>
            </w:r>
            <w:r>
              <w:rPr>
                <w:rFonts w:ascii="宋体" w:hAnsi="宋体" w:cs="宋体" w:eastAsia="宋体" w:hint="default"/>
                <w:sz w:val="21"/>
                <w:szCs w:val="21"/>
              </w:rPr>
            </w:r>
          </w:p>
        </w:tc>
        <w:tc>
          <w:tcPr>
            <w:tcW w:w="373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上年同期</w:t>
            </w:r>
            <w:r>
              <w:rPr>
                <w:rFonts w:ascii="宋体" w:hAnsi="宋体" w:cs="宋体" w:eastAsia="宋体" w:hint="default"/>
                <w:sz w:val="21"/>
                <w:szCs w:val="21"/>
              </w:rPr>
            </w:r>
          </w:p>
        </w:tc>
        <w:tc>
          <w:tcPr>
            <w:tcW w:w="14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9" w:right="0"/>
              <w:jc w:val="left"/>
              <w:rPr>
                <w:rFonts w:ascii="宋体" w:hAnsi="宋体" w:cs="宋体" w:eastAsia="宋体" w:hint="default"/>
                <w:sz w:val="21"/>
                <w:szCs w:val="21"/>
              </w:rPr>
            </w:pPr>
            <w:r>
              <w:rPr>
                <w:rFonts w:ascii="宋体" w:hAnsi="宋体" w:cs="宋体" w:eastAsia="宋体" w:hint="default"/>
                <w:b/>
                <w:bCs/>
                <w:sz w:val="21"/>
                <w:szCs w:val="21"/>
              </w:rPr>
              <w:t>同比增减金额</w:t>
            </w:r>
            <w:r>
              <w:rPr>
                <w:rFonts w:ascii="宋体" w:hAnsi="宋体" w:cs="宋体" w:eastAsia="宋体" w:hint="default"/>
                <w:sz w:val="21"/>
                <w:szCs w:val="21"/>
              </w:rPr>
            </w:r>
          </w:p>
        </w:tc>
      </w:tr>
      <w:tr>
        <w:trPr>
          <w:trHeight w:val="569" w:hRule="exact"/>
        </w:trPr>
        <w:tc>
          <w:tcPr>
            <w:tcW w:w="1217" w:type="dxa"/>
            <w:vMerge/>
            <w:tcBorders>
              <w:left w:val="single" w:sz="4" w:space="0" w:color="000000"/>
              <w:bottom w:val="single" w:sz="4" w:space="0" w:color="000000"/>
              <w:right w:val="single" w:sz="4" w:space="0" w:color="000000"/>
            </w:tcBorders>
            <w:shd w:val="clear" w:color="auto" w:fill="D9D9D9"/>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left="81" w:right="0"/>
              <w:jc w:val="left"/>
              <w:rPr>
                <w:rFonts w:ascii="宋体" w:hAnsi="宋体" w:cs="宋体" w:eastAsia="宋体" w:hint="default"/>
                <w:sz w:val="21"/>
                <w:szCs w:val="21"/>
              </w:rPr>
            </w:pPr>
            <w:r>
              <w:rPr>
                <w:rFonts w:ascii="宋体" w:hAnsi="宋体" w:cs="宋体" w:eastAsia="宋体" w:hint="default"/>
                <w:b/>
                <w:bCs/>
                <w:sz w:val="21"/>
                <w:szCs w:val="21"/>
              </w:rPr>
              <w:t>占营业成本比重</w:t>
            </w:r>
            <w:r>
              <w:rPr>
                <w:rFonts w:ascii="宋体" w:hAnsi="宋体" w:cs="宋体" w:eastAsia="宋体" w:hint="default"/>
                <w:sz w:val="21"/>
                <w:szCs w:val="21"/>
              </w:rPr>
            </w:r>
          </w:p>
        </w:tc>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left="4"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left="179" w:right="0"/>
              <w:jc w:val="left"/>
              <w:rPr>
                <w:rFonts w:ascii="宋体" w:hAnsi="宋体" w:cs="宋体" w:eastAsia="宋体" w:hint="default"/>
                <w:sz w:val="21"/>
                <w:szCs w:val="21"/>
              </w:rPr>
            </w:pPr>
            <w:r>
              <w:rPr>
                <w:rFonts w:ascii="宋体" w:hAnsi="宋体" w:cs="宋体" w:eastAsia="宋体" w:hint="default"/>
                <w:b/>
                <w:bCs/>
                <w:sz w:val="21"/>
                <w:szCs w:val="21"/>
              </w:rPr>
              <w:t>占营业成本比重</w:t>
            </w:r>
            <w:r>
              <w:rPr>
                <w:rFonts w:ascii="宋体" w:hAnsi="宋体" w:cs="宋体" w:eastAsia="宋体" w:hint="default"/>
                <w:sz w:val="21"/>
                <w:szCs w:val="21"/>
              </w:rPr>
            </w:r>
          </w:p>
        </w:tc>
        <w:tc>
          <w:tcPr>
            <w:tcW w:w="1433" w:type="dxa"/>
            <w:vMerge/>
            <w:tcBorders>
              <w:left w:val="single" w:sz="4" w:space="0" w:color="000000"/>
              <w:bottom w:val="single" w:sz="4" w:space="0" w:color="000000"/>
              <w:right w:val="single" w:sz="4" w:space="0" w:color="000000"/>
            </w:tcBorders>
            <w:shd w:val="clear" w:color="auto" w:fill="D9D9D9"/>
          </w:tcPr>
          <w:p>
            <w:pPr/>
          </w:p>
        </w:tc>
      </w:tr>
      <w:tr>
        <w:trPr>
          <w:trHeight w:val="418"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人工成本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right"/>
              <w:rPr>
                <w:rFonts w:ascii="Times New Roman" w:hAnsi="Times New Roman" w:cs="Times New Roman" w:eastAsia="Times New Roman" w:hint="default"/>
                <w:sz w:val="21"/>
                <w:szCs w:val="21"/>
              </w:rPr>
            </w:pPr>
            <w:r>
              <w:rPr>
                <w:rFonts w:ascii="Times New Roman"/>
                <w:spacing w:val="-1"/>
                <w:sz w:val="21"/>
              </w:rPr>
              <w:t>250,307,446.18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21"/>
                <w:szCs w:val="21"/>
              </w:rPr>
            </w:pPr>
            <w:r>
              <w:rPr>
                <w:rFonts w:ascii="Times New Roman"/>
                <w:sz w:val="21"/>
              </w:rPr>
              <w:t>36.92%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21"/>
                <w:szCs w:val="21"/>
              </w:rPr>
            </w:pPr>
            <w:r>
              <w:rPr>
                <w:rFonts w:ascii="Times New Roman"/>
                <w:spacing w:val="-1"/>
                <w:sz w:val="21"/>
              </w:rPr>
              <w:t>178,569,237.80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Times New Roman" w:hAnsi="Times New Roman" w:cs="Times New Roman" w:eastAsia="Times New Roman" w:hint="default"/>
                <w:sz w:val="21"/>
                <w:szCs w:val="21"/>
              </w:rPr>
            </w:pPr>
            <w:r>
              <w:rPr>
                <w:rFonts w:ascii="Times New Roman"/>
                <w:sz w:val="21"/>
              </w:rPr>
              <w:t>35.29%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21"/>
                <w:szCs w:val="21"/>
              </w:rPr>
            </w:pPr>
            <w:r>
              <w:rPr>
                <w:rFonts w:ascii="Times New Roman"/>
                <w:sz w:val="21"/>
              </w:rPr>
              <w:t>40.17%</w:t>
            </w:r>
          </w:p>
        </w:tc>
      </w:tr>
      <w:tr>
        <w:trPr>
          <w:trHeight w:val="418"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外包成本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right"/>
              <w:rPr>
                <w:rFonts w:ascii="Times New Roman" w:hAnsi="Times New Roman" w:cs="Times New Roman" w:eastAsia="Times New Roman" w:hint="default"/>
                <w:sz w:val="21"/>
                <w:szCs w:val="21"/>
              </w:rPr>
            </w:pPr>
            <w:r>
              <w:rPr>
                <w:rFonts w:ascii="Times New Roman"/>
                <w:spacing w:val="-1"/>
                <w:sz w:val="21"/>
              </w:rPr>
              <w:t>399,040,552.25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21"/>
                <w:szCs w:val="21"/>
              </w:rPr>
            </w:pPr>
            <w:r>
              <w:rPr>
                <w:rFonts w:ascii="Times New Roman"/>
                <w:sz w:val="21"/>
              </w:rPr>
              <w:t>58.86%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21"/>
                <w:szCs w:val="21"/>
              </w:rPr>
            </w:pPr>
            <w:r>
              <w:rPr>
                <w:rFonts w:ascii="Times New Roman"/>
                <w:spacing w:val="-1"/>
                <w:sz w:val="21"/>
              </w:rPr>
              <w:t>309,589,417.75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Times New Roman" w:hAnsi="Times New Roman" w:cs="Times New Roman" w:eastAsia="Times New Roman" w:hint="default"/>
                <w:sz w:val="21"/>
                <w:szCs w:val="21"/>
              </w:rPr>
            </w:pPr>
            <w:r>
              <w:rPr>
                <w:rFonts w:ascii="Times New Roman"/>
                <w:sz w:val="21"/>
              </w:rPr>
              <w:t>61.19%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21"/>
                <w:szCs w:val="21"/>
              </w:rPr>
            </w:pPr>
            <w:r>
              <w:rPr>
                <w:rFonts w:ascii="Times New Roman"/>
                <w:sz w:val="21"/>
              </w:rPr>
              <w:t>28.89%</w:t>
            </w:r>
          </w:p>
        </w:tc>
      </w:tr>
      <w:tr>
        <w:trPr>
          <w:trHeight w:val="586"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其他杂费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28,556,316.47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4.21%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17,798,731.21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z w:val="21"/>
              </w:rPr>
              <w:t>3.52%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60.44%</w:t>
            </w:r>
          </w:p>
        </w:tc>
      </w:tr>
      <w:tr>
        <w:trPr>
          <w:trHeight w:val="586"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677,904,314.90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100.00%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505,957,386.76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z w:val="21"/>
              </w:rPr>
              <w:t>100.00%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33.98%</w:t>
            </w:r>
          </w:p>
        </w:tc>
      </w:tr>
    </w:tbl>
    <w:p>
      <w:pPr>
        <w:pStyle w:val="BodyText"/>
        <w:spacing w:line="240" w:lineRule="auto" w:before="0"/>
        <w:ind w:right="1273"/>
        <w:jc w:val="left"/>
      </w:pPr>
      <w:r>
        <w:rPr/>
        <w:t>产品分类</w:t>
      </w:r>
    </w:p>
    <w:p>
      <w:pPr>
        <w:pStyle w:val="BodyText"/>
        <w:spacing w:line="240" w:lineRule="auto" w:before="115"/>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994"/>
        <w:gridCol w:w="1563"/>
        <w:gridCol w:w="3044"/>
        <w:gridCol w:w="2912"/>
        <w:gridCol w:w="1157"/>
      </w:tblGrid>
      <w:tr>
        <w:trPr>
          <w:trHeight w:val="346" w:hRule="exact"/>
        </w:trPr>
        <w:tc>
          <w:tcPr>
            <w:tcW w:w="994" w:type="dxa"/>
            <w:tcBorders>
              <w:top w:val="single" w:sz="8" w:space="0" w:color="000000"/>
              <w:left w:val="single" w:sz="8" w:space="0" w:color="000000"/>
              <w:bottom w:val="single" w:sz="6" w:space="0" w:color="000000"/>
              <w:right w:val="single" w:sz="8" w:space="0" w:color="000000"/>
            </w:tcBorders>
            <w:shd w:val="clear" w:color="auto" w:fill="D9D9D9"/>
          </w:tcPr>
          <w:p>
            <w:pPr>
              <w:pStyle w:val="TableParagraph"/>
              <w:spacing w:line="240" w:lineRule="auto" w:before="4"/>
              <w:ind w:left="64" w:right="0"/>
              <w:jc w:val="left"/>
              <w:rPr>
                <w:rFonts w:ascii="宋体" w:hAnsi="宋体" w:cs="宋体" w:eastAsia="宋体" w:hint="default"/>
                <w:sz w:val="21"/>
                <w:szCs w:val="21"/>
              </w:rPr>
            </w:pPr>
            <w:r>
              <w:rPr>
                <w:rFonts w:ascii="宋体" w:hAnsi="宋体" w:cs="宋体" w:eastAsia="宋体" w:hint="default"/>
                <w:b/>
                <w:bCs/>
                <w:sz w:val="21"/>
                <w:szCs w:val="21"/>
              </w:rPr>
              <w:t>产品分类</w:t>
            </w:r>
            <w:r>
              <w:rPr>
                <w:rFonts w:ascii="宋体" w:hAnsi="宋体" w:cs="宋体" w:eastAsia="宋体" w:hint="default"/>
                <w:sz w:val="21"/>
                <w:szCs w:val="21"/>
              </w:rPr>
            </w:r>
          </w:p>
        </w:tc>
        <w:tc>
          <w:tcPr>
            <w:tcW w:w="1563" w:type="dxa"/>
            <w:tcBorders>
              <w:top w:val="single" w:sz="8" w:space="0" w:color="000000"/>
              <w:left w:val="single" w:sz="8" w:space="0" w:color="000000"/>
              <w:bottom w:val="single" w:sz="6" w:space="0" w:color="000000"/>
              <w:right w:val="single" w:sz="8" w:space="0" w:color="000000"/>
            </w:tcBorders>
            <w:shd w:val="clear" w:color="auto" w:fill="D9D9D9"/>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4" w:type="dxa"/>
            <w:tcBorders>
              <w:top w:val="single" w:sz="8" w:space="0" w:color="000000"/>
              <w:left w:val="single" w:sz="8" w:space="0" w:color="000000"/>
              <w:bottom w:val="single" w:sz="6" w:space="0" w:color="000000"/>
              <w:right w:val="single" w:sz="8" w:space="0" w:color="000000"/>
            </w:tcBorders>
            <w:shd w:val="clear" w:color="auto" w:fill="D9D9D9"/>
          </w:tcPr>
          <w:p>
            <w:pPr>
              <w:pStyle w:val="TableParagraph"/>
              <w:spacing w:line="240" w:lineRule="auto" w:before="4"/>
              <w:ind w:left="1"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912" w:type="dxa"/>
            <w:tcBorders>
              <w:top w:val="single" w:sz="8" w:space="0" w:color="000000"/>
              <w:left w:val="single" w:sz="8" w:space="0" w:color="000000"/>
              <w:bottom w:val="single" w:sz="6" w:space="0" w:color="000000"/>
              <w:right w:val="single" w:sz="8" w:space="0" w:color="000000"/>
            </w:tcBorders>
            <w:shd w:val="clear" w:color="auto" w:fill="D9D9D9"/>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157" w:type="dxa"/>
            <w:tcBorders>
              <w:top w:val="single" w:sz="8" w:space="0" w:color="000000"/>
              <w:left w:val="single" w:sz="8" w:space="0" w:color="000000"/>
              <w:bottom w:val="single" w:sz="6" w:space="0" w:color="000000"/>
              <w:right w:val="single" w:sz="8" w:space="0" w:color="000000"/>
            </w:tcBorders>
            <w:shd w:val="clear" w:color="auto" w:fill="D9D9D9"/>
          </w:tcPr>
          <w:p>
            <w:pPr>
              <w:pStyle w:val="TableParagraph"/>
              <w:spacing w:line="240" w:lineRule="auto" w:before="4"/>
              <w:ind w:left="146"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994"/>
        <w:gridCol w:w="1563"/>
        <w:gridCol w:w="1562"/>
        <w:gridCol w:w="1481"/>
        <w:gridCol w:w="1481"/>
        <w:gridCol w:w="1430"/>
        <w:gridCol w:w="1157"/>
      </w:tblGrid>
      <w:tr>
        <w:trPr>
          <w:trHeight w:val="656" w:hRule="exact"/>
        </w:trPr>
        <w:tc>
          <w:tcPr>
            <w:tcW w:w="994" w:type="dxa"/>
            <w:tcBorders>
              <w:top w:val="single" w:sz="6" w:space="0" w:color="000000"/>
              <w:left w:val="single" w:sz="8" w:space="0" w:color="000000"/>
              <w:bottom w:val="single" w:sz="8" w:space="0" w:color="000000"/>
              <w:right w:val="single" w:sz="8" w:space="0" w:color="000000"/>
            </w:tcBorders>
            <w:shd w:val="clear" w:color="auto" w:fill="D9D9D9"/>
          </w:tcPr>
          <w:p>
            <w:pPr/>
          </w:p>
        </w:tc>
        <w:tc>
          <w:tcPr>
            <w:tcW w:w="1563" w:type="dxa"/>
            <w:tcBorders>
              <w:top w:val="single" w:sz="6" w:space="0" w:color="000000"/>
              <w:left w:val="single" w:sz="8" w:space="0" w:color="000000"/>
              <w:bottom w:val="single" w:sz="8" w:space="0" w:color="000000"/>
              <w:right w:val="single" w:sz="4" w:space="0" w:color="000000"/>
            </w:tcBorders>
            <w:shd w:val="clear" w:color="auto" w:fill="D9D9D9"/>
          </w:tcPr>
          <w:p>
            <w:pPr/>
          </w:p>
        </w:tc>
        <w:tc>
          <w:tcPr>
            <w:tcW w:w="1562" w:type="dxa"/>
            <w:tcBorders>
              <w:top w:val="single" w:sz="6" w:space="0" w:color="000000"/>
              <w:left w:val="single" w:sz="4" w:space="0" w:color="000000"/>
              <w:bottom w:val="single" w:sz="8" w:space="0" w:color="000000"/>
              <w:right w:val="single" w:sz="8" w:space="0" w:color="000000"/>
            </w:tcBorders>
            <w:shd w:val="clear" w:color="auto" w:fill="D9D9D9"/>
          </w:tcPr>
          <w:p>
            <w:pPr>
              <w:pStyle w:val="TableParagraph"/>
              <w:spacing w:line="240" w:lineRule="auto" w:before="158"/>
              <w:ind w:left="7"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81"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71" w:lineRule="auto" w:before="4"/>
              <w:ind w:left="626" w:right="93" w:hanging="526"/>
              <w:jc w:val="left"/>
              <w:rPr>
                <w:rFonts w:ascii="宋体" w:hAnsi="宋体" w:cs="宋体" w:eastAsia="宋体" w:hint="default"/>
                <w:sz w:val="21"/>
                <w:szCs w:val="21"/>
              </w:rPr>
            </w:pPr>
            <w:r>
              <w:rPr>
                <w:rFonts w:ascii="宋体" w:hAnsi="宋体" w:cs="宋体" w:eastAsia="宋体" w:hint="default"/>
                <w:b/>
                <w:bCs/>
                <w:sz w:val="21"/>
                <w:szCs w:val="21"/>
              </w:rPr>
              <w:t>占营业成本比</w:t>
            </w:r>
            <w:r>
              <w:rPr>
                <w:rFonts w:ascii="宋体" w:hAnsi="宋体" w:cs="宋体" w:eastAsia="宋体" w:hint="default"/>
                <w:b/>
                <w:bCs/>
                <w:spacing w:val="-104"/>
                <w:sz w:val="21"/>
                <w:szCs w:val="21"/>
              </w:rPr>
              <w:t> </w:t>
            </w:r>
            <w:r>
              <w:rPr>
                <w:rFonts w:ascii="宋体" w:hAnsi="宋体" w:cs="宋体" w:eastAsia="宋体" w:hint="default"/>
                <w:b/>
                <w:bCs/>
                <w:sz w:val="21"/>
                <w:szCs w:val="21"/>
              </w:rPr>
              <w:t>重</w:t>
            </w:r>
            <w:r>
              <w:rPr>
                <w:rFonts w:ascii="宋体" w:hAnsi="宋体" w:cs="宋体" w:eastAsia="宋体" w:hint="default"/>
                <w:sz w:val="21"/>
                <w:szCs w:val="21"/>
              </w:rPr>
            </w:r>
          </w:p>
        </w:tc>
        <w:tc>
          <w:tcPr>
            <w:tcW w:w="1481"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58"/>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30"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71" w:lineRule="auto" w:before="4"/>
              <w:ind w:left="600" w:right="67" w:hanging="526"/>
              <w:jc w:val="left"/>
              <w:rPr>
                <w:rFonts w:ascii="宋体" w:hAnsi="宋体" w:cs="宋体" w:eastAsia="宋体" w:hint="default"/>
                <w:sz w:val="21"/>
                <w:szCs w:val="21"/>
              </w:rPr>
            </w:pPr>
            <w:r>
              <w:rPr>
                <w:rFonts w:ascii="宋体" w:hAnsi="宋体" w:cs="宋体" w:eastAsia="宋体" w:hint="default"/>
                <w:b/>
                <w:bCs/>
                <w:sz w:val="21"/>
                <w:szCs w:val="21"/>
              </w:rPr>
              <w:t>占营业成本比</w:t>
            </w:r>
            <w:r>
              <w:rPr>
                <w:rFonts w:ascii="宋体" w:hAnsi="宋体" w:cs="宋体" w:eastAsia="宋体" w:hint="default"/>
                <w:b/>
                <w:bCs/>
                <w:spacing w:val="-104"/>
                <w:sz w:val="21"/>
                <w:szCs w:val="21"/>
              </w:rPr>
              <w:t> </w:t>
            </w:r>
            <w:r>
              <w:rPr>
                <w:rFonts w:ascii="宋体" w:hAnsi="宋体" w:cs="宋体" w:eastAsia="宋体" w:hint="default"/>
                <w:b/>
                <w:bCs/>
                <w:sz w:val="21"/>
                <w:szCs w:val="21"/>
              </w:rPr>
              <w:t>重</w:t>
            </w:r>
            <w:r>
              <w:rPr>
                <w:rFonts w:ascii="宋体" w:hAnsi="宋体" w:cs="宋体" w:eastAsia="宋体" w:hint="default"/>
                <w:sz w:val="21"/>
                <w:szCs w:val="21"/>
              </w:rPr>
            </w:r>
          </w:p>
        </w:tc>
        <w:tc>
          <w:tcPr>
            <w:tcW w:w="1157" w:type="dxa"/>
            <w:tcBorders>
              <w:top w:val="single" w:sz="6" w:space="0" w:color="000000"/>
              <w:left w:val="single" w:sz="8" w:space="0" w:color="000000"/>
              <w:bottom w:val="single" w:sz="8" w:space="0" w:color="000000"/>
              <w:right w:val="single" w:sz="8" w:space="0" w:color="000000"/>
            </w:tcBorders>
            <w:shd w:val="clear" w:color="auto" w:fill="D9D9D9"/>
          </w:tcPr>
          <w:p>
            <w:pPr/>
          </w:p>
        </w:tc>
      </w:tr>
      <w:tr>
        <w:trPr>
          <w:trHeight w:val="427" w:hRule="exact"/>
        </w:trPr>
        <w:tc>
          <w:tcPr>
            <w:tcW w:w="9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5"/>
              <w:ind w:left="6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GIS</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软件</w:t>
            </w:r>
            <w:r>
              <w:rPr>
                <w:rFonts w:ascii="宋体" w:hAnsi="宋体" w:cs="宋体" w:eastAsia="宋体" w:hint="default"/>
                <w:sz w:val="21"/>
                <w:szCs w:val="21"/>
              </w:rPr>
            </w:r>
          </w:p>
        </w:tc>
        <w:tc>
          <w:tcPr>
            <w:tcW w:w="1563"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5"/>
              <w:ind w:left="3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156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677,904,314.90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5" w:right="0"/>
              <w:jc w:val="center"/>
              <w:rPr>
                <w:rFonts w:ascii="Times New Roman" w:hAnsi="Times New Roman" w:cs="Times New Roman" w:eastAsia="Times New Roman" w:hint="default"/>
                <w:sz w:val="21"/>
                <w:szCs w:val="21"/>
              </w:rPr>
            </w:pPr>
            <w:r>
              <w:rPr>
                <w:rFonts w:ascii="Times New Roman"/>
                <w:sz w:val="21"/>
              </w:rPr>
              <w:t>100%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487,987,114.90</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sz w:val="21"/>
              </w:rPr>
              <w:t>96.45%</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z w:val="21"/>
              </w:rPr>
              <w:t>38.92%</w:t>
            </w:r>
          </w:p>
        </w:tc>
      </w:tr>
      <w:tr>
        <w:trPr>
          <w:trHeight w:val="725" w:hRule="exact"/>
        </w:trPr>
        <w:tc>
          <w:tcPr>
            <w:tcW w:w="9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6" w:lineRule="auto" w:before="28"/>
              <w:ind w:left="64" w:right="62" w:firstLine="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GIS</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软件</w:t>
            </w:r>
            <w:r>
              <w:rPr>
                <w:rFonts w:ascii="宋体" w:hAnsi="宋体" w:cs="宋体" w:eastAsia="宋体" w:hint="default"/>
                <w:b/>
                <w:bCs/>
                <w:w w:val="100"/>
                <w:sz w:val="21"/>
                <w:szCs w:val="21"/>
              </w:rPr>
              <w:t> </w:t>
            </w:r>
            <w:r>
              <w:rPr>
                <w:rFonts w:ascii="宋体" w:hAnsi="宋体" w:cs="宋体" w:eastAsia="宋体" w:hint="default"/>
                <w:b/>
                <w:bCs/>
                <w:sz w:val="21"/>
                <w:szCs w:val="21"/>
              </w:rPr>
              <w:t>配套产品</w:t>
            </w:r>
            <w:r>
              <w:rPr>
                <w:rFonts w:ascii="宋体" w:hAnsi="宋体" w:cs="宋体" w:eastAsia="宋体" w:hint="default"/>
                <w:sz w:val="21"/>
                <w:szCs w:val="21"/>
              </w:rPr>
            </w:r>
          </w:p>
        </w:tc>
        <w:tc>
          <w:tcPr>
            <w:tcW w:w="1563" w:type="dxa"/>
            <w:tcBorders>
              <w:top w:val="single" w:sz="8" w:space="0" w:color="000000"/>
              <w:left w:val="single" w:sz="8" w:space="0" w:color="000000"/>
              <w:bottom w:val="single" w:sz="8" w:space="0" w:color="000000"/>
              <w:right w:val="single" w:sz="4" w:space="0" w:color="000000"/>
            </w:tcBorders>
          </w:tcPr>
          <w:p>
            <w:pPr>
              <w:pStyle w:val="TableParagraph"/>
              <w:spacing w:line="256" w:lineRule="auto" w:before="30"/>
              <w:ind w:left="659" w:right="58" w:hanging="615"/>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软件配套产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56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w w:val="100"/>
                <w:sz w:val="21"/>
              </w:rPr>
              <w:t>-</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17,970,271.86</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3.55%</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40" w:lineRule="auto" w:before="79"/>
        <w:ind w:left="633" w:right="997"/>
        <w:jc w:val="left"/>
        <w:rPr>
          <w:rFonts w:ascii="Times New Roman" w:hAnsi="Times New Roman" w:cs="Times New Roman" w:eastAsia="Times New Roman" w:hint="default"/>
        </w:rPr>
      </w:pPr>
      <w:r>
        <w:rPr>
          <w:spacing w:val="-7"/>
        </w:rPr>
        <w:t>报告期内，公司进行组织结构的调整，撤消了</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spacing w:val="-5"/>
        </w:rPr>
        <w:t>软件配套产品业务部门，不再进行</w:t>
      </w:r>
      <w:r>
        <w:rPr>
          <w:spacing w:val="-56"/>
        </w:rPr>
        <w:t> </w:t>
      </w:r>
      <w:r>
        <w:rPr>
          <w:rFonts w:ascii="Times New Roman" w:hAnsi="Times New Roman" w:cs="Times New Roman" w:eastAsia="Times New Roman" w:hint="default"/>
        </w:rPr>
        <w:t>GIS</w:t>
      </w:r>
    </w:p>
    <w:p>
      <w:pPr>
        <w:pStyle w:val="BodyText"/>
        <w:spacing w:line="240" w:lineRule="auto" w:before="135"/>
        <w:ind w:right="1273"/>
        <w:jc w:val="left"/>
      </w:pPr>
      <w:r>
        <w:rPr/>
        <w:t>软件配套产品的销售。</w:t>
      </w:r>
    </w:p>
    <w:p>
      <w:pPr>
        <w:spacing w:line="240" w:lineRule="auto" w:before="11"/>
        <w:rPr>
          <w:rFonts w:ascii="宋体" w:hAnsi="宋体" w:cs="宋体" w:eastAsia="宋体" w:hint="default"/>
          <w:sz w:val="34"/>
          <w:szCs w:val="34"/>
        </w:rPr>
      </w:pPr>
    </w:p>
    <w:p>
      <w:pPr>
        <w:pStyle w:val="Heading2"/>
        <w:spacing w:line="240" w:lineRule="auto"/>
        <w:ind w:right="127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33"/>
          <w:szCs w:val="33"/>
        </w:rPr>
      </w:pPr>
    </w:p>
    <w:p>
      <w:pPr>
        <w:pStyle w:val="BodyText"/>
        <w:tabs>
          <w:tab w:pos="1365" w:val="left" w:leader="none"/>
        </w:tabs>
        <w:spacing w:line="240" w:lineRule="auto" w:before="0"/>
        <w:ind w:left="633" w:right="1273"/>
        <w:jc w:val="left"/>
      </w:pPr>
      <w:r>
        <w:rPr>
          <w:rFonts w:ascii="Times New Roman" w:hAnsi="Times New Roman" w:cs="Times New Roman" w:eastAsia="Times New Roman" w:hint="default"/>
        </w:rPr>
        <w:t>√  </w:t>
      </w:r>
      <w:r>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BodyText"/>
        <w:spacing w:line="338" w:lineRule="auto" w:before="135"/>
        <w:ind w:right="1133"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日，公司设立全资子公司湖南超图，持有其</w:t>
      </w:r>
      <w:r>
        <w:rPr>
          <w:rFonts w:ascii="Times New Roman" w:hAnsi="Times New Roman" w:cs="Times New Roman" w:eastAsia="Times New Roman" w:hint="default"/>
        </w:rPr>
        <w:t>100%</w:t>
      </w:r>
      <w:r>
        <w:rPr/>
        <w:t>股权，拥有对其的实质控 制权，故自该公司成立之日起，将其纳入合并财务报表范围。截止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日，湖南超</w:t>
      </w:r>
      <w:r>
        <w:rPr>
          <w:spacing w:val="-87"/>
        </w:rPr>
        <w:t> </w:t>
      </w:r>
      <w:r>
        <w:rPr>
          <w:spacing w:val="-87"/>
        </w:rPr>
      </w:r>
      <w:r>
        <w:rPr/>
        <w:t>图尚未开展实质性经营业务。</w:t>
      </w:r>
    </w:p>
    <w:p>
      <w:pPr>
        <w:pStyle w:val="BodyText"/>
        <w:spacing w:line="338" w:lineRule="auto" w:before="55"/>
        <w:ind w:right="1140" w:firstLine="420"/>
        <w:jc w:val="both"/>
      </w:pPr>
      <w:r>
        <w:rPr/>
        <w:t>嘉兴兴图由于业务已停止，</w:t>
      </w:r>
      <w:r>
        <w:rPr>
          <w:rFonts w:ascii="Times New Roman" w:hAnsi="Times New Roman" w:cs="Times New Roman" w:eastAsia="Times New Roman" w:hint="default"/>
        </w:rPr>
        <w:t>2018</w:t>
      </w:r>
      <w:r>
        <w:rPr/>
        <w:t>年日本超图决议解散嘉兴兴图，自注销日起，不再将其 纳入合并财务报表范围。</w:t>
      </w:r>
    </w:p>
    <w:p>
      <w:pPr>
        <w:spacing w:line="240" w:lineRule="auto" w:before="2"/>
        <w:rPr>
          <w:rFonts w:ascii="宋体" w:hAnsi="宋体" w:cs="宋体" w:eastAsia="宋体" w:hint="default"/>
          <w:sz w:val="27"/>
          <w:szCs w:val="27"/>
        </w:rPr>
      </w:pPr>
    </w:p>
    <w:p>
      <w:pPr>
        <w:pStyle w:val="Heading2"/>
        <w:spacing w:line="240" w:lineRule="auto"/>
        <w:ind w:right="127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spacing w:line="554" w:lineRule="auto" w:before="0"/>
        <w:ind w:left="633" w:right="6778" w:hanging="480"/>
        <w:jc w:val="left"/>
        <w:rPr>
          <w:rFonts w:ascii="宋体" w:hAnsi="宋体" w:cs="宋体" w:eastAsia="宋体" w:hint="default"/>
          <w:sz w:val="24"/>
          <w:szCs w:val="24"/>
        </w:rPr>
      </w:pPr>
      <w:r>
        <w:rPr/>
        <w:pict>
          <v:shape style="position:absolute;margin-left:56.484001pt;margin-top:59.855644pt;width:479.2pt;height:64.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79"/>
                    <w:gridCol w:w="3191"/>
                  </w:tblGrid>
                  <w:tr>
                    <w:trPr>
                      <w:trHeight w:val="517" w:hRule="exact"/>
                    </w:trPr>
                    <w:tc>
                      <w:tcPr>
                        <w:tcW w:w="6379" w:type="dxa"/>
                        <w:tcBorders>
                          <w:top w:val="single" w:sz="4" w:space="0" w:color="000000"/>
                          <w:left w:val="single" w:sz="4" w:space="0" w:color="000000"/>
                          <w:bottom w:val="single" w:sz="36" w:space="0" w:color="FFFFFF"/>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前五名客户合计销售金额（元）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36" w:space="0" w:color="FFFFFF"/>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68,803,829.62</w:t>
                        </w:r>
                      </w:p>
                    </w:tc>
                  </w:tr>
                  <w:tr>
                    <w:trPr>
                      <w:trHeight w:val="439" w:hRule="exact"/>
                    </w:trPr>
                    <w:tc>
                      <w:tcPr>
                        <w:tcW w:w="6379" w:type="dxa"/>
                        <w:tcBorders>
                          <w:top w:val="single" w:sz="36" w:space="0" w:color="FFFFFF"/>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前五名客户合计销售金额占年度销售总额比例</w:t>
                        </w:r>
                        <w:r>
                          <w:rPr>
                            <w:rFonts w:ascii="宋体" w:hAnsi="宋体" w:cs="宋体" w:eastAsia="宋体" w:hint="default"/>
                            <w:sz w:val="21"/>
                            <w:szCs w:val="21"/>
                          </w:rPr>
                        </w:r>
                      </w:p>
                    </w:tc>
                    <w:tc>
                      <w:tcPr>
                        <w:tcW w:w="3191" w:type="dxa"/>
                        <w:tcBorders>
                          <w:top w:val="single" w:sz="36" w:space="0" w:color="FFFFFF"/>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0"/>
                            <w:szCs w:val="20"/>
                          </w:rPr>
                        </w:pPr>
                        <w:r>
                          <w:rPr>
                            <w:rFonts w:ascii="Times New Roman"/>
                            <w:sz w:val="20"/>
                          </w:rPr>
                          <w:t>4.54 %</w:t>
                        </w:r>
                      </w:p>
                    </w:tc>
                  </w:tr>
                  <w:tr>
                    <w:trPr>
                      <w:trHeight w:val="323"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前五名客户销售额中关联方销售额占年度销售总额比例</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0.00%</w:t>
                        </w:r>
                      </w:p>
                    </w:tc>
                  </w:tr>
                </w:tbl>
                <w:p>
                  <w:pPr/>
                </w:p>
              </w:txbxContent>
            </v:textbox>
            <w10:wrap type="none"/>
          </v:shape>
        </w:pic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）主要销售客户和主要供应商情况</w:t>
      </w:r>
      <w:r>
        <w:rPr>
          <w:rFonts w:ascii="宋体" w:hAnsi="宋体" w:cs="宋体" w:eastAsia="宋体" w:hint="default"/>
          <w:b/>
          <w:bCs/>
          <w:w w:val="99"/>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26"/>
        <w:ind w:left="633" w:right="1273"/>
        <w:jc w:val="left"/>
      </w:pPr>
      <w:r>
        <w:rPr/>
        <w:t>公司前</w:t>
      </w:r>
      <w:r>
        <w:rPr>
          <w:spacing w:val="-61"/>
        </w:rPr>
        <w:t> </w:t>
      </w:r>
      <w:r>
        <w:rPr>
          <w:rFonts w:ascii="Times New Roman" w:hAnsi="Times New Roman" w:cs="Times New Roman" w:eastAsia="Times New Roman" w:hint="default"/>
        </w:rPr>
        <w:t>5 </w:t>
      </w:r>
      <w:r>
        <w:rPr/>
        <w:t>大客户资料</w:t>
      </w:r>
    </w:p>
    <w:p>
      <w:pPr>
        <w:spacing w:line="240" w:lineRule="auto" w:before="7"/>
        <w:rPr>
          <w:rFonts w:ascii="宋体" w:hAnsi="宋体" w:cs="宋体" w:eastAsia="宋体" w:hint="default"/>
          <w:sz w:val="9"/>
          <w:szCs w:val="9"/>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276"/>
        <w:gridCol w:w="3191"/>
      </w:tblGrid>
      <w:tr>
        <w:trPr>
          <w:trHeight w:val="364" w:hRule="exact"/>
        </w:trPr>
        <w:tc>
          <w:tcPr>
            <w:tcW w:w="8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30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27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销售额（元）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占年度销售总额比例</w:t>
            </w:r>
            <w:r>
              <w:rPr>
                <w:rFonts w:ascii="宋体" w:hAnsi="宋体" w:cs="宋体" w:eastAsia="宋体" w:hint="default"/>
                <w:sz w:val="21"/>
                <w:szCs w:val="21"/>
              </w:rPr>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1</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367"/>
              <w:jc w:val="right"/>
              <w:rPr>
                <w:rFonts w:ascii="Times New Roman" w:hAnsi="Times New Roman" w:cs="Times New Roman" w:eastAsia="Times New Roman" w:hint="default"/>
                <w:sz w:val="21"/>
                <w:szCs w:val="21"/>
              </w:rPr>
            </w:pPr>
            <w:r>
              <w:rPr>
                <w:rFonts w:ascii="Times New Roman"/>
                <w:spacing w:val="-1"/>
                <w:sz w:val="21"/>
              </w:rPr>
              <w:t>20,265,980.00</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left="423" w:right="0"/>
              <w:jc w:val="center"/>
              <w:rPr>
                <w:rFonts w:ascii="Times New Roman" w:hAnsi="Times New Roman" w:cs="Times New Roman" w:eastAsia="Times New Roman" w:hint="default"/>
                <w:sz w:val="21"/>
                <w:szCs w:val="21"/>
              </w:rPr>
            </w:pPr>
            <w:r>
              <w:rPr>
                <w:rFonts w:ascii="Times New Roman"/>
                <w:sz w:val="21"/>
              </w:rPr>
              <w:t>1.34%</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2</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314"/>
              <w:jc w:val="right"/>
              <w:rPr>
                <w:rFonts w:ascii="Times New Roman" w:hAnsi="Times New Roman" w:cs="Times New Roman" w:eastAsia="Times New Roman" w:hint="default"/>
                <w:sz w:val="21"/>
                <w:szCs w:val="21"/>
              </w:rPr>
            </w:pPr>
            <w:r>
              <w:rPr>
                <w:rFonts w:ascii="Times New Roman"/>
                <w:spacing w:val="-1"/>
                <w:sz w:val="21"/>
              </w:rPr>
              <w:t>15,597,690.05</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left="1502" w:right="0"/>
              <w:jc w:val="left"/>
              <w:rPr>
                <w:rFonts w:ascii="Times New Roman" w:hAnsi="Times New Roman" w:cs="Times New Roman" w:eastAsia="Times New Roman" w:hint="default"/>
                <w:sz w:val="21"/>
                <w:szCs w:val="21"/>
              </w:rPr>
            </w:pPr>
            <w:r>
              <w:rPr>
                <w:rFonts w:ascii="Times New Roman"/>
                <w:sz w:val="20"/>
              </w:rPr>
              <w:t>1.03</w:t>
            </w:r>
            <w:r>
              <w:rPr>
                <w:rFonts w:ascii="Times New Roman"/>
                <w:spacing w:val="3"/>
                <w:sz w:val="20"/>
              </w:rPr>
              <w:t> </w:t>
            </w:r>
            <w:r>
              <w:rPr>
                <w:rFonts w:ascii="Times New Roman"/>
                <w:sz w:val="21"/>
              </w:rPr>
              <w:t>%</w:t>
            </w:r>
          </w:p>
        </w:tc>
      </w:tr>
      <w:tr>
        <w:trPr>
          <w:trHeight w:val="438" w:hRule="exact"/>
        </w:trPr>
        <w:tc>
          <w:tcPr>
            <w:tcW w:w="80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3</w:t>
            </w:r>
          </w:p>
        </w:tc>
        <w:tc>
          <w:tcPr>
            <w:tcW w:w="3303" w:type="dxa"/>
            <w:tcBorders>
              <w:top w:val="single" w:sz="4" w:space="0" w:color="FFFFFF"/>
              <w:left w:val="single" w:sz="10" w:space="0" w:color="D2D2D2"/>
              <w:bottom w:val="single" w:sz="4" w:space="0" w:color="000000"/>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p>
        </w:tc>
        <w:tc>
          <w:tcPr>
            <w:tcW w:w="22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right="319"/>
              <w:jc w:val="right"/>
              <w:rPr>
                <w:rFonts w:ascii="Times New Roman" w:hAnsi="Times New Roman" w:cs="Times New Roman" w:eastAsia="Times New Roman" w:hint="default"/>
                <w:sz w:val="21"/>
                <w:szCs w:val="21"/>
              </w:rPr>
            </w:pPr>
            <w:r>
              <w:rPr>
                <w:rFonts w:ascii="Times New Roman"/>
                <w:spacing w:val="-2"/>
                <w:sz w:val="21"/>
              </w:rPr>
              <w:t>11,396,899.14</w:t>
            </w:r>
          </w:p>
        </w:tc>
        <w:tc>
          <w:tcPr>
            <w:tcW w:w="31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3"/>
              <w:ind w:left="1507" w:right="0"/>
              <w:jc w:val="left"/>
              <w:rPr>
                <w:rFonts w:ascii="Times New Roman" w:hAnsi="Times New Roman" w:cs="Times New Roman" w:eastAsia="Times New Roman" w:hint="default"/>
                <w:sz w:val="20"/>
                <w:szCs w:val="20"/>
              </w:rPr>
            </w:pPr>
            <w:r>
              <w:rPr>
                <w:rFonts w:ascii="Times New Roman"/>
                <w:sz w:val="20"/>
              </w:rPr>
              <w:t>0.75 %</w:t>
            </w:r>
          </w:p>
        </w:tc>
      </w:tr>
    </w:tbl>
    <w:p>
      <w:pPr>
        <w:spacing w:after="0" w:line="240" w:lineRule="auto"/>
        <w:jc w:val="left"/>
        <w:rPr>
          <w:rFonts w:ascii="Times New Roman" w:hAnsi="Times New Roman" w:cs="Times New Roman" w:eastAsia="Times New Roman" w:hint="default"/>
          <w:sz w:val="20"/>
          <w:szCs w:val="20"/>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276"/>
        <w:gridCol w:w="3191"/>
      </w:tblGrid>
      <w:tr>
        <w:trPr>
          <w:trHeight w:val="478" w:hRule="exact"/>
        </w:trPr>
        <w:tc>
          <w:tcPr>
            <w:tcW w:w="8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4</w:t>
            </w:r>
          </w:p>
        </w:tc>
        <w:tc>
          <w:tcPr>
            <w:tcW w:w="3303" w:type="dxa"/>
            <w:tcBorders>
              <w:top w:val="single" w:sz="4" w:space="0" w:color="000000"/>
              <w:left w:val="single" w:sz="10" w:space="0" w:color="D2D2D2"/>
              <w:bottom w:val="single" w:sz="4" w:space="0" w:color="FFFFFF"/>
              <w:right w:val="single" w:sz="4" w:space="0" w:color="000000"/>
            </w:tcBorders>
          </w:tcPr>
          <w:p>
            <w:pPr>
              <w:pStyle w:val="TableParagraph"/>
              <w:spacing w:line="240" w:lineRule="auto" w:before="25"/>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p>
        </w:tc>
        <w:tc>
          <w:tcPr>
            <w:tcW w:w="22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9"/>
              <w:ind w:right="314"/>
              <w:jc w:val="right"/>
              <w:rPr>
                <w:rFonts w:ascii="Times New Roman" w:hAnsi="Times New Roman" w:cs="Times New Roman" w:eastAsia="Times New Roman" w:hint="default"/>
                <w:sz w:val="21"/>
                <w:szCs w:val="21"/>
              </w:rPr>
            </w:pPr>
            <w:r>
              <w:rPr>
                <w:rFonts w:ascii="Times New Roman"/>
                <w:spacing w:val="-1"/>
                <w:sz w:val="21"/>
              </w:rPr>
              <w:t>10,862,068.92</w:t>
            </w:r>
          </w:p>
        </w:tc>
        <w:tc>
          <w:tcPr>
            <w:tcW w:w="31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9"/>
              <w:ind w:right="1096"/>
              <w:jc w:val="right"/>
              <w:rPr>
                <w:rFonts w:ascii="Times New Roman" w:hAnsi="Times New Roman" w:cs="Times New Roman" w:eastAsia="Times New Roman" w:hint="default"/>
                <w:sz w:val="21"/>
                <w:szCs w:val="21"/>
              </w:rPr>
            </w:pPr>
            <w:r>
              <w:rPr>
                <w:rFonts w:ascii="Times New Roman"/>
                <w:sz w:val="20"/>
              </w:rPr>
              <w:t>0.72</w:t>
            </w:r>
            <w:r>
              <w:rPr>
                <w:rFonts w:ascii="Times New Roman"/>
                <w:spacing w:val="3"/>
                <w:sz w:val="20"/>
              </w:rPr>
              <w:t> </w:t>
            </w:r>
            <w:r>
              <w:rPr>
                <w:rFonts w:ascii="Times New Roman"/>
                <w:sz w:val="21"/>
              </w:rPr>
              <w:t>%</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5</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314"/>
              <w:jc w:val="right"/>
              <w:rPr>
                <w:rFonts w:ascii="Times New Roman" w:hAnsi="Times New Roman" w:cs="Times New Roman" w:eastAsia="Times New Roman" w:hint="default"/>
                <w:sz w:val="21"/>
                <w:szCs w:val="21"/>
              </w:rPr>
            </w:pPr>
            <w:r>
              <w:rPr>
                <w:rFonts w:ascii="Times New Roman"/>
                <w:spacing w:val="-1"/>
                <w:sz w:val="21"/>
              </w:rPr>
              <w:t>10,681,191.51</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3"/>
              <w:ind w:right="1103"/>
              <w:jc w:val="right"/>
              <w:rPr>
                <w:rFonts w:ascii="Times New Roman" w:hAnsi="Times New Roman" w:cs="Times New Roman" w:eastAsia="Times New Roman" w:hint="default"/>
                <w:sz w:val="20"/>
                <w:szCs w:val="20"/>
              </w:rPr>
            </w:pPr>
            <w:r>
              <w:rPr>
                <w:rFonts w:ascii="Times New Roman"/>
                <w:sz w:val="20"/>
              </w:rPr>
              <w:t>0.70 %</w:t>
            </w:r>
          </w:p>
        </w:tc>
      </w:tr>
      <w:tr>
        <w:trPr>
          <w:trHeight w:val="438" w:hRule="exact"/>
        </w:trPr>
        <w:tc>
          <w:tcPr>
            <w:tcW w:w="80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0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4"/>
              <w:ind w:right="2"/>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227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69"/>
              <w:ind w:right="314"/>
              <w:jc w:val="right"/>
              <w:rPr>
                <w:rFonts w:ascii="Times New Roman" w:hAnsi="Times New Roman" w:cs="Times New Roman" w:eastAsia="Times New Roman" w:hint="default"/>
                <w:sz w:val="21"/>
                <w:szCs w:val="21"/>
              </w:rPr>
            </w:pPr>
            <w:r>
              <w:rPr>
                <w:rFonts w:ascii="Times New Roman"/>
                <w:spacing w:val="-1"/>
                <w:sz w:val="21"/>
              </w:rPr>
              <w:t>68,803,829.62</w:t>
            </w:r>
          </w:p>
        </w:tc>
        <w:tc>
          <w:tcPr>
            <w:tcW w:w="31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3"/>
              <w:ind w:right="1103"/>
              <w:jc w:val="right"/>
              <w:rPr>
                <w:rFonts w:ascii="Times New Roman" w:hAnsi="Times New Roman" w:cs="Times New Roman" w:eastAsia="Times New Roman" w:hint="default"/>
                <w:sz w:val="20"/>
                <w:szCs w:val="20"/>
              </w:rPr>
            </w:pPr>
            <w:r>
              <w:rPr>
                <w:rFonts w:ascii="Times New Roman"/>
                <w:sz w:val="20"/>
              </w:rPr>
              <w:t>4.54 %</w:t>
            </w:r>
          </w:p>
        </w:tc>
      </w:tr>
    </w:tbl>
    <w:p>
      <w:pPr>
        <w:pStyle w:val="BodyText"/>
        <w:spacing w:line="240" w:lineRule="auto" w:before="39"/>
        <w:ind w:left="633" w:right="1273"/>
        <w:jc w:val="left"/>
      </w:pPr>
      <w:r>
        <w:rPr/>
        <w:t>主要客户的其他情况说明</w:t>
      </w:r>
    </w:p>
    <w:p>
      <w:pPr>
        <w:pStyle w:val="BodyText"/>
        <w:spacing w:line="338" w:lineRule="auto" w:before="154"/>
        <w:ind w:left="633"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6379"/>
        <w:gridCol w:w="3191"/>
      </w:tblGrid>
      <w:tr>
        <w:trPr>
          <w:trHeight w:val="516" w:hRule="exact"/>
        </w:trPr>
        <w:tc>
          <w:tcPr>
            <w:tcW w:w="6379"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前五名供应商合计采购金额（元）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35" w:space="0" w:color="FFFFFF"/>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46,784,131.94</w:t>
            </w:r>
          </w:p>
        </w:tc>
      </w:tr>
      <w:tr>
        <w:trPr>
          <w:trHeight w:val="440" w:hRule="exact"/>
        </w:trPr>
        <w:tc>
          <w:tcPr>
            <w:tcW w:w="6379" w:type="dxa"/>
            <w:tcBorders>
              <w:top w:val="single" w:sz="35" w:space="0" w:color="FFFFFF"/>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前五名供应商合计采购金额占年度采购总额比例</w:t>
            </w:r>
            <w:r>
              <w:rPr>
                <w:rFonts w:ascii="宋体" w:hAnsi="宋体" w:cs="宋体" w:eastAsia="宋体" w:hint="default"/>
                <w:sz w:val="21"/>
                <w:szCs w:val="21"/>
              </w:rPr>
            </w:r>
          </w:p>
        </w:tc>
        <w:tc>
          <w:tcPr>
            <w:tcW w:w="3191" w:type="dxa"/>
            <w:tcBorders>
              <w:top w:val="single" w:sz="35" w:space="0" w:color="FFFFFF"/>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6.91%</w:t>
            </w:r>
          </w:p>
        </w:tc>
      </w:tr>
      <w:tr>
        <w:trPr>
          <w:trHeight w:val="322"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前五名供应商采购额中关联方采购额占年度采购总额比例</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40" w:lineRule="auto" w:before="55"/>
        <w:ind w:left="633" w:right="1273"/>
        <w:jc w:val="left"/>
      </w:pPr>
      <w:r>
        <w:rPr/>
        <w:t>公司前</w:t>
      </w:r>
      <w:r>
        <w:rPr>
          <w:spacing w:val="-61"/>
        </w:rPr>
        <w:t> </w:t>
      </w:r>
      <w:r>
        <w:rPr>
          <w:rFonts w:ascii="Times New Roman" w:hAnsi="Times New Roman" w:cs="Times New Roman" w:eastAsia="Times New Roman" w:hint="default"/>
        </w:rPr>
        <w:t>5 </w:t>
      </w:r>
      <w:r>
        <w:rPr/>
        <w:t>名供应商资料</w:t>
      </w:r>
    </w:p>
    <w:p>
      <w:pPr>
        <w:spacing w:line="240" w:lineRule="auto" w:before="7"/>
        <w:rPr>
          <w:rFonts w:ascii="宋体" w:hAnsi="宋体" w:cs="宋体" w:eastAsia="宋体" w:hint="default"/>
          <w:sz w:val="9"/>
          <w:szCs w:val="9"/>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276"/>
        <w:gridCol w:w="3191"/>
      </w:tblGrid>
      <w:tr>
        <w:trPr>
          <w:trHeight w:val="364" w:hRule="exact"/>
        </w:trPr>
        <w:tc>
          <w:tcPr>
            <w:tcW w:w="8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30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供应商名称</w:t>
            </w:r>
            <w:r>
              <w:rPr>
                <w:rFonts w:ascii="宋体" w:hAnsi="宋体" w:cs="宋体" w:eastAsia="宋体" w:hint="default"/>
                <w:sz w:val="21"/>
                <w:szCs w:val="21"/>
              </w:rPr>
            </w:r>
          </w:p>
        </w:tc>
        <w:tc>
          <w:tcPr>
            <w:tcW w:w="227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采购额（元）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占年度采购总额比例</w:t>
            </w:r>
            <w:r>
              <w:rPr>
                <w:rFonts w:ascii="宋体" w:hAnsi="宋体" w:cs="宋体" w:eastAsia="宋体" w:hint="default"/>
                <w:sz w:val="21"/>
                <w:szCs w:val="21"/>
              </w:rPr>
            </w:r>
          </w:p>
        </w:tc>
      </w:tr>
      <w:tr>
        <w:trPr>
          <w:trHeight w:val="479"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1</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16,461,206.85</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21"/>
              <w:jc w:val="center"/>
              <w:rPr>
                <w:rFonts w:ascii="Times New Roman" w:hAnsi="Times New Roman" w:cs="Times New Roman" w:eastAsia="Times New Roman" w:hint="default"/>
                <w:sz w:val="21"/>
                <w:szCs w:val="21"/>
              </w:rPr>
            </w:pPr>
            <w:r>
              <w:rPr>
                <w:rFonts w:ascii="Times New Roman"/>
                <w:sz w:val="21"/>
              </w:rPr>
              <w:t>2.43%</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2</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3"/>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10,000,000.00</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1"/>
              <w:jc w:val="center"/>
              <w:rPr>
                <w:rFonts w:ascii="Times New Roman" w:hAnsi="Times New Roman" w:cs="Times New Roman" w:eastAsia="Times New Roman" w:hint="default"/>
                <w:sz w:val="21"/>
                <w:szCs w:val="21"/>
              </w:rPr>
            </w:pPr>
            <w:r>
              <w:rPr>
                <w:rFonts w:ascii="Times New Roman"/>
                <w:sz w:val="21"/>
              </w:rPr>
              <w:t>1.48%</w:t>
            </w:r>
          </w:p>
        </w:tc>
      </w:tr>
      <w:tr>
        <w:trPr>
          <w:trHeight w:val="479"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3</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3"/>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9,979,225.09</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1"/>
              <w:jc w:val="center"/>
              <w:rPr>
                <w:rFonts w:ascii="Times New Roman" w:hAnsi="Times New Roman" w:cs="Times New Roman" w:eastAsia="Times New Roman" w:hint="default"/>
                <w:sz w:val="21"/>
                <w:szCs w:val="21"/>
              </w:rPr>
            </w:pPr>
            <w:r>
              <w:rPr>
                <w:rFonts w:ascii="Times New Roman"/>
                <w:sz w:val="21"/>
              </w:rPr>
              <w:t>1.47%</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4</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5,263,700.00</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1"/>
              <w:jc w:val="center"/>
              <w:rPr>
                <w:rFonts w:ascii="Times New Roman" w:hAnsi="Times New Roman" w:cs="Times New Roman" w:eastAsia="Times New Roman" w:hint="default"/>
                <w:sz w:val="21"/>
                <w:szCs w:val="21"/>
              </w:rPr>
            </w:pPr>
            <w:r>
              <w:rPr>
                <w:rFonts w:ascii="Times New Roman"/>
                <w:sz w:val="21"/>
              </w:rPr>
              <w:t>0.78%</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5</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5,080,000.00</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1"/>
              <w:jc w:val="center"/>
              <w:rPr>
                <w:rFonts w:ascii="Times New Roman" w:hAnsi="Times New Roman" w:cs="Times New Roman" w:eastAsia="Times New Roman" w:hint="default"/>
                <w:sz w:val="21"/>
                <w:szCs w:val="21"/>
              </w:rPr>
            </w:pPr>
            <w:r>
              <w:rPr>
                <w:rFonts w:ascii="Times New Roman"/>
                <w:sz w:val="21"/>
              </w:rPr>
              <w:t>0.75%</w:t>
            </w:r>
          </w:p>
        </w:tc>
      </w:tr>
      <w:tr>
        <w:trPr>
          <w:trHeight w:val="438" w:hRule="exact"/>
        </w:trPr>
        <w:tc>
          <w:tcPr>
            <w:tcW w:w="80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0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4"/>
              <w:ind w:right="2"/>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227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46,784,131.94</w:t>
            </w:r>
          </w:p>
        </w:tc>
        <w:tc>
          <w:tcPr>
            <w:tcW w:w="31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right="21"/>
              <w:jc w:val="center"/>
              <w:rPr>
                <w:rFonts w:ascii="Times New Roman" w:hAnsi="Times New Roman" w:cs="Times New Roman" w:eastAsia="Times New Roman" w:hint="default"/>
                <w:sz w:val="21"/>
                <w:szCs w:val="21"/>
              </w:rPr>
            </w:pPr>
            <w:r>
              <w:rPr>
                <w:rFonts w:ascii="Times New Roman"/>
                <w:sz w:val="21"/>
              </w:rPr>
              <w:t>6.91%</w:t>
            </w:r>
          </w:p>
        </w:tc>
      </w:tr>
    </w:tbl>
    <w:p>
      <w:pPr>
        <w:pStyle w:val="BodyText"/>
        <w:spacing w:line="240" w:lineRule="auto" w:before="39"/>
        <w:ind w:left="633" w:right="1273"/>
        <w:jc w:val="left"/>
      </w:pPr>
      <w:r>
        <w:rPr/>
        <w:t>主要供应商的其他情况说明</w:t>
      </w:r>
    </w:p>
    <w:p>
      <w:pPr>
        <w:pStyle w:val="BodyText"/>
        <w:spacing w:line="240" w:lineRule="auto" w:before="154"/>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274"/>
        <w:gridCol w:w="1844"/>
        <w:gridCol w:w="1560"/>
        <w:gridCol w:w="1274"/>
        <w:gridCol w:w="3615"/>
      </w:tblGrid>
      <w:tr>
        <w:trPr>
          <w:trHeight w:val="322" w:hRule="exact"/>
        </w:trPr>
        <w:tc>
          <w:tcPr>
            <w:tcW w:w="127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9" w:lineRule="exact"/>
              <w:ind w:left="57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9"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c>
          <w:tcPr>
            <w:tcW w:w="361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3"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重大变动说明</w:t>
            </w:r>
            <w:r>
              <w:rPr>
                <w:rFonts w:ascii="宋体" w:hAnsi="宋体" w:cs="宋体" w:eastAsia="宋体" w:hint="default"/>
                <w:sz w:val="21"/>
                <w:szCs w:val="21"/>
              </w:rPr>
            </w:r>
          </w:p>
        </w:tc>
      </w:tr>
      <w:tr>
        <w:trPr>
          <w:trHeight w:val="478" w:hRule="exact"/>
        </w:trPr>
        <w:tc>
          <w:tcPr>
            <w:tcW w:w="1274" w:type="dxa"/>
            <w:tcBorders>
              <w:top w:val="single" w:sz="4" w:space="0" w:color="FFFFFF"/>
              <w:left w:val="single" w:sz="4" w:space="0" w:color="000000"/>
              <w:bottom w:val="single" w:sz="4" w:space="0" w:color="FFFFFF"/>
              <w:right w:val="single" w:sz="4" w:space="0" w:color="000000"/>
            </w:tcBorders>
            <w:shd w:val="clear" w:color="auto" w:fill="BEBEBE"/>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261" w:right="0"/>
              <w:jc w:val="left"/>
              <w:rPr>
                <w:rFonts w:ascii="Times New Roman" w:hAnsi="Times New Roman" w:cs="Times New Roman" w:eastAsia="Times New Roman" w:hint="default"/>
                <w:sz w:val="21"/>
                <w:szCs w:val="21"/>
              </w:rPr>
            </w:pPr>
            <w:r>
              <w:rPr>
                <w:rFonts w:ascii="Times New Roman"/>
                <w:sz w:val="21"/>
              </w:rPr>
              <w:t>185,919,403.38</w:t>
            </w:r>
          </w:p>
        </w:tc>
        <w:tc>
          <w:tcPr>
            <w:tcW w:w="15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155,240,147.96</w:t>
            </w:r>
          </w:p>
        </w:tc>
        <w:tc>
          <w:tcPr>
            <w:tcW w:w="12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19.76%</w:t>
            </w:r>
          </w:p>
        </w:tc>
        <w:tc>
          <w:tcPr>
            <w:tcW w:w="36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1274" w:type="dxa"/>
            <w:tcBorders>
              <w:top w:val="single" w:sz="4" w:space="0" w:color="FFFFFF"/>
              <w:left w:val="single" w:sz="4" w:space="0" w:color="000000"/>
              <w:bottom w:val="single" w:sz="4" w:space="0" w:color="FFFFFF"/>
              <w:right w:val="single" w:sz="4" w:space="0" w:color="000000"/>
            </w:tcBorders>
            <w:shd w:val="clear" w:color="auto" w:fill="BEBEBE"/>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46"/>
              <w:jc w:val="right"/>
              <w:rPr>
                <w:rFonts w:ascii="Times New Roman" w:hAnsi="Times New Roman" w:cs="Times New Roman" w:eastAsia="Times New Roman" w:hint="default"/>
                <w:sz w:val="21"/>
                <w:szCs w:val="21"/>
              </w:rPr>
            </w:pPr>
            <w:r>
              <w:rPr>
                <w:rFonts w:ascii="Times New Roman"/>
                <w:spacing w:val="-1"/>
                <w:sz w:val="21"/>
              </w:rPr>
              <w:t>288,783,052.04</w:t>
            </w:r>
          </w:p>
        </w:tc>
        <w:tc>
          <w:tcPr>
            <w:tcW w:w="15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227,866,260.31</w:t>
            </w:r>
          </w:p>
        </w:tc>
        <w:tc>
          <w:tcPr>
            <w:tcW w:w="12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26.73%</w:t>
            </w:r>
          </w:p>
        </w:tc>
        <w:tc>
          <w:tcPr>
            <w:tcW w:w="36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1274" w:type="dxa"/>
            <w:tcBorders>
              <w:top w:val="single" w:sz="4" w:space="0" w:color="FFFFFF"/>
              <w:left w:val="single" w:sz="4" w:space="0" w:color="000000"/>
              <w:bottom w:val="single" w:sz="4" w:space="0" w:color="FFFFFF"/>
              <w:right w:val="single" w:sz="4" w:space="0" w:color="000000"/>
            </w:tcBorders>
            <w:shd w:val="clear" w:color="auto" w:fill="BEBEBE"/>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52"/>
              <w:jc w:val="right"/>
              <w:rPr>
                <w:rFonts w:ascii="Times New Roman" w:hAnsi="Times New Roman" w:cs="Times New Roman" w:eastAsia="Times New Roman" w:hint="default"/>
                <w:sz w:val="21"/>
                <w:szCs w:val="21"/>
              </w:rPr>
            </w:pPr>
            <w:r>
              <w:rPr>
                <w:rFonts w:ascii="Times New Roman"/>
                <w:spacing w:val="-1"/>
                <w:sz w:val="21"/>
              </w:rPr>
              <w:t>3,759,629.51</w:t>
            </w:r>
          </w:p>
        </w:tc>
        <w:tc>
          <w:tcPr>
            <w:tcW w:w="15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2,973,521.87</w:t>
            </w:r>
          </w:p>
        </w:tc>
        <w:tc>
          <w:tcPr>
            <w:tcW w:w="12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26.44%</w:t>
            </w:r>
          </w:p>
        </w:tc>
        <w:tc>
          <w:tcPr>
            <w:tcW w:w="36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1274" w:type="dxa"/>
            <w:tcBorders>
              <w:top w:val="single" w:sz="4" w:space="0" w:color="FFFFFF"/>
              <w:left w:val="single" w:sz="4" w:space="0" w:color="000000"/>
              <w:bottom w:val="single" w:sz="4" w:space="0" w:color="000000"/>
              <w:right w:val="single" w:sz="4" w:space="0" w:color="000000"/>
            </w:tcBorders>
            <w:shd w:val="clear" w:color="auto" w:fill="BEBEBE"/>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84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46"/>
              <w:jc w:val="right"/>
              <w:rPr>
                <w:rFonts w:ascii="Times New Roman" w:hAnsi="Times New Roman" w:cs="Times New Roman" w:eastAsia="Times New Roman" w:hint="default"/>
                <w:sz w:val="21"/>
                <w:szCs w:val="21"/>
              </w:rPr>
            </w:pPr>
            <w:r>
              <w:rPr>
                <w:rFonts w:ascii="Times New Roman"/>
                <w:spacing w:val="-1"/>
                <w:sz w:val="21"/>
              </w:rPr>
              <w:t>198,373,553.53</w:t>
            </w:r>
          </w:p>
        </w:tc>
        <w:tc>
          <w:tcPr>
            <w:tcW w:w="15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175,436,778.11</w:t>
            </w:r>
          </w:p>
        </w:tc>
        <w:tc>
          <w:tcPr>
            <w:tcW w:w="12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13.07%</w:t>
            </w:r>
          </w:p>
        </w:tc>
        <w:tc>
          <w:tcPr>
            <w:tcW w:w="361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Heading2"/>
        <w:spacing w:line="240" w:lineRule="auto" w:before="26"/>
        <w:ind w:right="127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48" w:lineRule="auto" w:before="135"/>
        <w:ind w:right="1129" w:firstLine="480"/>
        <w:jc w:val="both"/>
      </w:pPr>
      <w:r>
        <w:rPr>
          <w:spacing w:val="-3"/>
        </w:rPr>
        <w:t>报告期内，公司发布了</w:t>
      </w:r>
      <w:r>
        <w:rPr>
          <w:spacing w:val="-70"/>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2"/>
        </w:rPr>
        <w:t> </w:t>
      </w:r>
      <w:r>
        <w:rPr>
          <w:rFonts w:ascii="Times New Roman" w:hAnsi="Times New Roman" w:cs="Times New Roman" w:eastAsia="Times New Roman" w:hint="default"/>
        </w:rPr>
        <w:t>9D(2019)</w:t>
      </w:r>
      <w:r>
        <w:rPr/>
        <w:t>系列产品，在空间大数据技术，并在微服 务、容器化、云原生、自动化运维等方面全新升级，进一步创新和完善公司产品，有力促进 了公司核心竞争力的进一步提升以及产品销售规模的进一步扩大。</w:t>
      </w:r>
    </w:p>
    <w:p>
      <w:pPr>
        <w:pStyle w:val="BodyText"/>
        <w:spacing w:line="240" w:lineRule="auto" w:before="46"/>
        <w:ind w:left="633" w:right="1273"/>
        <w:jc w:val="left"/>
      </w:pPr>
      <w:r>
        <w:rPr/>
        <w:t>近三年公司研发投入金额及占营业收入的比例</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0"/>
        <w:gridCol w:w="1992"/>
        <w:gridCol w:w="1983"/>
        <w:gridCol w:w="2393"/>
      </w:tblGrid>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6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6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3"/>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研发人员数量（人）</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z w:val="21"/>
              </w:rPr>
              <w:t>1358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1084</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4"/>
              <w:jc w:val="right"/>
              <w:rPr>
                <w:rFonts w:ascii="Times New Roman" w:hAnsi="Times New Roman" w:cs="Times New Roman" w:eastAsia="Times New Roman" w:hint="default"/>
                <w:sz w:val="21"/>
                <w:szCs w:val="21"/>
              </w:rPr>
            </w:pPr>
            <w:r>
              <w:rPr>
                <w:rFonts w:ascii="Times New Roman"/>
                <w:sz w:val="21"/>
              </w:rPr>
              <w:t>38.20%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z w:val="21"/>
              </w:rPr>
              <w:t>36.85%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z w:val="21"/>
              </w:rPr>
              <w:t>41.87%</w:t>
            </w:r>
          </w:p>
        </w:tc>
      </w:tr>
      <w:tr>
        <w:trPr>
          <w:trHeight w:val="32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研发投入金额（元）</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5"/>
              <w:jc w:val="right"/>
              <w:rPr>
                <w:rFonts w:ascii="Times New Roman" w:hAnsi="Times New Roman" w:cs="Times New Roman" w:eastAsia="Times New Roman" w:hint="default"/>
                <w:sz w:val="21"/>
                <w:szCs w:val="21"/>
              </w:rPr>
            </w:pPr>
            <w:r>
              <w:rPr>
                <w:rFonts w:ascii="Times New Roman"/>
                <w:spacing w:val="-1"/>
                <w:sz w:val="21"/>
              </w:rPr>
              <w:t>249,599,203.44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209,770,206.90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162,782,640.25</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z w:val="21"/>
              </w:rPr>
              <w:t>16.44%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19.54%</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51,225,649.91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34,333,428.76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29,496,842.87</w:t>
            </w:r>
          </w:p>
        </w:tc>
      </w:tr>
      <w:tr>
        <w:trPr>
          <w:trHeight w:val="63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73" w:right="17" w:hanging="1157"/>
              <w:jc w:val="left"/>
              <w:rPr>
                <w:rFonts w:ascii="宋体" w:hAnsi="宋体" w:cs="宋体" w:eastAsia="宋体" w:hint="default"/>
                <w:sz w:val="21"/>
                <w:szCs w:val="21"/>
              </w:rPr>
            </w:pPr>
            <w:r>
              <w:rPr>
                <w:rFonts w:ascii="宋体" w:hAnsi="宋体" w:cs="宋体" w:eastAsia="宋体" w:hint="default"/>
                <w:spacing w:val="-2"/>
                <w:sz w:val="21"/>
                <w:szCs w:val="21"/>
              </w:rPr>
              <w:t>资本化研发支出占研发投入的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比例</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20.52%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18.12%</w:t>
            </w:r>
          </w:p>
        </w:tc>
      </w:tr>
      <w:tr>
        <w:trPr>
          <w:trHeight w:val="63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67" w:right="17" w:hanging="1052"/>
              <w:jc w:val="left"/>
              <w:rPr>
                <w:rFonts w:ascii="宋体" w:hAnsi="宋体" w:cs="宋体" w:eastAsia="宋体" w:hint="default"/>
                <w:sz w:val="21"/>
                <w:szCs w:val="21"/>
              </w:rPr>
            </w:pPr>
            <w:r>
              <w:rPr>
                <w:rFonts w:ascii="宋体" w:hAnsi="宋体" w:cs="宋体" w:eastAsia="宋体" w:hint="default"/>
                <w:spacing w:val="-2"/>
                <w:sz w:val="21"/>
                <w:szCs w:val="21"/>
              </w:rPr>
              <w:t>资本化研发支出占当期净利润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的比重</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32.79%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23.45%</w:t>
            </w:r>
          </w:p>
        </w:tc>
      </w:tr>
    </w:tbl>
    <w:p>
      <w:pPr>
        <w:pStyle w:val="BodyText"/>
        <w:spacing w:line="240" w:lineRule="auto" w:before="39"/>
        <w:ind w:left="573" w:right="1273"/>
        <w:jc w:val="left"/>
      </w:pPr>
      <w:r>
        <w:rPr/>
        <w:t>研发投入总额占营业收入的比重较上年发生显著变化的原因</w:t>
      </w:r>
    </w:p>
    <w:p>
      <w:pPr>
        <w:pStyle w:val="BodyText"/>
        <w:spacing w:line="338" w:lineRule="auto" w:before="154"/>
        <w:ind w:left="633" w:right="49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研发投入资本化率大幅变动的原因及其合理性说明</w:t>
      </w:r>
    </w:p>
    <w:p>
      <w:pPr>
        <w:pStyle w:val="BodyText"/>
        <w:spacing w:line="240" w:lineRule="auto" w:before="55"/>
        <w:ind w:left="633" w:right="127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right="1117"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tbl>
      <w:tblPr>
        <w:tblW w:w="0" w:type="auto"/>
        <w:jc w:val="left"/>
        <w:tblInd w:w="654" w:type="dxa"/>
        <w:tblLayout w:type="fixed"/>
        <w:tblCellMar>
          <w:top w:w="0" w:type="dxa"/>
          <w:left w:w="0" w:type="dxa"/>
          <w:bottom w:w="0" w:type="dxa"/>
          <w:right w:w="0" w:type="dxa"/>
        </w:tblCellMar>
        <w:tblLook w:val="01E0"/>
      </w:tblPr>
      <w:tblGrid>
        <w:gridCol w:w="3334"/>
        <w:gridCol w:w="2280"/>
        <w:gridCol w:w="2321"/>
        <w:gridCol w:w="1306"/>
      </w:tblGrid>
      <w:tr>
        <w:trPr>
          <w:trHeight w:val="479" w:hRule="exact"/>
        </w:trPr>
        <w:tc>
          <w:tcPr>
            <w:tcW w:w="33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left="6"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right="55"/>
              <w:jc w:val="right"/>
              <w:rPr>
                <w:rFonts w:ascii="宋体" w:hAnsi="宋体" w:cs="宋体" w:eastAsia="宋体" w:hint="default"/>
                <w:sz w:val="21"/>
                <w:szCs w:val="21"/>
              </w:rPr>
            </w:pPr>
            <w:r>
              <w:rPr>
                <w:rFonts w:ascii="宋体" w:hAnsi="宋体" w:cs="宋体" w:eastAsia="宋体" w:hint="default"/>
                <w:b/>
                <w:bCs/>
                <w:spacing w:val="-1"/>
                <w:sz w:val="21"/>
                <w:szCs w:val="21"/>
              </w:rPr>
              <w:t>研发资本化金额（元）</w:t>
            </w:r>
            <w:r>
              <w:rPr>
                <w:rFonts w:ascii="宋体" w:hAnsi="宋体" w:cs="宋体" w:eastAsia="宋体" w:hint="default"/>
                <w:spacing w:val="-1"/>
                <w:sz w:val="21"/>
                <w:szCs w:val="21"/>
              </w:rPr>
            </w:r>
          </w:p>
        </w:tc>
        <w:tc>
          <w:tcPr>
            <w:tcW w:w="23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left="206" w:right="0"/>
              <w:jc w:val="left"/>
              <w:rPr>
                <w:rFonts w:ascii="宋体" w:hAnsi="宋体" w:cs="宋体" w:eastAsia="宋体" w:hint="default"/>
                <w:sz w:val="21"/>
                <w:szCs w:val="21"/>
              </w:rPr>
            </w:pPr>
            <w:r>
              <w:rPr>
                <w:rFonts w:ascii="宋体" w:hAnsi="宋体" w:cs="宋体" w:eastAsia="宋体" w:hint="default"/>
                <w:b/>
                <w:bCs/>
                <w:sz w:val="21"/>
                <w:szCs w:val="21"/>
              </w:rPr>
              <w:t>相关项目的基本情况</w:t>
            </w:r>
            <w:r>
              <w:rPr>
                <w:rFonts w:ascii="宋体" w:hAnsi="宋体" w:cs="宋体" w:eastAsia="宋体" w:hint="default"/>
                <w:sz w:val="21"/>
                <w:szCs w:val="21"/>
              </w:rPr>
            </w:r>
          </w:p>
        </w:tc>
        <w:tc>
          <w:tcPr>
            <w:tcW w:w="13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left="4" w:right="0"/>
              <w:jc w:val="center"/>
              <w:rPr>
                <w:rFonts w:ascii="宋体" w:hAnsi="宋体" w:cs="宋体" w:eastAsia="宋体" w:hint="default"/>
                <w:sz w:val="21"/>
                <w:szCs w:val="21"/>
              </w:rPr>
            </w:pPr>
            <w:r>
              <w:rPr>
                <w:rFonts w:ascii="宋体" w:hAnsi="宋体" w:cs="宋体" w:eastAsia="宋体" w:hint="default"/>
                <w:b/>
                <w:bCs/>
                <w:sz w:val="21"/>
                <w:szCs w:val="21"/>
              </w:rPr>
              <w:t>实施进度</w:t>
            </w:r>
            <w:r>
              <w:rPr>
                <w:rFonts w:ascii="宋体" w:hAnsi="宋体" w:cs="宋体" w:eastAsia="宋体" w:hint="default"/>
                <w:sz w:val="21"/>
                <w:szCs w:val="21"/>
              </w:rPr>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iObjects</w:t>
            </w:r>
            <w:r>
              <w:rPr>
                <w:rFonts w:ascii="Times New Roman"/>
                <w:spacing w:val="-4"/>
                <w:sz w:val="21"/>
              </w:rPr>
              <w:t> </w:t>
            </w:r>
            <w:r>
              <w:rPr>
                <w:rFonts w:ascii="Times New Roman"/>
                <w:sz w:val="21"/>
              </w:rPr>
              <w:t>10X</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4,270,674.61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iServer</w:t>
            </w:r>
            <w:r>
              <w:rPr>
                <w:rFonts w:ascii="Times New Roman"/>
                <w:spacing w:val="-2"/>
                <w:sz w:val="21"/>
              </w:rPr>
              <w:t> </w:t>
            </w:r>
            <w:r>
              <w:rPr>
                <w:rFonts w:ascii="Times New Roman"/>
                <w:sz w:val="21"/>
              </w:rPr>
              <w:t>10X</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3,352,665.39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iDesktop</w:t>
            </w:r>
            <w:r>
              <w:rPr>
                <w:rFonts w:ascii="Times New Roman"/>
                <w:spacing w:val="-5"/>
                <w:sz w:val="21"/>
              </w:rPr>
              <w:t> </w:t>
            </w:r>
            <w:r>
              <w:rPr>
                <w:rFonts w:ascii="Times New Roman"/>
                <w:sz w:val="21"/>
              </w:rPr>
              <w:t>10X</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pacing w:val="-1"/>
                <w:sz w:val="21"/>
              </w:rPr>
              <w:t>1,606,774.30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iMobile</w:t>
            </w:r>
            <w:r>
              <w:rPr>
                <w:rFonts w:ascii="Times New Roman"/>
                <w:spacing w:val="-4"/>
                <w:sz w:val="21"/>
              </w:rPr>
              <w:t> </w:t>
            </w:r>
            <w:r>
              <w:rPr>
                <w:rFonts w:ascii="Times New Roman"/>
                <w:sz w:val="21"/>
              </w:rPr>
              <w:t>10X</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1,395,749.36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iPortal</w:t>
            </w:r>
            <w:r>
              <w:rPr>
                <w:rFonts w:ascii="Times New Roman"/>
                <w:spacing w:val="-4"/>
                <w:sz w:val="21"/>
              </w:rPr>
              <w:t> </w:t>
            </w:r>
            <w:r>
              <w:rPr>
                <w:rFonts w:ascii="Times New Roman"/>
                <w:sz w:val="21"/>
              </w:rPr>
              <w:t>10X</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808,287.69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80"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Times New Roman" w:hAnsi="Times New Roman" w:cs="Times New Roman" w:eastAsia="Times New Roman" w:hint="default"/>
                <w:sz w:val="21"/>
                <w:szCs w:val="21"/>
              </w:rPr>
            </w:pPr>
            <w:r>
              <w:rPr>
                <w:rFonts w:ascii="Times New Roman"/>
                <w:sz w:val="21"/>
              </w:rPr>
              <w:t>SuperMap iManager</w:t>
            </w:r>
            <w:r>
              <w:rPr>
                <w:rFonts w:ascii="Times New Roman"/>
                <w:spacing w:val="-3"/>
                <w:sz w:val="21"/>
              </w:rPr>
              <w:t> </w:t>
            </w:r>
            <w:r>
              <w:rPr>
                <w:rFonts w:ascii="Times New Roman"/>
                <w:sz w:val="21"/>
              </w:rPr>
              <w:t>10X</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792,246.77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iEdge</w:t>
            </w:r>
            <w:r>
              <w:rPr>
                <w:rFonts w:ascii="Times New Roman"/>
                <w:spacing w:val="-3"/>
                <w:sz w:val="21"/>
              </w:rPr>
              <w:t> </w:t>
            </w:r>
            <w:r>
              <w:rPr>
                <w:rFonts w:ascii="Times New Roman"/>
                <w:sz w:val="21"/>
              </w:rPr>
              <w:t>10X</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767,446.00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iServer and iExpress</w:t>
            </w:r>
            <w:r>
              <w:rPr>
                <w:rFonts w:ascii="Times New Roman"/>
                <w:spacing w:val="-4"/>
                <w:sz w:val="21"/>
              </w:rPr>
              <w:t> </w:t>
            </w:r>
            <w:r>
              <w:rPr>
                <w:rFonts w:ascii="Times New Roman"/>
                <w:sz w:val="21"/>
              </w:rPr>
              <w:t>9.1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9,831,600.17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SGS</w:t>
            </w:r>
            <w:r>
              <w:rPr>
                <w:rFonts w:ascii="Times New Roman"/>
                <w:spacing w:val="-3"/>
                <w:sz w:val="21"/>
              </w:rPr>
              <w:t> </w:t>
            </w:r>
            <w:r>
              <w:rPr>
                <w:rFonts w:ascii="Times New Roman"/>
                <w:sz w:val="21"/>
              </w:rPr>
              <w:t>9.0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1,776,023.96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发布阶段</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654" w:type="dxa"/>
        <w:tblLayout w:type="fixed"/>
        <w:tblCellMar>
          <w:top w:w="0" w:type="dxa"/>
          <w:left w:w="0" w:type="dxa"/>
          <w:bottom w:w="0" w:type="dxa"/>
          <w:right w:w="0" w:type="dxa"/>
        </w:tblCellMar>
        <w:tblLook w:val="01E0"/>
      </w:tblPr>
      <w:tblGrid>
        <w:gridCol w:w="3334"/>
        <w:gridCol w:w="2280"/>
        <w:gridCol w:w="2321"/>
        <w:gridCol w:w="1306"/>
      </w:tblGrid>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iDesktop</w:t>
            </w:r>
            <w:r>
              <w:rPr>
                <w:rFonts w:ascii="Times New Roman"/>
                <w:spacing w:val="-3"/>
                <w:sz w:val="21"/>
              </w:rPr>
              <w:t> </w:t>
            </w:r>
            <w:r>
              <w:rPr>
                <w:rFonts w:ascii="Times New Roman"/>
                <w:sz w:val="21"/>
              </w:rPr>
              <w:t>9.1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pacing w:val="-1"/>
                <w:sz w:val="21"/>
              </w:rPr>
              <w:t>4,213,700.54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iObjects</w:t>
            </w:r>
            <w:r>
              <w:rPr>
                <w:rFonts w:ascii="Times New Roman"/>
                <w:spacing w:val="-4"/>
                <w:sz w:val="21"/>
              </w:rPr>
              <w:t> </w:t>
            </w:r>
            <w:r>
              <w:rPr>
                <w:rFonts w:ascii="Times New Roman"/>
                <w:sz w:val="21"/>
              </w:rPr>
              <w:t>9.1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12,791,529.33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iMobile</w:t>
            </w:r>
            <w:r>
              <w:rPr>
                <w:rFonts w:ascii="Times New Roman"/>
                <w:spacing w:val="-1"/>
                <w:sz w:val="21"/>
              </w:rPr>
              <w:t> </w:t>
            </w:r>
            <w:r>
              <w:rPr>
                <w:rFonts w:ascii="Times New Roman"/>
                <w:sz w:val="21"/>
              </w:rPr>
              <w:t>9.1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3,401,614.27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80"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Times New Roman" w:hAnsi="Times New Roman" w:cs="Times New Roman" w:eastAsia="Times New Roman" w:hint="default"/>
                <w:sz w:val="21"/>
                <w:szCs w:val="21"/>
              </w:rPr>
            </w:pPr>
            <w:r>
              <w:rPr>
                <w:rFonts w:ascii="Times New Roman"/>
                <w:sz w:val="21"/>
              </w:rPr>
              <w:t>SuperMap iPortal</w:t>
            </w:r>
            <w:r>
              <w:rPr>
                <w:rFonts w:ascii="Times New Roman"/>
                <w:spacing w:val="-3"/>
                <w:sz w:val="21"/>
              </w:rPr>
              <w:t> </w:t>
            </w:r>
            <w:r>
              <w:rPr>
                <w:rFonts w:ascii="Times New Roman"/>
                <w:sz w:val="21"/>
              </w:rPr>
              <w:t>9.1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2,443,265.10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iManager 9.1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2,006,457.99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21"/>
                <w:szCs w:val="21"/>
              </w:rPr>
            </w:pPr>
            <w:r>
              <w:rPr>
                <w:rFonts w:ascii="Times New Roman"/>
                <w:sz w:val="21"/>
              </w:rPr>
              <w:t>SuperMap iExpress</w:t>
            </w:r>
            <w:r>
              <w:rPr>
                <w:rFonts w:ascii="Times New Roman"/>
                <w:spacing w:val="-1"/>
                <w:sz w:val="21"/>
              </w:rPr>
              <w:t> </w:t>
            </w:r>
            <w:r>
              <w:rPr>
                <w:rFonts w:ascii="Times New Roman"/>
                <w:sz w:val="21"/>
              </w:rPr>
              <w:t>9.1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1,767,614.43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64"/>
              <w:ind w:left="10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51,225,649.91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28" w:lineRule="auto" w:before="79"/>
        <w:ind w:left="633" w:right="1116" w:firstLine="86"/>
        <w:jc w:val="left"/>
      </w:pPr>
      <w:r>
        <w:rPr/>
        <w:t>研发投入资本化的依据及相关内控制度的内容和执行情况 公司将内部研究开发项目的支出，区分为研究阶段支出和开发阶段支出。研究阶段的支</w:t>
      </w:r>
    </w:p>
    <w:p>
      <w:pPr>
        <w:pStyle w:val="BodyText"/>
        <w:spacing w:line="357" w:lineRule="auto" w:before="62"/>
        <w:ind w:left="633" w:right="1116" w:hanging="480"/>
        <w:jc w:val="left"/>
      </w:pPr>
      <w:r>
        <w:rPr/>
        <w:t>出，于发生时计入当期损益。 开发阶段的支出，同时满足下列条件的，才能予以资本化，即：完成该无形资产以使其</w:t>
      </w:r>
    </w:p>
    <w:p>
      <w:pPr>
        <w:pStyle w:val="BodyText"/>
        <w:spacing w:line="357" w:lineRule="auto" w:before="34"/>
        <w:ind w:right="1138"/>
        <w:jc w:val="both"/>
      </w:pPr>
      <w:r>
        <w:rPr/>
        <w:t>能够使用或出售在技术上具有可行性；具有完成该无形资产并使用或出售的意图；无形资产</w:t>
      </w:r>
      <w:r>
        <w:rPr>
          <w:spacing w:val="-91"/>
        </w:rPr>
        <w:t> </w:t>
      </w:r>
      <w:r>
        <w:rPr>
          <w:spacing w:val="-91"/>
        </w:rPr>
      </w:r>
      <w:r>
        <w:rPr/>
        <w:t>产生经济利益的方式，包括能够证明运用该无形资产生产的产品存在市场或无形资产自身存</w:t>
      </w:r>
      <w:r>
        <w:rPr>
          <w:spacing w:val="-91"/>
        </w:rPr>
        <w:t> </w:t>
      </w:r>
      <w:r>
        <w:rPr>
          <w:spacing w:val="-91"/>
        </w:rPr>
      </w:r>
      <w:r>
        <w:rPr/>
        <w:t>在市场，无形资产将在内部使用的，能够证明其有用性；有足够的技术、财务资源和其他资</w:t>
      </w:r>
      <w:r>
        <w:rPr>
          <w:spacing w:val="-91"/>
        </w:rPr>
        <w:t> </w:t>
      </w:r>
      <w:r>
        <w:rPr>
          <w:spacing w:val="-91"/>
        </w:rPr>
      </w:r>
      <w:r>
        <w:rPr/>
        <w:t>源支持，以完成该无形资产的开发，并有能力使用或出售该无形资产；归属于该无形资产开</w:t>
      </w:r>
      <w:r>
        <w:rPr>
          <w:spacing w:val="-91"/>
        </w:rPr>
        <w:t> </w:t>
      </w:r>
      <w:r>
        <w:rPr>
          <w:spacing w:val="-91"/>
        </w:rPr>
      </w:r>
      <w:r>
        <w:rPr/>
        <w:t>发阶段的支出能够可靠地计量。不满足上述条件的开发支出计入当期损益。</w:t>
      </w:r>
    </w:p>
    <w:p>
      <w:pPr>
        <w:pStyle w:val="BodyText"/>
        <w:spacing w:line="355" w:lineRule="auto"/>
        <w:ind w:right="1116" w:firstLine="480"/>
        <w:jc w:val="left"/>
      </w:pPr>
      <w:r>
        <w:rPr/>
        <w:t>公司研究开发项目在满足上述条件，通过技术可行性及经济可行性研究，形成项目立项 后，进入开发阶段。</w:t>
      </w:r>
    </w:p>
    <w:p>
      <w:pPr>
        <w:pStyle w:val="BodyText"/>
        <w:spacing w:line="355" w:lineRule="auto" w:before="38"/>
        <w:ind w:right="1116" w:firstLine="480"/>
        <w:jc w:val="left"/>
      </w:pPr>
      <w:r>
        <w:rPr/>
        <w:t>公司设立了完善的研发休系，从产品的立项、评审、开发、测试、发布评审、发布等均 建立了相应的流程或制度，建立了相应的控制措施和识别标识，确保资本化的准确。</w:t>
      </w:r>
    </w:p>
    <w:p>
      <w:pPr>
        <w:spacing w:line="240" w:lineRule="auto" w:before="12"/>
        <w:rPr>
          <w:rFonts w:ascii="宋体" w:hAnsi="宋体" w:cs="宋体" w:eastAsia="宋体" w:hint="default"/>
          <w:sz w:val="31"/>
          <w:szCs w:val="31"/>
        </w:rPr>
      </w:pPr>
    </w:p>
    <w:p>
      <w:pPr>
        <w:pStyle w:val="Heading2"/>
        <w:spacing w:line="240" w:lineRule="auto"/>
        <w:ind w:right="0"/>
        <w:jc w:val="both"/>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35"/>
          <w:szCs w:val="35"/>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3258"/>
        <w:gridCol w:w="2148"/>
        <w:gridCol w:w="2146"/>
        <w:gridCol w:w="2146"/>
      </w:tblGrid>
      <w:tr>
        <w:trPr>
          <w:trHeight w:val="364" w:hRule="exact"/>
        </w:trPr>
        <w:tc>
          <w:tcPr>
            <w:tcW w:w="325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w:t>
            </w:r>
            <w:r>
              <w:rPr>
                <w:rFonts w:ascii="宋体" w:hAnsi="宋体" w:cs="宋体" w:eastAsia="宋体" w:hint="default"/>
                <w:sz w:val="21"/>
                <w:szCs w:val="21"/>
              </w:rPr>
            </w:r>
          </w:p>
        </w:tc>
        <w:tc>
          <w:tcPr>
            <w:tcW w:w="214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4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645"/>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78" w:hRule="exact"/>
        </w:trPr>
        <w:tc>
          <w:tcPr>
            <w:tcW w:w="325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1,629,171,955.88</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1,456,432,874.85</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744"/>
              <w:jc w:val="right"/>
              <w:rPr>
                <w:rFonts w:ascii="Times New Roman" w:hAnsi="Times New Roman" w:cs="Times New Roman" w:eastAsia="Times New Roman" w:hint="default"/>
                <w:sz w:val="21"/>
                <w:szCs w:val="21"/>
              </w:rPr>
            </w:pPr>
            <w:r>
              <w:rPr>
                <w:rFonts w:ascii="Times New Roman"/>
                <w:spacing w:val="-2"/>
                <w:sz w:val="21"/>
              </w:rPr>
              <w:t>11.86%</w:t>
            </w:r>
          </w:p>
        </w:tc>
      </w:tr>
      <w:tr>
        <w:trPr>
          <w:trHeight w:val="479" w:hRule="exact"/>
        </w:trPr>
        <w:tc>
          <w:tcPr>
            <w:tcW w:w="325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21"/>
                <w:szCs w:val="21"/>
              </w:rPr>
            </w:pPr>
            <w:r>
              <w:rPr>
                <w:rFonts w:ascii="Times New Roman"/>
                <w:sz w:val="21"/>
              </w:rPr>
              <w:t>1,462,944,367.00</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1,207,072,041.94</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739"/>
              <w:jc w:val="right"/>
              <w:rPr>
                <w:rFonts w:ascii="Times New Roman" w:hAnsi="Times New Roman" w:cs="Times New Roman" w:eastAsia="Times New Roman" w:hint="default"/>
                <w:sz w:val="21"/>
                <w:szCs w:val="21"/>
              </w:rPr>
            </w:pPr>
            <w:r>
              <w:rPr>
                <w:rFonts w:ascii="Times New Roman"/>
                <w:sz w:val="21"/>
              </w:rPr>
              <w:t>21.20%</w:t>
            </w:r>
          </w:p>
        </w:tc>
      </w:tr>
      <w:tr>
        <w:trPr>
          <w:trHeight w:val="478" w:hRule="exact"/>
        </w:trPr>
        <w:tc>
          <w:tcPr>
            <w:tcW w:w="325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b/>
                <w:sz w:val="21"/>
              </w:rPr>
              <w:t>166,227,588.88</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b/>
                <w:sz w:val="21"/>
              </w:rPr>
              <w:t>249,360,832.91</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687"/>
              <w:jc w:val="right"/>
              <w:rPr>
                <w:rFonts w:ascii="Times New Roman" w:hAnsi="Times New Roman" w:cs="Times New Roman" w:eastAsia="Times New Roman" w:hint="default"/>
                <w:sz w:val="21"/>
                <w:szCs w:val="21"/>
              </w:rPr>
            </w:pPr>
            <w:r>
              <w:rPr>
                <w:rFonts w:ascii="Times New Roman"/>
                <w:b/>
                <w:spacing w:val="-1"/>
                <w:sz w:val="21"/>
              </w:rPr>
              <w:t>-33.34%</w:t>
            </w:r>
            <w:r>
              <w:rPr>
                <w:rFonts w:ascii="Times New Roman"/>
                <w:spacing w:val="-1"/>
                <w:sz w:val="21"/>
              </w:rPr>
            </w:r>
          </w:p>
        </w:tc>
      </w:tr>
      <w:tr>
        <w:trPr>
          <w:trHeight w:val="478" w:hRule="exact"/>
        </w:trPr>
        <w:tc>
          <w:tcPr>
            <w:tcW w:w="325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404,873,213.50</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323,955,706.31</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739"/>
              <w:jc w:val="right"/>
              <w:rPr>
                <w:rFonts w:ascii="Times New Roman" w:hAnsi="Times New Roman" w:cs="Times New Roman" w:eastAsia="Times New Roman" w:hint="default"/>
                <w:sz w:val="21"/>
                <w:szCs w:val="21"/>
              </w:rPr>
            </w:pPr>
            <w:r>
              <w:rPr>
                <w:rFonts w:ascii="Times New Roman"/>
                <w:sz w:val="21"/>
              </w:rPr>
              <w:t>24.98%</w:t>
            </w:r>
          </w:p>
        </w:tc>
      </w:tr>
      <w:tr>
        <w:trPr>
          <w:trHeight w:val="437" w:hRule="exact"/>
        </w:trPr>
        <w:tc>
          <w:tcPr>
            <w:tcW w:w="325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48" w:type="dxa"/>
            <w:tcBorders>
              <w:top w:val="single" w:sz="4" w:space="0" w:color="FFFFFF"/>
              <w:left w:val="single" w:sz="9" w:space="0" w:color="D2D2D2"/>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328,258,741.79</w:t>
            </w:r>
          </w:p>
        </w:tc>
        <w:tc>
          <w:tcPr>
            <w:tcW w:w="2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498,571,358.71</w:t>
            </w:r>
          </w:p>
        </w:tc>
        <w:tc>
          <w:tcPr>
            <w:tcW w:w="2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0"/>
              <w:ind w:right="708"/>
              <w:jc w:val="right"/>
              <w:rPr>
                <w:rFonts w:ascii="Times New Roman" w:hAnsi="Times New Roman" w:cs="Times New Roman" w:eastAsia="Times New Roman" w:hint="default"/>
                <w:sz w:val="21"/>
                <w:szCs w:val="21"/>
              </w:rPr>
            </w:pPr>
            <w:r>
              <w:rPr>
                <w:rFonts w:ascii="Times New Roman"/>
                <w:spacing w:val="-1"/>
                <w:sz w:val="21"/>
              </w:rPr>
              <w:t>-34.16%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256"/>
        <w:gridCol w:w="2148"/>
        <w:gridCol w:w="2146"/>
        <w:gridCol w:w="2146"/>
      </w:tblGrid>
      <w:tr>
        <w:trPr>
          <w:trHeight w:val="478" w:hRule="exact"/>
        </w:trPr>
        <w:tc>
          <w:tcPr>
            <w:tcW w:w="325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214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b/>
                <w:sz w:val="21"/>
              </w:rPr>
              <w:t>76,614,471.71</w:t>
            </w:r>
            <w:r>
              <w:rPr>
                <w:rFonts w:ascii="Times New Roman"/>
                <w:sz w:val="21"/>
              </w:rPr>
            </w:r>
          </w:p>
        </w:tc>
        <w:tc>
          <w:tcPr>
            <w:tcW w:w="214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b/>
                <w:sz w:val="21"/>
              </w:rPr>
              <w:t>-174,615,652.40</w:t>
            </w:r>
            <w:r>
              <w:rPr>
                <w:rFonts w:ascii="Times New Roman"/>
                <w:sz w:val="21"/>
              </w:rPr>
            </w:r>
          </w:p>
        </w:tc>
        <w:tc>
          <w:tcPr>
            <w:tcW w:w="214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b/>
                <w:sz w:val="21"/>
              </w:rPr>
              <w:t>143.88%</w:t>
            </w:r>
            <w:r>
              <w:rPr>
                <w:rFonts w:ascii="Times New Roman"/>
                <w:sz w:val="21"/>
              </w:rPr>
            </w:r>
          </w:p>
        </w:tc>
      </w:tr>
      <w:tr>
        <w:trPr>
          <w:trHeight w:val="478" w:hRule="exact"/>
        </w:trPr>
        <w:tc>
          <w:tcPr>
            <w:tcW w:w="325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9,750,079.33</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360,000.00</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2608.36%</w:t>
            </w:r>
          </w:p>
        </w:tc>
      </w:tr>
      <w:tr>
        <w:trPr>
          <w:trHeight w:val="478" w:hRule="exact"/>
        </w:trPr>
        <w:tc>
          <w:tcPr>
            <w:tcW w:w="325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6" w:right="0"/>
              <w:jc w:val="center"/>
              <w:rPr>
                <w:rFonts w:ascii="Times New Roman" w:hAnsi="Times New Roman" w:cs="Times New Roman" w:eastAsia="Times New Roman" w:hint="default"/>
                <w:sz w:val="21"/>
                <w:szCs w:val="21"/>
              </w:rPr>
            </w:pPr>
            <w:r>
              <w:rPr>
                <w:rFonts w:ascii="Times New Roman"/>
                <w:sz w:val="21"/>
              </w:rPr>
              <w:t>48,821,347.64</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left="4" w:right="0"/>
              <w:jc w:val="center"/>
              <w:rPr>
                <w:rFonts w:ascii="Times New Roman" w:hAnsi="Times New Roman" w:cs="Times New Roman" w:eastAsia="Times New Roman" w:hint="default"/>
                <w:sz w:val="21"/>
                <w:szCs w:val="21"/>
              </w:rPr>
            </w:pPr>
            <w:r>
              <w:rPr>
                <w:rFonts w:ascii="Times New Roman"/>
                <w:sz w:val="21"/>
              </w:rPr>
              <w:t>48,845,606.34</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-0.05%</w:t>
            </w:r>
          </w:p>
        </w:tc>
      </w:tr>
      <w:tr>
        <w:trPr>
          <w:trHeight w:val="480" w:hRule="exact"/>
        </w:trPr>
        <w:tc>
          <w:tcPr>
            <w:tcW w:w="325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21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8"/>
              <w:ind w:left="4" w:right="0"/>
              <w:jc w:val="center"/>
              <w:rPr>
                <w:rFonts w:ascii="Times New Roman" w:hAnsi="Times New Roman" w:cs="Times New Roman" w:eastAsia="Times New Roman" w:hint="default"/>
                <w:sz w:val="21"/>
                <w:szCs w:val="21"/>
              </w:rPr>
            </w:pPr>
            <w:r>
              <w:rPr>
                <w:rFonts w:ascii="Times New Roman"/>
                <w:b/>
                <w:sz w:val="21"/>
              </w:rPr>
              <w:t>-39,071,268.31</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b/>
                <w:sz w:val="21"/>
              </w:rPr>
              <w:t>-48,485,606.34</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8"/>
              <w:ind w:left="2" w:right="0"/>
              <w:jc w:val="center"/>
              <w:rPr>
                <w:rFonts w:ascii="Times New Roman" w:hAnsi="Times New Roman" w:cs="Times New Roman" w:eastAsia="Times New Roman" w:hint="default"/>
                <w:sz w:val="21"/>
                <w:szCs w:val="21"/>
              </w:rPr>
            </w:pPr>
            <w:r>
              <w:rPr>
                <w:rFonts w:ascii="Times New Roman"/>
                <w:b/>
                <w:sz w:val="21"/>
              </w:rPr>
              <w:t>19.42%</w:t>
            </w:r>
            <w:r>
              <w:rPr>
                <w:rFonts w:ascii="Times New Roman"/>
                <w:sz w:val="21"/>
              </w:rPr>
            </w:r>
          </w:p>
        </w:tc>
      </w:tr>
      <w:tr>
        <w:trPr>
          <w:trHeight w:val="478" w:hRule="exact"/>
        </w:trPr>
        <w:tc>
          <w:tcPr>
            <w:tcW w:w="325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b/>
                <w:bCs/>
                <w:sz w:val="21"/>
                <w:szCs w:val="21"/>
              </w:rPr>
              <w:t>现金及现金等价物净增加额</w:t>
            </w:r>
            <w:r>
              <w:rPr>
                <w:rFonts w:ascii="宋体" w:hAnsi="宋体" w:cs="宋体" w:eastAsia="宋体" w:hint="default"/>
                <w:sz w:val="21"/>
                <w:szCs w:val="21"/>
              </w:rPr>
            </w:r>
          </w:p>
        </w:tc>
        <w:tc>
          <w:tcPr>
            <w:tcW w:w="21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b/>
                <w:sz w:val="21"/>
              </w:rPr>
              <w:t>204,553,151.25</w:t>
            </w:r>
            <w:r>
              <w:rPr>
                <w:rFonts w:ascii="Times New Roman"/>
                <w:sz w:val="21"/>
              </w:rPr>
            </w:r>
          </w:p>
        </w:tc>
        <w:tc>
          <w:tcPr>
            <w:tcW w:w="2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Times New Roman" w:hAnsi="Times New Roman" w:cs="Times New Roman" w:eastAsia="Times New Roman" w:hint="default"/>
                <w:sz w:val="21"/>
                <w:szCs w:val="21"/>
              </w:rPr>
            </w:pPr>
            <w:r>
              <w:rPr>
                <w:rFonts w:ascii="Times New Roman"/>
                <w:b/>
                <w:sz w:val="21"/>
              </w:rPr>
              <w:t>25,700,507.02</w:t>
            </w:r>
            <w:r>
              <w:rPr>
                <w:rFonts w:ascii="Times New Roman"/>
                <w:sz w:val="21"/>
              </w:rPr>
            </w:r>
          </w:p>
        </w:tc>
        <w:tc>
          <w:tcPr>
            <w:tcW w:w="2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b/>
                <w:sz w:val="21"/>
              </w:rPr>
              <w:t>695.91%</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33" w:right="1273"/>
        <w:jc w:val="left"/>
      </w:pPr>
      <w:r>
        <w:rPr/>
        <w:t>相关数据同比发生重大变动的主要影响因素说明</w:t>
      </w:r>
    </w:p>
    <w:p>
      <w:pPr>
        <w:pStyle w:val="BodyText"/>
        <w:spacing w:line="338" w:lineRule="auto" w:before="154"/>
        <w:ind w:left="633" w:right="1133"/>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经营活动产生的现金流量净额较上年下降</w:t>
      </w:r>
      <w:r>
        <w:rPr>
          <w:rFonts w:ascii="Times New Roman" w:hAnsi="Times New Roman" w:cs="Times New Roman" w:eastAsia="Times New Roman" w:hint="default"/>
        </w:rPr>
        <w:t>33.34%</w:t>
      </w:r>
      <w:r>
        <w:rPr/>
        <w:t>，主要系第四季度部分合同的验收进度</w:t>
      </w:r>
    </w:p>
    <w:p>
      <w:pPr>
        <w:pStyle w:val="BodyText"/>
        <w:spacing w:line="348" w:lineRule="auto" w:before="27"/>
        <w:ind w:left="633" w:right="0" w:hanging="480"/>
        <w:jc w:val="left"/>
      </w:pPr>
      <w:r>
        <w:rPr/>
        <w:t>和回款进度推迟所致； </w:t>
      </w:r>
      <w:r>
        <w:rPr>
          <w:spacing w:val="-3"/>
        </w:rPr>
        <w:t>投资活动产生的现金流量净额较上年增长</w:t>
      </w:r>
      <w:r>
        <w:rPr>
          <w:rFonts w:ascii="Times New Roman" w:hAnsi="Times New Roman" w:cs="Times New Roman" w:eastAsia="Times New Roman" w:hint="default"/>
          <w:spacing w:val="-3"/>
        </w:rPr>
        <w:t>143.88%</w:t>
      </w:r>
      <w:r>
        <w:rPr>
          <w:spacing w:val="-3"/>
        </w:rPr>
        <w:t>，主要系公司购买的理财产品到期所致；</w:t>
      </w:r>
      <w:r>
        <w:rPr/>
        <w:t> </w:t>
      </w:r>
      <w:r>
        <w:rPr>
          <w:spacing w:val="-3"/>
        </w:rPr>
        <w:t>现金及现金等价物净额增长</w:t>
      </w:r>
      <w:r>
        <w:rPr>
          <w:rFonts w:ascii="Times New Roman" w:hAnsi="Times New Roman" w:cs="Times New Roman" w:eastAsia="Times New Roman" w:hint="default"/>
          <w:spacing w:val="-3"/>
        </w:rPr>
        <w:t>695.91%</w:t>
      </w:r>
      <w:r>
        <w:rPr>
          <w:spacing w:val="-3"/>
        </w:rPr>
        <w:t>，主要系公司经营活动盈利现金流入和公司购买的理</w:t>
      </w:r>
    </w:p>
    <w:p>
      <w:pPr>
        <w:pStyle w:val="BodyText"/>
        <w:spacing w:line="357" w:lineRule="auto" w:before="16"/>
        <w:ind w:left="633" w:right="1633" w:hanging="480"/>
        <w:jc w:val="left"/>
      </w:pPr>
      <w:r>
        <w:rPr/>
        <w:t>财产品到期所致。 报告期内公司经营活动产生的现金净流量与本年度净利润存在重大差异的原因说明</w:t>
      </w:r>
    </w:p>
    <w:p>
      <w:pPr>
        <w:spacing w:line="499" w:lineRule="auto" w:before="36"/>
        <w:ind w:left="153" w:right="8558"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三、非主营业务情况</w:t>
      </w:r>
      <w:r>
        <w:rPr>
          <w:rFonts w:ascii="宋体" w:hAnsi="宋体" w:cs="宋体" w:eastAsia="宋体" w:hint="default"/>
          <w:sz w:val="24"/>
          <w:szCs w:val="24"/>
        </w:rPr>
      </w:r>
    </w:p>
    <w:p>
      <w:pPr>
        <w:pStyle w:val="BodyText"/>
        <w:spacing w:line="240" w:lineRule="auto" w:before="115"/>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before="16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842"/>
        <w:gridCol w:w="1419"/>
        <w:gridCol w:w="1702"/>
        <w:gridCol w:w="3118"/>
        <w:gridCol w:w="1488"/>
      </w:tblGrid>
      <w:tr>
        <w:trPr>
          <w:trHeight w:val="63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b/>
                <w:bCs/>
                <w:sz w:val="21"/>
                <w:szCs w:val="21"/>
              </w:rPr>
              <w:t>占利润总额比例</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921" w:right="0"/>
              <w:jc w:val="left"/>
              <w:rPr>
                <w:rFonts w:ascii="宋体" w:hAnsi="宋体" w:cs="宋体" w:eastAsia="宋体" w:hint="default"/>
                <w:sz w:val="21"/>
                <w:szCs w:val="21"/>
              </w:rPr>
            </w:pPr>
            <w:r>
              <w:rPr>
                <w:rFonts w:ascii="宋体" w:hAnsi="宋体" w:cs="宋体" w:eastAsia="宋体" w:hint="default"/>
                <w:b/>
                <w:bCs/>
                <w:sz w:val="21"/>
                <w:szCs w:val="21"/>
              </w:rPr>
              <w:t>形成原因说明</w:t>
            </w:r>
            <w:r>
              <w:rPr>
                <w:rFonts w:ascii="宋体" w:hAnsi="宋体" w:cs="宋体" w:eastAsia="宋体" w:hint="default"/>
                <w:sz w:val="21"/>
                <w:szCs w:val="21"/>
              </w:rPr>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28" w:right="105" w:hanging="423"/>
              <w:jc w:val="left"/>
              <w:rPr>
                <w:rFonts w:ascii="宋体" w:hAnsi="宋体" w:cs="宋体" w:eastAsia="宋体" w:hint="default"/>
                <w:sz w:val="21"/>
                <w:szCs w:val="21"/>
              </w:rPr>
            </w:pPr>
            <w:r>
              <w:rPr>
                <w:rFonts w:ascii="宋体" w:hAnsi="宋体" w:cs="宋体" w:eastAsia="宋体" w:hint="default"/>
                <w:b/>
                <w:bCs/>
                <w:sz w:val="21"/>
                <w:szCs w:val="21"/>
              </w:rPr>
              <w:t>是否具有可持</w:t>
            </w:r>
            <w:r>
              <w:rPr>
                <w:rFonts w:ascii="宋体" w:hAnsi="宋体" w:cs="宋体" w:eastAsia="宋体" w:hint="default"/>
                <w:b/>
                <w:bCs/>
                <w:spacing w:val="-104"/>
                <w:sz w:val="21"/>
                <w:szCs w:val="21"/>
              </w:rPr>
              <w:t> </w:t>
            </w:r>
            <w:r>
              <w:rPr>
                <w:rFonts w:ascii="宋体" w:hAnsi="宋体" w:cs="宋体" w:eastAsia="宋体" w:hint="default"/>
                <w:b/>
                <w:bCs/>
                <w:sz w:val="21"/>
                <w:szCs w:val="21"/>
              </w:rPr>
              <w:t>续性</w:t>
            </w:r>
            <w:r>
              <w:rPr>
                <w:rFonts w:ascii="宋体" w:hAnsi="宋体" w:cs="宋体" w:eastAsia="宋体" w:hint="default"/>
                <w:sz w:val="21"/>
                <w:szCs w:val="21"/>
              </w:rPr>
            </w:r>
          </w:p>
        </w:tc>
      </w:tr>
      <w:tr>
        <w:trPr>
          <w:trHeight w:val="634"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10,563,243.00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39"/>
              <w:jc w:val="left"/>
              <w:rPr>
                <w:rFonts w:ascii="宋体" w:hAnsi="宋体" w:cs="宋体" w:eastAsia="宋体" w:hint="default"/>
                <w:sz w:val="21"/>
                <w:szCs w:val="21"/>
              </w:rPr>
            </w:pPr>
            <w:r>
              <w:rPr>
                <w:rFonts w:ascii="宋体" w:hAnsi="宋体" w:cs="宋体" w:eastAsia="宋体" w:hint="default"/>
                <w:spacing w:val="-2"/>
                <w:sz w:val="21"/>
                <w:szCs w:val="21"/>
              </w:rPr>
              <w:t>现金管理投资于保本型理财产品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的收益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842"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41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311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r>
              <w:rPr>
                <w:rFonts w:ascii="Times New Roman"/>
                <w:w w:val="100"/>
                <w:sz w:val="21"/>
              </w:rPr>
              <w:t>-</w:t>
            </w:r>
          </w:p>
        </w:tc>
        <w:tc>
          <w:tcPr>
            <w:tcW w:w="148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184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67"/>
              <w:ind w:left="1" w:right="0"/>
              <w:jc w:val="center"/>
              <w:rPr>
                <w:rFonts w:ascii="宋体" w:hAnsi="宋体" w:cs="宋体" w:eastAsia="宋体" w:hint="default"/>
                <w:sz w:val="21"/>
                <w:szCs w:val="21"/>
              </w:rPr>
            </w:pPr>
            <w:r>
              <w:rPr>
                <w:rFonts w:ascii="宋体" w:hAnsi="宋体" w:cs="宋体" w:eastAsia="宋体" w:hint="default"/>
                <w:sz w:val="21"/>
                <w:szCs w:val="21"/>
              </w:rPr>
              <w:t>资产减值</w:t>
            </w:r>
          </w:p>
        </w:tc>
        <w:tc>
          <w:tcPr>
            <w:tcW w:w="14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23,231,768.29</w:t>
            </w:r>
          </w:p>
        </w:tc>
        <w:tc>
          <w:tcPr>
            <w:tcW w:w="17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13.76%</w:t>
            </w:r>
          </w:p>
        </w:tc>
        <w:tc>
          <w:tcPr>
            <w:tcW w:w="311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7"/>
              <w:ind w:left="21"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48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184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4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10,984,804.59</w:t>
            </w:r>
          </w:p>
        </w:tc>
        <w:tc>
          <w:tcPr>
            <w:tcW w:w="17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6.51%</w:t>
            </w:r>
          </w:p>
        </w:tc>
        <w:tc>
          <w:tcPr>
            <w:tcW w:w="311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主要为政府补助</w:t>
            </w:r>
          </w:p>
        </w:tc>
        <w:tc>
          <w:tcPr>
            <w:tcW w:w="148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1842"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41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69"/>
              <w:jc w:val="right"/>
              <w:rPr>
                <w:rFonts w:ascii="Times New Roman" w:hAnsi="Times New Roman" w:cs="Times New Roman" w:eastAsia="Times New Roman" w:hint="default"/>
                <w:sz w:val="21"/>
                <w:szCs w:val="21"/>
              </w:rPr>
            </w:pPr>
            <w:r>
              <w:rPr>
                <w:rFonts w:ascii="Times New Roman"/>
                <w:spacing w:val="-1"/>
                <w:sz w:val="21"/>
              </w:rPr>
              <w:t>61,153.85</w:t>
            </w:r>
          </w:p>
        </w:tc>
        <w:tc>
          <w:tcPr>
            <w:tcW w:w="17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0.04%</w:t>
            </w:r>
          </w:p>
        </w:tc>
        <w:tc>
          <w:tcPr>
            <w:tcW w:w="31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8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273"/>
        <w:jc w:val="left"/>
        <w:rPr>
          <w:b w:val="0"/>
          <w:bCs w:val="0"/>
        </w:rPr>
      </w:pPr>
      <w:r>
        <w:rPr/>
        <w:t>四、资产及负债状况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127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417" w:type="dxa"/>
        <w:tblLayout w:type="fixed"/>
        <w:tblCellMar>
          <w:top w:w="0" w:type="dxa"/>
          <w:left w:w="0" w:type="dxa"/>
          <w:bottom w:w="0" w:type="dxa"/>
          <w:right w:w="0" w:type="dxa"/>
        </w:tblCellMar>
        <w:tblLook w:val="01E0"/>
      </w:tblPr>
      <w:tblGrid>
        <w:gridCol w:w="2007"/>
        <w:gridCol w:w="1733"/>
        <w:gridCol w:w="1188"/>
        <w:gridCol w:w="1947"/>
        <w:gridCol w:w="1097"/>
        <w:gridCol w:w="1128"/>
      </w:tblGrid>
      <w:tr>
        <w:trPr>
          <w:trHeight w:val="401" w:hRule="exact"/>
        </w:trPr>
        <w:tc>
          <w:tcPr>
            <w:tcW w:w="200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年末</w:t>
            </w:r>
            <w:r>
              <w:rPr>
                <w:rFonts w:ascii="宋体" w:hAnsi="宋体" w:cs="宋体" w:eastAsia="宋体" w:hint="default"/>
                <w:sz w:val="21"/>
                <w:szCs w:val="21"/>
              </w:rPr>
            </w:r>
          </w:p>
        </w:tc>
        <w:tc>
          <w:tcPr>
            <w:tcW w:w="304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年初</w:t>
            </w:r>
            <w:r>
              <w:rPr>
                <w:rFonts w:ascii="宋体" w:hAnsi="宋体" w:cs="宋体" w:eastAsia="宋体" w:hint="default"/>
                <w:sz w:val="21"/>
                <w:szCs w:val="21"/>
              </w:rPr>
            </w:r>
          </w:p>
        </w:tc>
        <w:tc>
          <w:tcPr>
            <w:tcW w:w="11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b/>
                <w:bCs/>
                <w:sz w:val="21"/>
                <w:szCs w:val="21"/>
              </w:rPr>
              <w:t>比重增减</w:t>
            </w:r>
            <w:r>
              <w:rPr>
                <w:rFonts w:ascii="宋体" w:hAnsi="宋体" w:cs="宋体" w:eastAsia="宋体" w:hint="default"/>
                <w:sz w:val="21"/>
                <w:szCs w:val="21"/>
              </w:rPr>
            </w:r>
          </w:p>
        </w:tc>
      </w:tr>
      <w:tr>
        <w:trPr>
          <w:trHeight w:val="715" w:hRule="exact"/>
        </w:trPr>
        <w:tc>
          <w:tcPr>
            <w:tcW w:w="2007" w:type="dxa"/>
            <w:vMerge/>
            <w:tcBorders>
              <w:left w:val="single" w:sz="4" w:space="0" w:color="000000"/>
              <w:bottom w:val="single" w:sz="4" w:space="0" w:color="000000"/>
              <w:right w:val="single" w:sz="4" w:space="0" w:color="000000"/>
            </w:tcBorders>
            <w:shd w:val="clear" w:color="auto" w:fill="D9D9D9"/>
          </w:tcPr>
          <w:p>
            <w:pPr/>
          </w:p>
        </w:tc>
        <w:tc>
          <w:tcPr>
            <w:tcW w:w="17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377" w:right="165" w:hanging="210"/>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331" w:right="119" w:hanging="209"/>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128"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766,757,383.48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27.16%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561,680,511.43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21.36%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5.80%</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6,485,178.00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0.23%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2"/>
                <w:sz w:val="21"/>
              </w:rPr>
              <w:t>4,117,040.00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0.16%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0.07%</w:t>
            </w:r>
          </w:p>
        </w:tc>
      </w:tr>
      <w:tr>
        <w:trPr>
          <w:trHeight w:val="569"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502,891,808.25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17.82%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413,357,441.58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15.72%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6"/>
              <w:jc w:val="right"/>
              <w:rPr>
                <w:rFonts w:ascii="Times New Roman" w:hAnsi="Times New Roman" w:cs="Times New Roman" w:eastAsia="Times New Roman" w:hint="default"/>
                <w:sz w:val="21"/>
                <w:szCs w:val="21"/>
              </w:rPr>
            </w:pPr>
            <w:r>
              <w:rPr>
                <w:rFonts w:ascii="Times New Roman"/>
                <w:sz w:val="21"/>
              </w:rPr>
              <w:t>2.10%</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9,351,774.94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0.33%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8,722,865.50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0.33%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0.00%</w:t>
            </w:r>
          </w:p>
        </w:tc>
      </w:tr>
      <w:tr>
        <w:trPr>
          <w:trHeight w:val="569"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84,986,855.92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3.01%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76,867,761.00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2.92%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6"/>
              <w:jc w:val="right"/>
              <w:rPr>
                <w:rFonts w:ascii="Times New Roman" w:hAnsi="Times New Roman" w:cs="Times New Roman" w:eastAsia="Times New Roman" w:hint="default"/>
                <w:sz w:val="21"/>
                <w:szCs w:val="21"/>
              </w:rPr>
            </w:pPr>
            <w:r>
              <w:rPr>
                <w:rFonts w:ascii="Times New Roman"/>
                <w:sz w:val="21"/>
              </w:rPr>
              <w:t>0.09%</w:t>
            </w:r>
          </w:p>
        </w:tc>
      </w:tr>
      <w:tr>
        <w:trPr>
          <w:trHeight w:val="571"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7,475,463.38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0.26%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2"/>
                <w:sz w:val="21"/>
              </w:rPr>
              <w:t>10,552,114.06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0.40%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-0.14%</w:t>
            </w:r>
          </w:p>
        </w:tc>
      </w:tr>
      <w:tr>
        <w:trPr>
          <w:trHeight w:val="569"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226,555,437.58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8.03%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394,847,392.11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15.01%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-6.98%</w:t>
            </w:r>
          </w:p>
        </w:tc>
      </w:tr>
      <w:tr>
        <w:trPr>
          <w:trHeight w:val="571"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5"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1,604,503,901.55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56.84%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1,470,145,125.68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55.90%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6"/>
              <w:jc w:val="right"/>
              <w:rPr>
                <w:rFonts w:ascii="Times New Roman" w:hAnsi="Times New Roman" w:cs="Times New Roman" w:eastAsia="Times New Roman" w:hint="default"/>
                <w:sz w:val="21"/>
                <w:szCs w:val="21"/>
              </w:rPr>
            </w:pPr>
            <w:r>
              <w:rPr>
                <w:rFonts w:ascii="Times New Roman"/>
                <w:sz w:val="21"/>
              </w:rPr>
              <w:t>0.94%</w:t>
            </w:r>
          </w:p>
        </w:tc>
      </w:tr>
      <w:tr>
        <w:trPr>
          <w:trHeight w:val="569"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3,012,996.27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3,012,155.43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6"/>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1,962,373.91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1,948,820.21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118,330,383.62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4.19%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121,539,879.37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4.62%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-0.43%</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162,324,519.98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5.75%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165,287,617.58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6.29%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-0.54%</w:t>
            </w:r>
          </w:p>
        </w:tc>
      </w:tr>
      <w:tr>
        <w:trPr>
          <w:trHeight w:val="401"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66,760,134.37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2.37%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14,912,976.25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0.57%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1.80%</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128,817,690.83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4.56%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120,737,801.57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4.59%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-0.03%</w:t>
            </w:r>
          </w:p>
        </w:tc>
      </w:tr>
      <w:tr>
        <w:trPr>
          <w:trHeight w:val="569"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12,993,844.12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0.46%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2"/>
                <w:sz w:val="21"/>
              </w:rPr>
              <w:t>11,116,674.61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0.42%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6"/>
              <w:jc w:val="right"/>
              <w:rPr>
                <w:rFonts w:ascii="Times New Roman" w:hAnsi="Times New Roman" w:cs="Times New Roman" w:eastAsia="Times New Roman" w:hint="default"/>
                <w:sz w:val="21"/>
                <w:szCs w:val="21"/>
              </w:rPr>
            </w:pPr>
            <w:r>
              <w:rPr>
                <w:rFonts w:ascii="Times New Roman"/>
                <w:sz w:val="21"/>
              </w:rPr>
              <w:t>0.04%</w:t>
            </w:r>
          </w:p>
        </w:tc>
      </w:tr>
      <w:tr>
        <w:trPr>
          <w:trHeight w:val="571"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707,269,877.25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25.06%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707,269,877.25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26.90%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-1.84%</w:t>
            </w:r>
          </w:p>
        </w:tc>
      </w:tr>
      <w:tr>
        <w:trPr>
          <w:trHeight w:val="569"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left="10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2"/>
                <w:sz w:val="21"/>
              </w:rPr>
              <w:t>2,723,114.79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0.10%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1,651,966.61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0.06%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6"/>
              <w:jc w:val="right"/>
              <w:rPr>
                <w:rFonts w:ascii="Times New Roman" w:hAnsi="Times New Roman" w:cs="Times New Roman" w:eastAsia="Times New Roman" w:hint="default"/>
                <w:sz w:val="21"/>
                <w:szCs w:val="21"/>
              </w:rPr>
            </w:pPr>
            <w:r>
              <w:rPr>
                <w:rFonts w:ascii="Times New Roman"/>
                <w:sz w:val="21"/>
              </w:rPr>
              <w:t>0.04%</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14,094,610.12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0.50%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10,875,192.58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0.41%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0.09%</w:t>
            </w:r>
          </w:p>
        </w:tc>
      </w:tr>
      <w:tr>
        <w:trPr>
          <w:trHeight w:val="401"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1,230,000.00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-0.05%</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1,218,289,545.26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43.16%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1,159,582,961.46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44.10%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-0.94%</w:t>
            </w:r>
          </w:p>
        </w:tc>
      </w:tr>
      <w:tr>
        <w:trPr>
          <w:trHeight w:val="401" w:hRule="exact"/>
        </w:trPr>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2,822,793,446.81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2,629,728,087.14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338" w:lineRule="auto" w:before="39"/>
        <w:ind w:left="633" w:right="1554"/>
        <w:jc w:val="left"/>
      </w:pPr>
      <w:r>
        <w:rPr/>
        <w:t>货币资金较年初增长</w:t>
      </w:r>
      <w:r>
        <w:rPr>
          <w:spacing w:val="-61"/>
        </w:rPr>
        <w:t> </w:t>
      </w:r>
      <w:r>
        <w:rPr>
          <w:rFonts w:ascii="Times New Roman" w:hAnsi="Times New Roman" w:cs="Times New Roman" w:eastAsia="Times New Roman" w:hint="default"/>
        </w:rPr>
        <w:t>36.51%</w:t>
      </w:r>
      <w:r>
        <w:rPr/>
        <w:t>，主要系公司盈利现金流入和部分理财产品到期所致。 应收票据较年初增长</w:t>
      </w:r>
      <w:r>
        <w:rPr>
          <w:spacing w:val="-61"/>
        </w:rPr>
        <w:t> </w:t>
      </w:r>
      <w:r>
        <w:rPr>
          <w:rFonts w:ascii="Times New Roman" w:hAnsi="Times New Roman" w:cs="Times New Roman" w:eastAsia="Times New Roman" w:hint="default"/>
        </w:rPr>
        <w:t>57.52%</w:t>
      </w:r>
      <w:r>
        <w:rPr/>
        <w:t>，主要系本期客户采用票据支付项目款增加所致。</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left="693" w:right="1194"/>
        <w:jc w:val="left"/>
      </w:pPr>
      <w:r>
        <w:rPr/>
        <w:t>其他流动资产较年初减少</w:t>
      </w:r>
      <w:r>
        <w:rPr>
          <w:spacing w:val="-61"/>
        </w:rPr>
        <w:t> </w:t>
      </w:r>
      <w:r>
        <w:rPr>
          <w:rFonts w:ascii="Times New Roman" w:hAnsi="Times New Roman" w:cs="Times New Roman" w:eastAsia="Times New Roman" w:hint="default"/>
        </w:rPr>
        <w:t>42.62%</w:t>
      </w:r>
      <w:r>
        <w:rPr/>
        <w:t>，主要系本期购买银行理财产品减少所致。 在建工程较年初增长</w:t>
      </w:r>
      <w:r>
        <w:rPr>
          <w:spacing w:val="-61"/>
        </w:rPr>
        <w:t> </w:t>
      </w:r>
      <w:r>
        <w:rPr>
          <w:rFonts w:ascii="Times New Roman" w:hAnsi="Times New Roman" w:cs="Times New Roman" w:eastAsia="Times New Roman" w:hint="default"/>
        </w:rPr>
        <w:t>347.66%</w:t>
      </w:r>
      <w:r>
        <w:rPr/>
        <w:t>，主要系成都办公大楼工程进度增加、浙江大楼交房装修</w:t>
      </w:r>
    </w:p>
    <w:p>
      <w:pPr>
        <w:pStyle w:val="BodyText"/>
        <w:spacing w:line="240" w:lineRule="auto" w:before="27"/>
        <w:ind w:left="213" w:right="994"/>
        <w:jc w:val="left"/>
      </w:pPr>
      <w:r>
        <w:rPr/>
        <w:t>所致。</w:t>
      </w:r>
    </w:p>
    <w:p>
      <w:pPr>
        <w:pStyle w:val="BodyText"/>
        <w:spacing w:line="240" w:lineRule="auto" w:before="154"/>
        <w:ind w:left="693" w:right="994"/>
        <w:jc w:val="left"/>
      </w:pPr>
      <w:r>
        <w:rPr/>
        <w:t>长期待摊费用较年初增长</w:t>
      </w:r>
      <w:r>
        <w:rPr>
          <w:spacing w:val="-61"/>
        </w:rPr>
        <w:t> </w:t>
      </w:r>
      <w:r>
        <w:rPr>
          <w:rFonts w:ascii="Times New Roman" w:hAnsi="Times New Roman" w:cs="Times New Roman" w:eastAsia="Times New Roman" w:hint="default"/>
        </w:rPr>
        <w:t>64.84%</w:t>
      </w:r>
      <w:r>
        <w:rPr/>
        <w:t>，主要系装修费增加所致。</w:t>
      </w:r>
    </w:p>
    <w:p>
      <w:pPr>
        <w:spacing w:line="240" w:lineRule="auto" w:before="4"/>
        <w:rPr>
          <w:rFonts w:ascii="宋体" w:hAnsi="宋体" w:cs="宋体" w:eastAsia="宋体" w:hint="default"/>
          <w:sz w:val="33"/>
          <w:szCs w:val="33"/>
        </w:rPr>
      </w:pPr>
    </w:p>
    <w:p>
      <w:pPr>
        <w:pStyle w:val="Heading2"/>
        <w:spacing w:line="240" w:lineRule="auto"/>
        <w:ind w:left="213" w:right="994"/>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35"/>
          <w:szCs w:val="35"/>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83"/>
        <w:gridCol w:w="1741"/>
        <w:gridCol w:w="1395"/>
        <w:gridCol w:w="1793"/>
        <w:gridCol w:w="1601"/>
        <w:gridCol w:w="1443"/>
      </w:tblGrid>
      <w:tr>
        <w:trPr>
          <w:trHeight w:val="715" w:hRule="exact"/>
        </w:trPr>
        <w:tc>
          <w:tcPr>
            <w:tcW w:w="188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3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5"/>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年末</w:t>
            </w:r>
            <w:r>
              <w:rPr>
                <w:rFonts w:ascii="宋体" w:hAnsi="宋体" w:cs="宋体" w:eastAsia="宋体" w:hint="default"/>
                <w:sz w:val="21"/>
                <w:szCs w:val="21"/>
              </w:rPr>
            </w:r>
          </w:p>
        </w:tc>
        <w:tc>
          <w:tcPr>
            <w:tcW w:w="3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年初</w:t>
            </w:r>
            <w:r>
              <w:rPr>
                <w:rFonts w:ascii="Microsoft JhengHei" w:hAnsi="Microsoft JhengHei" w:cs="Microsoft JhengHei" w:eastAsia="Microsoft JhengHei" w:hint="default"/>
                <w:sz w:val="21"/>
                <w:szCs w:val="21"/>
              </w:rPr>
            </w:r>
          </w:p>
        </w:tc>
        <w:tc>
          <w:tcPr>
            <w:tcW w:w="144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b/>
                <w:bCs/>
                <w:sz w:val="21"/>
                <w:szCs w:val="21"/>
              </w:rPr>
              <w:t>比重增减</w:t>
            </w:r>
            <w:r>
              <w:rPr>
                <w:rFonts w:ascii="宋体" w:hAnsi="宋体" w:cs="宋体" w:eastAsia="宋体" w:hint="default"/>
                <w:sz w:val="21"/>
                <w:szCs w:val="21"/>
              </w:rPr>
            </w:r>
          </w:p>
        </w:tc>
      </w:tr>
      <w:tr>
        <w:trPr>
          <w:trHeight w:val="714" w:hRule="exact"/>
        </w:trPr>
        <w:tc>
          <w:tcPr>
            <w:tcW w:w="1883" w:type="dxa"/>
            <w:vMerge/>
            <w:tcBorders>
              <w:left w:val="single" w:sz="4" w:space="0" w:color="000000"/>
              <w:bottom w:val="single" w:sz="4" w:space="0" w:color="000000"/>
              <w:right w:val="single" w:sz="4" w:space="0" w:color="000000"/>
            </w:tcBorders>
            <w:shd w:val="clear" w:color="auto" w:fill="D9D9D9"/>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9"/>
              <w:ind w:left="585" w:right="161" w:hanging="420"/>
              <w:jc w:val="left"/>
              <w:rPr>
                <w:rFonts w:ascii="宋体" w:hAnsi="宋体" w:cs="宋体" w:eastAsia="宋体" w:hint="default"/>
                <w:sz w:val="21"/>
                <w:szCs w:val="21"/>
              </w:rPr>
            </w:pPr>
            <w:r>
              <w:rPr>
                <w:rFonts w:ascii="宋体" w:hAnsi="宋体" w:cs="宋体" w:eastAsia="宋体" w:hint="default"/>
                <w:b/>
                <w:bCs/>
                <w:sz w:val="21"/>
                <w:szCs w:val="21"/>
              </w:rPr>
              <w:t>占总资产比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7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b/>
                <w:bCs/>
                <w:sz w:val="21"/>
                <w:szCs w:val="21"/>
              </w:rPr>
              <w:t>占总资产比例</w:t>
            </w:r>
            <w:r>
              <w:rPr>
                <w:rFonts w:ascii="宋体" w:hAnsi="宋体" w:cs="宋体" w:eastAsia="宋体" w:hint="default"/>
                <w:sz w:val="21"/>
                <w:szCs w:val="21"/>
              </w:rPr>
            </w:r>
          </w:p>
        </w:tc>
        <w:tc>
          <w:tcPr>
            <w:tcW w:w="1443"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8"/>
              <w:ind w:left="10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6,544,797.80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0.23%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5,055,848.52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0.19%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0.04%</w:t>
            </w:r>
          </w:p>
        </w:tc>
      </w:tr>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0"/>
              <w:ind w:left="10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0.01%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1"/>
                <w:sz w:val="21"/>
              </w:rPr>
              <w:t>-0.01%</w:t>
            </w: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8"/>
              <w:ind w:left="10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266,426,597.29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9.44%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225,953,802.54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8.59%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0.85%</w:t>
            </w:r>
          </w:p>
        </w:tc>
      </w:tr>
      <w:tr>
        <w:trPr>
          <w:trHeight w:val="57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4"/>
              <w:ind w:left="10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186,258,184.00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6.60%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179,897,572.96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6.84%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-0.24%</w:t>
            </w:r>
          </w:p>
        </w:tc>
      </w:tr>
      <w:tr>
        <w:trPr>
          <w:trHeight w:val="569"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left="10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147,221,367.51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5.22%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98,395,104.53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3.74%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1.48%</w:t>
            </w:r>
          </w:p>
        </w:tc>
      </w:tr>
      <w:tr>
        <w:trPr>
          <w:trHeight w:val="404"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1"/>
              <w:ind w:left="10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1"/>
                <w:sz w:val="21"/>
              </w:rPr>
              <w:t>32,267,415.85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1.14%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35,530,199.28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1.35%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1"/>
                <w:szCs w:val="21"/>
              </w:rPr>
            </w:pPr>
            <w:r>
              <w:rPr>
                <w:rFonts w:ascii="Times New Roman"/>
                <w:spacing w:val="-1"/>
                <w:sz w:val="21"/>
              </w:rPr>
              <w:t>-0.21%</w:t>
            </w: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8"/>
              <w:ind w:left="10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70,722,968.73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2.51%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33,809,248.93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1.29%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1.22%</w:t>
            </w:r>
          </w:p>
        </w:tc>
      </w:tr>
      <w:tr>
        <w:trPr>
          <w:trHeight w:val="715"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71" w:lineRule="auto" w:before="30"/>
              <w:ind w:left="102" w:right="295"/>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流动负债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73,909,231.06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65,350,526.85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0.13%</w:t>
            </w:r>
          </w:p>
        </w:tc>
      </w:tr>
      <w:tr>
        <w:trPr>
          <w:trHeight w:val="420"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1,956,224.20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0.07%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455,638.22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0.02%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0.05%</w:t>
            </w:r>
          </w:p>
        </w:tc>
      </w:tr>
      <w:tr>
        <w:trPr>
          <w:trHeight w:val="840"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785,306,786.44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27.82%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644,747,941.83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24.52%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3.30%</w:t>
            </w:r>
          </w:p>
        </w:tc>
      </w:tr>
      <w:tr>
        <w:trPr>
          <w:trHeight w:val="57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4"/>
              <w:ind w:left="10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6,059,603.72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0.21%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5,588,253.81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0.21%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0.00%</w:t>
            </w:r>
          </w:p>
        </w:tc>
      </w:tr>
      <w:tr>
        <w:trPr>
          <w:trHeight w:val="569"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3"/>
              <w:ind w:left="10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96,941,233.14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3.43%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161,249,022.10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6.13%</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spacing w:val="-1"/>
                <w:sz w:val="21"/>
              </w:rPr>
              <w:t>-2.70%</w:t>
            </w:r>
          </w:p>
        </w:tc>
      </w:tr>
      <w:tr>
        <w:trPr>
          <w:trHeight w:val="57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4"/>
              <w:ind w:left="10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1,338,800.81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0.05%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1,968,604.13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0.07%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-0.02%</w:t>
            </w:r>
          </w:p>
        </w:tc>
      </w:tr>
      <w:tr>
        <w:trPr>
          <w:trHeight w:val="569"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left="10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104,339,637.67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3.70%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169,608,107.32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6.45%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spacing w:val="-1"/>
                <w:sz w:val="21"/>
              </w:rPr>
              <w:t>-2.75%</w:t>
            </w:r>
          </w:p>
        </w:tc>
      </w:tr>
      <w:tr>
        <w:trPr>
          <w:trHeight w:val="57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4"/>
              <w:ind w:left="10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889,646,424.11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31.52%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814,356,049.15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30.97%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0.55%</w:t>
            </w:r>
          </w:p>
        </w:tc>
      </w:tr>
      <w:tr>
        <w:trPr>
          <w:trHeight w:val="57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left="102"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2,822,793,446.81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100.00%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pacing w:val="-1"/>
                <w:sz w:val="21"/>
              </w:rPr>
              <w:t>2,629,728,087.14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100.00%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40" w:lineRule="auto" w:before="39"/>
        <w:ind w:left="693" w:right="994"/>
        <w:jc w:val="left"/>
      </w:pPr>
      <w:r>
        <w:rPr/>
        <w:t>应付职工薪酬较年初增长</w:t>
      </w:r>
      <w:r>
        <w:rPr>
          <w:spacing w:val="-41"/>
        </w:rPr>
        <w:t> </w:t>
      </w:r>
      <w:r>
        <w:rPr>
          <w:rFonts w:ascii="Times New Roman" w:hAnsi="Times New Roman" w:cs="Times New Roman" w:eastAsia="Times New Roman" w:hint="default"/>
          <w:spacing w:val="-2"/>
        </w:rPr>
        <w:t>49.62%</w:t>
      </w:r>
      <w:r>
        <w:rPr>
          <w:spacing w:val="-2"/>
        </w:rPr>
        <w:t>，主要系公司人员增长及计提并购子公司业绩超额奖金</w:t>
      </w:r>
    </w:p>
    <w:p>
      <w:pPr>
        <w:spacing w:after="0" w:line="240" w:lineRule="auto"/>
        <w:jc w:val="left"/>
        <w:sectPr>
          <w:pgSz w:w="11910" w:h="16840"/>
          <w:pgMar w:header="877" w:footer="979" w:top="1100" w:bottom="1160" w:left="920" w:right="0"/>
        </w:sectPr>
      </w:pPr>
    </w:p>
    <w:p>
      <w:pPr>
        <w:spacing w:line="240" w:lineRule="auto" w:before="8"/>
        <w:rPr>
          <w:rFonts w:ascii="宋体" w:hAnsi="宋体" w:cs="宋体" w:eastAsia="宋体" w:hint="default"/>
          <w:sz w:val="25"/>
          <w:szCs w:val="25"/>
        </w:rPr>
      </w:pPr>
    </w:p>
    <w:p>
      <w:pPr>
        <w:pStyle w:val="BodyText"/>
        <w:spacing w:line="240" w:lineRule="auto" w:before="26"/>
        <w:ind w:right="1273"/>
        <w:jc w:val="left"/>
      </w:pPr>
      <w:r>
        <w:rPr/>
        <w:t>所致。</w:t>
      </w:r>
    </w:p>
    <w:p>
      <w:pPr>
        <w:pStyle w:val="BodyText"/>
        <w:spacing w:line="338" w:lineRule="auto" w:before="154"/>
        <w:ind w:right="1194" w:firstLine="480"/>
        <w:jc w:val="left"/>
      </w:pPr>
      <w:r>
        <w:rPr/>
        <w:t>其他应付款较年初增长</w:t>
      </w:r>
      <w:r>
        <w:rPr>
          <w:spacing w:val="-61"/>
        </w:rPr>
        <w:t> </w:t>
      </w:r>
      <w:r>
        <w:rPr>
          <w:rFonts w:ascii="Times New Roman" w:hAnsi="Times New Roman" w:cs="Times New Roman" w:eastAsia="Times New Roman" w:hint="default"/>
        </w:rPr>
        <w:t>109.18%</w:t>
      </w:r>
      <w:r>
        <w:rPr/>
        <w:t>，主要系成都超图大厦建设项目和浙江超图大厦建设项 目所致。</w:t>
      </w:r>
    </w:p>
    <w:p>
      <w:pPr>
        <w:pStyle w:val="BodyText"/>
        <w:spacing w:line="338" w:lineRule="auto" w:before="55"/>
        <w:ind w:left="633" w:right="997"/>
        <w:jc w:val="left"/>
      </w:pPr>
      <w:r>
        <w:rPr/>
        <w:t>应付利息较年初增长 </w:t>
      </w:r>
      <w:r>
        <w:rPr>
          <w:rFonts w:ascii="Times New Roman" w:hAnsi="Times New Roman" w:cs="Times New Roman" w:eastAsia="Times New Roman" w:hint="default"/>
        </w:rPr>
        <w:t>94.89%</w:t>
      </w:r>
      <w:r>
        <w:rPr/>
        <w:t>，主要系子公司日本超图借款增加，计提的利息增加所致。</w:t>
      </w:r>
      <w:r>
        <w:rPr>
          <w:spacing w:val="-115"/>
        </w:rPr>
        <w:t> </w:t>
      </w:r>
      <w:r>
        <w:rPr>
          <w:spacing w:val="-115"/>
        </w:rPr>
      </w:r>
      <w:r>
        <w:rPr/>
        <w:t>应付股利较去年减少</w:t>
      </w:r>
      <w:r>
        <w:rPr>
          <w:spacing w:val="-60"/>
        </w:rPr>
        <w:t> </w:t>
      </w:r>
      <w:r>
        <w:rPr>
          <w:rFonts w:ascii="Times New Roman" w:hAnsi="Times New Roman" w:cs="Times New Roman" w:eastAsia="Times New Roman" w:hint="default"/>
        </w:rPr>
        <w:t>36,612.00 </w:t>
      </w:r>
      <w:r>
        <w:rPr/>
        <w:t>元，主要系上期计提的应付股利本期支付所致。 其他流动负债较年初增长</w:t>
      </w:r>
      <w:r>
        <w:rPr>
          <w:spacing w:val="-61"/>
        </w:rPr>
        <w:t> </w:t>
      </w:r>
      <w:r>
        <w:rPr>
          <w:rFonts w:ascii="Times New Roman" w:hAnsi="Times New Roman" w:cs="Times New Roman" w:eastAsia="Times New Roman" w:hint="default"/>
        </w:rPr>
        <w:t>329.34%</w:t>
      </w:r>
      <w:r>
        <w:rPr/>
        <w:t>，主要系待转销项税额增加所致。 长期应付款较年初减少</w:t>
      </w:r>
      <w:r>
        <w:rPr>
          <w:spacing w:val="-61"/>
        </w:rPr>
        <w:t> </w:t>
      </w:r>
      <w:r>
        <w:rPr>
          <w:rFonts w:ascii="Times New Roman" w:hAnsi="Times New Roman" w:cs="Times New Roman" w:eastAsia="Times New Roman" w:hint="default"/>
        </w:rPr>
        <w:t>39.88%</w:t>
      </w:r>
      <w:r>
        <w:rPr/>
        <w:t>，主要系本年支付股权收购款所致。</w:t>
      </w:r>
    </w:p>
    <w:p>
      <w:pPr>
        <w:pStyle w:val="BodyText"/>
        <w:spacing w:line="338" w:lineRule="auto" w:before="27"/>
        <w:ind w:left="633" w:right="875"/>
        <w:jc w:val="left"/>
      </w:pPr>
      <w:r>
        <w:rPr/>
        <w:t>递延收益较年初减少</w:t>
      </w:r>
      <w:r>
        <w:rPr>
          <w:spacing w:val="-60"/>
        </w:rPr>
        <w:t> </w:t>
      </w:r>
      <w:r>
        <w:rPr>
          <w:rFonts w:ascii="Times New Roman" w:hAnsi="Times New Roman" w:cs="Times New Roman" w:eastAsia="Times New Roman" w:hint="default"/>
        </w:rPr>
        <w:t>802,227.28 </w:t>
      </w:r>
      <w:r>
        <w:rPr/>
        <w:t>元，主要系政府补助项目到期摊销所致。 递延所得税负债较年初减少</w:t>
      </w:r>
      <w:r>
        <w:rPr>
          <w:spacing w:val="-42"/>
        </w:rPr>
        <w:t> </w:t>
      </w:r>
      <w:r>
        <w:rPr>
          <w:rFonts w:ascii="Times New Roman" w:hAnsi="Times New Roman" w:cs="Times New Roman" w:eastAsia="Times New Roman" w:hint="default"/>
          <w:spacing w:val="-2"/>
        </w:rPr>
        <w:t>31.99%</w:t>
      </w:r>
      <w:r>
        <w:rPr>
          <w:spacing w:val="-2"/>
        </w:rPr>
        <w:t>，主要系企业合并资产评估增值随年限摊销减少所致。</w:t>
      </w:r>
    </w:p>
    <w:p>
      <w:pPr>
        <w:spacing w:line="240" w:lineRule="auto" w:before="13"/>
        <w:rPr>
          <w:rFonts w:ascii="宋体" w:hAnsi="宋体" w:cs="宋体" w:eastAsia="宋体" w:hint="default"/>
          <w:sz w:val="24"/>
          <w:szCs w:val="24"/>
        </w:rPr>
      </w:pPr>
    </w:p>
    <w:p>
      <w:pPr>
        <w:pStyle w:val="Heading2"/>
        <w:spacing w:line="240" w:lineRule="auto"/>
        <w:ind w:right="1273"/>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3"/>
        <w:jc w:val="left"/>
        <w:rPr>
          <w:b w:val="0"/>
          <w:bCs w:val="0"/>
        </w:rPr>
      </w:pPr>
      <w:r>
        <w:rPr>
          <w:rFonts w:ascii="Times New Roman" w:hAnsi="Times New Roman" w:cs="Times New Roman" w:eastAsia="Times New Roman" w:hint="default"/>
        </w:rPr>
        <w:t>4</w:t>
      </w:r>
      <w:r>
        <w:rPr/>
        <w:t>、截至报告期末的资产权利受限情况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442"/>
        <w:gridCol w:w="4097"/>
        <w:gridCol w:w="3162"/>
      </w:tblGrid>
      <w:tr>
        <w:trPr>
          <w:trHeight w:val="396" w:hRule="exact"/>
        </w:trPr>
        <w:tc>
          <w:tcPr>
            <w:tcW w:w="24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4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b/>
                <w:bCs/>
                <w:sz w:val="24"/>
                <w:szCs w:val="24"/>
              </w:rPr>
              <w:t>期末账面价值（元）</w:t>
            </w:r>
            <w:r>
              <w:rPr>
                <w:rFonts w:ascii="宋体" w:hAnsi="宋体" w:cs="宋体" w:eastAsia="宋体" w:hint="default"/>
                <w:sz w:val="24"/>
                <w:szCs w:val="24"/>
              </w:rPr>
            </w:r>
          </w:p>
        </w:tc>
        <w:tc>
          <w:tcPr>
            <w:tcW w:w="3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087" w:right="0"/>
              <w:jc w:val="left"/>
              <w:rPr>
                <w:rFonts w:ascii="宋体" w:hAnsi="宋体" w:cs="宋体" w:eastAsia="宋体" w:hint="default"/>
                <w:sz w:val="24"/>
                <w:szCs w:val="24"/>
              </w:rPr>
            </w:pPr>
            <w:r>
              <w:rPr>
                <w:rFonts w:ascii="宋体" w:hAnsi="宋体" w:cs="宋体" w:eastAsia="宋体" w:hint="default"/>
                <w:b/>
                <w:bCs/>
                <w:sz w:val="24"/>
                <w:szCs w:val="24"/>
              </w:rPr>
              <w:t>受限原因</w:t>
            </w:r>
            <w:r>
              <w:rPr>
                <w:rFonts w:ascii="宋体" w:hAnsi="宋体" w:cs="宋体" w:eastAsia="宋体" w:hint="default"/>
                <w:sz w:val="24"/>
                <w:szCs w:val="24"/>
              </w:rPr>
            </w:r>
          </w:p>
        </w:tc>
      </w:tr>
      <w:tr>
        <w:trPr>
          <w:trHeight w:val="398" w:hRule="exact"/>
        </w:trPr>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14,393,161.95</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1"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bl>
    <w:p>
      <w:pPr>
        <w:spacing w:line="240" w:lineRule="auto" w:before="1"/>
        <w:rPr>
          <w:rFonts w:ascii="宋体" w:hAnsi="宋体" w:cs="宋体" w:eastAsia="宋体" w:hint="default"/>
          <w:sz w:val="18"/>
          <w:szCs w:val="18"/>
        </w:rPr>
      </w:pPr>
    </w:p>
    <w:p>
      <w:pPr>
        <w:pStyle w:val="Heading2"/>
        <w:spacing w:line="240" w:lineRule="auto" w:before="26"/>
        <w:ind w:right="1273"/>
        <w:jc w:val="left"/>
        <w:rPr>
          <w:b w:val="0"/>
          <w:bCs w:val="0"/>
        </w:rPr>
      </w:pPr>
      <w:r>
        <w:rPr/>
        <w:t>五、投资状况分析</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127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报告期投资额（元）</w:t>
            </w:r>
            <w:r>
              <w:rPr>
                <w:rFonts w:ascii="宋体" w:hAnsi="宋体" w:cs="宋体" w:eastAsia="宋体"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上年同期投资额（元）</w:t>
            </w:r>
            <w:r>
              <w:rPr>
                <w:rFonts w:ascii="宋体" w:hAnsi="宋体" w:cs="宋体" w:eastAsia="宋体"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23,881,029.80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231,500,000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-89.68%</w:t>
            </w:r>
          </w:p>
        </w:tc>
      </w:tr>
    </w:tbl>
    <w:p>
      <w:pPr>
        <w:spacing w:line="240" w:lineRule="auto" w:before="12"/>
        <w:rPr>
          <w:rFonts w:ascii="宋体" w:hAnsi="宋体" w:cs="宋体" w:eastAsia="宋体" w:hint="default"/>
          <w:sz w:val="23"/>
          <w:szCs w:val="23"/>
        </w:rPr>
      </w:pPr>
    </w:p>
    <w:p>
      <w:pPr>
        <w:pStyle w:val="Heading2"/>
        <w:spacing w:line="240" w:lineRule="auto" w:before="26"/>
        <w:ind w:right="127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33"/>
          <w:szCs w:val="33"/>
        </w:rPr>
      </w:pPr>
    </w:p>
    <w:p>
      <w:pPr>
        <w:pStyle w:val="BodyText"/>
        <w:tabs>
          <w:tab w:pos="1617" w:val="left" w:leader="none"/>
        </w:tabs>
        <w:spacing w:line="240" w:lineRule="auto" w:before="0"/>
        <w:ind w:left="633" w:right="127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适用</w:t>
        <w:tab/>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Heading2"/>
        <w:spacing w:line="240" w:lineRule="auto" w:before="26"/>
        <w:ind w:left="213" w:right="994"/>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93"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213" w:right="99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93"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213" w:right="99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5"/>
        <w:rPr>
          <w:rFonts w:ascii="宋体" w:hAnsi="宋体" w:cs="宋体" w:eastAsia="宋体" w:hint="default"/>
          <w:b/>
          <w:bCs/>
          <w:sz w:val="33"/>
          <w:szCs w:val="33"/>
        </w:rPr>
      </w:pPr>
    </w:p>
    <w:p>
      <w:pPr>
        <w:pStyle w:val="BodyText"/>
        <w:spacing w:line="240" w:lineRule="auto" w:before="0"/>
        <w:ind w:left="693"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9"/>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867"/>
        <w:gridCol w:w="864"/>
        <w:gridCol w:w="965"/>
        <w:gridCol w:w="869"/>
        <w:gridCol w:w="972"/>
        <w:gridCol w:w="758"/>
        <w:gridCol w:w="708"/>
        <w:gridCol w:w="853"/>
        <w:gridCol w:w="943"/>
        <w:gridCol w:w="1277"/>
        <w:gridCol w:w="775"/>
      </w:tblGrid>
      <w:tr>
        <w:trPr>
          <w:trHeight w:val="157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22" w:right="110" w:hanging="212"/>
              <w:jc w:val="left"/>
              <w:rPr>
                <w:rFonts w:ascii="宋体" w:hAnsi="宋体" w:cs="宋体" w:eastAsia="宋体" w:hint="default"/>
                <w:sz w:val="21"/>
                <w:szCs w:val="21"/>
              </w:rPr>
            </w:pPr>
            <w:r>
              <w:rPr>
                <w:rFonts w:ascii="宋体" w:hAnsi="宋体" w:cs="宋体" w:eastAsia="宋体" w:hint="default"/>
                <w:b/>
                <w:bCs/>
                <w:sz w:val="21"/>
                <w:szCs w:val="21"/>
              </w:rPr>
              <w:t>募集年</w:t>
            </w:r>
            <w:r>
              <w:rPr>
                <w:rFonts w:ascii="宋体" w:hAnsi="宋体" w:cs="宋体" w:eastAsia="宋体" w:hint="default"/>
                <w:b/>
                <w:bCs/>
                <w:w w:val="100"/>
                <w:sz w:val="21"/>
                <w:szCs w:val="21"/>
              </w:rPr>
              <w:t> </w:t>
            </w:r>
            <w:r>
              <w:rPr>
                <w:rFonts w:ascii="宋体" w:hAnsi="宋体" w:cs="宋体" w:eastAsia="宋体" w:hint="default"/>
                <w:b/>
                <w:bCs/>
                <w:sz w:val="21"/>
                <w:szCs w:val="21"/>
              </w:rPr>
              <w:t>份</w:t>
            </w:r>
            <w:r>
              <w:rPr>
                <w:rFonts w:ascii="宋体" w:hAnsi="宋体" w:cs="宋体" w:eastAsia="宋体" w:hint="default"/>
                <w:sz w:val="21"/>
                <w:szCs w:val="21"/>
              </w:rPr>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19" w:right="110" w:hanging="212"/>
              <w:jc w:val="left"/>
              <w:rPr>
                <w:rFonts w:ascii="宋体" w:hAnsi="宋体" w:cs="宋体" w:eastAsia="宋体" w:hint="default"/>
                <w:sz w:val="21"/>
                <w:szCs w:val="21"/>
              </w:rPr>
            </w:pPr>
            <w:r>
              <w:rPr>
                <w:rFonts w:ascii="宋体" w:hAnsi="宋体" w:cs="宋体" w:eastAsia="宋体" w:hint="default"/>
                <w:b/>
                <w:bCs/>
                <w:sz w:val="21"/>
                <w:szCs w:val="21"/>
              </w:rPr>
              <w:t>募集方</w:t>
            </w:r>
            <w:r>
              <w:rPr>
                <w:rFonts w:ascii="宋体" w:hAnsi="宋体" w:cs="宋体" w:eastAsia="宋体" w:hint="default"/>
                <w:b/>
                <w:bCs/>
                <w:w w:val="100"/>
                <w:sz w:val="21"/>
                <w:szCs w:val="21"/>
              </w:rPr>
              <w:t> </w:t>
            </w:r>
            <w:r>
              <w:rPr>
                <w:rFonts w:ascii="宋体" w:hAnsi="宋体" w:cs="宋体" w:eastAsia="宋体" w:hint="default"/>
                <w:b/>
                <w:bCs/>
                <w:sz w:val="21"/>
                <w:szCs w:val="21"/>
              </w:rPr>
              <w:t>式</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66" w:right="53" w:hanging="212"/>
              <w:jc w:val="left"/>
              <w:rPr>
                <w:rFonts w:ascii="宋体" w:hAnsi="宋体" w:cs="宋体" w:eastAsia="宋体" w:hint="default"/>
                <w:sz w:val="21"/>
                <w:szCs w:val="21"/>
              </w:rPr>
            </w:pPr>
            <w:r>
              <w:rPr>
                <w:rFonts w:ascii="宋体" w:hAnsi="宋体" w:cs="宋体" w:eastAsia="宋体" w:hint="default"/>
                <w:b/>
                <w:bCs/>
                <w:sz w:val="21"/>
                <w:szCs w:val="21"/>
              </w:rPr>
              <w:t>募集资金</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12" w:right="110"/>
              <w:jc w:val="both"/>
              <w:rPr>
                <w:rFonts w:ascii="宋体" w:hAnsi="宋体" w:cs="宋体" w:eastAsia="宋体" w:hint="default"/>
                <w:sz w:val="21"/>
                <w:szCs w:val="21"/>
              </w:rPr>
            </w:pPr>
            <w:r>
              <w:rPr>
                <w:rFonts w:ascii="宋体" w:hAnsi="宋体" w:cs="宋体" w:eastAsia="宋体" w:hint="default"/>
                <w:b/>
                <w:bCs/>
                <w:sz w:val="21"/>
                <w:szCs w:val="21"/>
              </w:rPr>
              <w:t>本期已</w:t>
            </w:r>
            <w:r>
              <w:rPr>
                <w:rFonts w:ascii="宋体" w:hAnsi="宋体" w:cs="宋体" w:eastAsia="宋体" w:hint="default"/>
                <w:b/>
                <w:bCs/>
                <w:w w:val="100"/>
                <w:sz w:val="21"/>
                <w:szCs w:val="21"/>
              </w:rPr>
              <w:t> </w:t>
            </w:r>
            <w:r>
              <w:rPr>
                <w:rFonts w:ascii="宋体" w:hAnsi="宋体" w:cs="宋体" w:eastAsia="宋体" w:hint="default"/>
                <w:b/>
                <w:bCs/>
                <w:sz w:val="21"/>
                <w:szCs w:val="21"/>
              </w:rPr>
              <w:t>使用募</w:t>
            </w:r>
            <w:r>
              <w:rPr>
                <w:rFonts w:ascii="宋体" w:hAnsi="宋体" w:cs="宋体" w:eastAsia="宋体" w:hint="default"/>
                <w:b/>
                <w:bCs/>
                <w:w w:val="100"/>
                <w:sz w:val="21"/>
                <w:szCs w:val="21"/>
              </w:rPr>
              <w:t> </w:t>
            </w:r>
            <w:r>
              <w:rPr>
                <w:rFonts w:ascii="宋体" w:hAnsi="宋体" w:cs="宋体" w:eastAsia="宋体" w:hint="default"/>
                <w:b/>
                <w:bCs/>
                <w:sz w:val="21"/>
                <w:szCs w:val="21"/>
              </w:rPr>
              <w:t>集资金</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59" w:right="57"/>
              <w:jc w:val="both"/>
              <w:rPr>
                <w:rFonts w:ascii="宋体" w:hAnsi="宋体" w:cs="宋体" w:eastAsia="宋体" w:hint="default"/>
                <w:sz w:val="21"/>
                <w:szCs w:val="21"/>
              </w:rPr>
            </w:pPr>
            <w:r>
              <w:rPr>
                <w:rFonts w:ascii="宋体" w:hAnsi="宋体" w:cs="宋体" w:eastAsia="宋体" w:hint="default"/>
                <w:b/>
                <w:bCs/>
                <w:sz w:val="21"/>
                <w:szCs w:val="21"/>
              </w:rPr>
              <w:t>已累计使</w:t>
            </w:r>
            <w:r>
              <w:rPr>
                <w:rFonts w:ascii="宋体" w:hAnsi="宋体" w:cs="宋体" w:eastAsia="宋体" w:hint="default"/>
                <w:b/>
                <w:bCs/>
                <w:w w:val="100"/>
                <w:sz w:val="21"/>
                <w:szCs w:val="21"/>
              </w:rPr>
              <w:t> </w:t>
            </w:r>
            <w:r>
              <w:rPr>
                <w:rFonts w:ascii="宋体" w:hAnsi="宋体" w:cs="宋体" w:eastAsia="宋体" w:hint="default"/>
                <w:b/>
                <w:bCs/>
                <w:sz w:val="21"/>
                <w:szCs w:val="21"/>
              </w:rPr>
              <w:t>用募集资</w:t>
            </w:r>
            <w:r>
              <w:rPr>
                <w:rFonts w:ascii="宋体" w:hAnsi="宋体" w:cs="宋体" w:eastAsia="宋体" w:hint="default"/>
                <w:b/>
                <w:bCs/>
                <w:w w:val="100"/>
                <w:sz w:val="21"/>
                <w:szCs w:val="21"/>
              </w:rPr>
              <w:t> </w:t>
            </w:r>
            <w:r>
              <w:rPr>
                <w:rFonts w:ascii="宋体" w:hAnsi="宋体" w:cs="宋体" w:eastAsia="宋体" w:hint="default"/>
                <w:b/>
                <w:bCs/>
                <w:sz w:val="21"/>
                <w:szCs w:val="21"/>
              </w:rPr>
              <w:t>金总额</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5" w:right="59"/>
              <w:jc w:val="both"/>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b/>
                <w:bCs/>
                <w:w w:val="100"/>
                <w:sz w:val="21"/>
                <w:szCs w:val="21"/>
              </w:rPr>
              <w:t> </w:t>
            </w:r>
            <w:r>
              <w:rPr>
                <w:rFonts w:ascii="宋体" w:hAnsi="宋体" w:cs="宋体" w:eastAsia="宋体" w:hint="default"/>
                <w:b/>
                <w:bCs/>
                <w:sz w:val="21"/>
                <w:szCs w:val="21"/>
              </w:rPr>
              <w:t>内变更</w:t>
            </w:r>
            <w:r>
              <w:rPr>
                <w:rFonts w:ascii="宋体" w:hAnsi="宋体" w:cs="宋体" w:eastAsia="宋体" w:hint="default"/>
                <w:b/>
                <w:bCs/>
                <w:w w:val="100"/>
                <w:sz w:val="21"/>
                <w:szCs w:val="21"/>
              </w:rPr>
              <w:t> </w:t>
            </w:r>
            <w:r>
              <w:rPr>
                <w:rFonts w:ascii="宋体" w:hAnsi="宋体" w:cs="宋体" w:eastAsia="宋体" w:hint="default"/>
                <w:b/>
                <w:bCs/>
                <w:sz w:val="21"/>
                <w:szCs w:val="21"/>
              </w:rPr>
              <w:t>用途的</w:t>
            </w:r>
            <w:r>
              <w:rPr>
                <w:rFonts w:ascii="宋体" w:hAnsi="宋体" w:cs="宋体" w:eastAsia="宋体" w:hint="default"/>
                <w:b/>
                <w:bCs/>
                <w:w w:val="100"/>
                <w:sz w:val="21"/>
                <w:szCs w:val="21"/>
              </w:rPr>
              <w:t> </w:t>
            </w:r>
            <w:r>
              <w:rPr>
                <w:rFonts w:ascii="宋体" w:hAnsi="宋体" w:cs="宋体" w:eastAsia="宋体" w:hint="default"/>
                <w:b/>
                <w:bCs/>
                <w:sz w:val="21"/>
                <w:szCs w:val="21"/>
              </w:rPr>
              <w:t>募集资</w:t>
            </w:r>
            <w:r>
              <w:rPr>
                <w:rFonts w:ascii="宋体" w:hAnsi="宋体" w:cs="宋体" w:eastAsia="宋体" w:hint="default"/>
                <w:b/>
                <w:bCs/>
                <w:w w:val="100"/>
                <w:sz w:val="21"/>
                <w:szCs w:val="21"/>
              </w:rPr>
              <w:t> </w:t>
            </w:r>
            <w:r>
              <w:rPr>
                <w:rFonts w:ascii="宋体" w:hAnsi="宋体" w:cs="宋体" w:eastAsia="宋体" w:hint="default"/>
                <w:b/>
                <w:bCs/>
                <w:sz w:val="21"/>
                <w:szCs w:val="21"/>
              </w:rPr>
              <w:t>金总额</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 w:right="31"/>
              <w:jc w:val="center"/>
              <w:rPr>
                <w:rFonts w:ascii="宋体" w:hAnsi="宋体" w:cs="宋体" w:eastAsia="宋体" w:hint="default"/>
                <w:sz w:val="21"/>
                <w:szCs w:val="21"/>
              </w:rPr>
            </w:pPr>
            <w:r>
              <w:rPr>
                <w:rFonts w:ascii="宋体" w:hAnsi="宋体" w:cs="宋体" w:eastAsia="宋体" w:hint="default"/>
                <w:b/>
                <w:bCs/>
                <w:sz w:val="21"/>
                <w:szCs w:val="21"/>
              </w:rPr>
              <w:t>累计变</w:t>
            </w:r>
            <w:r>
              <w:rPr>
                <w:rFonts w:ascii="宋体" w:hAnsi="宋体" w:cs="宋体" w:eastAsia="宋体" w:hint="default"/>
                <w:b/>
                <w:bCs/>
                <w:w w:val="100"/>
                <w:sz w:val="21"/>
                <w:szCs w:val="21"/>
              </w:rPr>
              <w:t> </w:t>
            </w:r>
            <w:r>
              <w:rPr>
                <w:rFonts w:ascii="宋体" w:hAnsi="宋体" w:cs="宋体" w:eastAsia="宋体" w:hint="default"/>
                <w:b/>
                <w:bCs/>
                <w:sz w:val="21"/>
                <w:szCs w:val="21"/>
              </w:rPr>
              <w:t>更用途</w:t>
            </w:r>
            <w:r>
              <w:rPr>
                <w:rFonts w:ascii="宋体" w:hAnsi="宋体" w:cs="宋体" w:eastAsia="宋体" w:hint="default"/>
                <w:b/>
                <w:bCs/>
                <w:w w:val="100"/>
                <w:sz w:val="21"/>
                <w:szCs w:val="21"/>
              </w:rPr>
              <w:t> </w:t>
            </w:r>
            <w:r>
              <w:rPr>
                <w:rFonts w:ascii="宋体" w:hAnsi="宋体" w:cs="宋体" w:eastAsia="宋体" w:hint="default"/>
                <w:b/>
                <w:bCs/>
                <w:sz w:val="21"/>
                <w:szCs w:val="21"/>
              </w:rPr>
              <w:t>的募集</w:t>
            </w:r>
            <w:r>
              <w:rPr>
                <w:rFonts w:ascii="宋体" w:hAnsi="宋体" w:cs="宋体" w:eastAsia="宋体" w:hint="default"/>
                <w:b/>
                <w:bCs/>
                <w:w w:val="100"/>
                <w:sz w:val="21"/>
                <w:szCs w:val="21"/>
              </w:rPr>
              <w:t> </w:t>
            </w:r>
            <w:r>
              <w:rPr>
                <w:rFonts w:ascii="宋体" w:hAnsi="宋体" w:cs="宋体" w:eastAsia="宋体" w:hint="default"/>
                <w:b/>
                <w:bCs/>
                <w:sz w:val="21"/>
                <w:szCs w:val="21"/>
              </w:rPr>
              <w:t>资金总</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3" w:right="104"/>
              <w:jc w:val="both"/>
              <w:rPr>
                <w:rFonts w:ascii="宋体" w:hAnsi="宋体" w:cs="宋体" w:eastAsia="宋体" w:hint="default"/>
                <w:sz w:val="21"/>
                <w:szCs w:val="21"/>
              </w:rPr>
            </w:pPr>
            <w:r>
              <w:rPr>
                <w:rFonts w:ascii="宋体" w:hAnsi="宋体" w:cs="宋体" w:eastAsia="宋体" w:hint="default"/>
                <w:b/>
                <w:bCs/>
                <w:sz w:val="21"/>
                <w:szCs w:val="21"/>
              </w:rPr>
              <w:t>累计变</w:t>
            </w:r>
            <w:r>
              <w:rPr>
                <w:rFonts w:ascii="宋体" w:hAnsi="宋体" w:cs="宋体" w:eastAsia="宋体" w:hint="default"/>
                <w:b/>
                <w:bCs/>
                <w:w w:val="100"/>
                <w:sz w:val="21"/>
                <w:szCs w:val="21"/>
              </w:rPr>
              <w:t> </w:t>
            </w:r>
            <w:r>
              <w:rPr>
                <w:rFonts w:ascii="宋体" w:hAnsi="宋体" w:cs="宋体" w:eastAsia="宋体" w:hint="default"/>
                <w:b/>
                <w:bCs/>
                <w:sz w:val="21"/>
                <w:szCs w:val="21"/>
              </w:rPr>
              <w:t>更用途</w:t>
            </w:r>
            <w:r>
              <w:rPr>
                <w:rFonts w:ascii="宋体" w:hAnsi="宋体" w:cs="宋体" w:eastAsia="宋体" w:hint="default"/>
                <w:b/>
                <w:bCs/>
                <w:w w:val="100"/>
                <w:sz w:val="21"/>
                <w:szCs w:val="21"/>
              </w:rPr>
              <w:t> </w:t>
            </w:r>
            <w:r>
              <w:rPr>
                <w:rFonts w:ascii="宋体" w:hAnsi="宋体" w:cs="宋体" w:eastAsia="宋体" w:hint="default"/>
                <w:b/>
                <w:bCs/>
                <w:sz w:val="21"/>
                <w:szCs w:val="21"/>
              </w:rPr>
              <w:t>的募集</w:t>
            </w:r>
            <w:r>
              <w:rPr>
                <w:rFonts w:ascii="宋体" w:hAnsi="宋体" w:cs="宋体" w:eastAsia="宋体" w:hint="default"/>
                <w:b/>
                <w:bCs/>
                <w:w w:val="100"/>
                <w:sz w:val="21"/>
                <w:szCs w:val="21"/>
              </w:rPr>
              <w:t> </w:t>
            </w:r>
            <w:r>
              <w:rPr>
                <w:rFonts w:ascii="宋体" w:hAnsi="宋体" w:cs="宋体" w:eastAsia="宋体" w:hint="default"/>
                <w:b/>
                <w:bCs/>
                <w:sz w:val="21"/>
                <w:szCs w:val="21"/>
              </w:rPr>
              <w:t>资金总</w:t>
            </w:r>
            <w:r>
              <w:rPr>
                <w:rFonts w:ascii="宋体" w:hAnsi="宋体" w:cs="宋体" w:eastAsia="宋体" w:hint="default"/>
                <w:b/>
                <w:bCs/>
                <w:w w:val="100"/>
                <w:sz w:val="21"/>
                <w:szCs w:val="21"/>
              </w:rPr>
              <w:t> </w:t>
            </w:r>
            <w:r>
              <w:rPr>
                <w:rFonts w:ascii="宋体" w:hAnsi="宋体" w:cs="宋体" w:eastAsia="宋体" w:hint="default"/>
                <w:b/>
                <w:bCs/>
                <w:sz w:val="21"/>
                <w:szCs w:val="21"/>
              </w:rPr>
              <w:t>额比例</w:t>
            </w:r>
            <w:r>
              <w:rPr>
                <w:rFonts w:ascii="宋体" w:hAnsi="宋体" w:cs="宋体" w:eastAsia="宋体" w:hint="default"/>
                <w:sz w:val="21"/>
                <w:szCs w:val="21"/>
              </w:rPr>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5" w:right="41"/>
              <w:jc w:val="center"/>
              <w:rPr>
                <w:rFonts w:ascii="宋体" w:hAnsi="宋体" w:cs="宋体" w:eastAsia="宋体" w:hint="default"/>
                <w:sz w:val="21"/>
                <w:szCs w:val="21"/>
              </w:rPr>
            </w:pPr>
            <w:r>
              <w:rPr>
                <w:rFonts w:ascii="宋体" w:hAnsi="宋体" w:cs="宋体" w:eastAsia="宋体" w:hint="default"/>
                <w:b/>
                <w:bCs/>
                <w:sz w:val="21"/>
                <w:szCs w:val="21"/>
              </w:rPr>
              <w:t>尚未使用</w:t>
            </w:r>
            <w:r>
              <w:rPr>
                <w:rFonts w:ascii="宋体" w:hAnsi="宋体" w:cs="宋体" w:eastAsia="宋体" w:hint="default"/>
                <w:b/>
                <w:bCs/>
                <w:w w:val="100"/>
                <w:sz w:val="21"/>
                <w:szCs w:val="21"/>
              </w:rPr>
              <w:t> </w:t>
            </w:r>
            <w:r>
              <w:rPr>
                <w:rFonts w:ascii="宋体" w:hAnsi="宋体" w:cs="宋体" w:eastAsia="宋体" w:hint="default"/>
                <w:b/>
                <w:bCs/>
                <w:sz w:val="21"/>
                <w:szCs w:val="21"/>
              </w:rPr>
              <w:t>募集资金</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05"/>
              <w:jc w:val="center"/>
              <w:rPr>
                <w:rFonts w:ascii="宋体" w:hAnsi="宋体" w:cs="宋体" w:eastAsia="宋体" w:hint="default"/>
                <w:sz w:val="21"/>
                <w:szCs w:val="21"/>
              </w:rPr>
            </w:pPr>
            <w:r>
              <w:rPr>
                <w:rFonts w:ascii="宋体" w:hAnsi="宋体" w:cs="宋体" w:eastAsia="宋体" w:hint="default"/>
                <w:b/>
                <w:bCs/>
                <w:sz w:val="21"/>
                <w:szCs w:val="21"/>
              </w:rPr>
              <w:t>尚未使用募</w:t>
            </w:r>
            <w:r>
              <w:rPr>
                <w:rFonts w:ascii="宋体" w:hAnsi="宋体" w:cs="宋体" w:eastAsia="宋体" w:hint="default"/>
                <w:b/>
                <w:bCs/>
                <w:w w:val="100"/>
                <w:sz w:val="21"/>
                <w:szCs w:val="21"/>
              </w:rPr>
              <w:t> </w:t>
            </w:r>
            <w:r>
              <w:rPr>
                <w:rFonts w:ascii="宋体" w:hAnsi="宋体" w:cs="宋体" w:eastAsia="宋体" w:hint="default"/>
                <w:b/>
                <w:bCs/>
                <w:sz w:val="21"/>
                <w:szCs w:val="21"/>
              </w:rPr>
              <w:t>集资金用途</w:t>
            </w:r>
            <w:r>
              <w:rPr>
                <w:rFonts w:ascii="宋体" w:hAnsi="宋体" w:cs="宋体" w:eastAsia="宋体" w:hint="default"/>
                <w:b/>
                <w:bCs/>
                <w:w w:val="100"/>
                <w:sz w:val="21"/>
                <w:szCs w:val="21"/>
              </w:rPr>
              <w:t> </w:t>
            </w:r>
            <w:r>
              <w:rPr>
                <w:rFonts w:ascii="宋体" w:hAnsi="宋体" w:cs="宋体" w:eastAsia="宋体" w:hint="default"/>
                <w:b/>
                <w:bCs/>
                <w:sz w:val="21"/>
                <w:szCs w:val="21"/>
              </w:rPr>
              <w:t>及去向</w:t>
            </w:r>
            <w:r>
              <w:rPr>
                <w:rFonts w:ascii="宋体" w:hAnsi="宋体" w:cs="宋体" w:eastAsia="宋体" w:hint="default"/>
                <w:sz w:val="21"/>
                <w:szCs w:val="21"/>
              </w:rPr>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64" w:right="65"/>
              <w:jc w:val="both"/>
              <w:rPr>
                <w:rFonts w:ascii="宋体" w:hAnsi="宋体" w:cs="宋体" w:eastAsia="宋体" w:hint="default"/>
                <w:sz w:val="21"/>
                <w:szCs w:val="21"/>
              </w:rPr>
            </w:pPr>
            <w:r>
              <w:rPr>
                <w:rFonts w:ascii="宋体" w:hAnsi="宋体" w:cs="宋体" w:eastAsia="宋体" w:hint="default"/>
                <w:b/>
                <w:bCs/>
                <w:sz w:val="21"/>
                <w:szCs w:val="21"/>
              </w:rPr>
              <w:t>闲置两</w:t>
            </w:r>
            <w:r>
              <w:rPr>
                <w:rFonts w:ascii="宋体" w:hAnsi="宋体" w:cs="宋体" w:eastAsia="宋体" w:hint="default"/>
                <w:b/>
                <w:bCs/>
                <w:w w:val="100"/>
                <w:sz w:val="21"/>
                <w:szCs w:val="21"/>
              </w:rPr>
              <w:t> </w:t>
            </w:r>
            <w:r>
              <w:rPr>
                <w:rFonts w:ascii="宋体" w:hAnsi="宋体" w:cs="宋体" w:eastAsia="宋体" w:hint="default"/>
                <w:b/>
                <w:bCs/>
                <w:sz w:val="21"/>
                <w:szCs w:val="21"/>
              </w:rPr>
              <w:t>年以上</w:t>
            </w:r>
            <w:r>
              <w:rPr>
                <w:rFonts w:ascii="宋体" w:hAnsi="宋体" w:cs="宋体" w:eastAsia="宋体" w:hint="default"/>
                <w:b/>
                <w:bCs/>
                <w:w w:val="100"/>
                <w:sz w:val="21"/>
                <w:szCs w:val="21"/>
              </w:rPr>
              <w:t> </w:t>
            </w:r>
            <w:r>
              <w:rPr>
                <w:rFonts w:ascii="宋体" w:hAnsi="宋体" w:cs="宋体" w:eastAsia="宋体" w:hint="default"/>
                <w:b/>
                <w:bCs/>
                <w:sz w:val="21"/>
                <w:szCs w:val="21"/>
              </w:rPr>
              <w:t>募集资</w:t>
            </w:r>
            <w:r>
              <w:rPr>
                <w:rFonts w:ascii="宋体" w:hAnsi="宋体" w:cs="宋体" w:eastAsia="宋体" w:hint="default"/>
                <w:b/>
                <w:bCs/>
                <w:w w:val="100"/>
                <w:sz w:val="21"/>
                <w:szCs w:val="21"/>
              </w:rPr>
              <w:t> </w:t>
            </w:r>
            <w:r>
              <w:rPr>
                <w:rFonts w:ascii="宋体" w:hAnsi="宋体" w:cs="宋体" w:eastAsia="宋体" w:hint="default"/>
                <w:b/>
                <w:bCs/>
                <w:sz w:val="21"/>
                <w:szCs w:val="21"/>
              </w:rPr>
              <w:t>金金额</w:t>
            </w:r>
            <w:r>
              <w:rPr>
                <w:rFonts w:ascii="宋体" w:hAnsi="宋体" w:cs="宋体" w:eastAsia="宋体" w:hint="default"/>
                <w:sz w:val="21"/>
                <w:szCs w:val="21"/>
              </w:rPr>
            </w:r>
          </w:p>
        </w:tc>
      </w:tr>
      <w:tr>
        <w:trPr>
          <w:trHeight w:val="94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19" w:right="108" w:hanging="209"/>
              <w:jc w:val="left"/>
              <w:rPr>
                <w:rFonts w:ascii="宋体" w:hAnsi="宋体" w:cs="宋体" w:eastAsia="宋体" w:hint="default"/>
                <w:sz w:val="21"/>
                <w:szCs w:val="21"/>
              </w:rPr>
            </w:pPr>
            <w:r>
              <w:rPr>
                <w:rFonts w:ascii="宋体" w:hAnsi="宋体" w:cs="宋体" w:eastAsia="宋体" w:hint="default"/>
                <w:sz w:val="21"/>
                <w:szCs w:val="21"/>
              </w:rPr>
              <w:t>定向增</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45,764.19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3,927.09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38,896.20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7,833.11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p>
          <w:p>
            <w:pPr>
              <w:pStyle w:val="TableParagraph"/>
              <w:spacing w:line="273" w:lineRule="auto" w:before="21"/>
              <w:ind w:left="211" w:right="106" w:hanging="106"/>
              <w:jc w:val="left"/>
              <w:rPr>
                <w:rFonts w:ascii="宋体" w:hAnsi="宋体" w:cs="宋体" w:eastAsia="宋体" w:hint="default"/>
                <w:sz w:val="21"/>
                <w:szCs w:val="21"/>
              </w:rPr>
            </w:pPr>
            <w:r>
              <w:rPr>
                <w:rFonts w:ascii="宋体" w:hAnsi="宋体" w:cs="宋体" w:eastAsia="宋体" w:hint="default"/>
                <w:sz w:val="21"/>
                <w:szCs w:val="21"/>
              </w:rPr>
              <w:t>月永久补充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37"/>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45,764.19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3,927.09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38,896.20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0</w:t>
            </w:r>
          </w:p>
        </w:tc>
        <w:tc>
          <w:tcPr>
            <w:tcW w:w="94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4"/>
              <w:ind w:left="14" w:right="0"/>
              <w:jc w:val="center"/>
              <w:rPr>
                <w:rFonts w:ascii="Times New Roman" w:hAnsi="Times New Roman" w:cs="Times New Roman" w:eastAsia="Times New Roman" w:hint="default"/>
                <w:sz w:val="21"/>
                <w:szCs w:val="21"/>
              </w:rPr>
            </w:pPr>
            <w:r>
              <w:rPr>
                <w:rFonts w:ascii="Times New Roman"/>
                <w:sz w:val="21"/>
              </w:rPr>
              <w:t>7,833.11</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337"/>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85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570" w:hRule="exact"/>
        </w:trPr>
        <w:tc>
          <w:tcPr>
            <w:tcW w:w="985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4" w:right="17" w:firstLine="420"/>
              <w:jc w:val="left"/>
              <w:rPr>
                <w:rFonts w:ascii="宋体" w:hAnsi="宋体" w:cs="宋体" w:eastAsia="宋体" w:hint="default"/>
                <w:sz w:val="21"/>
                <w:szCs w:val="21"/>
              </w:rPr>
            </w:pPr>
            <w:r>
              <w:rPr>
                <w:rFonts w:ascii="宋体" w:hAnsi="宋体" w:cs="宋体" w:eastAsia="宋体" w:hint="default"/>
                <w:sz w:val="21"/>
                <w:szCs w:val="21"/>
              </w:rPr>
              <w:t>公司通过发行股份及支付现金购买资产并募集配套资金方式募集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45,764.19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万元，截至期末，投入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GIS9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基础软件研发与产业化项目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7,451.46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万元，投入不动产登记系统产品研发及产业化项目</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7,473.32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万元，投入智慧城市空间共享框架研发及产业化项目</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7,412.49</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万元，其中，从募集资金专户转出的</w:t>
            </w:r>
          </w:p>
          <w:p>
            <w:pPr>
              <w:pStyle w:val="TableParagraph"/>
              <w:spacing w:line="240" w:lineRule="auto" w:before="5"/>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预先以自筹资金投入募集资金项目的投入 </w:t>
            </w:r>
            <w:r>
              <w:rPr>
                <w:rFonts w:ascii="Times New Roman" w:hAnsi="Times New Roman" w:cs="Times New Roman" w:eastAsia="Times New Roman" w:hint="default"/>
                <w:sz w:val="21"/>
                <w:szCs w:val="21"/>
              </w:rPr>
              <w:t>5,324.05 </w:t>
            </w:r>
            <w:r>
              <w:rPr>
                <w:rFonts w:ascii="宋体" w:hAnsi="宋体" w:cs="宋体" w:eastAsia="宋体" w:hint="default"/>
                <w:spacing w:val="-12"/>
                <w:sz w:val="21"/>
                <w:szCs w:val="21"/>
              </w:rPr>
              <w:t>万元，支付交易对方（</w:t>
            </w:r>
            <w:r>
              <w:rPr>
                <w:rFonts w:ascii="Times New Roman" w:hAnsi="Times New Roman" w:cs="Times New Roman" w:eastAsia="Times New Roman" w:hint="default"/>
                <w:spacing w:val="-12"/>
                <w:sz w:val="21"/>
                <w:szCs w:val="21"/>
              </w:rPr>
              <w:t>9 </w:t>
            </w:r>
            <w:r>
              <w:rPr>
                <w:rFonts w:ascii="宋体" w:hAnsi="宋体" w:cs="宋体" w:eastAsia="宋体" w:hint="default"/>
                <w:spacing w:val="-8"/>
                <w:sz w:val="21"/>
                <w:szCs w:val="21"/>
              </w:rPr>
              <w:t>名自然人）现金对价</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11,105.64.00</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万元，以及补充流动资金 </w:t>
            </w:r>
            <w:r>
              <w:rPr>
                <w:rFonts w:ascii="Times New Roman" w:hAnsi="Times New Roman" w:cs="Times New Roman" w:eastAsia="Times New Roman" w:hint="default"/>
                <w:sz w:val="21"/>
                <w:szCs w:val="21"/>
              </w:rPr>
              <w:t>5,453.29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spacing w:before="64"/>
        <w:ind w:left="633" w:right="994" w:firstLine="0"/>
        <w:jc w:val="left"/>
        <w:rPr>
          <w:rFonts w:ascii="宋体" w:hAnsi="宋体" w:cs="宋体" w:eastAsia="宋体" w:hint="default"/>
          <w:sz w:val="21"/>
          <w:szCs w:val="21"/>
        </w:rPr>
      </w:pPr>
      <w:r>
        <w:rPr>
          <w:rFonts w:ascii="宋体" w:hAnsi="宋体" w:cs="宋体" w:eastAsia="宋体" w:hint="default"/>
          <w:sz w:val="21"/>
          <w:szCs w:val="21"/>
        </w:rPr>
        <w:t>注：尚未使用的募集资金总额含未使用募集资金的利息和理财收益。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ind w:left="213" w:right="99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5"/>
        <w:rPr>
          <w:rFonts w:ascii="宋体" w:hAnsi="宋体" w:cs="宋体" w:eastAsia="宋体" w:hint="default"/>
          <w:b/>
          <w:bCs/>
          <w:sz w:val="33"/>
          <w:szCs w:val="33"/>
        </w:rPr>
      </w:pPr>
    </w:p>
    <w:p>
      <w:pPr>
        <w:pStyle w:val="BodyText"/>
        <w:spacing w:line="240" w:lineRule="auto" w:before="0"/>
        <w:ind w:left="693"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7"/>
        <w:rPr>
          <w:rFonts w:ascii="宋体" w:hAnsi="宋体" w:cs="宋体" w:eastAsia="宋体" w:hint="default"/>
          <w:sz w:val="9"/>
          <w:szCs w:val="9"/>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209" w:type="dxa"/>
        <w:tblLayout w:type="fixed"/>
        <w:tblCellMar>
          <w:top w:w="0" w:type="dxa"/>
          <w:left w:w="0" w:type="dxa"/>
          <w:bottom w:w="0" w:type="dxa"/>
          <w:right w:w="0" w:type="dxa"/>
        </w:tblCellMar>
        <w:tblLook w:val="01E0"/>
      </w:tblPr>
      <w:tblGrid>
        <w:gridCol w:w="1768"/>
        <w:gridCol w:w="781"/>
        <w:gridCol w:w="780"/>
        <w:gridCol w:w="780"/>
        <w:gridCol w:w="780"/>
        <w:gridCol w:w="780"/>
        <w:gridCol w:w="780"/>
        <w:gridCol w:w="781"/>
        <w:gridCol w:w="780"/>
        <w:gridCol w:w="780"/>
        <w:gridCol w:w="780"/>
        <w:gridCol w:w="780"/>
      </w:tblGrid>
      <w:tr>
        <w:trPr>
          <w:trHeight w:val="1570"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51" w:right="36"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143"/>
              <w:ind w:left="33" w:right="30" w:firstLine="36"/>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w:t>
            </w:r>
            <w:r>
              <w:rPr>
                <w:rFonts w:ascii="宋体" w:hAnsi="宋体" w:cs="宋体" w:eastAsia="宋体" w:hint="default"/>
                <w:w w:val="100"/>
                <w:sz w:val="21"/>
                <w:szCs w:val="21"/>
              </w:rPr>
              <w:t> </w:t>
            </w:r>
            <w:r>
              <w:rPr>
                <w:rFonts w:ascii="宋体" w:hAnsi="宋体" w:cs="宋体" w:eastAsia="宋体" w:hint="default"/>
                <w:sz w:val="21"/>
                <w:szCs w:val="21"/>
              </w:rPr>
              <w:t>变更项</w:t>
            </w:r>
            <w:r>
              <w:rPr>
                <w:rFonts w:ascii="宋体" w:hAnsi="宋体" w:cs="宋体" w:eastAsia="宋体" w:hint="default"/>
                <w:spacing w:val="-102"/>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w:t>
            </w:r>
            <w:r>
              <w:rPr>
                <w:rFonts w:ascii="宋体" w:hAnsi="宋体" w:cs="宋体" w:eastAsia="宋体" w:hint="default"/>
                <w:spacing w:val="-102"/>
                <w:sz w:val="21"/>
                <w:szCs w:val="21"/>
              </w:rPr>
              <w:t> </w:t>
            </w:r>
            <w:r>
              <w:rPr>
                <w:rFonts w:ascii="宋体" w:hAnsi="宋体" w:cs="宋体" w:eastAsia="宋体" w:hint="default"/>
                <w:sz w:val="21"/>
                <w:szCs w:val="21"/>
              </w:rPr>
              <w:t>分变更</w:t>
            </w:r>
            <w:r>
              <w:rPr>
                <w:rFonts w:ascii="Times New Roman" w:hAnsi="Times New Roman" w:cs="Times New Roman" w:eastAsia="Times New Roman"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69" w:right="65"/>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Times New Roman" w:hAnsi="Times New Roman" w:cs="Times New Roman" w:eastAsia="Times New Roman"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7" w:right="69"/>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期投入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69" w:right="65"/>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w:t>
            </w:r>
            <w:r>
              <w:rPr>
                <w:rFonts w:ascii="宋体" w:hAnsi="宋体" w:cs="宋体" w:eastAsia="宋体" w:hint="default"/>
                <w:spacing w:val="-102"/>
                <w:sz w:val="21"/>
                <w:szCs w:val="21"/>
              </w:rPr>
              <w:t> </w:t>
            </w: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2" w:right="47" w:firstLine="16"/>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spacing w:val="-102"/>
                <w:sz w:val="21"/>
                <w:szCs w:val="21"/>
              </w:rPr>
              <w:t> </w:t>
            </w:r>
            <w:r>
              <w:rPr>
                <w:rFonts w:ascii="宋体" w:hAnsi="宋体" w:cs="宋体" w:eastAsia="宋体" w:hint="default"/>
                <w:sz w:val="21"/>
                <w:szCs w:val="21"/>
              </w:rPr>
              <w:t>进度</w:t>
            </w:r>
            <w:r>
              <w:rPr>
                <w:rFonts w:ascii="Times New Roman" w:hAnsi="Times New Roman" w:cs="Times New Roman" w:eastAsia="Times New Roman" w:hint="default"/>
                <w:sz w:val="21"/>
                <w:szCs w:val="21"/>
              </w:rPr>
              <w:t>(3)</w:t>
            </w:r>
          </w:p>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84"/>
              <w:ind w:left="110" w:right="0"/>
              <w:jc w:val="both"/>
              <w:rPr>
                <w:rFonts w:ascii="Times New Roman" w:hAnsi="Times New Roman" w:cs="Times New Roman" w:eastAsia="Times New Roman" w:hint="default"/>
                <w:sz w:val="21"/>
                <w:szCs w:val="21"/>
              </w:rPr>
            </w:pPr>
            <w:r>
              <w:rPr>
                <w:rFonts w:ascii="Times New Roman"/>
                <w:sz w:val="21"/>
              </w:rPr>
              <w:t>(2)/(1)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项目达</w:t>
            </w:r>
            <w:r>
              <w:rPr>
                <w:rFonts w:ascii="宋体" w:hAnsi="宋体" w:cs="宋体" w:eastAsia="宋体" w:hint="default"/>
                <w:w w:val="100"/>
                <w:sz w:val="21"/>
                <w:szCs w:val="21"/>
              </w:rPr>
              <w:t> </w:t>
            </w: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截止报</w:t>
            </w:r>
            <w:r>
              <w:rPr>
                <w:rFonts w:ascii="宋体" w:hAnsi="宋体" w:cs="宋体" w:eastAsia="宋体" w:hint="default"/>
                <w:w w:val="100"/>
                <w:sz w:val="21"/>
                <w:szCs w:val="21"/>
              </w:rPr>
              <w:t> </w:t>
            </w:r>
            <w:r>
              <w:rPr>
                <w:rFonts w:ascii="宋体" w:hAnsi="宋体" w:cs="宋体" w:eastAsia="宋体" w:hint="default"/>
                <w:sz w:val="21"/>
                <w:szCs w:val="21"/>
              </w:rPr>
              <w:t>告期末</w:t>
            </w:r>
            <w:r>
              <w:rPr>
                <w:rFonts w:ascii="宋体" w:hAnsi="宋体" w:cs="宋体" w:eastAsia="宋体" w:hint="default"/>
                <w:w w:val="100"/>
                <w:sz w:val="21"/>
                <w:szCs w:val="21"/>
              </w:rPr>
              <w:t> </w:t>
            </w:r>
            <w:r>
              <w:rPr>
                <w:rFonts w:ascii="宋体" w:hAnsi="宋体" w:cs="宋体" w:eastAsia="宋体" w:hint="default"/>
                <w:sz w:val="21"/>
                <w:szCs w:val="21"/>
              </w:rPr>
              <w:t>累计实</w:t>
            </w:r>
            <w:r>
              <w:rPr>
                <w:rFonts w:ascii="宋体" w:hAnsi="宋体" w:cs="宋体" w:eastAsia="宋体" w:hint="default"/>
                <w:w w:val="100"/>
                <w:sz w:val="21"/>
                <w:szCs w:val="21"/>
              </w:rPr>
              <w:t> </w:t>
            </w:r>
            <w:r>
              <w:rPr>
                <w:rFonts w:ascii="宋体" w:hAnsi="宋体" w:cs="宋体" w:eastAsia="宋体" w:hint="default"/>
                <w:sz w:val="21"/>
                <w:szCs w:val="21"/>
              </w:rPr>
              <w:t>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322" w:hRule="exact"/>
        </w:trPr>
        <w:tc>
          <w:tcPr>
            <w:tcW w:w="10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承诺投资项目</w:t>
            </w:r>
          </w:p>
        </w:tc>
      </w:tr>
    </w:tbl>
    <w:p>
      <w:pPr>
        <w:spacing w:after="0" w:line="262" w:lineRule="exact"/>
        <w:jc w:val="center"/>
        <w:rPr>
          <w:rFonts w:ascii="宋体" w:hAnsi="宋体" w:cs="宋体" w:eastAsia="宋体" w:hint="default"/>
          <w:sz w:val="21"/>
          <w:szCs w:val="21"/>
        </w:rPr>
        <w:sectPr>
          <w:pgSz w:w="11910" w:h="16840"/>
          <w:pgMar w:header="877" w:footer="979" w:top="1100" w:bottom="1160" w:left="920" w:right="0"/>
        </w:sectPr>
      </w:pPr>
    </w:p>
    <w:p>
      <w:pPr>
        <w:spacing w:line="240" w:lineRule="auto" w:before="11"/>
        <w:rPr>
          <w:rFonts w:ascii="Times New Roman" w:hAnsi="Times New Roman" w:cs="Times New Roman" w:eastAsia="Times New Roman" w:hint="default"/>
          <w:sz w:val="27"/>
          <w:szCs w:val="27"/>
        </w:rPr>
      </w:pPr>
      <w:r>
        <w:rPr/>
        <w:pict>
          <v:shape style="position:absolute;margin-left:138.630722pt;margin-top:457.509979pt;width:45.3pt;height:31.2pt;mso-position-horizontal-relative:page;mso-position-vertical-relative:page;z-index:-1065304" type="#_x0000_t202" filled="false" stroked="false">
            <v:textbox inset="0,0,0,0">
              <w:txbxContent>
                <w:p>
                  <w:pPr>
                    <w:spacing w:line="240" w:lineRule="auto" w:before="1"/>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145.460007pt;margin-top:457.509979pt;width:38.450pt;height:31.2pt;mso-position-horizontal-relative:page;mso-position-vertical-relative:page;z-index:-1065280" coordorigin="2909,9150" coordsize="769,624">
            <v:shape style="position:absolute;left:2909;top:9150;width:769;height:624" coordorigin="2909,9150" coordsize="769,624" path="m2909,9774l3678,9774,3678,9150,2909,9150,2909,977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769"/>
        <w:gridCol w:w="781"/>
        <w:gridCol w:w="780"/>
        <w:gridCol w:w="780"/>
        <w:gridCol w:w="780"/>
        <w:gridCol w:w="780"/>
        <w:gridCol w:w="780"/>
        <w:gridCol w:w="781"/>
        <w:gridCol w:w="780"/>
        <w:gridCol w:w="780"/>
        <w:gridCol w:w="780"/>
        <w:gridCol w:w="780"/>
      </w:tblGrid>
      <w:tr>
        <w:trPr>
          <w:trHeight w:val="946"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38" w:right="38" w:firstLine="4"/>
              <w:jc w:val="center"/>
              <w:rPr>
                <w:rFonts w:ascii="宋体" w:hAnsi="宋体" w:cs="宋体" w:eastAsia="宋体" w:hint="default"/>
                <w:sz w:val="21"/>
                <w:szCs w:val="21"/>
              </w:rPr>
            </w:pPr>
            <w:r>
              <w:rPr>
                <w:rFonts w:ascii="Times New Roman" w:hAnsi="Times New Roman" w:cs="Times New Roman" w:eastAsia="Times New Roman" w:hint="default"/>
                <w:sz w:val="21"/>
                <w:szCs w:val="21"/>
              </w:rPr>
              <w:t>SuperMap GIS9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pacing w:val="-2"/>
                <w:sz w:val="21"/>
                <w:szCs w:val="21"/>
              </w:rPr>
              <w:t>础软件研发与产业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化项目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10,122.89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10,122.89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3,661.89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w w:val="95"/>
                <w:sz w:val="18"/>
              </w:rPr>
              <w:t>7,451.46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6"/>
              <w:jc w:val="right"/>
              <w:rPr>
                <w:rFonts w:ascii="Times New Roman" w:hAnsi="Times New Roman" w:cs="Times New Roman" w:eastAsia="Times New Roman" w:hint="default"/>
                <w:sz w:val="18"/>
                <w:szCs w:val="18"/>
              </w:rPr>
            </w:pPr>
            <w:r>
              <w:rPr>
                <w:rFonts w:ascii="Times New Roman"/>
                <w:sz w:val="18"/>
              </w:rPr>
              <w:t>73.61%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435.73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590.84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153" w:lineRule="exact"/>
              <w:ind w:left="299" w:right="0"/>
              <w:jc w:val="left"/>
              <w:rPr>
                <w:rFonts w:ascii="Times New Roman" w:hAnsi="Times New Roman" w:cs="Times New Roman" w:eastAsia="Times New Roman" w:hint="default"/>
                <w:sz w:val="18"/>
                <w:szCs w:val="18"/>
              </w:rPr>
            </w:pPr>
            <w:r>
              <w:rPr>
                <w:rFonts w:ascii="宋体" w:hAnsi="宋体" w:cs="宋体" w:eastAsia="宋体" w:hint="default"/>
                <w:position w:val="1"/>
                <w:sz w:val="14"/>
                <w:szCs w:val="14"/>
              </w:rPr>
              <w:t>注</w:t>
            </w:r>
            <w:r>
              <w:rPr>
                <w:rFonts w:ascii="Times New Roman" w:hAnsi="Times New Roman" w:cs="Times New Roman" w:eastAsia="Times New Roman" w:hint="default"/>
                <w:sz w:val="18"/>
                <w:szCs w:val="18"/>
              </w:rPr>
              <w:t>[1]</w:t>
            </w:r>
          </w:p>
          <w:p>
            <w:pPr>
              <w:pStyle w:val="TableParagraph"/>
              <w:spacing w:line="176" w:lineRule="exact"/>
              <w:ind w:left="1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4" w:right="36" w:hanging="106"/>
              <w:jc w:val="left"/>
              <w:rPr>
                <w:rFonts w:ascii="宋体" w:hAnsi="宋体" w:cs="宋体" w:eastAsia="宋体" w:hint="default"/>
                <w:sz w:val="21"/>
                <w:szCs w:val="21"/>
              </w:rPr>
            </w:pPr>
            <w:r>
              <w:rPr>
                <w:rFonts w:ascii="宋体" w:hAnsi="宋体" w:cs="宋体" w:eastAsia="宋体" w:hint="default"/>
                <w:sz w:val="21"/>
                <w:szCs w:val="21"/>
              </w:rPr>
              <w:t>不动产登记系统产</w:t>
            </w:r>
            <w:r>
              <w:rPr>
                <w:rFonts w:ascii="宋体" w:hAnsi="宋体" w:cs="宋体" w:eastAsia="宋体" w:hint="default"/>
                <w:w w:val="100"/>
                <w:sz w:val="21"/>
                <w:szCs w:val="21"/>
              </w:rPr>
              <w:t> </w:t>
            </w:r>
            <w:r>
              <w:rPr>
                <w:rFonts w:ascii="宋体" w:hAnsi="宋体" w:cs="宋体" w:eastAsia="宋体" w:hint="default"/>
                <w:sz w:val="21"/>
                <w:szCs w:val="21"/>
              </w:rPr>
              <w:t>品研发及产业化</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9,039.99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9,039.99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87.40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7,473.32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6"/>
              <w:jc w:val="right"/>
              <w:rPr>
                <w:rFonts w:ascii="Times New Roman" w:hAnsi="Times New Roman" w:cs="Times New Roman" w:eastAsia="Times New Roman" w:hint="default"/>
                <w:sz w:val="18"/>
                <w:szCs w:val="18"/>
              </w:rPr>
            </w:pPr>
            <w:r>
              <w:rPr>
                <w:rFonts w:ascii="Times New Roman"/>
                <w:sz w:val="18"/>
              </w:rPr>
              <w:t>82.67%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1,226.87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6,910.72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153" w:lineRule="exact"/>
              <w:ind w:left="299" w:right="0"/>
              <w:jc w:val="left"/>
              <w:rPr>
                <w:rFonts w:ascii="Times New Roman" w:hAnsi="Times New Roman" w:cs="Times New Roman" w:eastAsia="Times New Roman" w:hint="default"/>
                <w:sz w:val="18"/>
                <w:szCs w:val="18"/>
              </w:rPr>
            </w:pPr>
            <w:r>
              <w:rPr>
                <w:rFonts w:ascii="宋体" w:hAnsi="宋体" w:cs="宋体" w:eastAsia="宋体" w:hint="default"/>
                <w:position w:val="1"/>
                <w:sz w:val="14"/>
                <w:szCs w:val="14"/>
              </w:rPr>
              <w:t>注</w:t>
            </w:r>
            <w:r>
              <w:rPr>
                <w:rFonts w:ascii="Times New Roman" w:hAnsi="Times New Roman" w:cs="Times New Roman" w:eastAsia="Times New Roman" w:hint="default"/>
                <w:sz w:val="18"/>
                <w:szCs w:val="18"/>
              </w:rPr>
              <w:t>[2]</w:t>
            </w:r>
          </w:p>
          <w:p>
            <w:pPr>
              <w:pStyle w:val="TableParagraph"/>
              <w:spacing w:line="176" w:lineRule="exact"/>
              <w:ind w:left="1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8" w:right="36"/>
              <w:jc w:val="left"/>
              <w:rPr>
                <w:rFonts w:ascii="宋体" w:hAnsi="宋体" w:cs="宋体" w:eastAsia="宋体" w:hint="default"/>
                <w:sz w:val="21"/>
                <w:szCs w:val="21"/>
              </w:rPr>
            </w:pPr>
            <w:r>
              <w:rPr>
                <w:rFonts w:ascii="宋体" w:hAnsi="宋体" w:cs="宋体" w:eastAsia="宋体" w:hint="default"/>
                <w:sz w:val="21"/>
                <w:szCs w:val="21"/>
              </w:rPr>
              <w:t>智慧城市空间共享</w:t>
            </w:r>
            <w:r>
              <w:rPr>
                <w:rFonts w:ascii="宋体" w:hAnsi="宋体" w:cs="宋体" w:eastAsia="宋体" w:hint="default"/>
                <w:w w:val="100"/>
                <w:sz w:val="21"/>
                <w:szCs w:val="21"/>
              </w:rPr>
              <w:t> </w:t>
            </w:r>
            <w:r>
              <w:rPr>
                <w:rFonts w:ascii="宋体" w:hAnsi="宋体" w:cs="宋体" w:eastAsia="宋体" w:hint="default"/>
                <w:sz w:val="21"/>
                <w:szCs w:val="21"/>
              </w:rPr>
              <w:t>框架研发及产业化</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10,043.00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10,043.00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177.80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7,412.49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6"/>
              <w:jc w:val="right"/>
              <w:rPr>
                <w:rFonts w:ascii="Times New Roman" w:hAnsi="Times New Roman" w:cs="Times New Roman" w:eastAsia="Times New Roman" w:hint="default"/>
                <w:sz w:val="18"/>
                <w:szCs w:val="18"/>
              </w:rPr>
            </w:pPr>
            <w:r>
              <w:rPr>
                <w:rFonts w:ascii="Times New Roman"/>
                <w:sz w:val="18"/>
              </w:rPr>
              <w:t>73.81%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867.44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3,516.06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153" w:lineRule="exact"/>
              <w:ind w:left="299" w:right="0"/>
              <w:jc w:val="left"/>
              <w:rPr>
                <w:rFonts w:ascii="Times New Roman" w:hAnsi="Times New Roman" w:cs="Times New Roman" w:eastAsia="Times New Roman" w:hint="default"/>
                <w:sz w:val="18"/>
                <w:szCs w:val="18"/>
              </w:rPr>
            </w:pPr>
            <w:r>
              <w:rPr>
                <w:rFonts w:ascii="宋体" w:hAnsi="宋体" w:cs="宋体" w:eastAsia="宋体" w:hint="default"/>
                <w:position w:val="1"/>
                <w:sz w:val="14"/>
                <w:szCs w:val="14"/>
              </w:rPr>
              <w:t>注</w:t>
            </w:r>
            <w:r>
              <w:rPr>
                <w:rFonts w:ascii="Times New Roman" w:hAnsi="Times New Roman" w:cs="Times New Roman" w:eastAsia="Times New Roman" w:hint="default"/>
                <w:sz w:val="18"/>
                <w:szCs w:val="18"/>
              </w:rPr>
              <w:t>[3]</w:t>
            </w:r>
          </w:p>
          <w:p>
            <w:pPr>
              <w:pStyle w:val="TableParagraph"/>
              <w:spacing w:line="176" w:lineRule="exact"/>
              <w:ind w:left="1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38" w:right="36" w:hanging="1"/>
              <w:jc w:val="center"/>
              <w:rPr>
                <w:rFonts w:ascii="宋体" w:hAnsi="宋体" w:cs="宋体" w:eastAsia="宋体" w:hint="default"/>
                <w:sz w:val="21"/>
                <w:szCs w:val="21"/>
              </w:rPr>
            </w:pPr>
            <w:r>
              <w:rPr>
                <w:rFonts w:ascii="宋体" w:hAnsi="宋体" w:cs="宋体" w:eastAsia="宋体" w:hint="default"/>
                <w:sz w:val="21"/>
                <w:szCs w:val="21"/>
              </w:rPr>
              <w:t>支付交易对方（</w:t>
            </w:r>
            <w:r>
              <w:rPr>
                <w:rFonts w:ascii="Times New Roman" w:hAnsi="Times New Roman" w:cs="Times New Roman" w:eastAsia="Times New Roman" w:hint="default"/>
                <w:sz w:val="21"/>
                <w:szCs w:val="21"/>
              </w:rPr>
              <w:t>9</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名自然人）现金对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价</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w w:val="95"/>
                <w:sz w:val="18"/>
              </w:rPr>
              <w:t>11,105.64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w w:val="95"/>
                <w:sz w:val="18"/>
              </w:rPr>
              <w:t>11,105.64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w w:val="95"/>
                <w:sz w:val="18"/>
              </w:rPr>
              <w:t>11,105.64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69" w:type="dxa"/>
            <w:tcBorders>
              <w:top w:val="single" w:sz="4" w:space="0" w:color="000000"/>
              <w:left w:val="single" w:sz="4" w:space="0" w:color="000000"/>
              <w:bottom w:val="single" w:sz="49" w:space="0" w:color="D2D2D2"/>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补充流动资金</w:t>
            </w:r>
          </w:p>
        </w:tc>
        <w:tc>
          <w:tcPr>
            <w:tcW w:w="781" w:type="dxa"/>
            <w:tcBorders>
              <w:top w:val="single" w:sz="4" w:space="0" w:color="000000"/>
              <w:left w:val="single" w:sz="4" w:space="0" w:color="000000"/>
              <w:bottom w:val="single" w:sz="49" w:space="0" w:color="D2D2D2"/>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5,452.67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5,452.67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5,453.29</w:t>
            </w:r>
          </w:p>
        </w:tc>
        <w:tc>
          <w:tcPr>
            <w:tcW w:w="780" w:type="dxa"/>
            <w:tcBorders>
              <w:top w:val="single" w:sz="4" w:space="0" w:color="000000"/>
              <w:left w:val="single" w:sz="4" w:space="0" w:color="000000"/>
              <w:bottom w:val="single" w:sz="49" w:space="0" w:color="D2D2D2"/>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100.01%</w:t>
            </w:r>
          </w:p>
        </w:tc>
        <w:tc>
          <w:tcPr>
            <w:tcW w:w="781" w:type="dxa"/>
            <w:tcBorders>
              <w:top w:val="single" w:sz="4" w:space="0" w:color="000000"/>
              <w:left w:val="single" w:sz="4" w:space="0" w:color="000000"/>
              <w:bottom w:val="single" w:sz="49" w:space="0" w:color="D2D2D2"/>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49" w:space="0" w:color="D2D2D2"/>
              <w:right w:val="single" w:sz="4" w:space="0" w:color="000000"/>
            </w:tcBorders>
          </w:tcPr>
          <w:p>
            <w:pPr>
              <w:pStyle w:val="TableParagraph"/>
              <w:spacing w:line="240" w:lineRule="auto" w:before="55"/>
              <w:ind w:left="355"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80" w:type="dxa"/>
            <w:tcBorders>
              <w:top w:val="single" w:sz="4" w:space="0" w:color="000000"/>
              <w:left w:val="single" w:sz="4" w:space="0" w:color="000000"/>
              <w:bottom w:val="single" w:sz="49" w:space="0" w:color="D2D2D2"/>
              <w:right w:val="single" w:sz="4" w:space="0" w:color="000000"/>
            </w:tcBorders>
          </w:tcPr>
          <w:p>
            <w:pPr>
              <w:pStyle w:val="TableParagraph"/>
              <w:spacing w:line="240" w:lineRule="auto" w:before="8"/>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7" w:hRule="exact"/>
        </w:trPr>
        <w:tc>
          <w:tcPr>
            <w:tcW w:w="1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45,764.19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45,764.19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3,927.09</w:t>
            </w:r>
          </w:p>
        </w:tc>
        <w:tc>
          <w:tcPr>
            <w:tcW w:w="780" w:type="dxa"/>
            <w:vMerge w:val="restart"/>
            <w:tcBorders>
              <w:top w:val="single" w:sz="4" w:space="0" w:color="000000"/>
              <w:left w:val="single" w:sz="4" w:space="0" w:color="000000"/>
              <w:right w:val="single" w:sz="13" w:space="0" w:color="D2D2D2"/>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38,896.20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2,530.04</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11,017.62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46" w:hRule="exact"/>
        </w:trPr>
        <w:tc>
          <w:tcPr>
            <w:tcW w:w="17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3"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0"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103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669" w:right="36" w:hanging="632"/>
              <w:jc w:val="left"/>
              <w:rPr>
                <w:rFonts w:ascii="宋体" w:hAnsi="宋体" w:cs="宋体" w:eastAsia="宋体" w:hint="default"/>
                <w:sz w:val="21"/>
                <w:szCs w:val="21"/>
              </w:rPr>
            </w:pPr>
            <w:r>
              <w:rPr>
                <w:rFonts w:ascii="宋体" w:hAnsi="宋体" w:cs="宋体" w:eastAsia="宋体" w:hint="default"/>
                <w:sz w:val="21"/>
                <w:szCs w:val="21"/>
              </w:rPr>
              <w:t>归还银行贷款（如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10" w:space="0" w:color="D2D2D2"/>
            </w:tcBorders>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769" w:type="dxa"/>
            <w:vMerge/>
            <w:tcBorders>
              <w:left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669" w:right="36" w:hanging="632"/>
              <w:jc w:val="left"/>
              <w:rPr>
                <w:rFonts w:ascii="宋体" w:hAnsi="宋体" w:cs="宋体" w:eastAsia="宋体" w:hint="default"/>
                <w:sz w:val="21"/>
                <w:szCs w:val="21"/>
              </w:rPr>
            </w:pPr>
            <w:r>
              <w:rPr>
                <w:rFonts w:ascii="宋体" w:hAnsi="宋体" w:cs="宋体" w:eastAsia="宋体" w:hint="default"/>
                <w:sz w:val="21"/>
                <w:szCs w:val="21"/>
              </w:rPr>
              <w:t>补充流动资金（如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vMerge w:val="restart"/>
            <w:tcBorders>
              <w:top w:val="single" w:sz="4" w:space="0" w:color="000000"/>
              <w:left w:val="single" w:sz="4" w:space="0" w:color="000000"/>
              <w:right w:val="single" w:sz="10" w:space="0" w:color="D2D2D2"/>
            </w:tcBorders>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769" w:type="dxa"/>
            <w:vMerge/>
            <w:tcBorders>
              <w:left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4" w:hRule="exact"/>
        </w:trPr>
        <w:tc>
          <w:tcPr>
            <w:tcW w:w="176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78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FFFFFF"/>
              <w:right w:val="single" w:sz="4"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FFFFFF"/>
              <w:right w:val="single" w:sz="13" w:space="0" w:color="D2D2D2"/>
            </w:tcBorders>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2D2D2"/>
              <w:bottom w:val="single" w:sz="4" w:space="0" w:color="FFFFFF"/>
              <w:right w:val="single" w:sz="10" w:space="0" w:color="D2D2D2"/>
            </w:tcBorders>
            <w:shd w:val="clear" w:color="auto" w:fill="BEBEBE"/>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w:t>
            </w:r>
          </w:p>
        </w:tc>
      </w:tr>
      <w:tr>
        <w:trPr>
          <w:trHeight w:val="436" w:hRule="exact"/>
        </w:trPr>
        <w:tc>
          <w:tcPr>
            <w:tcW w:w="176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8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FFFFFF"/>
              <w:left w:val="single" w:sz="9" w:space="0" w:color="D2D2D2"/>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45,764.19</w:t>
            </w:r>
          </w:p>
        </w:tc>
        <w:tc>
          <w:tcPr>
            <w:tcW w:w="7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45,764.19</w:t>
            </w:r>
          </w:p>
        </w:tc>
        <w:tc>
          <w:tcPr>
            <w:tcW w:w="7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w w:val="95"/>
                <w:sz w:val="18"/>
              </w:rPr>
              <w:t>3,927.09</w:t>
            </w:r>
          </w:p>
        </w:tc>
        <w:tc>
          <w:tcPr>
            <w:tcW w:w="780" w:type="dxa"/>
            <w:tcBorders>
              <w:top w:val="single" w:sz="4" w:space="0" w:color="FFFFFF"/>
              <w:left w:val="single" w:sz="4" w:space="0" w:color="000000"/>
              <w:bottom w:val="single" w:sz="4" w:space="0" w:color="000000"/>
              <w:right w:val="single" w:sz="13" w:space="0" w:color="D2D2D2"/>
            </w:tcBorders>
          </w:tcPr>
          <w:p>
            <w:pPr>
              <w:pStyle w:val="TableParagraph"/>
              <w:spacing w:line="240" w:lineRule="auto" w:before="87"/>
              <w:ind w:right="7"/>
              <w:jc w:val="right"/>
              <w:rPr>
                <w:rFonts w:ascii="Times New Roman" w:hAnsi="Times New Roman" w:cs="Times New Roman" w:eastAsia="Times New Roman" w:hint="default"/>
                <w:sz w:val="18"/>
                <w:szCs w:val="18"/>
              </w:rPr>
            </w:pPr>
            <w:r>
              <w:rPr>
                <w:rFonts w:ascii="Times New Roman"/>
                <w:spacing w:val="-1"/>
                <w:sz w:val="18"/>
              </w:rPr>
              <w:t>38,896.20</w:t>
            </w:r>
            <w:r>
              <w:rPr>
                <w:rFonts w:ascii="Times New Roman"/>
                <w:sz w:val="18"/>
              </w:rPr>
            </w:r>
          </w:p>
        </w:tc>
        <w:tc>
          <w:tcPr>
            <w:tcW w:w="78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FFFFFF"/>
              <w:left w:val="single" w:sz="10" w:space="0" w:color="D2D2D2"/>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w w:val="95"/>
                <w:sz w:val="18"/>
              </w:rPr>
              <w:t>2,530.04</w:t>
            </w:r>
          </w:p>
        </w:tc>
        <w:tc>
          <w:tcPr>
            <w:tcW w:w="780" w:type="dxa"/>
            <w:tcBorders>
              <w:top w:val="single" w:sz="4" w:space="0" w:color="FFFFFF"/>
              <w:left w:val="single" w:sz="4" w:space="0" w:color="000000"/>
              <w:bottom w:val="single" w:sz="4" w:space="0" w:color="000000"/>
              <w:right w:val="single" w:sz="10" w:space="0" w:color="D2D2D2"/>
            </w:tcBorders>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11,017.62</w:t>
            </w:r>
          </w:p>
        </w:tc>
        <w:tc>
          <w:tcPr>
            <w:tcW w:w="78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7"/>
              <w:ind w:left="324" w:right="0"/>
              <w:jc w:val="left"/>
              <w:rPr>
                <w:rFonts w:ascii="Times New Roman" w:hAnsi="Times New Roman" w:cs="Times New Roman" w:eastAsia="Times New Roman" w:hint="default"/>
                <w:sz w:val="18"/>
                <w:szCs w:val="18"/>
              </w:rPr>
            </w:pPr>
            <w:r>
              <w:rPr>
                <w:rFonts w:ascii="Times New Roman"/>
                <w:sz w:val="18"/>
              </w:rPr>
              <w:t>--</w:t>
            </w:r>
          </w:p>
        </w:tc>
      </w:tr>
      <w:tr>
        <w:trPr>
          <w:trHeight w:val="94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36" w:firstLine="16"/>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10"/>
                <w:sz w:val="21"/>
                <w:szCs w:val="21"/>
              </w:rPr>
              <w:t>原因（分具体项目</w:t>
            </w:r>
          </w:p>
        </w:tc>
        <w:tc>
          <w:tcPr>
            <w:tcW w:w="781" w:type="dxa"/>
            <w:tcBorders>
              <w:top w:val="single" w:sz="35" w:space="0" w:color="D2D2D2"/>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tc>
        <w:tc>
          <w:tcPr>
            <w:tcW w:w="7801" w:type="dxa"/>
            <w:gridSpan w:val="10"/>
            <w:tcBorders>
              <w:top w:val="single" w:sz="31"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8" w:right="36"/>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100"/>
                <w:sz w:val="21"/>
                <w:szCs w:val="21"/>
              </w:rPr>
              <w:t> </w:t>
            </w:r>
            <w:r>
              <w:rPr>
                <w:rFonts w:ascii="宋体" w:hAnsi="宋体" w:cs="宋体" w:eastAsia="宋体" w:hint="default"/>
                <w:sz w:val="21"/>
                <w:szCs w:val="21"/>
              </w:rPr>
              <w:t>大变化的情况说明</w:t>
            </w:r>
          </w:p>
        </w:tc>
        <w:tc>
          <w:tcPr>
            <w:tcW w:w="781" w:type="dxa"/>
            <w:tcBorders>
              <w:top w:val="single" w:sz="4" w:space="0" w:color="000000"/>
              <w:left w:val="single" w:sz="12" w:space="0" w:color="D2D2D2"/>
              <w:bottom w:val="single" w:sz="4" w:space="0" w:color="000000"/>
              <w:right w:val="single" w:sz="4" w:space="0" w:color="000000"/>
            </w:tcBorders>
          </w:tcPr>
          <w:p>
            <w:pPr/>
          </w:p>
        </w:tc>
        <w:tc>
          <w:tcPr>
            <w:tcW w:w="780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946"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8" w:right="36"/>
              <w:jc w:val="center"/>
              <w:rPr>
                <w:rFonts w:ascii="宋体" w:hAnsi="宋体" w:cs="宋体" w:eastAsia="宋体" w:hint="default"/>
                <w:sz w:val="21"/>
                <w:szCs w:val="21"/>
              </w:rPr>
            </w:pPr>
            <w:r>
              <w:rPr>
                <w:rFonts w:ascii="宋体" w:hAnsi="宋体" w:cs="宋体" w:eastAsia="宋体" w:hint="default"/>
                <w:spacing w:val="-2"/>
                <w:sz w:val="21"/>
                <w:szCs w:val="21"/>
              </w:rPr>
              <w:t>超募资金的金额、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用途及使用进展情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781" w:type="dxa"/>
            <w:tcBorders>
              <w:top w:val="single" w:sz="4" w:space="0" w:color="000000"/>
              <w:left w:val="single" w:sz="12" w:space="0" w:color="D2D2D2"/>
              <w:bottom w:val="single" w:sz="4" w:space="0" w:color="000000"/>
              <w:right w:val="single" w:sz="4" w:space="0" w:color="000000"/>
            </w:tcBorders>
          </w:tcPr>
          <w:p>
            <w:pPr/>
          </w:p>
        </w:tc>
        <w:tc>
          <w:tcPr>
            <w:tcW w:w="780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115" w:hRule="exact"/>
        </w:trPr>
        <w:tc>
          <w:tcPr>
            <w:tcW w:w="1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2" w:space="0" w:color="D2D2D2"/>
              <w:right w:val="single" w:sz="4" w:space="0" w:color="000000"/>
            </w:tcBorders>
          </w:tcPr>
          <w:p>
            <w:pPr/>
          </w:p>
        </w:tc>
        <w:tc>
          <w:tcPr>
            <w:tcW w:w="7801" w:type="dxa"/>
            <w:gridSpan w:val="10"/>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742" w:hRule="exact"/>
        </w:trPr>
        <w:tc>
          <w:tcPr>
            <w:tcW w:w="17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73" w:lineRule="auto"/>
              <w:ind w:left="38" w:right="36"/>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实施地点变更情况</w:t>
            </w:r>
          </w:p>
        </w:tc>
        <w:tc>
          <w:tcPr>
            <w:tcW w:w="781" w:type="dxa"/>
            <w:vMerge/>
            <w:tcBorders>
              <w:left w:val="single" w:sz="12" w:space="0" w:color="D2D2D2"/>
              <w:bottom w:val="single" w:sz="4" w:space="0" w:color="000000"/>
              <w:right w:val="single" w:sz="4" w:space="0" w:color="000000"/>
            </w:tcBorders>
          </w:tcPr>
          <w:p>
            <w:pPr/>
          </w:p>
        </w:tc>
        <w:tc>
          <w:tcPr>
            <w:tcW w:w="7801" w:type="dxa"/>
            <w:gridSpan w:val="10"/>
            <w:vMerge/>
            <w:tcBorders>
              <w:left w:val="single" w:sz="4" w:space="0" w:color="000000"/>
              <w:bottom w:val="single" w:sz="4" w:space="0" w:color="000000"/>
              <w:right w:val="single" w:sz="4" w:space="0" w:color="000000"/>
            </w:tcBorders>
          </w:tcPr>
          <w:p>
            <w:pPr/>
          </w:p>
        </w:tc>
      </w:tr>
      <w:tr>
        <w:trPr>
          <w:trHeight w:val="711"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8" w:right="36"/>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实施方式调整情况</w:t>
            </w:r>
          </w:p>
        </w:tc>
        <w:tc>
          <w:tcPr>
            <w:tcW w:w="781" w:type="dxa"/>
            <w:tcBorders>
              <w:top w:val="single" w:sz="4" w:space="0" w:color="000000"/>
              <w:left w:val="single" w:sz="12" w:space="0" w:color="D2D2D2"/>
              <w:bottom w:val="single" w:sz="4" w:space="0" w:color="000000"/>
              <w:right w:val="single" w:sz="4" w:space="0" w:color="000000"/>
            </w:tcBorders>
          </w:tcPr>
          <w:p>
            <w:pPr/>
          </w:p>
        </w:tc>
        <w:tc>
          <w:tcPr>
            <w:tcW w:w="780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629" w:hRule="exact"/>
        </w:trPr>
        <w:tc>
          <w:tcPr>
            <w:tcW w:w="1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
        </w:tc>
        <w:tc>
          <w:tcPr>
            <w:tcW w:w="7801" w:type="dxa"/>
            <w:gridSpan w:val="10"/>
            <w:vMerge w:val="restart"/>
            <w:tcBorders>
              <w:top w:val="single" w:sz="4" w:space="0" w:color="000000"/>
              <w:left w:val="single" w:sz="4" w:space="0" w:color="000000"/>
              <w:right w:val="single" w:sz="4" w:space="0" w:color="000000"/>
            </w:tcBorders>
          </w:tcPr>
          <w:p>
            <w:pPr>
              <w:pStyle w:val="TableParagraph"/>
              <w:spacing w:line="278" w:lineRule="exact"/>
              <w:ind w:left="23"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日，本公司已以自筹资金预先投入募集资金投资项目的实际投资</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5,324.05</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万元。本公司以募集资金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5,324.05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万元置换预先投入募集资金投资项目</w:t>
            </w:r>
          </w:p>
          <w:p>
            <w:pPr>
              <w:pStyle w:val="TableParagraph"/>
              <w:spacing w:line="264" w:lineRule="auto" w:before="21"/>
              <w:ind w:left="23" w:right="17"/>
              <w:jc w:val="both"/>
              <w:rPr>
                <w:rFonts w:ascii="宋体" w:hAnsi="宋体" w:cs="宋体" w:eastAsia="宋体" w:hint="default"/>
                <w:sz w:val="21"/>
                <w:szCs w:val="21"/>
              </w:rPr>
            </w:pPr>
            <w:r>
              <w:rPr>
                <w:rFonts w:ascii="宋体" w:hAnsi="宋体" w:cs="宋体" w:eastAsia="宋体" w:hint="default"/>
                <w:sz w:val="21"/>
                <w:szCs w:val="21"/>
              </w:rPr>
              <w:t>的自筹资金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5,324.05 </w:t>
            </w:r>
            <w:r>
              <w:rPr>
                <w:rFonts w:ascii="宋体" w:hAnsi="宋体" w:cs="宋体" w:eastAsia="宋体" w:hint="default"/>
                <w:spacing w:val="-13"/>
                <w:sz w:val="21"/>
                <w:szCs w:val="21"/>
              </w:rPr>
              <w:t>万元。</w:t>
            </w:r>
            <w:r>
              <w:rPr>
                <w:rFonts w:ascii="Times New Roman" w:hAnsi="Times New Roman" w:cs="Times New Roman" w:eastAsia="Times New Roman" w:hint="default"/>
                <w:spacing w:val="-13"/>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日第三届董事会第二十一次会议及第三届监</w:t>
            </w:r>
            <w:r>
              <w:rPr>
                <w:rFonts w:ascii="宋体" w:hAnsi="宋体" w:cs="宋体" w:eastAsia="宋体" w:hint="default"/>
                <w:w w:val="100"/>
                <w:sz w:val="21"/>
                <w:szCs w:val="21"/>
              </w:rPr>
              <w:t> </w:t>
            </w:r>
            <w:r>
              <w:rPr>
                <w:rFonts w:ascii="宋体" w:hAnsi="宋体" w:cs="宋体" w:eastAsia="宋体" w:hint="default"/>
                <w:spacing w:val="-3"/>
                <w:sz w:val="21"/>
                <w:szCs w:val="21"/>
              </w:rPr>
              <w:t>事会第十八次会议审议通过了《关于使用募集资金置换预先投入募投项目自筹资金的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议案》，同意公司以募集资金置换预先投入募投项目的自筹资金。独立董事、监事会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均发表明确同意的意见，致同会计师事务所（特殊普通合伙）出具致同专字</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第</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110ZC3998 </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号《关于北京超图软件股份有限公司以自筹资金预先投入募集资金投资项</w:t>
            </w:r>
          </w:p>
        </w:tc>
      </w:tr>
      <w:tr>
        <w:trPr>
          <w:trHeight w:val="936" w:hRule="exact"/>
        </w:trPr>
        <w:tc>
          <w:tcPr>
            <w:tcW w:w="17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38" w:right="36"/>
              <w:jc w:val="center"/>
              <w:rPr>
                <w:rFonts w:ascii="宋体" w:hAnsi="宋体" w:cs="宋体" w:eastAsia="宋体" w:hint="default"/>
                <w:sz w:val="21"/>
                <w:szCs w:val="21"/>
              </w:rPr>
            </w:pPr>
            <w:r>
              <w:rPr>
                <w:rFonts w:ascii="宋体" w:hAnsi="宋体" w:cs="宋体" w:eastAsia="宋体" w:hint="default"/>
                <w:spacing w:val="-2"/>
                <w:sz w:val="21"/>
                <w:szCs w:val="21"/>
              </w:rPr>
              <w:t>募集资金投资项目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先期投入及置换情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781" w:type="dxa"/>
            <w:vMerge/>
            <w:tcBorders>
              <w:left w:val="single" w:sz="9" w:space="0" w:color="D2D2D2"/>
              <w:right w:val="single" w:sz="4" w:space="0" w:color="000000"/>
            </w:tcBorders>
          </w:tcPr>
          <w:p>
            <w:pPr/>
          </w:p>
        </w:tc>
        <w:tc>
          <w:tcPr>
            <w:tcW w:w="7801" w:type="dxa"/>
            <w:gridSpan w:val="10"/>
            <w:vMerge/>
            <w:tcBorders>
              <w:left w:val="single" w:sz="4" w:space="0" w:color="000000"/>
              <w:right w:val="single" w:sz="4" w:space="0" w:color="000000"/>
            </w:tcBorders>
          </w:tcPr>
          <w:p>
            <w:pPr/>
          </w:p>
        </w:tc>
      </w:tr>
      <w:tr>
        <w:trPr>
          <w:trHeight w:val="631" w:hRule="exact"/>
        </w:trPr>
        <w:tc>
          <w:tcPr>
            <w:tcW w:w="17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1" w:type="dxa"/>
            <w:gridSpan w:val="10"/>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68"/>
        <w:gridCol w:w="781"/>
        <w:gridCol w:w="7801"/>
      </w:tblGrid>
      <w:tr>
        <w:trPr>
          <w:trHeight w:val="2194"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3"/>
                <w:sz w:val="21"/>
                <w:szCs w:val="21"/>
              </w:rPr>
              <w:t>目情况鉴证报告》。保荐人华龙证券股份有限公司对公司使用募集资金置换预先投入</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募投项目自筹资金事项无异议，符合《深圳证券交易所创业板上市公司规范运作指</w:t>
            </w:r>
            <w:r>
              <w:rPr>
                <w:rFonts w:ascii="宋体" w:hAnsi="宋体" w:cs="宋体" w:eastAsia="宋体" w:hint="default"/>
                <w:w w:val="100"/>
                <w:sz w:val="21"/>
                <w:szCs w:val="21"/>
              </w:rPr>
              <w:t> </w:t>
            </w:r>
            <w:r>
              <w:rPr>
                <w:rFonts w:ascii="宋体" w:hAnsi="宋体" w:cs="宋体" w:eastAsia="宋体" w:hint="default"/>
                <w:spacing w:val="-3"/>
                <w:sz w:val="21"/>
                <w:szCs w:val="21"/>
              </w:rPr>
              <w:t>引》、《上市公司监管指引第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上市公司募集资金管理和使用的监管要求》等</w:t>
            </w:r>
          </w:p>
          <w:p>
            <w:pPr>
              <w:pStyle w:val="TableParagraph"/>
              <w:spacing w:line="27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相关规定要求。公司以募集资金 </w:t>
            </w:r>
            <w:r>
              <w:rPr>
                <w:rFonts w:ascii="Times New Roman" w:hAnsi="Times New Roman" w:cs="Times New Roman" w:eastAsia="Times New Roman" w:hint="default"/>
                <w:sz w:val="21"/>
                <w:szCs w:val="21"/>
              </w:rPr>
              <w:t>5,324.05</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万元置换本公司已预先投入募集资金投资项</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目的</w:t>
            </w:r>
            <w:r>
              <w:rPr>
                <w:rFonts w:ascii="宋体" w:hAnsi="宋体" w:cs="宋体" w:eastAsia="宋体" w:hint="default"/>
                <w:spacing w:val="-3"/>
                <w:w w:val="100"/>
                <w:sz w:val="21"/>
                <w:szCs w:val="21"/>
              </w:rPr>
              <w:t>自</w:t>
            </w:r>
            <w:r>
              <w:rPr>
                <w:rFonts w:ascii="宋体" w:hAnsi="宋体" w:cs="宋体" w:eastAsia="宋体" w:hint="default"/>
                <w:w w:val="100"/>
                <w:sz w:val="21"/>
                <w:szCs w:val="21"/>
              </w:rPr>
              <w:t>筹</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324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05</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中</w:t>
            </w:r>
            <w:r>
              <w:rPr>
                <w:rFonts w:ascii="宋体" w:hAnsi="宋体" w:cs="宋体" w:eastAsia="宋体" w:hint="default"/>
                <w:spacing w:val="-97"/>
                <w:w w:val="100"/>
                <w:sz w:val="21"/>
                <w:szCs w:val="21"/>
              </w:rPr>
              <w:t>：</w:t>
            </w:r>
            <w:r>
              <w:rPr>
                <w:rFonts w:ascii="Times New Roman" w:hAnsi="Times New Roman" w:cs="Times New Roman" w:eastAsia="Times New Roman" w:hint="default"/>
                <w:w w:val="100"/>
                <w:sz w:val="21"/>
                <w:szCs w:val="21"/>
              </w:rPr>
              <w:t>S</w:t>
            </w:r>
            <w:r>
              <w:rPr>
                <w:rFonts w:ascii="Times New Roman" w:hAnsi="Times New Roman" w:cs="Times New Roman" w:eastAsia="Times New Roman" w:hint="default"/>
                <w:spacing w:val="-3"/>
                <w:w w:val="100"/>
                <w:sz w:val="21"/>
                <w:szCs w:val="21"/>
              </w:rPr>
              <w:t>u</w:t>
            </w:r>
            <w:r>
              <w:rPr>
                <w:rFonts w:ascii="Times New Roman" w:hAnsi="Times New Roman" w:cs="Times New Roman" w:eastAsia="Times New Roman" w:hint="default"/>
                <w:w w:val="100"/>
                <w:sz w:val="21"/>
                <w:szCs w:val="21"/>
              </w:rPr>
              <w:t>pe</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M</w:t>
            </w:r>
            <w:r>
              <w:rPr>
                <w:rFonts w:ascii="Times New Roman" w:hAnsi="Times New Roman" w:cs="Times New Roman" w:eastAsia="Times New Roman" w:hint="default"/>
                <w:spacing w:val="-1"/>
                <w:w w:val="100"/>
                <w:sz w:val="21"/>
                <w:szCs w:val="21"/>
              </w:rPr>
              <w:t>a</w:t>
            </w:r>
            <w:r>
              <w:rPr>
                <w:rFonts w:ascii="Times New Roman" w:hAnsi="Times New Roman" w:cs="Times New Roman" w:eastAsia="Times New Roman" w:hint="default"/>
                <w:w w:val="100"/>
                <w:sz w:val="21"/>
                <w:szCs w:val="21"/>
              </w:rPr>
              <w:t>p</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w w:val="100"/>
                <w:sz w:val="21"/>
                <w:szCs w:val="21"/>
              </w:rPr>
              <w:t>G</w:t>
            </w:r>
            <w:r>
              <w:rPr>
                <w:rFonts w:ascii="Times New Roman" w:hAnsi="Times New Roman" w:cs="Times New Roman" w:eastAsia="Times New Roman" w:hint="default"/>
                <w:spacing w:val="-4"/>
                <w:w w:val="100"/>
                <w:sz w:val="21"/>
                <w:szCs w:val="21"/>
              </w:rPr>
              <w:t>I</w:t>
            </w:r>
            <w:r>
              <w:rPr>
                <w:rFonts w:ascii="Times New Roman" w:hAnsi="Times New Roman" w:cs="Times New Roman" w:eastAsia="Times New Roman" w:hint="default"/>
                <w:w w:val="100"/>
                <w:sz w:val="21"/>
                <w:szCs w:val="21"/>
              </w:rPr>
              <w:t>S9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基础</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研</w:t>
            </w:r>
            <w:r>
              <w:rPr>
                <w:rFonts w:ascii="宋体" w:hAnsi="宋体" w:cs="宋体" w:eastAsia="宋体" w:hint="default"/>
                <w:w w:val="100"/>
                <w:sz w:val="21"/>
                <w:szCs w:val="21"/>
              </w:rPr>
              <w:t>发</w:t>
            </w:r>
            <w:r>
              <w:rPr>
                <w:rFonts w:ascii="宋体" w:hAnsi="宋体" w:cs="宋体" w:eastAsia="宋体" w:hint="default"/>
                <w:spacing w:val="-3"/>
                <w:w w:val="100"/>
                <w:sz w:val="21"/>
                <w:szCs w:val="21"/>
              </w:rPr>
              <w:t>与</w:t>
            </w:r>
            <w:r>
              <w:rPr>
                <w:rFonts w:ascii="宋体" w:hAnsi="宋体" w:cs="宋体" w:eastAsia="宋体" w:hint="default"/>
                <w:w w:val="100"/>
                <w:sz w:val="21"/>
                <w:szCs w:val="21"/>
              </w:rPr>
              <w:t>产</w:t>
            </w:r>
            <w:r>
              <w:rPr>
                <w:rFonts w:ascii="宋体" w:hAnsi="宋体" w:cs="宋体" w:eastAsia="宋体" w:hint="default"/>
                <w:spacing w:val="-3"/>
                <w:w w:val="100"/>
                <w:sz w:val="21"/>
                <w:szCs w:val="21"/>
              </w:rPr>
              <w:t>业</w:t>
            </w:r>
            <w:r>
              <w:rPr>
                <w:rFonts w:ascii="宋体" w:hAnsi="宋体" w:cs="宋体" w:eastAsia="宋体" w:hint="default"/>
                <w:w w:val="100"/>
                <w:sz w:val="21"/>
                <w:szCs w:val="21"/>
              </w:rPr>
              <w:t>化</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816</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pacing w:val="-3"/>
                <w:sz w:val="21"/>
                <w:szCs w:val="21"/>
              </w:rPr>
              <w:t>万元；不动产登记系统产品研发及产业化项目 </w:t>
            </w:r>
            <w:r>
              <w:rPr>
                <w:rFonts w:ascii="Times New Roman" w:hAnsi="Times New Roman" w:cs="Times New Roman" w:eastAsia="Times New Roman" w:hint="default"/>
                <w:sz w:val="21"/>
                <w:szCs w:val="21"/>
              </w:rPr>
              <w:t>2,379.52</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万元；智慧城市空间共享框架</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研发及产业化项目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2,128.43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946"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7" w:right="36"/>
              <w:jc w:val="center"/>
              <w:rPr>
                <w:rFonts w:ascii="宋体" w:hAnsi="宋体" w:cs="宋体" w:eastAsia="宋体" w:hint="default"/>
                <w:sz w:val="21"/>
                <w:szCs w:val="21"/>
              </w:rPr>
            </w:pPr>
            <w:r>
              <w:rPr>
                <w:rFonts w:ascii="宋体" w:hAnsi="宋体" w:cs="宋体" w:eastAsia="宋体" w:hint="default"/>
                <w:spacing w:val="-2"/>
                <w:sz w:val="21"/>
                <w:szCs w:val="21"/>
              </w:rPr>
              <w:t>用闲置募集资金暂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时补充流动资金情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818"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37" w:right="36"/>
              <w:jc w:val="center"/>
              <w:rPr>
                <w:rFonts w:ascii="宋体" w:hAnsi="宋体" w:cs="宋体" w:eastAsia="宋体" w:hint="default"/>
                <w:sz w:val="21"/>
                <w:szCs w:val="21"/>
              </w:rPr>
            </w:pPr>
            <w:r>
              <w:rPr>
                <w:rFonts w:ascii="宋体" w:hAnsi="宋体" w:cs="宋体" w:eastAsia="宋体" w:hint="default"/>
                <w:spacing w:val="-2"/>
                <w:sz w:val="21"/>
                <w:szCs w:val="21"/>
              </w:rPr>
              <w:t>项目实施出现募集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资金结余的金额及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原因</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1"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、公司严格执行预算管理，不断加大预算管理力度，在房屋改造、设备购置等方面</w:t>
            </w:r>
            <w:r>
              <w:rPr>
                <w:rFonts w:ascii="宋体" w:hAnsi="宋体" w:cs="宋体" w:eastAsia="宋体" w:hint="default"/>
                <w:w w:val="100"/>
                <w:sz w:val="21"/>
                <w:szCs w:val="21"/>
              </w:rPr>
              <w:t> </w:t>
            </w:r>
            <w:r>
              <w:rPr>
                <w:rFonts w:ascii="宋体" w:hAnsi="宋体" w:cs="宋体" w:eastAsia="宋体" w:hint="default"/>
                <w:spacing w:val="-3"/>
                <w:sz w:val="21"/>
                <w:szCs w:val="21"/>
              </w:rPr>
              <w:t>降低预算，在确保募集资金投资项目质量的前提下，从本着合理、有效、以及节俭的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原则谨慎使用募集资金，严格把控采购环节、有效控制采购成本，合理降低项目实施</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费用，最大限度地节约了项目资金。</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、公司原计划从外部购置的无形资产，后大部分通过内部研发人员研发后自用，因</w:t>
            </w:r>
            <w:r>
              <w:rPr>
                <w:rFonts w:ascii="宋体" w:hAnsi="宋体" w:cs="宋体" w:eastAsia="宋体" w:hint="default"/>
                <w:w w:val="100"/>
                <w:sz w:val="21"/>
                <w:szCs w:val="21"/>
              </w:rPr>
              <w:t> </w:t>
            </w:r>
            <w:r>
              <w:rPr>
                <w:rFonts w:ascii="宋体" w:hAnsi="宋体" w:cs="宋体" w:eastAsia="宋体" w:hint="default"/>
                <w:sz w:val="21"/>
                <w:szCs w:val="21"/>
              </w:rPr>
              <w:t>而节余了部分募集资金。</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、为了提高募集资金的使用效率，公司在确保不影响募集资金投资计划正常进行和</w:t>
            </w:r>
            <w:r>
              <w:rPr>
                <w:rFonts w:ascii="宋体" w:hAnsi="宋体" w:cs="宋体" w:eastAsia="宋体" w:hint="default"/>
                <w:w w:val="100"/>
                <w:sz w:val="21"/>
                <w:szCs w:val="21"/>
              </w:rPr>
              <w:t> </w:t>
            </w:r>
            <w:r>
              <w:rPr>
                <w:rFonts w:ascii="宋体" w:hAnsi="宋体" w:cs="宋体" w:eastAsia="宋体" w:hint="default"/>
                <w:sz w:val="21"/>
                <w:szCs w:val="21"/>
              </w:rPr>
              <w:t>募集资金安全的前提下，使用暂时闲置募集资金购买理财产品获得了一定的投资收</w:t>
            </w:r>
            <w:r>
              <w:rPr>
                <w:rFonts w:ascii="宋体" w:hAnsi="宋体" w:cs="宋体" w:eastAsia="宋体" w:hint="default"/>
                <w:w w:val="100"/>
                <w:sz w:val="21"/>
                <w:szCs w:val="21"/>
              </w:rPr>
              <w:t> </w:t>
            </w:r>
            <w:r>
              <w:rPr>
                <w:rFonts w:ascii="宋体" w:hAnsi="宋体" w:cs="宋体" w:eastAsia="宋体" w:hint="default"/>
                <w:sz w:val="21"/>
                <w:szCs w:val="21"/>
              </w:rPr>
              <w:t>益。</w:t>
            </w:r>
          </w:p>
        </w:tc>
      </w:tr>
      <w:tr>
        <w:trPr>
          <w:trHeight w:val="2196"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3" w:lineRule="auto"/>
              <w:ind w:left="248" w:right="36" w:hanging="212"/>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1"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日公司第四届董事会第十三次会议、</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年第一次</w:t>
            </w:r>
            <w:r>
              <w:rPr>
                <w:rFonts w:ascii="宋体" w:hAnsi="宋体" w:cs="宋体" w:eastAsia="宋体" w:hint="default"/>
                <w:w w:val="100"/>
                <w:sz w:val="21"/>
                <w:szCs w:val="21"/>
              </w:rPr>
              <w:t> </w:t>
            </w:r>
            <w:r>
              <w:rPr>
                <w:rFonts w:ascii="宋体" w:hAnsi="宋体" w:cs="宋体" w:eastAsia="宋体" w:hint="default"/>
                <w:spacing w:val="-3"/>
                <w:sz w:val="21"/>
                <w:szCs w:val="21"/>
              </w:rPr>
              <w:t>临时股东大会审议通过了《关于发行股份购买资产并募集配套资金募投项目结项并将</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节余募集资金永久补充流动资金的议案》，同意公司发行股份购买资产并募集配套资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金募投项目结项，将节余募集资金永久补充流动资金。监事会、独立董事、独立财务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顾问发表了明确同意意见。截至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日，公司已将存储在募集资金专项账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户中的节余募集资金及结算利息全部转出，用于永久性补充流动资金，并办理完成相</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关专户的注销手续。</w:t>
            </w:r>
          </w:p>
        </w:tc>
      </w:tr>
      <w:tr>
        <w:trPr>
          <w:trHeight w:val="946"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7" w:right="36"/>
              <w:jc w:val="center"/>
              <w:rPr>
                <w:rFonts w:ascii="宋体" w:hAnsi="宋体" w:cs="宋体" w:eastAsia="宋体" w:hint="default"/>
                <w:sz w:val="21"/>
                <w:szCs w:val="21"/>
              </w:rPr>
            </w:pPr>
            <w:r>
              <w:rPr>
                <w:rFonts w:ascii="宋体" w:hAnsi="宋体" w:cs="宋体" w:eastAsia="宋体" w:hint="default"/>
                <w:spacing w:val="-2"/>
                <w:sz w:val="21"/>
                <w:szCs w:val="21"/>
              </w:rPr>
              <w:t>募集资金使用及披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露中存在的问题或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其他情况</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56" w:lineRule="auto" w:before="28"/>
        <w:ind w:left="153" w:right="1546" w:firstLine="4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100"/>
          <w:sz w:val="21"/>
          <w:szCs w:val="21"/>
        </w:rPr>
        <w:t>[</w:t>
      </w:r>
      <w:r>
        <w:rPr>
          <w:rFonts w:ascii="宋体" w:hAnsi="宋体" w:cs="宋体" w:eastAsia="宋体" w:hint="default"/>
          <w:spacing w:val="-1"/>
          <w:w w:val="100"/>
          <w:sz w:val="21"/>
          <w:szCs w:val="21"/>
        </w:rPr>
        <w:t>注</w:t>
      </w:r>
      <w:r>
        <w:rPr>
          <w:rFonts w:ascii="宋体" w:hAnsi="宋体" w:cs="宋体" w:eastAsia="宋体" w:hint="default"/>
          <w:spacing w:val="-39"/>
          <w:w w:val="100"/>
          <w:sz w:val="21"/>
          <w:szCs w:val="21"/>
        </w:rPr>
        <w:t> </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根据《发行股份及支付现金购买资产并募集配套资金暨关联交易报告书（修订稿）》</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以下简</w:t>
      </w:r>
      <w:r>
        <w:rPr>
          <w:rFonts w:ascii="宋体" w:hAnsi="宋体" w:cs="宋体" w:eastAsia="宋体" w:hint="default"/>
          <w:w w:val="100"/>
          <w:sz w:val="21"/>
          <w:szCs w:val="21"/>
        </w:rPr>
        <w:t> </w:t>
      </w:r>
      <w:r>
        <w:rPr>
          <w:rFonts w:ascii="宋体" w:hAnsi="宋体" w:cs="宋体" w:eastAsia="宋体" w:hint="default"/>
          <w:spacing w:val="-3"/>
          <w:sz w:val="21"/>
          <w:szCs w:val="21"/>
        </w:rPr>
        <w:t>称报告书</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“SuperMap</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z w:val="21"/>
          <w:szCs w:val="21"/>
        </w:rPr>
        <w:t>GIS9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基础软件研发与产业化项目</w:t>
      </w:r>
      <w:r>
        <w:rPr>
          <w:rFonts w:ascii="Times New Roman" w:hAnsi="Times New Roman" w:cs="Times New Roman" w:eastAsia="Times New Roman" w:hint="default"/>
          <w:sz w:val="21"/>
          <w:szCs w:val="21"/>
        </w:rPr>
        <w:t>”</w:t>
      </w:r>
      <w:r>
        <w:rPr>
          <w:rFonts w:ascii="宋体" w:hAnsi="宋体" w:cs="宋体" w:eastAsia="宋体" w:hint="default"/>
          <w:sz w:val="21"/>
          <w:szCs w:val="21"/>
        </w:rPr>
        <w:t>总体完成建设满负荷运营后预计年营业收入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可达</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7,670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万元，税后内部收益率为</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13.09%</w:t>
      </w:r>
      <w:r>
        <w:rPr>
          <w:rFonts w:ascii="宋体" w:hAnsi="宋体" w:cs="宋体" w:eastAsia="宋体" w:hint="default"/>
          <w:sz w:val="21"/>
          <w:szCs w:val="21"/>
        </w:rPr>
        <w:t>，税后投资回收期</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6.68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年度实现收入</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7,317.06</w:t>
      </w:r>
    </w:p>
    <w:p>
      <w:pPr>
        <w:spacing w:before="5"/>
        <w:ind w:left="153" w:right="1273" w:firstLine="0"/>
        <w:jc w:val="left"/>
        <w:rPr>
          <w:rFonts w:ascii="宋体" w:hAnsi="宋体" w:cs="宋体" w:eastAsia="宋体" w:hint="default"/>
          <w:sz w:val="21"/>
          <w:szCs w:val="21"/>
        </w:rPr>
      </w:pPr>
      <w:r>
        <w:rPr>
          <w:rFonts w:ascii="宋体" w:hAnsi="宋体" w:cs="宋体" w:eastAsia="宋体" w:hint="default"/>
          <w:sz w:val="21"/>
          <w:szCs w:val="21"/>
        </w:rPr>
        <w:t>万元，净利润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435.73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日，该项目已投资建设完毕。</w:t>
      </w:r>
    </w:p>
    <w:p>
      <w:pPr>
        <w:spacing w:line="266" w:lineRule="auto" w:before="59"/>
        <w:ind w:left="153" w:right="1549" w:firstLine="36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注</w:t>
      </w:r>
      <w:r>
        <w:rPr>
          <w:rFonts w:ascii="宋体" w:hAnsi="宋体" w:cs="宋体" w:eastAsia="宋体" w:hint="default"/>
          <w:spacing w:val="-32"/>
          <w:w w:val="100"/>
          <w:sz w:val="21"/>
          <w:szCs w:val="21"/>
        </w:rPr>
        <w:t> </w:t>
      </w:r>
      <w:r>
        <w:rPr>
          <w:rFonts w:ascii="宋体" w:hAnsi="宋体" w:cs="宋体" w:eastAsia="宋体" w:hint="default"/>
          <w:spacing w:val="-5"/>
          <w:w w:val="100"/>
          <w:sz w:val="21"/>
          <w:szCs w:val="21"/>
        </w:rPr>
        <w:t>2]</w:t>
      </w:r>
      <w:r>
        <w:rPr>
          <w:rFonts w:ascii="宋体" w:hAnsi="宋体" w:cs="宋体" w:eastAsia="宋体" w:hint="default"/>
          <w:spacing w:val="-5"/>
          <w:w w:val="100"/>
          <w:sz w:val="21"/>
          <w:szCs w:val="21"/>
        </w:rPr>
        <w:t>根据报告书，“不动产登记系统产品研发及产业化项目”总体完成建设满负荷运营后预计年</w:t>
      </w:r>
      <w:r>
        <w:rPr>
          <w:rFonts w:ascii="宋体" w:hAnsi="宋体" w:cs="宋体" w:eastAsia="宋体" w:hint="default"/>
          <w:w w:val="100"/>
          <w:sz w:val="21"/>
          <w:szCs w:val="21"/>
        </w:rPr>
        <w:t> </w:t>
      </w:r>
      <w:r>
        <w:rPr>
          <w:rFonts w:ascii="宋体" w:hAnsi="宋体" w:cs="宋体" w:eastAsia="宋体" w:hint="default"/>
          <w:sz w:val="21"/>
          <w:szCs w:val="21"/>
        </w:rPr>
        <w:t>营业收入可达</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7,200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万元，税后内部收益率为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12.91%</w:t>
      </w:r>
      <w:r>
        <w:rPr>
          <w:rFonts w:ascii="宋体" w:hAnsi="宋体" w:cs="宋体" w:eastAsia="宋体" w:hint="default"/>
          <w:sz w:val="21"/>
          <w:szCs w:val="21"/>
        </w:rPr>
        <w:t>，税后投资回收期</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年度实现收入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20,889.03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万元，净利润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1,226.87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日，该项目已投资建设完毕。</w:t>
      </w:r>
    </w:p>
    <w:p>
      <w:pPr>
        <w:spacing w:line="264" w:lineRule="auto" w:before="36"/>
        <w:ind w:left="153" w:right="1548" w:firstLine="36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注</w:t>
      </w:r>
      <w:r>
        <w:rPr>
          <w:rFonts w:ascii="宋体" w:hAnsi="宋体" w:cs="宋体" w:eastAsia="宋体" w:hint="default"/>
          <w:spacing w:val="-32"/>
          <w:w w:val="100"/>
          <w:sz w:val="21"/>
          <w:szCs w:val="21"/>
        </w:rPr>
        <w:t> </w:t>
      </w:r>
      <w:r>
        <w:rPr>
          <w:rFonts w:ascii="宋体" w:hAnsi="宋体" w:cs="宋体" w:eastAsia="宋体" w:hint="default"/>
          <w:spacing w:val="-5"/>
          <w:w w:val="100"/>
          <w:sz w:val="21"/>
          <w:szCs w:val="21"/>
        </w:rPr>
        <w:t>3]</w:t>
      </w:r>
      <w:r>
        <w:rPr>
          <w:rFonts w:ascii="宋体" w:hAnsi="宋体" w:cs="宋体" w:eastAsia="宋体" w:hint="default"/>
          <w:spacing w:val="-5"/>
          <w:w w:val="100"/>
          <w:sz w:val="21"/>
          <w:szCs w:val="21"/>
        </w:rPr>
        <w:t>根据报告书，“智慧城市空间共享框架研发及产业化项目”总体完成建设满负荷运营后预计</w:t>
      </w:r>
      <w:r>
        <w:rPr>
          <w:rFonts w:ascii="宋体" w:hAnsi="宋体" w:cs="宋体" w:eastAsia="宋体" w:hint="default"/>
          <w:w w:val="100"/>
          <w:sz w:val="21"/>
          <w:szCs w:val="21"/>
        </w:rPr>
        <w:t> </w:t>
      </w:r>
      <w:r>
        <w:rPr>
          <w:rFonts w:ascii="宋体" w:hAnsi="宋体" w:cs="宋体" w:eastAsia="宋体" w:hint="default"/>
          <w:sz w:val="21"/>
          <w:szCs w:val="21"/>
        </w:rPr>
        <w:t>年营业收入可达</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7,500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万元，税后内部收益率为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12.85%</w:t>
      </w:r>
      <w:r>
        <w:rPr>
          <w:rFonts w:ascii="宋体" w:hAnsi="宋体" w:cs="宋体" w:eastAsia="宋体" w:hint="default"/>
          <w:sz w:val="21"/>
          <w:szCs w:val="21"/>
        </w:rPr>
        <w:t>，税后投资回收期</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6.65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年度实现收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14,706.76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万元，净利润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867.44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日，该项目已投资建设完毕。</w:t>
      </w:r>
    </w:p>
    <w:p>
      <w:pPr>
        <w:spacing w:line="240" w:lineRule="auto" w:before="12"/>
        <w:rPr>
          <w:rFonts w:ascii="宋体" w:hAnsi="宋体" w:cs="宋体" w:eastAsia="宋体" w:hint="default"/>
          <w:sz w:val="26"/>
          <w:szCs w:val="26"/>
        </w:rPr>
      </w:pPr>
    </w:p>
    <w:p>
      <w:pPr>
        <w:pStyle w:val="Heading2"/>
        <w:spacing w:line="240" w:lineRule="auto"/>
        <w:ind w:right="127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spacing w:line="528" w:lineRule="auto" w:before="26"/>
        <w:ind w:left="293" w:right="5713" w:firstLine="480"/>
        <w:jc w:val="left"/>
        <w:rPr>
          <w:rFonts w:ascii="宋体" w:hAnsi="宋体" w:cs="宋体" w:eastAsia="宋体" w:hint="default"/>
          <w:sz w:val="24"/>
          <w:szCs w:val="24"/>
        </w:rPr>
      </w:pPr>
      <w:r>
        <w:rPr>
          <w:rFonts w:ascii="宋体" w:hAnsi="宋体" w:cs="宋体" w:eastAsia="宋体" w:hint="default"/>
          <w:sz w:val="24"/>
          <w:szCs w:val="24"/>
        </w:rPr>
        <w:t>公司报告期不存在募集资金变更项目情况。 </w:t>
      </w:r>
      <w:r>
        <w:rPr>
          <w:rFonts w:ascii="宋体" w:hAnsi="宋体" w:cs="宋体" w:eastAsia="宋体" w:hint="default"/>
          <w:b/>
          <w:bCs/>
          <w:sz w:val="24"/>
          <w:szCs w:val="24"/>
        </w:rPr>
        <w:t>六、重大资产和股权出售</w:t>
      </w:r>
      <w:r>
        <w:rPr>
          <w:rFonts w:ascii="宋体" w:hAnsi="宋体" w:cs="宋体" w:eastAsia="宋体" w:hint="default"/>
          <w:sz w:val="24"/>
          <w:szCs w:val="24"/>
        </w:rPr>
      </w:r>
    </w:p>
    <w:p>
      <w:pPr>
        <w:pStyle w:val="Heading2"/>
        <w:spacing w:line="240" w:lineRule="auto" w:before="89"/>
        <w:ind w:left="293" w:right="571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77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公司报告期未出售重大资产。</w:t>
      </w:r>
    </w:p>
    <w:p>
      <w:pPr>
        <w:spacing w:line="240" w:lineRule="auto" w:before="2"/>
        <w:rPr>
          <w:rFonts w:ascii="宋体" w:hAnsi="宋体" w:cs="宋体" w:eastAsia="宋体" w:hint="default"/>
          <w:sz w:val="27"/>
          <w:szCs w:val="27"/>
        </w:rPr>
      </w:pPr>
    </w:p>
    <w:p>
      <w:pPr>
        <w:pStyle w:val="Heading2"/>
        <w:spacing w:line="240" w:lineRule="auto"/>
        <w:ind w:left="293" w:right="571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33"/>
          <w:szCs w:val="33"/>
        </w:rPr>
      </w:pPr>
    </w:p>
    <w:p>
      <w:pPr>
        <w:spacing w:line="499" w:lineRule="auto" w:before="0"/>
        <w:ind w:left="293" w:right="786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pStyle w:val="BodyText"/>
        <w:spacing w:line="240" w:lineRule="auto" w:before="115"/>
        <w:ind w:left="773"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773" w:right="1010"/>
        <w:jc w:val="left"/>
      </w:pPr>
      <w:r>
        <w:rPr/>
        <w:t>目前，公司有</w:t>
      </w:r>
      <w:r>
        <w:rPr>
          <w:spacing w:val="-9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7"/>
        </w:rPr>
        <w:t> </w:t>
      </w:r>
      <w:r>
        <w:rPr/>
        <w:t>家全资子公司（超图信息、超图国际、克拉玛依超图、上海超途、山东</w:t>
      </w:r>
    </w:p>
    <w:p>
      <w:pPr>
        <w:pStyle w:val="BodyText"/>
        <w:spacing w:line="240" w:lineRule="auto" w:before="135"/>
        <w:ind w:left="293" w:right="1010"/>
        <w:jc w:val="left"/>
      </w:pPr>
      <w:r>
        <w:rPr/>
        <w:t>超图</w:t>
      </w:r>
      <w:r>
        <w:rPr>
          <w:spacing w:val="-3"/>
        </w:rPr>
        <w:t>、</w:t>
      </w:r>
      <w:r>
        <w:rPr/>
        <w:t>超图数据</w:t>
      </w:r>
      <w:r>
        <w:rPr>
          <w:spacing w:val="-3"/>
        </w:rPr>
        <w:t>、</w:t>
      </w:r>
      <w:r>
        <w:rPr/>
        <w:t>上</w:t>
      </w:r>
      <w:r>
        <w:rPr>
          <w:spacing w:val="-3"/>
        </w:rPr>
        <w:t>海</w:t>
      </w:r>
      <w:r>
        <w:rPr/>
        <w:t>南康</w:t>
      </w:r>
      <w:r>
        <w:rPr>
          <w:spacing w:val="-3"/>
        </w:rPr>
        <w:t>、</w:t>
      </w:r>
      <w:r>
        <w:rPr/>
        <w:t>南京国图</w:t>
      </w:r>
      <w:r>
        <w:rPr>
          <w:spacing w:val="-3"/>
        </w:rPr>
        <w:t>、</w:t>
      </w:r>
      <w:r>
        <w:rPr/>
        <w:t>北</w:t>
      </w:r>
      <w:r>
        <w:rPr>
          <w:spacing w:val="-3"/>
        </w:rPr>
        <w:t>京</w:t>
      </w:r>
      <w:r>
        <w:rPr/>
        <w:t>安图</w:t>
      </w:r>
      <w:r>
        <w:rPr>
          <w:spacing w:val="-3"/>
        </w:rPr>
        <w:t>、</w:t>
      </w:r>
      <w:r>
        <w:rPr/>
        <w:t>上海数慧</w:t>
      </w:r>
      <w:r>
        <w:rPr>
          <w:spacing w:val="-3"/>
        </w:rPr>
        <w:t>、</w:t>
      </w:r>
      <w:r>
        <w:rPr/>
        <w:t>湖</w:t>
      </w:r>
      <w:r>
        <w:rPr>
          <w:spacing w:val="-3"/>
        </w:rPr>
        <w:t>南</w:t>
      </w:r>
      <w:r>
        <w:rPr/>
        <w:t>超图</w:t>
      </w:r>
      <w:r>
        <w:rPr>
          <w:spacing w:val="-120"/>
        </w:rPr>
        <w:t>）</w:t>
      </w:r>
      <w:r>
        <w:rPr>
          <w:spacing w:val="-3"/>
        </w:rPr>
        <w:t>，</w:t>
      </w:r>
      <w:r>
        <w:rPr>
          <w:rFonts w:ascii="Times New Roman" w:hAnsi="Times New Roman" w:cs="Times New Roman" w:eastAsia="Times New Roman" w:hint="default"/>
        </w:rPr>
        <w:t>5 </w:t>
      </w:r>
      <w:r>
        <w:rPr/>
        <w:t>家全资孙公司</w:t>
      </w:r>
    </w:p>
    <w:p>
      <w:pPr>
        <w:pStyle w:val="BodyText"/>
        <w:spacing w:line="338" w:lineRule="auto" w:before="135"/>
        <w:ind w:left="293" w:right="1010"/>
        <w:jc w:val="left"/>
      </w:pPr>
      <w:r>
        <w:rPr>
          <w:spacing w:val="2"/>
        </w:rPr>
        <w:t>（芜湖联智、国图不动产、安图影文、浙江超图、河南超图</w:t>
      </w:r>
      <w:r>
        <w:rPr>
          <w:spacing w:val="-118"/>
        </w:rPr>
        <w:t>）</w:t>
      </w:r>
      <w:r>
        <w:rPr>
          <w:spacing w:val="3"/>
        </w:rPr>
        <w:t>，</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2"/>
        </w:rPr>
        <w:t>家控股孙公司（日本超图、 </w:t>
      </w:r>
      <w:r>
        <w:rPr/>
        <w:t>地图慧科技、嘉兴兴球）和</w:t>
      </w:r>
      <w:r>
        <w:rPr>
          <w:spacing w:val="-60"/>
        </w:rPr>
        <w:t> </w:t>
      </w:r>
      <w:r>
        <w:rPr>
          <w:rFonts w:ascii="Times New Roman" w:hAnsi="Times New Roman" w:cs="Times New Roman" w:eastAsia="Times New Roman" w:hint="default"/>
        </w:rPr>
        <w:t>1 </w:t>
      </w:r>
      <w:r>
        <w:rPr/>
        <w:t>家参股子公司（浙江中科</w:t>
      </w:r>
      <w:r>
        <w:rPr>
          <w:spacing w:val="-120"/>
        </w:rPr>
        <w:t>）</w:t>
      </w:r>
      <w:r>
        <w:rPr/>
        <w:t>。</w:t>
      </w:r>
    </w:p>
    <w:p>
      <w:pPr>
        <w:pStyle w:val="BodyText"/>
        <w:spacing w:line="240" w:lineRule="auto" w:before="27"/>
        <w:ind w:left="773" w:right="1010"/>
        <w:jc w:val="left"/>
      </w:pPr>
      <w:r>
        <w:rPr/>
        <w:t>主要子公司及对公司净利润影响达</w:t>
      </w:r>
      <w:r>
        <w:rPr>
          <w:spacing w:val="-61"/>
        </w:rPr>
        <w:t> </w:t>
      </w:r>
      <w:r>
        <w:rPr>
          <w:rFonts w:ascii="Times New Roman" w:hAnsi="Times New Roman" w:cs="Times New Roman" w:eastAsia="Times New Roman" w:hint="default"/>
        </w:rPr>
        <w:t>10%</w:t>
      </w:r>
      <w:r>
        <w:rPr/>
        <w:t>以上的参股公司情况。</w:t>
      </w:r>
    </w:p>
    <w:p>
      <w:pPr>
        <w:spacing w:line="240" w:lineRule="auto" w:before="5"/>
        <w:rPr>
          <w:rFonts w:ascii="宋体" w:hAnsi="宋体" w:cs="宋体" w:eastAsia="宋体" w:hint="default"/>
          <w:sz w:val="8"/>
          <w:szCs w:val="8"/>
        </w:rPr>
      </w:pPr>
    </w:p>
    <w:p>
      <w:pPr>
        <w:pStyle w:val="BodyText"/>
        <w:spacing w:line="240" w:lineRule="auto" w:before="26"/>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432"/>
        <w:gridCol w:w="559"/>
        <w:gridCol w:w="1721"/>
        <w:gridCol w:w="593"/>
        <w:gridCol w:w="1378"/>
        <w:gridCol w:w="1378"/>
        <w:gridCol w:w="1378"/>
        <w:gridCol w:w="1274"/>
        <w:gridCol w:w="1275"/>
      </w:tblGrid>
      <w:tr>
        <w:trPr>
          <w:trHeight w:val="1339" w:hRule="exact"/>
        </w:trPr>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8" w:right="101"/>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07" w:lineRule="auto"/>
              <w:ind w:left="64" w:right="6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81" w:right="77"/>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337"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6" w:right="183"/>
              <w:jc w:val="both"/>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w w:val="100"/>
                <w:sz w:val="21"/>
                <w:szCs w:val="21"/>
              </w:rPr>
              <w:t> </w:t>
            </w:r>
            <w:r>
              <w:rPr>
                <w:rFonts w:ascii="宋体" w:hAnsi="宋体" w:cs="宋体" w:eastAsia="宋体" w:hint="default"/>
                <w:sz w:val="21"/>
                <w:szCs w:val="21"/>
              </w:rPr>
              <w:t>图</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4" w:right="17"/>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1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23" w:right="-10"/>
              <w:jc w:val="both"/>
              <w:rPr>
                <w:rFonts w:ascii="宋体" w:hAnsi="宋体" w:cs="宋体" w:eastAsia="宋体" w:hint="default"/>
                <w:sz w:val="21"/>
                <w:szCs w:val="21"/>
              </w:rPr>
            </w:pPr>
            <w:r>
              <w:rPr>
                <w:rFonts w:ascii="宋体" w:hAnsi="宋体" w:cs="宋体" w:eastAsia="宋体" w:hint="default"/>
                <w:spacing w:val="25"/>
                <w:sz w:val="21"/>
                <w:szCs w:val="21"/>
              </w:rPr>
              <w:t>向安全部门提供</w:t>
            </w:r>
            <w:r>
              <w:rPr>
                <w:rFonts w:ascii="宋体" w:hAnsi="宋体" w:cs="宋体" w:eastAsia="宋体" w:hint="default"/>
                <w:spacing w:val="-86"/>
                <w:sz w:val="21"/>
                <w:szCs w:val="21"/>
              </w:rPr>
              <w:t> </w:t>
            </w:r>
            <w:r>
              <w:rPr>
                <w:rFonts w:ascii="Times New Roman" w:hAnsi="Times New Roman" w:cs="Times New Roman" w:eastAsia="Times New Roman" w:hint="default"/>
                <w:spacing w:val="6"/>
                <w:sz w:val="21"/>
                <w:szCs w:val="21"/>
              </w:rPr>
              <w:t>GIS</w:t>
            </w:r>
            <w:r>
              <w:rPr>
                <w:rFonts w:ascii="宋体" w:hAnsi="宋体" w:cs="宋体" w:eastAsia="宋体" w:hint="default"/>
                <w:spacing w:val="6"/>
                <w:sz w:val="21"/>
                <w:szCs w:val="21"/>
              </w:rPr>
              <w:t>信息系统技术</w:t>
            </w:r>
            <w:r>
              <w:rPr>
                <w:rFonts w:ascii="宋体" w:hAnsi="宋体" w:cs="宋体" w:eastAsia="宋体" w:hint="default"/>
                <w:spacing w:val="-89"/>
                <w:sz w:val="21"/>
                <w:szCs w:val="21"/>
              </w:rPr>
              <w:t> </w:t>
            </w:r>
            <w:r>
              <w:rPr>
                <w:rFonts w:ascii="宋体" w:hAnsi="宋体" w:cs="宋体" w:eastAsia="宋体" w:hint="default"/>
                <w:spacing w:val="25"/>
                <w:sz w:val="21"/>
                <w:szCs w:val="21"/>
              </w:rPr>
              <w:t>开发和相关平台</w:t>
            </w:r>
            <w:r>
              <w:rPr>
                <w:rFonts w:ascii="宋体" w:hAnsi="宋体" w:cs="宋体" w:eastAsia="宋体" w:hint="default"/>
                <w:spacing w:val="-86"/>
                <w:sz w:val="21"/>
                <w:szCs w:val="21"/>
              </w:rPr>
              <w:t> </w:t>
            </w:r>
            <w:r>
              <w:rPr>
                <w:rFonts w:ascii="宋体" w:hAnsi="宋体" w:cs="宋体" w:eastAsia="宋体" w:hint="default"/>
                <w:sz w:val="21"/>
                <w:szCs w:val="21"/>
              </w:rPr>
              <w:t>产品的研发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22"/>
              <w:ind w:left="8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124,439,057.47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40,233,299.63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166,668,848.90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125,718.28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2,157,875.49</w:t>
            </w:r>
          </w:p>
        </w:tc>
      </w:tr>
      <w:tr>
        <w:trPr>
          <w:trHeight w:val="1651"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6" w:right="183"/>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17"/>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1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3" w:right="-10"/>
              <w:jc w:val="both"/>
              <w:rPr>
                <w:rFonts w:ascii="宋体" w:hAnsi="宋体" w:cs="宋体" w:eastAsia="宋体" w:hint="default"/>
                <w:sz w:val="21"/>
                <w:szCs w:val="21"/>
              </w:rPr>
            </w:pPr>
            <w:r>
              <w:rPr>
                <w:rFonts w:ascii="宋体" w:hAnsi="宋体" w:cs="宋体" w:eastAsia="宋体" w:hint="default"/>
                <w:spacing w:val="5"/>
                <w:sz w:val="21"/>
                <w:szCs w:val="21"/>
              </w:rPr>
              <w:t>房地产行业</w:t>
            </w:r>
            <w:r>
              <w:rPr>
                <w:rFonts w:ascii="Times New Roman" w:hAnsi="Times New Roman" w:cs="Times New Roman" w:eastAsia="Times New Roman" w:hint="default"/>
                <w:spacing w:val="5"/>
                <w:sz w:val="21"/>
                <w:szCs w:val="21"/>
              </w:rPr>
              <w:t>GIS</w:t>
            </w:r>
            <w:r>
              <w:rPr>
                <w:rFonts w:ascii="宋体" w:hAnsi="宋体" w:cs="宋体" w:eastAsia="宋体" w:hint="default"/>
                <w:spacing w:val="5"/>
                <w:sz w:val="21"/>
                <w:szCs w:val="21"/>
              </w:rPr>
              <w:t>技</w:t>
            </w:r>
            <w:r>
              <w:rPr>
                <w:rFonts w:ascii="宋体" w:hAnsi="宋体" w:cs="宋体" w:eastAsia="宋体" w:hint="default"/>
                <w:spacing w:val="-88"/>
                <w:sz w:val="21"/>
                <w:szCs w:val="21"/>
              </w:rPr>
              <w:t> </w:t>
            </w:r>
            <w:r>
              <w:rPr>
                <w:rFonts w:ascii="宋体" w:hAnsi="宋体" w:cs="宋体" w:eastAsia="宋体" w:hint="default"/>
                <w:spacing w:val="25"/>
                <w:sz w:val="21"/>
                <w:szCs w:val="21"/>
              </w:rPr>
              <w:t>术开发及技术服</w:t>
            </w:r>
            <w:r>
              <w:rPr>
                <w:rFonts w:ascii="宋体" w:hAnsi="宋体" w:cs="宋体" w:eastAsia="宋体" w:hint="default"/>
                <w:spacing w:val="-86"/>
                <w:sz w:val="21"/>
                <w:szCs w:val="21"/>
              </w:rPr>
              <w:t> </w:t>
            </w:r>
            <w:r>
              <w:rPr>
                <w:rFonts w:ascii="宋体" w:hAnsi="宋体" w:cs="宋体" w:eastAsia="宋体" w:hint="default"/>
                <w:spacing w:val="2"/>
                <w:sz w:val="21"/>
                <w:szCs w:val="21"/>
              </w:rPr>
              <w:t>务；</w:t>
            </w:r>
            <w:r>
              <w:rPr>
                <w:rFonts w:ascii="Times New Roman" w:hAnsi="Times New Roman" w:cs="Times New Roman" w:eastAsia="Times New Roman" w:hint="default"/>
                <w:spacing w:val="2"/>
                <w:sz w:val="21"/>
                <w:szCs w:val="21"/>
              </w:rPr>
              <w:t>CAI</w:t>
            </w:r>
            <w:r>
              <w:rPr>
                <w:rFonts w:ascii="宋体" w:hAnsi="宋体" w:cs="宋体" w:eastAsia="宋体" w:hint="default"/>
                <w:spacing w:val="2"/>
                <w:sz w:val="21"/>
                <w:szCs w:val="21"/>
              </w:rPr>
              <w:t>数据采集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5"/>
                <w:sz w:val="21"/>
                <w:szCs w:val="21"/>
              </w:rPr>
              <w:t>平台软件研发与</w:t>
            </w:r>
            <w:r>
              <w:rPr>
                <w:rFonts w:ascii="宋体" w:hAnsi="宋体" w:cs="宋体" w:eastAsia="宋体" w:hint="default"/>
                <w:spacing w:val="-86"/>
                <w:sz w:val="21"/>
                <w:szCs w:val="21"/>
              </w:rPr>
              <w:t> </w:t>
            </w:r>
            <w:r>
              <w:rPr>
                <w:rFonts w:ascii="宋体" w:hAnsi="宋体" w:cs="宋体" w:eastAsia="宋体" w:hint="default"/>
                <w:sz w:val="21"/>
                <w:szCs w:val="21"/>
              </w:rPr>
              <w:t>销售</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23"/>
              <w:ind w:left="8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0"/>
              <w:jc w:val="center"/>
              <w:rPr>
                <w:rFonts w:ascii="Times New Roman" w:hAnsi="Times New Roman" w:cs="Times New Roman" w:eastAsia="Times New Roman" w:hint="default"/>
                <w:sz w:val="21"/>
                <w:szCs w:val="21"/>
              </w:rPr>
            </w:pPr>
            <w:r>
              <w:rPr>
                <w:rFonts w:ascii="Times New Roman"/>
                <w:sz w:val="21"/>
              </w:rPr>
              <w:t>119,603,740.16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3" w:right="0"/>
              <w:jc w:val="left"/>
              <w:rPr>
                <w:rFonts w:ascii="Times New Roman" w:hAnsi="Times New Roman" w:cs="Times New Roman" w:eastAsia="Times New Roman" w:hint="default"/>
                <w:sz w:val="21"/>
                <w:szCs w:val="21"/>
              </w:rPr>
            </w:pPr>
            <w:r>
              <w:rPr>
                <w:rFonts w:ascii="Times New Roman"/>
                <w:sz w:val="21"/>
              </w:rPr>
              <w:t>85,631,464.42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3"/>
              <w:jc w:val="center"/>
              <w:rPr>
                <w:rFonts w:ascii="Times New Roman" w:hAnsi="Times New Roman" w:cs="Times New Roman" w:eastAsia="Times New Roman" w:hint="default"/>
                <w:sz w:val="21"/>
                <w:szCs w:val="21"/>
              </w:rPr>
            </w:pPr>
            <w:r>
              <w:rPr>
                <w:rFonts w:ascii="Times New Roman"/>
                <w:sz w:val="21"/>
              </w:rPr>
              <w:t>127,798,900.24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3" w:right="0"/>
              <w:jc w:val="left"/>
              <w:rPr>
                <w:rFonts w:ascii="Times New Roman" w:hAnsi="Times New Roman" w:cs="Times New Roman" w:eastAsia="Times New Roman" w:hint="default"/>
                <w:sz w:val="21"/>
                <w:szCs w:val="21"/>
              </w:rPr>
            </w:pPr>
            <w:r>
              <w:rPr>
                <w:rFonts w:ascii="Times New Roman"/>
                <w:sz w:val="21"/>
              </w:rPr>
              <w:t>25,680,692.38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3" w:right="0"/>
              <w:jc w:val="left"/>
              <w:rPr>
                <w:rFonts w:ascii="Times New Roman" w:hAnsi="Times New Roman" w:cs="Times New Roman" w:eastAsia="Times New Roman" w:hint="default"/>
                <w:sz w:val="21"/>
                <w:szCs w:val="21"/>
              </w:rPr>
            </w:pPr>
            <w:r>
              <w:rPr>
                <w:rFonts w:ascii="Times New Roman"/>
                <w:sz w:val="21"/>
              </w:rPr>
              <w:t>21,930,305.72</w:t>
            </w:r>
          </w:p>
        </w:tc>
      </w:tr>
      <w:tr>
        <w:trPr>
          <w:trHeight w:val="713"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6" w:right="183"/>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京</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4" w:right="17"/>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19"/>
                <w:sz w:val="21"/>
                <w:szCs w:val="21"/>
              </w:rPr>
              <w:t> </w:t>
            </w:r>
            <w:r>
              <w:rPr>
                <w:rFonts w:ascii="宋体" w:hAnsi="宋体" w:cs="宋体" w:eastAsia="宋体" w:hint="default"/>
                <w:sz w:val="21"/>
                <w:szCs w:val="21"/>
              </w:rPr>
              <w:t>公</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3" w:right="-10"/>
              <w:jc w:val="left"/>
              <w:rPr>
                <w:rFonts w:ascii="宋体" w:hAnsi="宋体" w:cs="宋体" w:eastAsia="宋体" w:hint="default"/>
                <w:sz w:val="21"/>
                <w:szCs w:val="21"/>
              </w:rPr>
            </w:pPr>
            <w:r>
              <w:rPr>
                <w:rFonts w:ascii="宋体" w:hAnsi="宋体" w:cs="宋体" w:eastAsia="宋体" w:hint="default"/>
                <w:spacing w:val="25"/>
                <w:sz w:val="21"/>
                <w:szCs w:val="21"/>
              </w:rPr>
              <w:t>国土资源、不动</w:t>
            </w:r>
            <w:r>
              <w:rPr>
                <w:rFonts w:ascii="宋体" w:hAnsi="宋体" w:cs="宋体" w:eastAsia="宋体" w:hint="default"/>
                <w:spacing w:val="-86"/>
                <w:sz w:val="21"/>
                <w:szCs w:val="21"/>
              </w:rPr>
              <w:t> </w:t>
            </w:r>
            <w:r>
              <w:rPr>
                <w:rFonts w:ascii="宋体" w:hAnsi="宋体" w:cs="宋体" w:eastAsia="宋体" w:hint="default"/>
                <w:sz w:val="21"/>
                <w:szCs w:val="21"/>
              </w:rPr>
              <w:t>产、水利水资源、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1"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21"/>
              <w:ind w:left="8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354,885,986.80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216,954,780.77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398,314,766.42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62,121,632.27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61,793,466.98</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840" w:right="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432"/>
        <w:gridCol w:w="559"/>
        <w:gridCol w:w="1721"/>
        <w:gridCol w:w="593"/>
        <w:gridCol w:w="1378"/>
        <w:gridCol w:w="1378"/>
        <w:gridCol w:w="1378"/>
        <w:gridCol w:w="1274"/>
        <w:gridCol w:w="1275"/>
      </w:tblGrid>
      <w:tr>
        <w:trPr>
          <w:trHeight w:val="1923"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83"/>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图</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10"/>
              <w:jc w:val="both"/>
              <w:rPr>
                <w:rFonts w:ascii="宋体" w:hAnsi="宋体" w:cs="宋体" w:eastAsia="宋体" w:hint="default"/>
                <w:sz w:val="21"/>
                <w:szCs w:val="21"/>
              </w:rPr>
            </w:pPr>
            <w:r>
              <w:rPr>
                <w:rFonts w:ascii="宋体" w:hAnsi="宋体" w:cs="宋体" w:eastAsia="宋体" w:hint="default"/>
                <w:spacing w:val="-4"/>
                <w:sz w:val="21"/>
                <w:szCs w:val="21"/>
              </w:rPr>
              <w:t>税务、农业等领域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6"/>
                <w:sz w:val="21"/>
                <w:szCs w:val="21"/>
              </w:rPr>
              <w:t>的</w:t>
            </w:r>
            <w:r>
              <w:rPr>
                <w:rFonts w:ascii="Times New Roman" w:hAnsi="Times New Roman" w:cs="Times New Roman" w:eastAsia="Times New Roman" w:hint="default"/>
                <w:spacing w:val="6"/>
                <w:sz w:val="21"/>
                <w:szCs w:val="21"/>
              </w:rPr>
              <w:t>GIS</w:t>
            </w:r>
            <w:r>
              <w:rPr>
                <w:rFonts w:ascii="宋体" w:hAnsi="宋体" w:cs="宋体" w:eastAsia="宋体" w:hint="default"/>
                <w:spacing w:val="6"/>
                <w:sz w:val="21"/>
                <w:szCs w:val="21"/>
              </w:rPr>
              <w:t>与电子政务</w:t>
            </w:r>
            <w:r>
              <w:rPr>
                <w:rFonts w:ascii="宋体" w:hAnsi="宋体" w:cs="宋体" w:eastAsia="宋体" w:hint="default"/>
                <w:spacing w:val="-89"/>
                <w:sz w:val="21"/>
                <w:szCs w:val="21"/>
              </w:rPr>
              <w:t> </w:t>
            </w:r>
            <w:r>
              <w:rPr>
                <w:rFonts w:ascii="宋体" w:hAnsi="宋体" w:cs="宋体" w:eastAsia="宋体" w:hint="default"/>
                <w:sz w:val="21"/>
                <w:szCs w:val="21"/>
              </w:rPr>
              <w:t>软件、数据工程、</w:t>
            </w:r>
            <w:r>
              <w:rPr>
                <w:rFonts w:ascii="宋体" w:hAnsi="宋体" w:cs="宋体" w:eastAsia="宋体" w:hint="default"/>
                <w:w w:val="100"/>
                <w:sz w:val="21"/>
                <w:szCs w:val="21"/>
              </w:rPr>
              <w:t> </w:t>
            </w:r>
            <w:r>
              <w:rPr>
                <w:rFonts w:ascii="宋体" w:hAnsi="宋体" w:cs="宋体" w:eastAsia="宋体" w:hint="default"/>
                <w:spacing w:val="-4"/>
                <w:sz w:val="21"/>
                <w:szCs w:val="21"/>
              </w:rPr>
              <w:t>测绘工程、地图服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5"/>
                <w:sz w:val="21"/>
                <w:szCs w:val="21"/>
              </w:rPr>
              <w:t>务及规划设计等</w:t>
            </w:r>
            <w:r>
              <w:rPr>
                <w:rFonts w:ascii="宋体" w:hAnsi="宋体" w:cs="宋体" w:eastAsia="宋体" w:hint="default"/>
                <w:spacing w:val="-86"/>
                <w:sz w:val="21"/>
                <w:szCs w:val="21"/>
              </w:rPr>
              <w:t> </w:t>
            </w:r>
            <w:r>
              <w:rPr>
                <w:rFonts w:ascii="宋体" w:hAnsi="宋体" w:cs="宋体" w:eastAsia="宋体" w:hint="default"/>
                <w:sz w:val="21"/>
                <w:szCs w:val="21"/>
              </w:rPr>
              <w:t>业务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6" w:right="183"/>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w w:val="100"/>
                <w:sz w:val="21"/>
                <w:szCs w:val="21"/>
              </w:rPr>
              <w:t> </w:t>
            </w: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图</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4" w:right="17"/>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1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0"/>
              <w:jc w:val="both"/>
              <w:rPr>
                <w:rFonts w:ascii="宋体" w:hAnsi="宋体" w:cs="宋体" w:eastAsia="宋体" w:hint="default"/>
                <w:sz w:val="21"/>
                <w:szCs w:val="21"/>
              </w:rPr>
            </w:pPr>
            <w:r>
              <w:rPr>
                <w:rFonts w:ascii="宋体" w:hAnsi="宋体" w:cs="宋体" w:eastAsia="宋体" w:hint="default"/>
                <w:sz w:val="21"/>
                <w:szCs w:val="21"/>
              </w:rPr>
              <w:t>数据获取与加工、</w:t>
            </w:r>
            <w:r>
              <w:rPr>
                <w:rFonts w:ascii="宋体" w:hAnsi="宋体" w:cs="宋体" w:eastAsia="宋体" w:hint="default"/>
                <w:w w:val="100"/>
                <w:sz w:val="21"/>
                <w:szCs w:val="21"/>
              </w:rPr>
              <w:t> </w:t>
            </w:r>
            <w:r>
              <w:rPr>
                <w:rFonts w:ascii="宋体" w:hAnsi="宋体" w:cs="宋体" w:eastAsia="宋体" w:hint="default"/>
                <w:spacing w:val="25"/>
                <w:sz w:val="21"/>
                <w:szCs w:val="21"/>
              </w:rPr>
              <w:t>地理信息三维平</w:t>
            </w:r>
            <w:r>
              <w:rPr>
                <w:rFonts w:ascii="宋体" w:hAnsi="宋体" w:cs="宋体" w:eastAsia="宋体" w:hint="default"/>
                <w:spacing w:val="-86"/>
                <w:sz w:val="21"/>
                <w:szCs w:val="21"/>
              </w:rPr>
              <w:t> </w:t>
            </w:r>
            <w:r>
              <w:rPr>
                <w:rFonts w:ascii="宋体" w:hAnsi="宋体" w:cs="宋体" w:eastAsia="宋体" w:hint="default"/>
                <w:spacing w:val="-4"/>
                <w:sz w:val="21"/>
                <w:szCs w:val="21"/>
              </w:rPr>
              <w:t>台研发、政府与企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5"/>
                <w:sz w:val="21"/>
                <w:szCs w:val="21"/>
              </w:rPr>
              <w:t>业行业信息化解</w:t>
            </w:r>
            <w:r>
              <w:rPr>
                <w:rFonts w:ascii="宋体" w:hAnsi="宋体" w:cs="宋体" w:eastAsia="宋体" w:hint="default"/>
                <w:spacing w:val="-86"/>
                <w:sz w:val="21"/>
                <w:szCs w:val="21"/>
              </w:rPr>
              <w:t> </w:t>
            </w:r>
            <w:r>
              <w:rPr>
                <w:rFonts w:ascii="宋体" w:hAnsi="宋体" w:cs="宋体" w:eastAsia="宋体" w:hint="default"/>
                <w:spacing w:val="-4"/>
                <w:sz w:val="21"/>
                <w:szCs w:val="21"/>
              </w:rPr>
              <w:t>决方案、基于地理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5"/>
                <w:sz w:val="21"/>
                <w:szCs w:val="21"/>
              </w:rPr>
              <w:t>信息的大众应用</w:t>
            </w:r>
            <w:r>
              <w:rPr>
                <w:rFonts w:ascii="宋体" w:hAnsi="宋体" w:cs="宋体" w:eastAsia="宋体" w:hint="default"/>
                <w:spacing w:val="-86"/>
                <w:sz w:val="21"/>
                <w:szCs w:val="21"/>
              </w:rPr>
              <w:t> </w:t>
            </w:r>
            <w:r>
              <w:rPr>
                <w:rFonts w:ascii="宋体" w:hAnsi="宋体" w:cs="宋体" w:eastAsia="宋体" w:hint="default"/>
                <w:sz w:val="21"/>
                <w:szCs w:val="21"/>
              </w:rPr>
              <w:t>与服务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1,500</w:t>
            </w:r>
          </w:p>
          <w:p>
            <w:pPr>
              <w:pStyle w:val="TableParagraph"/>
              <w:spacing w:line="240" w:lineRule="auto" w:before="23"/>
              <w:ind w:left="8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
              <w:jc w:val="center"/>
              <w:rPr>
                <w:rFonts w:ascii="Times New Roman" w:hAnsi="Times New Roman" w:cs="Times New Roman" w:eastAsia="Times New Roman" w:hint="default"/>
                <w:sz w:val="21"/>
                <w:szCs w:val="21"/>
              </w:rPr>
            </w:pPr>
            <w:r>
              <w:rPr>
                <w:rFonts w:ascii="Times New Roman"/>
                <w:sz w:val="21"/>
              </w:rPr>
              <w:t>113,279,523.97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55,287,762.28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133,617,316.83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25,132,897.79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22,894,978.55</w:t>
            </w:r>
          </w:p>
        </w:tc>
      </w:tr>
      <w:tr>
        <w:trPr>
          <w:trHeight w:val="1963"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6" w:right="183"/>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慧</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4" w:right="101"/>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0"/>
              <w:jc w:val="both"/>
              <w:rPr>
                <w:rFonts w:ascii="宋体" w:hAnsi="宋体" w:cs="宋体" w:eastAsia="宋体" w:hint="default"/>
                <w:sz w:val="21"/>
                <w:szCs w:val="21"/>
              </w:rPr>
            </w:pPr>
            <w:r>
              <w:rPr>
                <w:rFonts w:ascii="宋体" w:hAnsi="宋体" w:cs="宋体" w:eastAsia="宋体" w:hint="default"/>
                <w:sz w:val="21"/>
                <w:szCs w:val="21"/>
              </w:rPr>
              <w:t>提供规划一张图、</w:t>
            </w:r>
            <w:r>
              <w:rPr>
                <w:rFonts w:ascii="宋体" w:hAnsi="宋体" w:cs="宋体" w:eastAsia="宋体" w:hint="default"/>
                <w:w w:val="100"/>
                <w:sz w:val="21"/>
                <w:szCs w:val="21"/>
              </w:rPr>
              <w:t> </w:t>
            </w:r>
            <w:r>
              <w:rPr>
                <w:rFonts w:ascii="宋体" w:hAnsi="宋体" w:cs="宋体" w:eastAsia="宋体" w:hint="default"/>
                <w:spacing w:val="-4"/>
                <w:sz w:val="21"/>
                <w:szCs w:val="21"/>
              </w:rPr>
              <w:t>多规合一、大数据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分析与洞察、不动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5"/>
                <w:sz w:val="21"/>
                <w:szCs w:val="21"/>
              </w:rPr>
              <w:t>产登记等信息化</w:t>
            </w:r>
            <w:r>
              <w:rPr>
                <w:rFonts w:ascii="宋体" w:hAnsi="宋体" w:cs="宋体" w:eastAsia="宋体" w:hint="default"/>
                <w:spacing w:val="-86"/>
                <w:sz w:val="21"/>
                <w:szCs w:val="21"/>
              </w:rPr>
              <w:t> </w:t>
            </w:r>
            <w:r>
              <w:rPr>
                <w:rFonts w:ascii="宋体" w:hAnsi="宋体" w:cs="宋体" w:eastAsia="宋体" w:hint="default"/>
                <w:spacing w:val="25"/>
                <w:sz w:val="21"/>
                <w:szCs w:val="21"/>
              </w:rPr>
              <w:t>解决方案及应用</w:t>
            </w:r>
            <w:r>
              <w:rPr>
                <w:rFonts w:ascii="宋体" w:hAnsi="宋体" w:cs="宋体" w:eastAsia="宋体" w:hint="default"/>
                <w:spacing w:val="-86"/>
                <w:sz w:val="21"/>
                <w:szCs w:val="21"/>
              </w:rPr>
              <w:t> </w:t>
            </w:r>
            <w:r>
              <w:rPr>
                <w:rFonts w:ascii="宋体" w:hAnsi="宋体" w:cs="宋体" w:eastAsia="宋体" w:hint="default"/>
                <w:sz w:val="21"/>
                <w:szCs w:val="21"/>
              </w:rPr>
              <w:t>咨询服务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55" w:right="0"/>
              <w:jc w:val="left"/>
              <w:rPr>
                <w:rFonts w:ascii="Times New Roman" w:hAnsi="Times New Roman" w:cs="Times New Roman" w:eastAsia="Times New Roman" w:hint="default"/>
                <w:sz w:val="21"/>
                <w:szCs w:val="21"/>
              </w:rPr>
            </w:pPr>
            <w:r>
              <w:rPr>
                <w:rFonts w:ascii="Times New Roman"/>
                <w:sz w:val="21"/>
              </w:rPr>
              <w:t>1,500</w:t>
            </w:r>
          </w:p>
          <w:p>
            <w:pPr>
              <w:pStyle w:val="TableParagraph"/>
              <w:spacing w:line="240" w:lineRule="auto" w:before="23"/>
              <w:ind w:left="8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162,507,937.37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102,751,027.49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182,576,650.83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39,053,575.14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39,332,090.48</w:t>
            </w:r>
          </w:p>
        </w:tc>
      </w:tr>
    </w:tbl>
    <w:p>
      <w:pPr>
        <w:pStyle w:val="BodyText"/>
        <w:spacing w:line="240" w:lineRule="auto" w:before="39"/>
        <w:ind w:left="773" w:right="5713"/>
        <w:jc w:val="left"/>
      </w:pPr>
      <w:r>
        <w:rPr/>
        <w:t>报告期内取得和处置子公司的情况</w:t>
      </w:r>
    </w:p>
    <w:p>
      <w:pPr>
        <w:pStyle w:val="BodyText"/>
        <w:tabs>
          <w:tab w:pos="1745" w:val="left" w:leader="none"/>
        </w:tabs>
        <w:spacing w:line="240" w:lineRule="auto" w:before="154"/>
        <w:ind w:left="773" w:right="5713"/>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5"/>
        <w:rPr>
          <w:rFonts w:ascii="宋体" w:hAnsi="宋体" w:cs="宋体" w:eastAsia="宋体" w:hint="default"/>
          <w:sz w:val="7"/>
          <w:szCs w:val="7"/>
        </w:rPr>
      </w:pPr>
    </w:p>
    <w:tbl>
      <w:tblPr>
        <w:tblW w:w="0" w:type="auto"/>
        <w:jc w:val="left"/>
        <w:tblInd w:w="288" w:type="dxa"/>
        <w:tblLayout w:type="fixed"/>
        <w:tblCellMar>
          <w:top w:w="0" w:type="dxa"/>
          <w:left w:w="0" w:type="dxa"/>
          <w:bottom w:w="0" w:type="dxa"/>
          <w:right w:w="0" w:type="dxa"/>
        </w:tblCellMar>
        <w:tblLook w:val="01E0"/>
      </w:tblPr>
      <w:tblGrid>
        <w:gridCol w:w="1135"/>
        <w:gridCol w:w="1417"/>
        <w:gridCol w:w="7019"/>
      </w:tblGrid>
      <w:tr>
        <w:trPr>
          <w:trHeight w:val="946"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1" w:right="65"/>
              <w:jc w:val="center"/>
              <w:rPr>
                <w:rFonts w:ascii="宋体" w:hAnsi="宋体" w:cs="宋体" w:eastAsia="宋体" w:hint="default"/>
                <w:sz w:val="21"/>
                <w:szCs w:val="21"/>
              </w:rPr>
            </w:pPr>
            <w:r>
              <w:rPr>
                <w:rFonts w:ascii="宋体" w:hAnsi="宋体" w:cs="宋体" w:eastAsia="宋体" w:hint="default"/>
                <w:b/>
                <w:bCs/>
                <w:sz w:val="21"/>
                <w:szCs w:val="21"/>
              </w:rPr>
              <w:t>报告期内取得</w:t>
            </w:r>
            <w:r>
              <w:rPr>
                <w:rFonts w:ascii="宋体" w:hAnsi="宋体" w:cs="宋体" w:eastAsia="宋体" w:hint="default"/>
                <w:b/>
                <w:bCs/>
                <w:w w:val="100"/>
                <w:sz w:val="21"/>
                <w:szCs w:val="21"/>
              </w:rPr>
              <w:t> </w:t>
            </w:r>
            <w:r>
              <w:rPr>
                <w:rFonts w:ascii="宋体" w:hAnsi="宋体" w:cs="宋体" w:eastAsia="宋体" w:hint="default"/>
                <w:b/>
                <w:bCs/>
                <w:sz w:val="21"/>
                <w:szCs w:val="21"/>
              </w:rPr>
              <w:t>和处置子公司</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7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1" w:right="0"/>
              <w:jc w:val="left"/>
              <w:rPr>
                <w:rFonts w:ascii="宋体" w:hAnsi="宋体" w:cs="宋体" w:eastAsia="宋体" w:hint="default"/>
                <w:sz w:val="21"/>
                <w:szCs w:val="21"/>
              </w:rPr>
            </w:pPr>
            <w:r>
              <w:rPr>
                <w:rFonts w:ascii="宋体" w:hAnsi="宋体" w:cs="宋体" w:eastAsia="宋体" w:hint="default"/>
                <w:b/>
                <w:bCs/>
                <w:sz w:val="21"/>
                <w:szCs w:val="21"/>
              </w:rPr>
              <w:t>对整体生产经营和业绩的影响</w:t>
            </w:r>
            <w:r>
              <w:rPr>
                <w:rFonts w:ascii="宋体" w:hAnsi="宋体" w:cs="宋体" w:eastAsia="宋体" w:hint="default"/>
                <w:sz w:val="21"/>
                <w:szCs w:val="21"/>
              </w:rPr>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9"/>
              <w:jc w:val="right"/>
              <w:rPr>
                <w:rFonts w:ascii="宋体" w:hAnsi="宋体" w:cs="宋体" w:eastAsia="宋体" w:hint="default"/>
                <w:sz w:val="21"/>
                <w:szCs w:val="21"/>
              </w:rPr>
            </w:pPr>
            <w:r>
              <w:rPr>
                <w:rFonts w:ascii="宋体" w:hAnsi="宋体" w:cs="宋体" w:eastAsia="宋体" w:hint="default"/>
                <w:spacing w:val="-1"/>
                <w:sz w:val="21"/>
                <w:szCs w:val="21"/>
              </w:rPr>
              <w:t>湖南超图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8"/>
              <w:jc w:val="left"/>
              <w:rPr>
                <w:rFonts w:ascii="宋体" w:hAnsi="宋体" w:cs="宋体" w:eastAsia="宋体" w:hint="default"/>
                <w:sz w:val="21"/>
                <w:szCs w:val="21"/>
              </w:rPr>
            </w:pPr>
            <w:r>
              <w:rPr>
                <w:rFonts w:ascii="宋体" w:hAnsi="宋体" w:cs="宋体" w:eastAsia="宋体" w:hint="default"/>
                <w:spacing w:val="-2"/>
                <w:sz w:val="21"/>
                <w:szCs w:val="21"/>
              </w:rPr>
              <w:t>有利于公司更好的提供本地化服务，同时便于在湖南省及周边省市开展其他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业务。报告期内，完成设立工作，尚未开展实质性业务</w:t>
            </w:r>
          </w:p>
        </w:tc>
      </w:tr>
    </w:tbl>
    <w:p>
      <w:pPr>
        <w:pStyle w:val="BodyText"/>
        <w:spacing w:line="388" w:lineRule="auto" w:before="79"/>
        <w:ind w:left="293" w:right="7873"/>
        <w:jc w:val="left"/>
      </w:pPr>
      <w:r>
        <w:rPr/>
        <w:t>主要控股参股公司情况说明 无</w:t>
      </w:r>
    </w:p>
    <w:p>
      <w:pPr>
        <w:spacing w:line="240" w:lineRule="auto" w:before="3"/>
        <w:rPr>
          <w:rFonts w:ascii="宋体" w:hAnsi="宋体" w:cs="宋体" w:eastAsia="宋体" w:hint="default"/>
          <w:sz w:val="17"/>
          <w:szCs w:val="17"/>
        </w:rPr>
      </w:pPr>
    </w:p>
    <w:p>
      <w:pPr>
        <w:pStyle w:val="Heading2"/>
        <w:spacing w:line="240" w:lineRule="auto"/>
        <w:ind w:left="293" w:right="5713"/>
        <w:jc w:val="left"/>
        <w:rPr>
          <w:b w:val="0"/>
          <w:bCs w:val="0"/>
        </w:rPr>
      </w:pPr>
      <w:r>
        <w:rPr/>
        <w:t>八、公司控制的结构化主体情况</w:t>
      </w:r>
      <w:r>
        <w:rPr>
          <w:b w:val="0"/>
          <w:bCs w:val="0"/>
        </w:rPr>
      </w:r>
    </w:p>
    <w:p>
      <w:pPr>
        <w:spacing w:line="240" w:lineRule="auto" w:before="11"/>
        <w:rPr>
          <w:rFonts w:ascii="宋体" w:hAnsi="宋体" w:cs="宋体" w:eastAsia="宋体" w:hint="default"/>
          <w:b/>
          <w:bCs/>
          <w:sz w:val="28"/>
          <w:szCs w:val="28"/>
        </w:rPr>
      </w:pPr>
    </w:p>
    <w:p>
      <w:pPr>
        <w:spacing w:line="499" w:lineRule="auto" w:before="0"/>
        <w:ind w:left="293" w:right="810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九、公司未来发展的展望</w:t>
      </w:r>
      <w:r>
        <w:rPr>
          <w:rFonts w:ascii="宋体" w:hAnsi="宋体" w:cs="宋体" w:eastAsia="宋体" w:hint="default"/>
          <w:sz w:val="24"/>
          <w:szCs w:val="24"/>
        </w:rPr>
      </w:r>
    </w:p>
    <w:p>
      <w:pPr>
        <w:pStyle w:val="Heading2"/>
        <w:spacing w:line="240" w:lineRule="auto" w:before="118"/>
        <w:ind w:left="293" w:right="1010"/>
        <w:jc w:val="left"/>
        <w:rPr>
          <w:b w:val="0"/>
          <w:bCs w:val="0"/>
        </w:rPr>
      </w:pPr>
      <w:r>
        <w:rPr>
          <w:rFonts w:ascii="Times New Roman" w:hAnsi="Times New Roman" w:cs="Times New Roman" w:eastAsia="Times New Roman" w:hint="default"/>
        </w:rPr>
        <w:t>1</w:t>
      </w:r>
      <w:r>
        <w:rPr/>
        <w:t>、公司前期披露的发展战略和经营计划在报告期内的进展情况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293" w:right="1119" w:firstLine="480"/>
        <w:jc w:val="left"/>
      </w:pPr>
      <w:r>
        <w:rPr/>
        <w:t>公司在</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年年报中披露了公司</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4"/>
        </w:rPr>
        <w:t>年度经营计划，相关进展情况详见</w:t>
      </w:r>
      <w:r>
        <w:rPr>
          <w:rFonts w:ascii="Times New Roman" w:hAnsi="Times New Roman" w:cs="Times New Roman" w:eastAsia="Times New Roman" w:hint="default"/>
          <w:spacing w:val="-4"/>
        </w:rPr>
        <w:t>“</w:t>
      </w:r>
      <w:r>
        <w:rPr>
          <w:spacing w:val="-4"/>
        </w:rPr>
        <w:t>第四节经营情</w:t>
      </w:r>
      <w:r>
        <w:rPr/>
        <w:t> 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w:t>
      </w:r>
    </w:p>
    <w:p>
      <w:pPr>
        <w:spacing w:after="0" w:line="338" w:lineRule="auto"/>
        <w:jc w:val="left"/>
        <w:sectPr>
          <w:pgSz w:w="11910" w:h="16840"/>
          <w:pgMar w:header="877" w:footer="979" w:top="1100" w:bottom="1160" w:left="840" w:right="0"/>
        </w:sectPr>
      </w:pPr>
    </w:p>
    <w:p>
      <w:pPr>
        <w:spacing w:line="240" w:lineRule="auto" w:before="8"/>
        <w:rPr>
          <w:rFonts w:ascii="宋体" w:hAnsi="宋体" w:cs="宋体" w:eastAsia="宋体" w:hint="default"/>
          <w:sz w:val="25"/>
          <w:szCs w:val="25"/>
        </w:rPr>
      </w:pPr>
    </w:p>
    <w:p>
      <w:pPr>
        <w:pStyle w:val="Heading2"/>
        <w:spacing w:line="240" w:lineRule="auto" w:before="26"/>
        <w:ind w:right="0"/>
        <w:jc w:val="both"/>
        <w:rPr>
          <w:b w:val="0"/>
          <w:bCs w:val="0"/>
        </w:rPr>
      </w:pPr>
      <w:r>
        <w:rPr>
          <w:rFonts w:ascii="Times New Roman" w:hAnsi="Times New Roman" w:cs="Times New Roman" w:eastAsia="Times New Roman" w:hint="default"/>
        </w:rPr>
        <w:t>2</w:t>
      </w:r>
      <w:r>
        <w:rPr/>
        <w:t>、行业发展趋势以及公司所面临的机遇</w:t>
      </w:r>
      <w:r>
        <w:rPr>
          <w:b w:val="0"/>
          <w:bCs w:val="0"/>
        </w:rPr>
      </w:r>
    </w:p>
    <w:p>
      <w:pPr>
        <w:spacing w:line="240" w:lineRule="auto" w:before="4"/>
        <w:rPr>
          <w:rFonts w:ascii="宋体" w:hAnsi="宋体" w:cs="宋体" w:eastAsia="宋体" w:hint="default"/>
          <w:b/>
          <w:bCs/>
          <w:sz w:val="33"/>
          <w:szCs w:val="33"/>
        </w:rPr>
      </w:pPr>
    </w:p>
    <w:p>
      <w:pPr>
        <w:spacing w:line="338" w:lineRule="auto" w:before="0"/>
        <w:ind w:left="633" w:right="1159"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）技术发展引领新变革，激发</w:t>
      </w:r>
      <w:r>
        <w:rPr>
          <w:rFonts w:ascii="宋体" w:hAnsi="宋体" w:cs="宋体" w:eastAsia="宋体" w:hint="default"/>
          <w:b/>
          <w:bCs/>
          <w:spacing w:val="-58"/>
          <w:sz w:val="24"/>
          <w:szCs w:val="24"/>
        </w:rPr>
        <w:t> </w:t>
      </w:r>
      <w:r>
        <w:rPr>
          <w:rFonts w:ascii="Times New Roman" w:hAnsi="Times New Roman" w:cs="Times New Roman" w:eastAsia="Times New Roman" w:hint="default"/>
          <w:b/>
          <w:bCs/>
          <w:sz w:val="24"/>
          <w:szCs w:val="24"/>
        </w:rPr>
        <w:t>GIS </w:t>
      </w:r>
      <w:r>
        <w:rPr>
          <w:rFonts w:ascii="宋体" w:hAnsi="宋体" w:cs="宋体" w:eastAsia="宋体" w:hint="default"/>
          <w:b/>
          <w:bCs/>
          <w:sz w:val="24"/>
          <w:szCs w:val="24"/>
        </w:rPr>
        <w:t>平台业务增长新动能</w:t>
      </w:r>
      <w:r>
        <w:rPr>
          <w:rFonts w:ascii="宋体" w:hAnsi="宋体" w:cs="宋体" w:eastAsia="宋体" w:hint="default"/>
          <w:b/>
          <w:bCs/>
          <w:w w:val="99"/>
          <w:sz w:val="24"/>
          <w:szCs w:val="24"/>
        </w:rPr>
        <w:t> </w:t>
      </w:r>
      <w:r>
        <w:rPr>
          <w:rFonts w:ascii="宋体" w:hAnsi="宋体" w:cs="宋体" w:eastAsia="宋体" w:hint="default"/>
          <w:sz w:val="24"/>
          <w:szCs w:val="24"/>
        </w:rPr>
        <w:t>随着数字孪生、物联网、</w:t>
      </w:r>
      <w:r>
        <w:rPr>
          <w:rFonts w:ascii="Times New Roman" w:hAnsi="Times New Roman" w:cs="Times New Roman" w:eastAsia="Times New Roman" w:hint="default"/>
          <w:sz w:val="24"/>
          <w:szCs w:val="24"/>
        </w:rPr>
        <w:t>CIM</w:t>
      </w:r>
      <w:r>
        <w:rPr>
          <w:rFonts w:ascii="宋体" w:hAnsi="宋体" w:cs="宋体" w:eastAsia="宋体" w:hint="default"/>
          <w:sz w:val="24"/>
          <w:szCs w:val="24"/>
        </w:rPr>
        <w:t>、三维技术的快速发展，通过这些技术与</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GIS</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技术的紧密</w:t>
      </w:r>
    </w:p>
    <w:p>
      <w:pPr>
        <w:pStyle w:val="BodyText"/>
        <w:spacing w:line="338" w:lineRule="auto" w:before="27"/>
        <w:ind w:right="1128"/>
        <w:jc w:val="both"/>
      </w:pPr>
      <w:r>
        <w:rPr/>
        <w:t>融合，将大大拓宽</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的应用领域，</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的应用领域将得到进一步拓宽。公司的平台软件产 品融合了跨平台</w:t>
      </w:r>
      <w:r>
        <w:rPr>
          <w:spacing w:val="-62"/>
        </w:rPr>
        <w:t> </w:t>
      </w:r>
      <w:r>
        <w:rPr>
          <w:rFonts w:ascii="Times New Roman" w:hAnsi="Times New Roman" w:cs="Times New Roman" w:eastAsia="Times New Roman" w:hint="default"/>
        </w:rPr>
        <w:t>GIS</w:t>
      </w:r>
      <w:r>
        <w:rPr/>
        <w:t>、云端一体化</w:t>
      </w:r>
      <w:r>
        <w:rPr>
          <w:spacing w:val="-61"/>
        </w:rPr>
        <w:t> </w:t>
      </w:r>
      <w:r>
        <w:rPr>
          <w:rFonts w:ascii="Times New Roman" w:hAnsi="Times New Roman" w:cs="Times New Roman" w:eastAsia="Times New Roman" w:hint="default"/>
        </w:rPr>
        <w:t>GIS</w:t>
      </w:r>
      <w:r>
        <w:rPr/>
        <w:t>、新一代三维</w:t>
      </w:r>
      <w:r>
        <w:rPr>
          <w:spacing w:val="-61"/>
        </w:rPr>
        <w:t> </w:t>
      </w:r>
      <w:r>
        <w:rPr>
          <w:rFonts w:ascii="Times New Roman" w:hAnsi="Times New Roman" w:cs="Times New Roman" w:eastAsia="Times New Roman" w:hint="default"/>
        </w:rPr>
        <w:t>GIS</w:t>
      </w:r>
      <w:r>
        <w:rPr/>
        <w:t>、大数据</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技术四大技术体系， </w:t>
      </w:r>
      <w:r>
        <w:rPr>
          <w:spacing w:val="-11"/>
        </w:rPr>
        <w:t>全面兼容国产软、硬件，满足多行业、多层次的</w:t>
      </w:r>
      <w:r>
        <w:rPr>
          <w:spacing w:val="-57"/>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spacing w:val="-11"/>
        </w:rPr>
        <w:t>应用需求，将为数字孪生、物联网、</w:t>
      </w:r>
      <w:r>
        <w:rPr>
          <w:rFonts w:ascii="Times New Roman" w:hAnsi="Times New Roman" w:cs="Times New Roman" w:eastAsia="Times New Roman" w:hint="default"/>
          <w:spacing w:val="-11"/>
        </w:rPr>
        <w:t>CIM</w:t>
      </w:r>
      <w:r>
        <w:rPr>
          <w:spacing w:val="-11"/>
        </w:rPr>
        <w:t>、</w:t>
      </w:r>
      <w:r>
        <w:rPr/>
        <w:t> 三维技术的应用提供强大的平台支撑。</w:t>
      </w:r>
    </w:p>
    <w:p>
      <w:pPr>
        <w:pStyle w:val="BodyText"/>
        <w:spacing w:line="348" w:lineRule="auto" w:before="56"/>
        <w:ind w:right="1131" w:firstLine="482"/>
        <w:jc w:val="both"/>
      </w:pPr>
      <w:r>
        <w:rPr>
          <w:rFonts w:ascii="宋体" w:hAnsi="宋体" w:cs="宋体" w:eastAsia="宋体" w:hint="default"/>
          <w:b/>
          <w:bCs/>
        </w:rPr>
        <w:t>数字孪生</w:t>
      </w:r>
      <w:r>
        <w:rPr/>
        <w:t>（</w:t>
      </w:r>
      <w:r>
        <w:rPr>
          <w:rFonts w:ascii="Times New Roman" w:hAnsi="Times New Roman" w:cs="Times New Roman" w:eastAsia="Times New Roman" w:hint="default"/>
        </w:rPr>
        <w:t>Digital </w:t>
      </w:r>
      <w:r>
        <w:rPr>
          <w:rFonts w:ascii="Times New Roman" w:hAnsi="Times New Roman" w:cs="Times New Roman" w:eastAsia="Times New Roman" w:hint="default"/>
          <w:spacing w:val="-6"/>
        </w:rPr>
        <w:t>Twin</w:t>
      </w:r>
      <w:r>
        <w:rPr>
          <w:spacing w:val="-6"/>
        </w:rPr>
        <w:t>，简称</w:t>
      </w:r>
      <w:r>
        <w:rPr>
          <w:spacing w:val="-84"/>
        </w:rPr>
        <w:t> </w:t>
      </w:r>
      <w:r>
        <w:rPr>
          <w:rFonts w:ascii="Times New Roman" w:hAnsi="Times New Roman" w:cs="Times New Roman" w:eastAsia="Times New Roman" w:hint="default"/>
          <w:spacing w:val="-3"/>
        </w:rPr>
        <w:t>DT</w:t>
      </w:r>
      <w:r>
        <w:rPr>
          <w:spacing w:val="-3"/>
        </w:rPr>
        <w:t>）是指充分利用传感器、运行历史等数据，在虚拟空间</w:t>
      </w:r>
      <w:r>
        <w:rPr/>
        <w:t> 中搭建数字孪生系统完成对实物的映射，并可反映实物的全生命周期过程。随着全球数字化 水平不断提高、物联网等技术飞速发展和国家数字化战略的深入实施，</w:t>
      </w:r>
      <w:r>
        <w:rPr>
          <w:rFonts w:ascii="Times New Roman" w:hAnsi="Times New Roman" w:cs="Times New Roman" w:eastAsia="Times New Roman" w:hint="default"/>
        </w:rPr>
        <w:t>“</w:t>
      </w:r>
      <w:r>
        <w:rPr/>
        <w:t>数字孪生</w:t>
      </w:r>
      <w:r>
        <w:rPr>
          <w:rFonts w:ascii="Times New Roman" w:hAnsi="Times New Roman" w:cs="Times New Roman" w:eastAsia="Times New Roman" w:hint="default"/>
        </w:rPr>
        <w:t>”</w:t>
      </w:r>
      <w:r>
        <w:rPr/>
        <w:t>也更多被 </w:t>
      </w:r>
      <w:r>
        <w:rPr>
          <w:spacing w:val="-5"/>
        </w:rPr>
        <w:t>认知和应用。未来的城市也在形态和发展方式上发生新的转变。通过</w:t>
      </w:r>
      <w:r>
        <w:rPr>
          <w:rFonts w:ascii="Times New Roman" w:hAnsi="Times New Roman" w:cs="Times New Roman" w:eastAsia="Times New Roman" w:hint="default"/>
          <w:spacing w:val="-5"/>
        </w:rPr>
        <w:t>“</w:t>
      </w:r>
      <w:r>
        <w:rPr>
          <w:spacing w:val="-5"/>
        </w:rPr>
        <w:t>数字孪生</w:t>
      </w:r>
      <w:r>
        <w:rPr>
          <w:rFonts w:ascii="Times New Roman" w:hAnsi="Times New Roman" w:cs="Times New Roman" w:eastAsia="Times New Roman" w:hint="default"/>
          <w:spacing w:val="-5"/>
        </w:rPr>
        <w:t>”</w:t>
      </w:r>
      <w:r>
        <w:rPr>
          <w:spacing w:val="-5"/>
        </w:rPr>
        <w:t>的科技手段，</w:t>
      </w:r>
      <w:r>
        <w:rPr>
          <w:spacing w:val="-85"/>
        </w:rPr>
        <w:t> </w:t>
      </w:r>
      <w:r>
        <w:rPr/>
        <w:t>构建城市物理世界、虚拟数字世界和社会活动空间的三元世界融合，在数字空间再造一个与 </w:t>
      </w:r>
      <w:r>
        <w:rPr>
          <w:spacing w:val="-2"/>
          <w:w w:val="100"/>
        </w:rPr>
        <w:t>之匹配对应、虚实交融的</w:t>
      </w:r>
      <w:r>
        <w:rPr>
          <w:rFonts w:ascii="Times New Roman" w:hAnsi="Times New Roman" w:cs="Times New Roman" w:eastAsia="Times New Roman" w:hint="default"/>
          <w:spacing w:val="-2"/>
          <w:w w:val="100"/>
        </w:rPr>
        <w:t>“</w:t>
      </w:r>
      <w:r>
        <w:rPr>
          <w:spacing w:val="-2"/>
          <w:w w:val="100"/>
        </w:rPr>
        <w:t>数字孪生城市</w:t>
      </w:r>
      <w:r>
        <w:rPr>
          <w:rFonts w:ascii="Times New Roman" w:hAnsi="Times New Roman" w:cs="Times New Roman" w:eastAsia="Times New Roman" w:hint="default"/>
          <w:spacing w:val="-2"/>
          <w:w w:val="100"/>
        </w:rPr>
        <w:t>”</w:t>
      </w:r>
      <w:r>
        <w:rPr>
          <w:spacing w:val="-2"/>
          <w:w w:val="100"/>
        </w:rPr>
        <w:t>（</w:t>
      </w:r>
      <w:r>
        <w:rPr>
          <w:rFonts w:ascii="Times New Roman" w:hAnsi="Times New Roman" w:cs="Times New Roman" w:eastAsia="Times New Roman" w:hint="default"/>
          <w:spacing w:val="-2"/>
          <w:w w:val="100"/>
        </w:rPr>
        <w:t>Digital</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5"/>
          <w:w w:val="99"/>
        </w:rPr>
        <w:t>Twin</w:t>
      </w:r>
      <w:r>
        <w:rPr>
          <w:rFonts w:ascii="Times New Roman" w:hAnsi="Times New Roman" w:cs="Times New Roman" w:eastAsia="Times New Roman" w:hint="default"/>
          <w:spacing w:val="10"/>
          <w:w w:val="99"/>
        </w:rPr>
        <w:t> </w:t>
      </w:r>
      <w:r>
        <w:rPr>
          <w:rFonts w:ascii="Times New Roman" w:hAnsi="Times New Roman" w:cs="Times New Roman" w:eastAsia="Times New Roman" w:hint="default"/>
          <w:spacing w:val="-8"/>
        </w:rPr>
        <w:t>City</w:t>
      </w:r>
      <w:r>
        <w:rPr>
          <w:spacing w:val="-8"/>
        </w:rPr>
        <w:t>），使数字城市与现实城市同步规</w:t>
      </w:r>
      <w:r>
        <w:rPr>
          <w:spacing w:val="-118"/>
        </w:rPr>
        <w:t> </w:t>
      </w:r>
      <w:r>
        <w:rPr>
          <w:spacing w:val="-118"/>
        </w:rPr>
      </w:r>
      <w:r>
        <w:rPr/>
        <w:t>划、同步建设，实现全过程、全要素数字化，做到城市全状态实时化和可视化及城市管理决</w:t>
      </w:r>
      <w:r>
        <w:rPr/>
        <w:t> 策与服务协同化和智能化。雄安新区、北京副中心均已广泛应用数字孪生技术开展数字孪生 城市建设。而数字孪生城市的建设离不开</w:t>
      </w:r>
      <w:r>
        <w:rPr>
          <w:spacing w:val="-62"/>
        </w:rPr>
        <w:t> </w:t>
      </w:r>
      <w:r>
        <w:rPr>
          <w:rFonts w:ascii="Times New Roman" w:hAnsi="Times New Roman" w:cs="Times New Roman" w:eastAsia="Times New Roman" w:hint="default"/>
        </w:rPr>
        <w:t>GIS</w:t>
      </w:r>
      <w:r>
        <w:rPr/>
        <w:t>。</w:t>
      </w:r>
    </w:p>
    <w:p>
      <w:pPr>
        <w:pStyle w:val="BodyText"/>
        <w:spacing w:line="338" w:lineRule="auto" w:before="16"/>
        <w:ind w:right="1011" w:firstLine="482"/>
        <w:jc w:val="left"/>
      </w:pPr>
      <w:r>
        <w:rPr>
          <w:rFonts w:ascii="Times New Roman" w:hAnsi="Times New Roman" w:cs="Times New Roman" w:eastAsia="Times New Roman" w:hint="default"/>
          <w:b/>
          <w:bCs/>
        </w:rPr>
        <w:t>CIM </w:t>
      </w:r>
      <w:r>
        <w:rPr/>
        <w:t>是指城市智慧模型</w:t>
      </w:r>
      <w:r>
        <w:rPr>
          <w:rFonts w:ascii="Times New Roman" w:hAnsi="Times New Roman" w:cs="Times New Roman" w:eastAsia="Times New Roman" w:hint="default"/>
        </w:rPr>
        <w:t>(CityIntelligent </w:t>
      </w:r>
      <w:r>
        <w:rPr>
          <w:rFonts w:ascii="Times New Roman" w:hAnsi="Times New Roman" w:cs="Times New Roman" w:eastAsia="Times New Roman" w:hint="default"/>
          <w:spacing w:val="-3"/>
        </w:rPr>
        <w:t>Model)</w:t>
      </w:r>
      <w:r>
        <w:rPr>
          <w:spacing w:val="-3"/>
        </w:rPr>
        <w:t>。</w:t>
      </w:r>
      <w:r>
        <w:rPr>
          <w:rFonts w:ascii="Times New Roman" w:hAnsi="Times New Roman" w:cs="Times New Roman" w:eastAsia="Times New Roman" w:hint="default"/>
          <w:spacing w:val="-3"/>
        </w:rPr>
        <w:t>BIM </w:t>
      </w:r>
      <w:r>
        <w:rPr/>
        <w:t>建筑信息模型（</w:t>
      </w:r>
      <w:r>
        <w:rPr>
          <w:rFonts w:ascii="Times New Roman" w:hAnsi="Times New Roman" w:cs="Times New Roman" w:eastAsia="Times New Roman" w:hint="default"/>
        </w:rPr>
        <w:t>Building</w:t>
      </w:r>
      <w:r>
        <w:rPr>
          <w:rFonts w:ascii="Times New Roman" w:hAnsi="Times New Roman" w:cs="Times New Roman" w:eastAsia="Times New Roman" w:hint="default"/>
          <w:spacing w:val="-15"/>
        </w:rPr>
        <w:t> </w:t>
      </w:r>
      <w:r>
        <w:rPr>
          <w:rFonts w:ascii="Times New Roman" w:hAnsi="Times New Roman" w:cs="Times New Roman" w:eastAsia="Times New Roman" w:hint="default"/>
        </w:rPr>
        <w:t>Information</w:t>
      </w:r>
      <w:r>
        <w:rPr>
          <w:rFonts w:ascii="Times New Roman" w:hAnsi="Times New Roman" w:cs="Times New Roman" w:eastAsia="Times New Roman" w:hint="default"/>
        </w:rPr>
        <w:t> Modeling</w:t>
      </w:r>
      <w:r>
        <w:rPr/>
        <w:t>，</w:t>
      </w:r>
      <w:r>
        <w:rPr>
          <w:rFonts w:ascii="Times New Roman" w:hAnsi="Times New Roman" w:cs="Times New Roman" w:eastAsia="Times New Roman" w:hint="default"/>
        </w:rPr>
        <w:t>BIM</w:t>
      </w:r>
      <w:r>
        <w:rPr/>
        <w:t>）是单体，</w:t>
      </w:r>
      <w:r>
        <w:rPr>
          <w:rFonts w:ascii="Times New Roman" w:hAnsi="Times New Roman" w:cs="Times New Roman" w:eastAsia="Times New Roman" w:hint="default"/>
        </w:rPr>
        <w:t>CIM</w:t>
      </w:r>
      <w:r>
        <w:rPr>
          <w:rFonts w:ascii="Times New Roman" w:hAnsi="Times New Roman" w:cs="Times New Roman" w:eastAsia="Times New Roman" w:hint="default"/>
          <w:spacing w:val="-1"/>
        </w:rPr>
        <w:t> </w:t>
      </w:r>
      <w:r>
        <w:rPr/>
        <w:t>是群体，</w:t>
      </w:r>
      <w:r>
        <w:rPr>
          <w:rFonts w:ascii="Times New Roman" w:hAnsi="Times New Roman" w:cs="Times New Roman" w:eastAsia="Times New Roman" w:hint="default"/>
        </w:rPr>
        <w:t>BIM</w:t>
      </w:r>
      <w:r>
        <w:rPr>
          <w:rFonts w:ascii="Times New Roman" w:hAnsi="Times New Roman" w:cs="Times New Roman" w:eastAsia="Times New Roman" w:hint="default"/>
          <w:spacing w:val="-1"/>
        </w:rPr>
        <w:t> </w:t>
      </w:r>
      <w:r>
        <w:rPr/>
        <w:t>是</w:t>
      </w:r>
      <w:r>
        <w:rPr>
          <w:spacing w:val="-61"/>
        </w:rPr>
        <w:t> </w:t>
      </w:r>
      <w:r>
        <w:rPr>
          <w:rFonts w:ascii="Times New Roman" w:hAnsi="Times New Roman" w:cs="Times New Roman" w:eastAsia="Times New Roman" w:hint="default"/>
        </w:rPr>
        <w:t>CIM</w:t>
      </w:r>
      <w:r>
        <w:rPr>
          <w:rFonts w:ascii="Times New Roman" w:hAnsi="Times New Roman" w:cs="Times New Roman" w:eastAsia="Times New Roman" w:hint="default"/>
          <w:spacing w:val="-1"/>
        </w:rPr>
        <w:t> </w:t>
      </w:r>
      <w:r>
        <w:rPr/>
        <w:t>的细胞。</w:t>
      </w:r>
      <w:r>
        <w:rPr>
          <w:rFonts w:ascii="Times New Roman" w:hAnsi="Times New Roman" w:cs="Times New Roman" w:eastAsia="Times New Roman" w:hint="default"/>
        </w:rPr>
        <w:t>CIM</w:t>
      </w:r>
      <w:r>
        <w:rPr>
          <w:rFonts w:ascii="Times New Roman" w:hAnsi="Times New Roman" w:cs="Times New Roman" w:eastAsia="Times New Roman" w:hint="default"/>
          <w:spacing w:val="-1"/>
        </w:rPr>
        <w:t> </w:t>
      </w:r>
      <w:r>
        <w:rPr/>
        <w:t>则是大量</w:t>
      </w:r>
      <w:r>
        <w:rPr>
          <w:spacing w:val="-61"/>
        </w:rPr>
        <w:t> </w:t>
      </w:r>
      <w:r>
        <w:rPr>
          <w:rFonts w:ascii="Times New Roman" w:hAnsi="Times New Roman" w:cs="Times New Roman" w:eastAsia="Times New Roman" w:hint="default"/>
        </w:rPr>
        <w:t>BIM</w:t>
      </w:r>
      <w:r>
        <w:rPr>
          <w:rFonts w:ascii="Times New Roman" w:hAnsi="Times New Roman" w:cs="Times New Roman" w:eastAsia="Times New Roman" w:hint="default"/>
          <w:spacing w:val="-1"/>
        </w:rPr>
        <w:t> </w:t>
      </w:r>
      <w:r>
        <w:rPr/>
        <w:t>细胞再加 上各种连接网络构成的。在</w:t>
      </w:r>
      <w:r>
        <w:rPr>
          <w:spacing w:val="-63"/>
        </w:rPr>
        <w:t> </w:t>
      </w:r>
      <w:r>
        <w:rPr>
          <w:rFonts w:ascii="Times New Roman" w:hAnsi="Times New Roman" w:cs="Times New Roman" w:eastAsia="Times New Roman" w:hint="default"/>
        </w:rPr>
        <w:t>CIM</w:t>
      </w:r>
      <w:r>
        <w:rPr>
          <w:rFonts w:ascii="Times New Roman" w:hAnsi="Times New Roman" w:cs="Times New Roman" w:eastAsia="Times New Roman" w:hint="default"/>
          <w:spacing w:val="-3"/>
        </w:rPr>
        <w:t> </w:t>
      </w:r>
      <w:r>
        <w:rPr>
          <w:spacing w:val="-3"/>
        </w:rPr>
        <w:t>中，</w:t>
      </w:r>
      <w:r>
        <w:rPr>
          <w:rFonts w:ascii="Times New Roman" w:hAnsi="Times New Roman" w:cs="Times New Roman" w:eastAsia="Times New Roman" w:hint="default"/>
          <w:spacing w:val="-3"/>
        </w:rPr>
        <w:t>GIS</w:t>
      </w:r>
      <w:r>
        <w:rPr>
          <w:rFonts w:ascii="Times New Roman" w:hAnsi="Times New Roman" w:cs="Times New Roman" w:eastAsia="Times New Roman" w:hint="default"/>
          <w:spacing w:val="-2"/>
        </w:rPr>
        <w:t> </w:t>
      </w:r>
      <w:r>
        <w:rPr/>
        <w:t>能够提供四个方面的能力：提供二维和三维一体化 的基础底图和统一坐标系统的能力；提供各个</w:t>
      </w:r>
      <w:r>
        <w:rPr>
          <w:spacing w:val="-34"/>
        </w:rPr>
        <w:t> </w:t>
      </w:r>
      <w:r>
        <w:rPr>
          <w:rFonts w:ascii="Times New Roman" w:hAnsi="Times New Roman" w:cs="Times New Roman" w:eastAsia="Times New Roman" w:hint="default"/>
        </w:rPr>
        <w:t>BIM</w:t>
      </w:r>
      <w:r>
        <w:rPr>
          <w:rFonts w:ascii="Times New Roman" w:hAnsi="Times New Roman" w:cs="Times New Roman" w:eastAsia="Times New Roman" w:hint="default"/>
          <w:spacing w:val="23"/>
        </w:rPr>
        <w:t> </w:t>
      </w:r>
      <w:r>
        <w:rPr/>
        <w:t>单体之间连接网络管理能力，比如道路、</w:t>
      </w:r>
      <w:r>
        <w:rPr>
          <w:spacing w:val="-116"/>
        </w:rPr>
        <w:t> </w:t>
      </w:r>
      <w:r>
        <w:rPr>
          <w:spacing w:val="-116"/>
        </w:rPr>
      </w:r>
      <w:r>
        <w:rPr>
          <w:spacing w:val="-8"/>
        </w:rPr>
        <w:t>地下管廊与管线等；提供管理和空间分析能力；以及提供大规模建筑群的</w:t>
      </w:r>
      <w:r>
        <w:rPr>
          <w:spacing w:val="-80"/>
        </w:rPr>
        <w:t> </w:t>
      </w:r>
      <w:r>
        <w:rPr>
          <w:rFonts w:ascii="Times New Roman" w:hAnsi="Times New Roman" w:cs="Times New Roman" w:eastAsia="Times New Roman" w:hint="default"/>
          <w:spacing w:val="-2"/>
          <w:w w:val="99"/>
        </w:rPr>
        <w:t>BIM</w:t>
      </w:r>
      <w:r>
        <w:rPr>
          <w:rFonts w:ascii="Times New Roman" w:hAnsi="Times New Roman" w:cs="Times New Roman" w:eastAsia="Times New Roman" w:hint="default"/>
          <w:spacing w:val="-16"/>
          <w:w w:val="99"/>
        </w:rPr>
        <w:t> </w:t>
      </w:r>
      <w:r>
        <w:rPr/>
        <w:t>数据管理能力。</w:t>
      </w:r>
    </w:p>
    <w:p>
      <w:pPr>
        <w:pStyle w:val="BodyText"/>
        <w:spacing w:line="350" w:lineRule="auto" w:before="27"/>
        <w:ind w:right="997" w:firstLine="482"/>
        <w:jc w:val="left"/>
      </w:pPr>
      <w:r>
        <w:rPr>
          <w:rFonts w:ascii="宋体" w:hAnsi="宋体" w:cs="宋体" w:eastAsia="宋体" w:hint="default"/>
          <w:b/>
          <w:bCs/>
        </w:rPr>
        <w:t>物联网</w:t>
      </w:r>
      <w:r>
        <w:rPr/>
        <w:t>是指通过将各种信息传感设备，如射频识别装置、红外感应器、全球定位系统、 激光扫描器等信息传感装置，按照约定的协议，把任何物品与互联网相连接，进行信息交换 和通信，以实现万物互联。物联网的普及将是</w:t>
      </w:r>
      <w:r>
        <w:rPr>
          <w:spacing w:val="-61"/>
        </w:rPr>
        <w:t> </w:t>
      </w:r>
      <w:r>
        <w:rPr>
          <w:rFonts w:ascii="Times New Roman" w:hAnsi="Times New Roman" w:cs="Times New Roman" w:eastAsia="Times New Roman" w:hint="default"/>
        </w:rPr>
        <w:t>GIS </w:t>
      </w:r>
      <w:r>
        <w:rPr/>
        <w:t>应用的又一重大契机。物联网下的物体的 空间定位，必须进行空间信息的采集，而</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平台将成为物联网空间信息采集的有利抓手。 随着物联网技术的成熟和相关政策的进一步完善，物联网必将在交通运输、资源、环境、生 </w:t>
      </w:r>
      <w:r>
        <w:rPr>
          <w:spacing w:val="-3"/>
        </w:rPr>
        <w:t>态等更为广阔的领域发挥自身的作用，</w:t>
      </w:r>
      <w:r>
        <w:rPr>
          <w:rFonts w:ascii="Times New Roman" w:hAnsi="Times New Roman" w:cs="Times New Roman" w:eastAsia="Times New Roman" w:hint="default"/>
          <w:spacing w:val="-3"/>
        </w:rPr>
        <w:t>GIS</w:t>
      </w:r>
      <w:r>
        <w:rPr>
          <w:rFonts w:ascii="Times New Roman" w:hAnsi="Times New Roman" w:cs="Times New Roman" w:eastAsia="Times New Roman" w:hint="default"/>
          <w:spacing w:val="9"/>
        </w:rPr>
        <w:t> </w:t>
      </w:r>
      <w:r>
        <w:rPr/>
        <w:t>技术的应用将越来越多的融入到物联网的发展中。</w:t>
      </w:r>
    </w:p>
    <w:p>
      <w:pPr>
        <w:pStyle w:val="BodyText"/>
        <w:spacing w:line="338" w:lineRule="auto" w:before="13"/>
        <w:ind w:right="1117" w:firstLine="482"/>
        <w:jc w:val="left"/>
      </w:pPr>
      <w:r>
        <w:rPr>
          <w:rFonts w:ascii="宋体" w:hAnsi="宋体" w:cs="宋体" w:eastAsia="宋体" w:hint="default"/>
          <w:b/>
          <w:bCs/>
        </w:rPr>
        <w:t>三维</w:t>
      </w:r>
      <w:r>
        <w:rPr>
          <w:rFonts w:ascii="宋体" w:hAnsi="宋体" w:cs="宋体" w:eastAsia="宋体" w:hint="default"/>
          <w:b/>
          <w:bCs/>
          <w:spacing w:val="-72"/>
        </w:rPr>
        <w:t> </w:t>
      </w:r>
      <w:r>
        <w:rPr>
          <w:rFonts w:ascii="Times New Roman" w:hAnsi="Times New Roman" w:cs="Times New Roman" w:eastAsia="Times New Roman" w:hint="default"/>
          <w:b/>
          <w:bCs/>
        </w:rPr>
        <w:t>GIS</w:t>
      </w:r>
      <w:r>
        <w:rPr>
          <w:rFonts w:ascii="Times New Roman" w:hAnsi="Times New Roman" w:cs="Times New Roman" w:eastAsia="Times New Roman" w:hint="default"/>
          <w:b/>
          <w:bCs/>
          <w:spacing w:val="-12"/>
        </w:rPr>
        <w:t> </w:t>
      </w:r>
      <w:r>
        <w:rPr>
          <w:rFonts w:ascii="宋体" w:hAnsi="宋体" w:cs="宋体" w:eastAsia="宋体" w:hint="default"/>
          <w:b/>
          <w:bCs/>
        </w:rPr>
        <w:t>技术</w:t>
      </w:r>
      <w:r>
        <w:rPr/>
        <w:t>突破了空间信息在二维平面中单调展示的束缚，为信息判读和空间分析提 供了更好的途径，也为各行业提供更直观的辅助决策支持。因此，空间信息的社会化应用服</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right="1144"/>
        <w:jc w:val="both"/>
      </w:pPr>
      <w:r>
        <w:rPr/>
        <w:t>务使用三维</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技术已经成为越来越普遍的趋势，相比于二维</w:t>
      </w:r>
      <w:r>
        <w:rPr>
          <w:spacing w:val="-61"/>
        </w:rPr>
        <w:t> </w:t>
      </w:r>
      <w:r>
        <w:rPr>
          <w:rFonts w:ascii="Times New Roman" w:hAnsi="Times New Roman" w:cs="Times New Roman" w:eastAsia="Times New Roman" w:hint="default"/>
        </w:rPr>
        <w:t>GIS</w:t>
      </w:r>
      <w:r>
        <w:rPr/>
        <w:t>，三维</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空间信息的展 示更为直观、多维度空间分析功能更加强大。随着技术的进步和用户需求的拉动，</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迎来 了从二维向三维升级的时代，目前三维</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已经在城市规划、综合应急、军事等行业和领域 得到了广泛应用，未来三维</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技术将在越来越多的行业和领域发挥作用。</w:t>
      </w:r>
    </w:p>
    <w:p>
      <w:pPr>
        <w:pStyle w:val="BodyText"/>
        <w:spacing w:line="345" w:lineRule="auto" w:before="27"/>
        <w:ind w:right="1133" w:firstLine="480"/>
        <w:jc w:val="both"/>
      </w:pPr>
      <w:r>
        <w:rPr>
          <w:spacing w:val="-9"/>
        </w:rPr>
        <w:t>公司的平台软件产品融合了倾斜摄影、</w:t>
      </w:r>
      <w:r>
        <w:rPr>
          <w:rFonts w:ascii="Times New Roman" w:hAnsi="Times New Roman" w:cs="Times New Roman" w:eastAsia="Times New Roman" w:hint="default"/>
          <w:spacing w:val="-9"/>
        </w:rPr>
        <w:t>BIM</w:t>
      </w:r>
      <w:r>
        <w:rPr>
          <w:spacing w:val="-9"/>
        </w:rPr>
        <w:t>、激光点云等三维技术，集成了</w:t>
      </w:r>
      <w:r>
        <w:rPr>
          <w:spacing w:val="-34"/>
        </w:rPr>
        <w:t> </w:t>
      </w:r>
      <w:r>
        <w:rPr>
          <w:rFonts w:ascii="Times New Roman" w:hAnsi="Times New Roman" w:cs="Times New Roman" w:eastAsia="Times New Roman" w:hint="default"/>
          <w:spacing w:val="-13"/>
        </w:rPr>
        <w:t>WebGL</w:t>
      </w:r>
      <w:r>
        <w:rPr>
          <w:spacing w:val="-13"/>
        </w:rPr>
        <w:t>、</w:t>
      </w:r>
      <w:r>
        <w:rPr>
          <w:rFonts w:ascii="Times New Roman" w:hAnsi="Times New Roman" w:cs="Times New Roman" w:eastAsia="Times New Roman" w:hint="default"/>
          <w:spacing w:val="-13"/>
        </w:rPr>
        <w:t>VR</w:t>
      </w:r>
      <w:r>
        <w:rPr>
          <w:spacing w:val="-13"/>
        </w:rPr>
        <w:t>、</w:t>
      </w:r>
      <w:r>
        <w:rPr/>
        <w:t> </w:t>
      </w:r>
      <w:r>
        <w:rPr>
          <w:rFonts w:ascii="Times New Roman" w:hAnsi="Times New Roman" w:cs="Times New Roman" w:eastAsia="Times New Roman" w:hint="default"/>
        </w:rPr>
        <w:t>3D</w:t>
      </w:r>
      <w:r>
        <w:rPr>
          <w:rFonts w:ascii="Times New Roman" w:hAnsi="Times New Roman" w:cs="Times New Roman" w:eastAsia="Times New Roman" w:hint="default"/>
          <w:spacing w:val="-3"/>
        </w:rPr>
        <w:t> </w:t>
      </w:r>
      <w:r>
        <w:rPr/>
        <w:t>打印等</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新技术，确立了新一代三维</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技术体系，实现了二维与三维一体化、地上与 地下一体化、室内与室外一体化、宏观与微观一体化，二维向三维升级给公司的平台业务带 来了巨大的市场机遇。</w:t>
      </w:r>
    </w:p>
    <w:p>
      <w:pPr>
        <w:pStyle w:val="Heading2"/>
        <w:spacing w:line="240" w:lineRule="auto" w:before="49"/>
        <w:ind w:left="635" w:right="1273"/>
        <w:jc w:val="left"/>
        <w:rPr>
          <w:b w:val="0"/>
          <w:bCs w:val="0"/>
        </w:rPr>
      </w:pPr>
      <w:r>
        <w:rPr/>
        <w:t>（</w:t>
      </w:r>
      <w:r>
        <w:rPr>
          <w:rFonts w:ascii="Times New Roman" w:hAnsi="Times New Roman" w:cs="Times New Roman" w:eastAsia="Times New Roman" w:hint="default"/>
        </w:rPr>
        <w:t>2</w:t>
      </w:r>
      <w:r>
        <w:rPr/>
        <w:t>）国产自主可控替代计划加速推进，释放</w:t>
      </w:r>
      <w:r>
        <w:rPr>
          <w:spacing w:val="-60"/>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平台业务成长新空间</w:t>
      </w:r>
      <w:r>
        <w:rPr>
          <w:b w:val="0"/>
          <w:bCs w:val="0"/>
        </w:rPr>
      </w:r>
    </w:p>
    <w:p>
      <w:pPr>
        <w:pStyle w:val="BodyText"/>
        <w:spacing w:line="355" w:lineRule="auto" w:before="135"/>
        <w:ind w:right="1133" w:firstLine="48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月召开的全国网络安全和信息化工作会议指出：维护网络安全，推动信息领域 核心技术突破，自主创新推进网络强国建设对国家安全意义重大。加强信息基础设施网络安</w:t>
      </w:r>
      <w:r>
        <w:rPr>
          <w:spacing w:val="-86"/>
        </w:rPr>
        <w:t> </w:t>
      </w:r>
      <w:r>
        <w:rPr>
          <w:spacing w:val="-86"/>
        </w:rPr>
      </w:r>
      <w:r>
        <w:rPr/>
        <w:t>全防护，加强网络安全信息统筹机制、手段、平台建设，加强网络安全事件应急指挥能力建</w:t>
      </w:r>
      <w:r>
        <w:rPr>
          <w:spacing w:val="-91"/>
        </w:rPr>
        <w:t> </w:t>
      </w:r>
      <w:r>
        <w:rPr>
          <w:spacing w:val="-91"/>
        </w:rPr>
      </w:r>
      <w:r>
        <w:rPr/>
        <w:t>设，积极发展网络安全产业，做到关口前移，防患于未然。随着国家网络信息安全战略的推</w:t>
      </w:r>
      <w:r>
        <w:rPr>
          <w:spacing w:val="-91"/>
        </w:rPr>
        <w:t> </w:t>
      </w:r>
      <w:r>
        <w:rPr>
          <w:spacing w:val="-91"/>
        </w:rPr>
      </w:r>
      <w:r>
        <w:rPr/>
        <w:t>进，加快推进国产自主可控替代计划，构建安全可靠的信息技术体系成为国家信息化建设进</w:t>
      </w:r>
      <w:r>
        <w:rPr>
          <w:spacing w:val="-91"/>
        </w:rPr>
        <w:t> </w:t>
      </w:r>
      <w:r>
        <w:rPr>
          <w:spacing w:val="-91"/>
        </w:rPr>
      </w:r>
      <w:r>
        <w:rPr/>
        <w:t>程的必然途径。同时，国际形势的变化和新《测绘法》的实施，国家加快主导相关设备和技</w:t>
      </w:r>
      <w:r>
        <w:rPr>
          <w:spacing w:val="-87"/>
        </w:rPr>
        <w:t> </w:t>
      </w:r>
      <w:r>
        <w:rPr>
          <w:spacing w:val="-87"/>
        </w:rPr>
      </w:r>
      <w:r>
        <w:rPr/>
        <w:t>术的国产替代，为国产自主可控产品带来了更广阔的市场空间；在重要部门和行业领域实行</w:t>
      </w:r>
      <w:r>
        <w:rPr>
          <w:spacing w:val="-91"/>
        </w:rPr>
        <w:t> </w:t>
      </w:r>
      <w:r>
        <w:rPr>
          <w:spacing w:val="-91"/>
        </w:rPr>
      </w:r>
      <w:r>
        <w:rPr/>
        <w:t>准入审查，对自主品牌的发展形成市场驱动力。</w:t>
      </w:r>
    </w:p>
    <w:p>
      <w:pPr>
        <w:pStyle w:val="BodyText"/>
        <w:spacing w:line="340" w:lineRule="auto" w:before="38"/>
        <w:ind w:right="1128" w:firstLine="480"/>
        <w:jc w:val="both"/>
      </w:pPr>
      <w:r>
        <w:rPr/>
        <w:t>目前不断优化的政策环境，给自主安全可靠相关企业提供了更好的成长空间。公司自成 </w:t>
      </w:r>
      <w:r>
        <w:rPr>
          <w:spacing w:val="-5"/>
        </w:rPr>
        <w:t>立以来，深耕</w:t>
      </w:r>
      <w:r>
        <w:rPr>
          <w:spacing w:val="-69"/>
        </w:rPr>
        <w:t> </w:t>
      </w:r>
      <w:r>
        <w:rPr>
          <w:rFonts w:ascii="Times New Roman" w:hAnsi="Times New Roman" w:cs="Times New Roman" w:eastAsia="Times New Roman" w:hint="default"/>
        </w:rPr>
        <w:t>GIS</w:t>
      </w:r>
      <w:r>
        <w:rPr>
          <w:rFonts w:ascii="Times New Roman" w:hAnsi="Times New Roman" w:cs="Times New Roman" w:eastAsia="Times New Roman" w:hint="default"/>
          <w:spacing w:val="-7"/>
        </w:rPr>
        <w:t> </w:t>
      </w:r>
      <w:r>
        <w:rPr/>
        <w:t>平台软件业务，公司平台软件产品</w:t>
      </w:r>
      <w:r>
        <w:rPr>
          <w:spacing w:val="-67"/>
        </w:rPr>
        <w:t> </w:t>
      </w:r>
      <w:r>
        <w:rPr>
          <w:rFonts w:ascii="Times New Roman" w:hAnsi="Times New Roman" w:cs="Times New Roman" w:eastAsia="Times New Roman" w:hint="default"/>
        </w:rPr>
        <w:t>SuperMapGIS</w:t>
      </w:r>
      <w:r>
        <w:rPr>
          <w:rFonts w:ascii="Times New Roman" w:hAnsi="Times New Roman" w:cs="Times New Roman" w:eastAsia="Times New Roman" w:hint="default"/>
          <w:spacing w:val="-5"/>
        </w:rPr>
        <w:t> </w:t>
      </w:r>
      <w:r>
        <w:rPr/>
        <w:t>系列已成为中国主流的成 熟、自主、可靠的</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平台，公司的</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平台软件产品支持飞腾、龙芯、申威、展讯等自主 </w:t>
      </w:r>
      <w:r>
        <w:rPr>
          <w:rFonts w:ascii="Times New Roman" w:hAnsi="Times New Roman" w:cs="Times New Roman" w:eastAsia="Times New Roman" w:hint="default"/>
        </w:rPr>
        <w:t>CPU</w:t>
      </w:r>
      <w:r>
        <w:rPr/>
        <w:t>，支持中标麒麟、银河麒麟、深度、</w:t>
      </w:r>
      <w:r>
        <w:rPr>
          <w:rFonts w:ascii="Times New Roman" w:hAnsi="Times New Roman" w:cs="Times New Roman" w:eastAsia="Times New Roman" w:hint="default"/>
        </w:rPr>
        <w:t>SyberOS</w:t>
      </w:r>
      <w:r>
        <w:rPr>
          <w:rFonts w:ascii="Times New Roman" w:hAnsi="Times New Roman" w:cs="Times New Roman" w:eastAsia="Times New Roman" w:hint="default"/>
          <w:spacing w:val="14"/>
        </w:rPr>
        <w:t> </w:t>
      </w:r>
      <w:r>
        <w:rPr/>
        <w:t>等自主操作系统，支持瀚高、金仓、达梦</w:t>
      </w:r>
      <w:r>
        <w:rPr>
          <w:spacing w:val="-118"/>
        </w:rPr>
        <w:t> </w:t>
      </w:r>
      <w:r>
        <w:rPr>
          <w:spacing w:val="-118"/>
        </w:rPr>
      </w:r>
      <w:r>
        <w:rPr/>
        <w:t>等自主数据库。国产自主可控替代计划的加速推进，为公司</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平台业务的发展带来的重要 </w:t>
      </w:r>
      <w:r>
        <w:rPr>
          <w:spacing w:val="-2"/>
        </w:rPr>
        <w:t>的战略机遇。在国家大力推行软硬件自主可控的大环境下</w:t>
      </w:r>
      <w:r>
        <w:rPr>
          <w:rFonts w:ascii="Times New Roman" w:hAnsi="Times New Roman" w:cs="Times New Roman" w:eastAsia="Times New Roman" w:hint="default"/>
          <w:spacing w:val="-2"/>
        </w:rPr>
        <w:t>,</w:t>
      </w:r>
      <w:r>
        <w:rPr>
          <w:spacing w:val="-2"/>
        </w:rPr>
        <w:t>公司依靠在技术上的优势</w:t>
      </w:r>
      <w:r>
        <w:rPr>
          <w:rFonts w:ascii="Times New Roman" w:hAnsi="Times New Roman" w:cs="Times New Roman" w:eastAsia="Times New Roman" w:hint="default"/>
          <w:spacing w:val="-2"/>
        </w:rPr>
        <w:t>,</w:t>
      </w:r>
      <w:r>
        <w:rPr>
          <w:spacing w:val="-2"/>
        </w:rPr>
        <w:t>未来将进</w:t>
      </w:r>
      <w:r>
        <w:rPr>
          <w:spacing w:val="-118"/>
        </w:rPr>
        <w:t> </w:t>
      </w:r>
      <w:r>
        <w:rPr/>
        <w:t>一步受益于国产化替代的政策推动。</w:t>
      </w:r>
    </w:p>
    <w:p>
      <w:pPr>
        <w:pStyle w:val="Heading2"/>
        <w:spacing w:line="240" w:lineRule="auto" w:before="53"/>
        <w:ind w:left="635" w:right="1273"/>
        <w:jc w:val="left"/>
        <w:rPr>
          <w:b w:val="0"/>
          <w:bCs w:val="0"/>
        </w:rPr>
      </w:pPr>
      <w:r>
        <w:rPr/>
        <w:t>（</w:t>
      </w:r>
      <w:r>
        <w:rPr>
          <w:rFonts w:ascii="Times New Roman" w:hAnsi="Times New Roman" w:cs="Times New Roman" w:eastAsia="Times New Roman" w:hint="default"/>
        </w:rPr>
        <w:t>3</w:t>
      </w:r>
      <w:r>
        <w:rPr/>
        <w:t>）国务院机构改革落地，助力自然资源登记业务开展</w:t>
      </w:r>
      <w:r>
        <w:rPr>
          <w:b w:val="0"/>
          <w:bCs w:val="0"/>
        </w:rPr>
      </w:r>
    </w:p>
    <w:p>
      <w:pPr>
        <w:pStyle w:val="BodyText"/>
        <w:spacing w:line="345" w:lineRule="auto" w:before="135"/>
        <w:ind w:right="1135" w:firstLine="48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年以来，各地自然资源局和自然资源规划局陆续挂牌，机构改革已经步入全面实施 阶段，自然资源部的成立，结束了上述强</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业务分散在多个部委的格局，在项目的推进力 度及速度上将超过以往，公司成为对应自然资源部提供解决方案最完整的企业，为公司带来 重要发展机遇。</w:t>
      </w:r>
    </w:p>
    <w:p>
      <w:pPr>
        <w:spacing w:after="0" w:line="345"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7" w:lineRule="auto" w:before="26"/>
        <w:ind w:right="1132" w:firstLine="480"/>
        <w:jc w:val="both"/>
      </w:pPr>
      <w:r>
        <w:rPr/>
        <w:t>自然资源登记试点已经基本完成，下一步自然资源部将在总结试点经验基础上，重点解 决资源类型划分、登记单元确定、登记管辖和权利主体确定等难点问题，制定自然资源统一 </w:t>
      </w:r>
      <w:r>
        <w:rPr>
          <w:spacing w:val="-4"/>
        </w:rPr>
        <w:t>确权登记技术指南。根据计划</w:t>
      </w:r>
      <w:r>
        <w:rPr>
          <w:spacing w:val="-7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年底在全国全面铺开、分阶段推进重点区域自然资源确权</w:t>
      </w:r>
    </w:p>
    <w:p>
      <w:pPr>
        <w:pStyle w:val="BodyText"/>
        <w:spacing w:line="338" w:lineRule="auto" w:before="5"/>
        <w:ind w:right="1132"/>
        <w:jc w:val="both"/>
      </w:pPr>
      <w:r>
        <w:rPr/>
        <w:t>登记</w:t>
      </w:r>
      <w:r>
        <w:rPr>
          <w:rFonts w:ascii="Times New Roman" w:hAnsi="Times New Roman" w:cs="Times New Roman" w:eastAsia="Times New Roman" w:hint="default"/>
        </w:rPr>
        <w:t>,</w:t>
      </w:r>
      <w:r>
        <w:rPr/>
        <w:t>计划利用</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年时间完成对国家和各省重点建设的国家公园、自然保护区、各类自然公园 </w:t>
      </w:r>
      <w:r>
        <w:rPr>
          <w:spacing w:val="-1"/>
        </w:rPr>
        <w:t>等自然保护地的自然资源统一确权登记</w:t>
      </w:r>
      <w:r>
        <w:rPr>
          <w:rFonts w:ascii="Times New Roman" w:hAnsi="Times New Roman" w:cs="Times New Roman" w:eastAsia="Times New Roman" w:hint="default"/>
          <w:spacing w:val="-1"/>
        </w:rPr>
        <w:t>,</w:t>
      </w:r>
      <w:r>
        <w:rPr>
          <w:spacing w:val="-1"/>
        </w:rPr>
        <w:t>同时对大江大河大湖、重要湿地、国有重点林区、重</w:t>
      </w:r>
      <w:r>
        <w:rPr>
          <w:spacing w:val="-103"/>
        </w:rPr>
        <w:t> </w:t>
      </w:r>
      <w:r>
        <w:rPr>
          <w:spacing w:val="-103"/>
        </w:rPr>
      </w:r>
      <w:r>
        <w:rPr/>
        <w:t>要草原草甸等具有完整生态功能的全民所有单项自然资源开展统一确权登记。</w:t>
      </w:r>
    </w:p>
    <w:p>
      <w:pPr>
        <w:pStyle w:val="BodyText"/>
        <w:spacing w:line="357" w:lineRule="auto" w:before="55"/>
        <w:ind w:right="1171" w:firstLine="480"/>
        <w:jc w:val="both"/>
      </w:pPr>
      <w:r>
        <w:rPr/>
        <w:t>结合公司业务，公司通过多年经验积累，建设实施了包括水利普查、草原信息管理、河 湖管理、海域管理、林地管理在内的应用项目，在自然资源领域积累了丰富的案例，有利于 推动自然资源确权登记等相关业务的稳步推进和开展。</w:t>
      </w:r>
    </w:p>
    <w:p>
      <w:pPr>
        <w:pStyle w:val="Heading2"/>
        <w:spacing w:line="240" w:lineRule="auto" w:before="36"/>
        <w:ind w:left="635" w:right="1273"/>
        <w:jc w:val="left"/>
        <w:rPr>
          <w:b w:val="0"/>
          <w:bCs w:val="0"/>
        </w:rPr>
      </w:pPr>
      <w:r>
        <w:rPr/>
        <w:t>（</w:t>
      </w:r>
      <w:r>
        <w:rPr>
          <w:rFonts w:ascii="Times New Roman" w:hAnsi="Times New Roman" w:cs="Times New Roman" w:eastAsia="Times New Roman" w:hint="default"/>
        </w:rPr>
        <w:t>4</w:t>
      </w:r>
      <w:r>
        <w:rPr/>
        <w:t>）多项政策齐发力，打开国土空间规划增量市场</w:t>
      </w:r>
      <w:r>
        <w:rPr>
          <w:b w:val="0"/>
          <w:bCs w:val="0"/>
        </w:rPr>
      </w:r>
    </w:p>
    <w:p>
      <w:pPr>
        <w:pStyle w:val="BodyText"/>
        <w:spacing w:line="350" w:lineRule="auto" w:before="135"/>
        <w:ind w:right="1131" w:firstLine="48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月召开全国生态环境保护大会，要求从科学制定国土空间规划、各类权属关系 变化、空间用途转换、重点区域管控等方面做好国土空间用途管制。</w:t>
      </w:r>
      <w:r>
        <w:rPr>
          <w:rFonts w:ascii="Times New Roman" w:hAnsi="Times New Roman" w:cs="Times New Roman" w:eastAsia="Times New Roman" w:hint="default"/>
        </w:rPr>
        <w:t>2018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月，中央全 面深化改革委员会第四次会议审议通过《关于统一规划体系更好发挥国家发展规划战略导向</w:t>
      </w:r>
      <w:r>
        <w:rPr>
          <w:spacing w:val="-91"/>
        </w:rPr>
        <w:t> </w:t>
      </w:r>
      <w:r>
        <w:rPr>
          <w:spacing w:val="-91"/>
        </w:rPr>
      </w:r>
      <w:r>
        <w:rPr>
          <w:spacing w:val="-6"/>
        </w:rPr>
        <w:t>作用的意见》，《意见》指出，要建立以国家发展规划为统领，以空间规划为基础，以专项规</w:t>
      </w:r>
      <w:r>
        <w:rPr>
          <w:spacing w:val="-85"/>
        </w:rPr>
        <w:t> </w:t>
      </w:r>
      <w:r>
        <w:rPr>
          <w:spacing w:val="-85"/>
        </w:rPr>
      </w:r>
      <w:r>
        <w:rPr/>
        <w:t>划、区域规划为支撑，由国家、省、市县各级规划共同组成，定位准确、边界清晰、功能互</w:t>
      </w:r>
      <w:r>
        <w:rPr>
          <w:spacing w:val="-91"/>
        </w:rPr>
        <w:t> </w:t>
      </w:r>
      <w:r>
        <w:rPr>
          <w:spacing w:val="-91"/>
        </w:rPr>
      </w:r>
      <w:r>
        <w:rPr/>
        <w:t>补、统一衔接的国家规划体系。</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月，中央全面深化改革委员会第六次会议审议通过</w:t>
      </w:r>
    </w:p>
    <w:p>
      <w:pPr>
        <w:pStyle w:val="BodyText"/>
        <w:spacing w:line="352" w:lineRule="auto" w:before="13"/>
        <w:ind w:right="1131"/>
        <w:jc w:val="both"/>
      </w:pPr>
      <w:r>
        <w:rPr>
          <w:spacing w:val="-5"/>
        </w:rPr>
        <w:t>《关于建立国土空间规划体系并监督实施的若干意见》，指出将主体功能区规划、土地利用规</w:t>
      </w:r>
      <w:r>
        <w:rPr>
          <w:spacing w:val="-117"/>
        </w:rPr>
        <w:t> </w:t>
      </w:r>
      <w:r>
        <w:rPr>
          <w:spacing w:val="-117"/>
        </w:rPr>
      </w:r>
      <w:r>
        <w:rPr/>
        <w:t>划、城乡规划等空间规划融合为统一的国土空间规划，实现</w:t>
      </w:r>
      <w:r>
        <w:rPr>
          <w:rFonts w:ascii="Times New Roman" w:hAnsi="Times New Roman" w:cs="Times New Roman" w:eastAsia="Times New Roman" w:hint="default"/>
        </w:rPr>
        <w:t>“</w:t>
      </w:r>
      <w:r>
        <w:rPr/>
        <w:t>多规合一</w:t>
      </w:r>
      <w:r>
        <w:rPr>
          <w:rFonts w:ascii="Times New Roman" w:hAnsi="Times New Roman" w:cs="Times New Roman" w:eastAsia="Times New Roman" w:hint="default"/>
        </w:rPr>
        <w:t>”</w:t>
      </w:r>
      <w:r>
        <w:rPr/>
        <w:t>，是党中央作出的重</w:t>
      </w:r>
      <w:r>
        <w:rPr>
          <w:spacing w:val="-61"/>
        </w:rPr>
        <w:t> </w:t>
      </w:r>
      <w:r>
        <w:rPr>
          <w:spacing w:val="-61"/>
        </w:rPr>
      </w:r>
      <w:r>
        <w:rPr/>
        <w:t>大决策部署。要科学布局生产空间、生活空间、生态空间，体现战略性、提高科学性、加强</w:t>
      </w:r>
      <w:r>
        <w:rPr>
          <w:spacing w:val="-91"/>
        </w:rPr>
        <w:t> </w:t>
      </w:r>
      <w:r>
        <w:rPr>
          <w:spacing w:val="-91"/>
        </w:rPr>
      </w:r>
      <w:r>
        <w:rPr/>
        <w:t>协调性，强化规划权威，改进规划审批，健全用途管制，监督规划实施，强化国土空间规划</w:t>
      </w:r>
      <w:r>
        <w:rPr>
          <w:spacing w:val="-91"/>
        </w:rPr>
        <w:t> </w:t>
      </w:r>
      <w:r>
        <w:rPr>
          <w:spacing w:val="-91"/>
        </w:rPr>
      </w:r>
      <w:r>
        <w:rPr/>
        <w:t>对各专项规划的指导约束作用。</w:t>
      </w:r>
    </w:p>
    <w:p>
      <w:pPr>
        <w:pStyle w:val="BodyText"/>
        <w:spacing w:line="350" w:lineRule="auto" w:before="41"/>
        <w:ind w:right="1130" w:firstLine="480"/>
        <w:jc w:val="both"/>
      </w:pP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对地理空间信息高效、快捷、灵活和全方位的把握，可使国土空间规划、设计、建 设和管理活动获得有力的技术支持。公司拥有多年的国土信息化建设经验，并不断加强在国</w:t>
      </w:r>
      <w:r>
        <w:rPr>
          <w:spacing w:val="-91"/>
        </w:rPr>
        <w:t> </w:t>
      </w:r>
      <w:r>
        <w:rPr>
          <w:spacing w:val="-91"/>
        </w:rPr>
      </w:r>
      <w:r>
        <w:rPr/>
        <w:t>土规划信息化的战略布局，业务范围延伸到国土行业的各个方面，应用项目遍布全国各地。</w:t>
      </w:r>
      <w:r>
        <w:rPr>
          <w:spacing w:val="-89"/>
        </w:rPr>
        <w:t> </w:t>
      </w:r>
      <w:r>
        <w:rPr>
          <w:spacing w:val="-89"/>
        </w:rPr>
      </w:r>
      <w:r>
        <w:rPr/>
        <w:t>同时形成了国土空间基础信息平台解决方案，基于</w:t>
      </w:r>
      <w:r>
        <w:rPr>
          <w:rFonts w:ascii="Times New Roman" w:hAnsi="Times New Roman" w:cs="Times New Roman" w:eastAsia="Times New Roman" w:hint="default"/>
        </w:rPr>
        <w:t>“</w:t>
      </w:r>
      <w:r>
        <w:rPr/>
        <w:t>国土资源云</w:t>
      </w:r>
      <w:r>
        <w:rPr>
          <w:rFonts w:ascii="Times New Roman" w:hAnsi="Times New Roman" w:cs="Times New Roman" w:eastAsia="Times New Roman" w:hint="default"/>
        </w:rPr>
        <w:t>”</w:t>
      </w:r>
      <w:r>
        <w:rPr/>
        <w:t>总体思路，以国土资源、测</w:t>
      </w:r>
      <w:r>
        <w:rPr>
          <w:spacing w:val="-60"/>
        </w:rPr>
        <w:t> </w:t>
      </w:r>
      <w:r>
        <w:rPr>
          <w:spacing w:val="-60"/>
        </w:rPr>
      </w:r>
      <w:r>
        <w:rPr/>
        <w:t>绘地理、社会经济等各类数据为基础，聚合集成政府和社会各类国土空间相关数据，形成统</w:t>
      </w:r>
      <w:r>
        <w:rPr>
          <w:spacing w:val="-91"/>
        </w:rPr>
        <w:t> </w:t>
      </w:r>
      <w:r>
        <w:rPr>
          <w:spacing w:val="-91"/>
        </w:rPr>
      </w:r>
      <w:r>
        <w:rPr>
          <w:spacing w:val="-5"/>
        </w:rPr>
        <w:t>一的国土空间工作</w:t>
      </w:r>
      <w:r>
        <w:rPr>
          <w:rFonts w:ascii="Times New Roman" w:hAnsi="Times New Roman" w:cs="Times New Roman" w:eastAsia="Times New Roman" w:hint="default"/>
          <w:spacing w:val="-5"/>
        </w:rPr>
        <w:t>“</w:t>
      </w:r>
      <w:r>
        <w:rPr>
          <w:spacing w:val="-5"/>
        </w:rPr>
        <w:t>底图、底板、底线</w:t>
      </w:r>
      <w:r>
        <w:rPr>
          <w:rFonts w:ascii="Times New Roman" w:hAnsi="Times New Roman" w:cs="Times New Roman" w:eastAsia="Times New Roman" w:hint="default"/>
          <w:spacing w:val="-5"/>
        </w:rPr>
        <w:t>”</w:t>
      </w:r>
      <w:r>
        <w:rPr>
          <w:spacing w:val="-5"/>
        </w:rPr>
        <w:t>，建成数据更全面、应用更广泛、共享更顺畅的平台，</w:t>
      </w:r>
      <w:r>
        <w:rPr>
          <w:spacing w:val="-89"/>
        </w:rPr>
        <w:t> </w:t>
      </w:r>
      <w:r>
        <w:rPr>
          <w:spacing w:val="-89"/>
        </w:rPr>
      </w:r>
      <w:r>
        <w:rPr/>
        <w:t>为国土空间开发提供信息服务，为国土空间规划的编制提供辅助服务；为行政审批提供项目</w:t>
      </w:r>
      <w:r>
        <w:rPr>
          <w:spacing w:val="-91"/>
        </w:rPr>
        <w:t> </w:t>
      </w:r>
      <w:r>
        <w:rPr>
          <w:spacing w:val="-91"/>
        </w:rPr>
      </w:r>
      <w:r>
        <w:rPr/>
        <w:t>落地的合规性审查；对国土空间进行全方位动态监测，为空间管理决策提供技术支撑。</w:t>
      </w:r>
    </w:p>
    <w:p>
      <w:pPr>
        <w:spacing w:after="0" w:line="350"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2" w:lineRule="auto" w:before="26"/>
        <w:ind w:right="1132" w:firstLine="480"/>
        <w:jc w:val="both"/>
      </w:pPr>
      <w:r>
        <w:rPr/>
        <w:t>此外，公司积极部署第三次全国土地调查业务，从国土三调的实际需求出发，基于强大 的 </w:t>
      </w:r>
      <w:r>
        <w:rPr>
          <w:rFonts w:ascii="Times New Roman" w:hAnsi="Times New Roman" w:cs="Times New Roman" w:eastAsia="Times New Roman" w:hint="default"/>
        </w:rPr>
        <w:t>SuperMap GIS 9D</w:t>
      </w:r>
      <w:r>
        <w:rPr>
          <w:rFonts w:ascii="Times New Roman" w:hAnsi="Times New Roman" w:cs="Times New Roman" w:eastAsia="Times New Roman" w:hint="default"/>
          <w:spacing w:val="-27"/>
        </w:rPr>
        <w:t> </w:t>
      </w:r>
      <w:r>
        <w:rPr/>
        <w:t>内核，研发了国土三调软件产品系列，满足外业调查、数据建库、数据 库管理到三调数据共享分析等全过程应用，同时还形成了第三次土地调查全流程信息化解决</w:t>
      </w:r>
      <w:r>
        <w:rPr>
          <w:spacing w:val="-91"/>
        </w:rPr>
        <w:t> </w:t>
      </w:r>
      <w:r>
        <w:rPr>
          <w:spacing w:val="-91"/>
        </w:rPr>
      </w:r>
      <w:r>
        <w:rPr/>
        <w:t>方案，助力三调工作高效、顺利实施。在多项政策利好的推动下，公司将在国土空间规划、</w:t>
      </w:r>
      <w:r>
        <w:rPr>
          <w:spacing w:val="-91"/>
        </w:rPr>
        <w:t> </w:t>
      </w:r>
      <w:r>
        <w:rPr>
          <w:spacing w:val="-91"/>
        </w:rPr>
      </w:r>
      <w:r>
        <w:rPr/>
        <w:t>国土空间基础信息平台建设、国土三调等方面充分利用自身的技术优势、经验优势和客户优</w:t>
      </w:r>
      <w:r>
        <w:rPr>
          <w:spacing w:val="-91"/>
        </w:rPr>
        <w:t> </w:t>
      </w:r>
      <w:r>
        <w:rPr>
          <w:spacing w:val="-91"/>
        </w:rPr>
      </w:r>
      <w:r>
        <w:rPr/>
        <w:t>势，抢占国土信息化市场。</w:t>
      </w:r>
    </w:p>
    <w:p>
      <w:pPr>
        <w:pStyle w:val="Heading2"/>
        <w:spacing w:line="240" w:lineRule="auto" w:before="41"/>
        <w:ind w:left="635" w:right="1273"/>
        <w:jc w:val="left"/>
        <w:rPr>
          <w:b w:val="0"/>
          <w:bCs w:val="0"/>
        </w:rPr>
      </w:pPr>
      <w:r>
        <w:rPr/>
        <w:t>（</w:t>
      </w:r>
      <w:r>
        <w:rPr>
          <w:rFonts w:ascii="Times New Roman" w:hAnsi="Times New Roman" w:cs="Times New Roman" w:eastAsia="Times New Roman" w:hint="default"/>
        </w:rPr>
        <w:t>5</w:t>
      </w:r>
      <w:r>
        <w:rPr/>
        <w:t>）时空信息云平台带动智慧城市产业跨越式发展</w:t>
      </w:r>
      <w:r>
        <w:rPr>
          <w:b w:val="0"/>
          <w:bCs w:val="0"/>
        </w:rPr>
      </w:r>
    </w:p>
    <w:p>
      <w:pPr>
        <w:pStyle w:val="BodyText"/>
        <w:spacing w:line="352" w:lineRule="auto" w:before="135"/>
        <w:ind w:right="1131" w:firstLine="480"/>
        <w:jc w:val="both"/>
      </w:pPr>
      <w:r>
        <w:rPr>
          <w:rFonts w:ascii="Times New Roman" w:hAnsi="Times New Roman" w:cs="Times New Roman" w:eastAsia="Times New Roman" w:hint="default"/>
        </w:rPr>
        <w:t>2019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2"/>
        </w:rPr>
        <w:t>月，自然资源部印发《智慧城市时空大数据平台建设技术大纲（</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
        </w:rPr>
        <w:t> </w:t>
      </w:r>
      <w:r>
        <w:rPr>
          <w:spacing w:val="-53"/>
        </w:rPr>
        <w:t>版）》（以</w:t>
      </w:r>
      <w:r>
        <w:rPr/>
        <w:t> </w:t>
      </w:r>
      <w:r>
        <w:rPr>
          <w:spacing w:val="-5"/>
          <w:w w:val="100"/>
        </w:rPr>
        <w:t>下简称</w:t>
      </w:r>
      <w:r>
        <w:rPr>
          <w:rFonts w:ascii="Times New Roman" w:hAnsi="Times New Roman" w:cs="Times New Roman" w:eastAsia="Times New Roman" w:hint="default"/>
          <w:spacing w:val="-5"/>
          <w:w w:val="100"/>
        </w:rPr>
        <w:t>“</w:t>
      </w:r>
      <w:r>
        <w:rPr>
          <w:spacing w:val="-5"/>
          <w:w w:val="100"/>
        </w:rPr>
        <w:t>大纲</w:t>
      </w:r>
      <w:r>
        <w:rPr>
          <w:rFonts w:ascii="Times New Roman" w:hAnsi="Times New Roman" w:cs="Times New Roman" w:eastAsia="Times New Roman" w:hint="default"/>
          <w:spacing w:val="-5"/>
          <w:w w:val="100"/>
        </w:rPr>
        <w:t>”</w:t>
      </w:r>
      <w:r>
        <w:rPr>
          <w:spacing w:val="-5"/>
          <w:w w:val="100"/>
        </w:rPr>
        <w:t>），旨在数字城市地理空间框架的基础上，依托城市云支撑环境，实现向智慧城</w:t>
      </w:r>
      <w:r>
        <w:rPr>
          <w:spacing w:val="-92"/>
          <w:w w:val="100"/>
        </w:rPr>
        <w:t> </w:t>
      </w:r>
      <w:r>
        <w:rPr>
          <w:spacing w:val="-92"/>
          <w:w w:val="100"/>
        </w:rPr>
      </w:r>
      <w:r>
        <w:rPr/>
        <w:t>市时空大数据平台的提升，开发智慧专题应用系统，为智慧城市时空大数据平台的全面应用 积累经验。同时，凝练智慧城市时空大数据平台建设管理模式、技术体系、运行机制、应用 服务模式和标准规范及政策法规，为推动全国数字城市地理空间框架建设向智慧城市时空大 数据平台的升级转型奠定基础。同时，大纲进一步明确了智慧城市时空大数据平台是数字中 国时空信息数据库的重要组成部分，是基础测绘转型升级的重要举措，是智慧城市建设与运 行的基础支撑。</w:t>
      </w:r>
    </w:p>
    <w:p>
      <w:pPr>
        <w:pStyle w:val="BodyText"/>
        <w:spacing w:line="357" w:lineRule="auto" w:before="41"/>
        <w:ind w:right="1129" w:firstLine="480"/>
        <w:jc w:val="both"/>
      </w:pPr>
      <w:r>
        <w:rPr/>
        <w:t>智慧城市时空大数据平台作为智慧城市的重要组成，既是智慧城市不可或缺的、基础性 的信息资源，又是其他信息交换共享与协同应用的载体，为其他信息在三维空间和时间交织 构成的四维环境中提供时空基础，实现基于统一时空基础下的规划、布局、分析和决策。目 前，智慧城市时空大数据平台建设试点工作已在智慧城市建设和城市运行管理中得到了广泛 </w:t>
      </w:r>
      <w:r>
        <w:rPr>
          <w:spacing w:val="-3"/>
        </w:rPr>
        <w:t>深入应用，全国已有</w:t>
      </w:r>
      <w:r>
        <w:rPr>
          <w:spacing w:val="-64"/>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spacing w:val="-3"/>
        </w:rPr>
        <w:t>个城市被列为试点城市，其中</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个已建成并完成验收，今年预计增加</w:t>
      </w:r>
    </w:p>
    <w:p>
      <w:pPr>
        <w:pStyle w:val="BodyText"/>
        <w:spacing w:line="348" w:lineRule="auto" w:before="5"/>
        <w:ind w:right="1012"/>
        <w:jc w:val="both"/>
      </w:pPr>
      <w:r>
        <w:rPr/>
        <w:t>试点城市</w:t>
      </w:r>
      <w:r>
        <w:rPr>
          <w:spacing w:val="-61"/>
        </w:rPr>
        <w:t> </w:t>
      </w:r>
      <w:r>
        <w:rPr>
          <w:rFonts w:ascii="Times New Roman" w:hAnsi="Times New Roman" w:cs="Times New Roman" w:eastAsia="Times New Roman" w:hint="default"/>
        </w:rPr>
        <w:t>8 </w:t>
      </w:r>
      <w:r>
        <w:rPr/>
        <w:t>个左右。在时空信息云平台建设方面，公司已在北京、大连、柳州、西安、呼和 浩特、平顶山等地开展，拥有丰富的项目实施经验，具有良好的示范效应。公司将结合自身 </w:t>
      </w:r>
      <w:r>
        <w:rPr>
          <w:spacing w:val="-2"/>
        </w:rPr>
        <w:t>时空信息云平台建设方面的技术优势和经验优势，不断推动智慧城市建设与运营再上新台阶。</w:t>
      </w:r>
    </w:p>
    <w:p>
      <w:pPr>
        <w:spacing w:line="338" w:lineRule="auto" w:before="4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）大数据应用迎政策利好，</w:t>
      </w:r>
      <w:r>
        <w:rPr>
          <w:rFonts w:ascii="Times New Roman" w:hAnsi="Times New Roman" w:cs="Times New Roman" w:eastAsia="Times New Roman" w:hint="default"/>
          <w:b/>
          <w:bCs/>
          <w:sz w:val="24"/>
          <w:szCs w:val="24"/>
        </w:rPr>
        <w:t>GIS</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产业长期成长空间不断打开</w:t>
      </w:r>
      <w:r>
        <w:rPr>
          <w:rFonts w:ascii="宋体" w:hAnsi="宋体" w:cs="宋体" w:eastAsia="宋体" w:hint="default"/>
          <w:b/>
          <w:bCs/>
          <w:w w:val="99"/>
          <w:sz w:val="24"/>
          <w:szCs w:val="24"/>
        </w:rPr>
        <w:t> </w:t>
      </w:r>
      <w:r>
        <w:rPr>
          <w:rFonts w:ascii="宋体" w:hAnsi="宋体" w:cs="宋体" w:eastAsia="宋体" w:hint="default"/>
          <w:sz w:val="24"/>
          <w:szCs w:val="24"/>
        </w:rPr>
        <w:t>随着大数据上升为国家战略，我国正试图抓住大数据发展先机，运用好丰富的大数据资</w:t>
      </w:r>
    </w:p>
    <w:p>
      <w:pPr>
        <w:pStyle w:val="BodyText"/>
        <w:spacing w:line="338" w:lineRule="auto" w:before="55"/>
        <w:ind w:right="1128"/>
        <w:jc w:val="both"/>
      </w:pPr>
      <w:r>
        <w:rPr>
          <w:spacing w:val="-3"/>
        </w:rPr>
        <w:t>源，借助大数据实现经济社会各方面的改革创新。根据</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月工信部公布的《大数据产</w:t>
      </w:r>
      <w:r>
        <w:rPr/>
        <w:t> </w:t>
      </w:r>
      <w:r>
        <w:rPr>
          <w:spacing w:val="-1"/>
        </w:rPr>
        <w:t>业发展规划</w:t>
      </w:r>
      <w:r>
        <w:rPr>
          <w:rFonts w:ascii="Times New Roman" w:hAnsi="Times New Roman" w:cs="Times New Roman" w:eastAsia="Times New Roman" w:hint="default"/>
          <w:spacing w:val="-1"/>
        </w:rPr>
        <w:t>(2016-2020</w:t>
      </w:r>
      <w:r>
        <w:rPr>
          <w:rFonts w:ascii="Times New Roman" w:hAnsi="Times New Roman" w:cs="Times New Roman" w:eastAsia="Times New Roman" w:hint="default"/>
        </w:rPr>
        <w:t> </w:t>
      </w:r>
      <w:r>
        <w:rPr>
          <w:spacing w:val="-26"/>
        </w:rPr>
        <w:t>年</w:t>
      </w:r>
      <w:r>
        <w:rPr>
          <w:rFonts w:ascii="Times New Roman" w:hAnsi="Times New Roman" w:cs="Times New Roman" w:eastAsia="Times New Roman" w:hint="default"/>
          <w:spacing w:val="-26"/>
        </w:rPr>
        <w:t>)</w:t>
      </w:r>
      <w:r>
        <w:rPr>
          <w:spacing w:val="-26"/>
        </w:rPr>
        <w:t>》，到</w:t>
      </w:r>
      <w:r>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4"/>
        </w:rPr>
        <w:t> </w:t>
      </w:r>
      <w:r>
        <w:rPr>
          <w:spacing w:val="-1"/>
        </w:rPr>
        <w:t>年，要建设技术先进、应用繁荣、保障有力的大数据产</w:t>
      </w:r>
      <w:r>
        <w:rPr/>
        <w:t> </w:t>
      </w:r>
      <w:r>
        <w:rPr>
          <w:spacing w:val="-1"/>
        </w:rPr>
        <w:t>业体系。</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spacing w:val="-8"/>
        </w:rPr>
        <w:t>月，工信部发布《大数据标准化白皮书（</w:t>
      </w:r>
      <w:r>
        <w:rPr>
          <w:rFonts w:ascii="Times New Roman" w:hAnsi="Times New Roman" w:cs="Times New Roman" w:eastAsia="Times New Roman" w:hint="default"/>
          <w:spacing w:val="-8"/>
        </w:rPr>
        <w:t>2018</w:t>
      </w:r>
      <w:r>
        <w:rPr>
          <w:spacing w:val="-8"/>
        </w:rPr>
        <w:t>）》，更新了大数据政策，分</w:t>
      </w:r>
      <w:r>
        <w:rPr/>
        <w:t> 析了大数据发展的最新趋势和重点领域的应用实践，完善了大数据标准体系。随后各省、市</w:t>
      </w:r>
    </w:p>
    <w:p>
      <w:pPr>
        <w:spacing w:after="0" w:line="338"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48" w:lineRule="auto" w:before="26"/>
        <w:ind w:right="997"/>
        <w:jc w:val="left"/>
      </w:pPr>
      <w:r>
        <w:rPr>
          <w:spacing w:val="-3"/>
        </w:rPr>
        <w:t>陆续出台《大数据产业发展三年行动计划》，旨在抢抓大数据产业发展重要机遇，落实</w:t>
      </w:r>
      <w:r>
        <w:rPr>
          <w:rFonts w:ascii="Times New Roman" w:hAnsi="Times New Roman" w:cs="Times New Roman" w:eastAsia="Times New Roman" w:hint="default"/>
          <w:spacing w:val="-3"/>
        </w:rPr>
        <w:t>“</w:t>
      </w:r>
      <w:r>
        <w:rPr>
          <w:spacing w:val="-3"/>
        </w:rPr>
        <w:t>国家</w:t>
      </w:r>
      <w:r>
        <w:rPr>
          <w:spacing w:val="-118"/>
        </w:rPr>
        <w:t> </w:t>
      </w:r>
      <w:r>
        <w:rPr/>
        <w:t>大数据战略</w:t>
      </w:r>
      <w:r>
        <w:rPr>
          <w:rFonts w:ascii="Times New Roman" w:hAnsi="Times New Roman" w:cs="Times New Roman" w:eastAsia="Times New Roman" w:hint="default"/>
        </w:rPr>
        <w:t>”</w:t>
      </w:r>
      <w:r>
        <w:rPr/>
        <w:t>，加快推进大数据产业发展壮大。海量数据的产生、获取、挖掘、整合和分析，</w:t>
      </w:r>
      <w:r>
        <w:rPr>
          <w:spacing w:val="-81"/>
        </w:rPr>
        <w:t> </w:t>
      </w:r>
      <w:r>
        <w:rPr>
          <w:spacing w:val="-81"/>
        </w:rPr>
      </w:r>
      <w:r>
        <w:rPr/>
        <w:t>慢慢展现着背后巨大的商业价值，随着大数据技术在不同场景的成功应用，不仅能为传统企 业带来了升级转型，也重构了很多行业的商业思维和商业模式。人类社会有超过</w:t>
      </w:r>
      <w:r>
        <w:rPr>
          <w:spacing w:val="-60"/>
        </w:rPr>
        <w:t> </w:t>
      </w:r>
      <w:r>
        <w:rPr>
          <w:rFonts w:ascii="Times New Roman" w:hAnsi="Times New Roman" w:cs="Times New Roman" w:eastAsia="Times New Roman" w:hint="default"/>
        </w:rPr>
        <w:t>80%</w:t>
      </w:r>
      <w:r>
        <w:rPr/>
        <w:t>的信息 与空间位置相关，地理信息行业作为信息产业的重要分支，与大数据有着原生的关联关系。 在国家实施大数据战略背景下，挖掘地理空间信息大数据的内在价值，是未来产业探索的重 要方向，也为地理信息企业打开了新的市场空间。</w:t>
      </w:r>
    </w:p>
    <w:p>
      <w:pPr>
        <w:pStyle w:val="BodyText"/>
        <w:spacing w:line="345" w:lineRule="auto" w:before="46"/>
        <w:ind w:right="1114" w:firstLine="480"/>
        <w:jc w:val="left"/>
      </w:pPr>
      <w:r>
        <w:rPr/>
        <w:t>随着大数据时代的到来，大数据将驱动工业、农业、服务业的创新革命，引领产业创新 驱动与转型升级。公司针对贯穿空间大数据全过程各个环节实现技术创新，将大数据存储管 理、大数据空间分析和大数据实时流处理等技术与</w:t>
      </w:r>
      <w:r>
        <w:rPr>
          <w:spacing w:val="-74"/>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4"/>
        </w:rPr>
        <w:t> </w:t>
      </w:r>
      <w:r>
        <w:rPr>
          <w:rFonts w:ascii="Times New Roman" w:hAnsi="Times New Roman" w:cs="Times New Roman" w:eastAsia="Times New Roman" w:hint="default"/>
        </w:rPr>
        <w:t>GIS</w:t>
      </w:r>
      <w:r>
        <w:rPr>
          <w:rFonts w:ascii="Times New Roman" w:hAnsi="Times New Roman" w:cs="Times New Roman" w:eastAsia="Times New Roman" w:hint="default"/>
          <w:spacing w:val="-13"/>
        </w:rPr>
        <w:t> </w:t>
      </w:r>
      <w:r>
        <w:rPr>
          <w:spacing w:val="-4"/>
        </w:rPr>
        <w:t>技术深度融合，全面扩展对</w:t>
      </w:r>
      <w:r>
        <w:rPr/>
        <w:t> 大数据的支持能力，形成了全新的空间大数据</w:t>
      </w:r>
      <w:r>
        <w:rPr>
          <w:spacing w:val="-77"/>
        </w:rPr>
        <w:t> </w:t>
      </w:r>
      <w:r>
        <w:rPr>
          <w:rFonts w:ascii="Times New Roman" w:hAnsi="Times New Roman" w:cs="Times New Roman" w:eastAsia="Times New Roman" w:hint="default"/>
        </w:rPr>
        <w:t>GIS</w:t>
      </w:r>
      <w:r>
        <w:rPr>
          <w:rFonts w:ascii="Times New Roman" w:hAnsi="Times New Roman" w:cs="Times New Roman" w:eastAsia="Times New Roman" w:hint="default"/>
          <w:spacing w:val="27"/>
        </w:rPr>
        <w:t> </w:t>
      </w:r>
      <w:r>
        <w:rPr/>
        <w:t>技术体系。在测绘领域，公司在海量空间 数据的基础上，构建以</w:t>
      </w:r>
      <w:r>
        <w:rPr>
          <w:spacing w:val="-61"/>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9D</w:t>
      </w:r>
      <w:r>
        <w:rPr>
          <w:rFonts w:ascii="Times New Roman" w:hAnsi="Times New Roman" w:cs="Times New Roman" w:eastAsia="Times New Roman" w:hint="default"/>
          <w:spacing w:val="-2"/>
        </w:rPr>
        <w:t> </w:t>
      </w:r>
      <w:r>
        <w:rPr/>
        <w:t>为基础平台的四川省测绘大数据应用平台，云南地质大 数据麒麟区服务平台等，运用云计算、分布式存储和分布式计算等现代信息技术，实现从传 </w:t>
      </w:r>
      <w:r>
        <w:rPr>
          <w:spacing w:val="-5"/>
        </w:rPr>
        <w:t>统提供数据的方式到大数据数据共享与应用的重大转变。在公安领域，目前 </w:t>
      </w:r>
      <w:r>
        <w:rPr>
          <w:rFonts w:ascii="Times New Roman" w:hAnsi="Times New Roman" w:cs="Times New Roman" w:eastAsia="Times New Roman" w:hint="default"/>
        </w:rPr>
        <w:t>SuperMap GIS</w:t>
      </w:r>
      <w:r>
        <w:rPr>
          <w:rFonts w:ascii="Times New Roman" w:hAnsi="Times New Roman" w:cs="Times New Roman" w:eastAsia="Times New Roman" w:hint="default"/>
          <w:spacing w:val="-36"/>
        </w:rPr>
        <w:t> </w:t>
      </w:r>
      <w:r>
        <w:rPr>
          <w:rFonts w:ascii="Times New Roman" w:hAnsi="Times New Roman" w:cs="Times New Roman" w:eastAsia="Times New Roman" w:hint="default"/>
        </w:rPr>
        <w:t>9D</w:t>
      </w:r>
      <w:r>
        <w:rPr>
          <w:rFonts w:ascii="Times New Roman" w:hAnsi="Times New Roman" w:cs="Times New Roman" w:eastAsia="Times New Roman" w:hint="default"/>
          <w:w w:val="99"/>
        </w:rPr>
        <w:t> </w:t>
      </w:r>
      <w:r>
        <w:rPr/>
        <w:t>系列产品已经在安徽省公安厅</w:t>
      </w:r>
      <w:r>
        <w:rPr>
          <w:rFonts w:ascii="Times New Roman" w:hAnsi="Times New Roman" w:cs="Times New Roman" w:eastAsia="Times New Roman" w:hint="default"/>
        </w:rPr>
        <w:t>“</w:t>
      </w:r>
      <w:r>
        <w:rPr/>
        <w:t>皖警智云</w:t>
      </w:r>
      <w:r>
        <w:rPr>
          <w:rFonts w:ascii="Times New Roman" w:hAnsi="Times New Roman" w:cs="Times New Roman" w:eastAsia="Times New Roman" w:hint="default"/>
        </w:rPr>
        <w:t>”</w:t>
      </w:r>
      <w:r>
        <w:rPr/>
        <w:t>项目中得到深入应用，基于公安数据与社会数据融 合的大数据分析研判，有效提升公安工作智能化水平，以最大限度地解放基层警力，提高公 安核心战斗力。在交通领域，公司参与了多地交规院平台建设，实现了</w:t>
      </w:r>
      <w:r>
        <w:rPr>
          <w:spacing w:val="-59"/>
        </w:rPr>
        <w:t> </w:t>
      </w:r>
      <w:r>
        <w:rPr>
          <w:rFonts w:ascii="Times New Roman" w:hAnsi="Times New Roman" w:cs="Times New Roman" w:eastAsia="Times New Roman" w:hint="default"/>
        </w:rPr>
        <w:t>PB</w:t>
      </w:r>
      <w:r>
        <w:rPr>
          <w:rFonts w:ascii="Times New Roman" w:hAnsi="Times New Roman" w:cs="Times New Roman" w:eastAsia="Times New Roman" w:hint="default"/>
          <w:spacing w:val="-2"/>
        </w:rPr>
        <w:t> </w:t>
      </w:r>
      <w:r>
        <w:rPr/>
        <w:t>级别海量数据的 实时动态监测分析。在生态环保领域，公司建设了环保部生态大数据管理平台一期、二期， 同时结合生态环境部</w:t>
      </w:r>
      <w:r>
        <w:rPr>
          <w:spacing w:val="-74"/>
        </w:rPr>
        <w:t> </w:t>
      </w:r>
      <w:r>
        <w:rPr>
          <w:rFonts w:ascii="Times New Roman" w:hAnsi="Times New Roman" w:cs="Times New Roman" w:eastAsia="Times New Roman" w:hint="default"/>
        </w:rPr>
        <w:t>2017-2018</w:t>
      </w:r>
      <w:r>
        <w:rPr>
          <w:rFonts w:ascii="Times New Roman" w:hAnsi="Times New Roman" w:cs="Times New Roman" w:eastAsia="Times New Roman" w:hint="default"/>
          <w:spacing w:val="-14"/>
        </w:rPr>
        <w:t> </w:t>
      </w:r>
      <w:r>
        <w:rPr/>
        <w:t>年印发的《</w:t>
      </w:r>
      <w:r>
        <w:rPr>
          <w:rFonts w:ascii="Times New Roman" w:hAnsi="Times New Roman" w:cs="Times New Roman" w:eastAsia="Times New Roman" w:hint="default"/>
        </w:rPr>
        <w:t>“</w:t>
      </w:r>
      <w:r>
        <w:rPr/>
        <w:t>生态保护红线、环境质量底线、资源利用上线和 </w:t>
      </w:r>
      <w:r>
        <w:rPr>
          <w:spacing w:val="-14"/>
          <w:w w:val="100"/>
        </w:rPr>
        <w:t>环境准入负面清单</w:t>
      </w:r>
      <w:r>
        <w:rPr>
          <w:rFonts w:ascii="Times New Roman" w:hAnsi="Times New Roman" w:cs="Times New Roman" w:eastAsia="Times New Roman" w:hint="default"/>
          <w:spacing w:val="-14"/>
          <w:w w:val="100"/>
        </w:rPr>
        <w:t>”</w:t>
      </w:r>
      <w:r>
        <w:rPr>
          <w:spacing w:val="-14"/>
          <w:w w:val="100"/>
        </w:rPr>
        <w:t>编制技术指南（试行）》、《</w:t>
      </w:r>
      <w:r>
        <w:rPr>
          <w:rFonts w:ascii="Times New Roman" w:hAnsi="Times New Roman" w:cs="Times New Roman" w:eastAsia="Times New Roman" w:hint="default"/>
          <w:spacing w:val="-14"/>
          <w:w w:val="100"/>
        </w:rPr>
        <w:t>“</w:t>
      </w:r>
      <w:r>
        <w:rPr>
          <w:spacing w:val="-14"/>
          <w:w w:val="100"/>
        </w:rPr>
        <w:t>三线一单</w:t>
      </w:r>
      <w:r>
        <w:rPr>
          <w:rFonts w:ascii="Times New Roman" w:hAnsi="Times New Roman" w:cs="Times New Roman" w:eastAsia="Times New Roman" w:hint="default"/>
          <w:spacing w:val="-14"/>
          <w:w w:val="100"/>
        </w:rPr>
        <w:t>”</w:t>
      </w:r>
      <w:r>
        <w:rPr>
          <w:spacing w:val="-14"/>
          <w:w w:val="100"/>
        </w:rPr>
        <w:t>数据共享系统建设工作方案》、《生</w:t>
      </w:r>
      <w:r>
        <w:rPr>
          <w:spacing w:val="-106"/>
          <w:w w:val="100"/>
        </w:rPr>
        <w:t> </w:t>
      </w:r>
      <w:r>
        <w:rPr>
          <w:spacing w:val="-106"/>
          <w:w w:val="100"/>
        </w:rPr>
      </w:r>
      <w:r>
        <w:rPr>
          <w:spacing w:val="-6"/>
          <w:w w:val="100"/>
        </w:rPr>
        <w:t>态环境信息基本数据集编制规范》，率先构建了</w:t>
      </w:r>
      <w:r>
        <w:rPr>
          <w:rFonts w:ascii="Times New Roman" w:hAnsi="Times New Roman" w:cs="Times New Roman" w:eastAsia="Times New Roman" w:hint="default"/>
          <w:spacing w:val="-6"/>
          <w:w w:val="100"/>
        </w:rPr>
        <w:t>“</w:t>
      </w:r>
      <w:r>
        <w:rPr>
          <w:spacing w:val="-6"/>
          <w:w w:val="100"/>
        </w:rPr>
        <w:t>三线一单</w:t>
      </w:r>
      <w:r>
        <w:rPr>
          <w:rFonts w:ascii="Times New Roman" w:hAnsi="Times New Roman" w:cs="Times New Roman" w:eastAsia="Times New Roman" w:hint="default"/>
          <w:spacing w:val="-6"/>
          <w:w w:val="100"/>
        </w:rPr>
        <w:t>”</w:t>
      </w:r>
      <w:r>
        <w:rPr>
          <w:spacing w:val="-6"/>
          <w:w w:val="100"/>
        </w:rPr>
        <w:t>数据应用平台</w:t>
      </w:r>
      <w:r>
        <w:rPr>
          <w:spacing w:val="-42"/>
          <w:w w:val="100"/>
        </w:rPr>
        <w:t> </w:t>
      </w:r>
      <w:r>
        <w:rPr>
          <w:rFonts w:ascii="Times New Roman" w:hAnsi="Times New Roman" w:cs="Times New Roman" w:eastAsia="Times New Roman" w:hint="default"/>
          <w:spacing w:val="-5"/>
        </w:rPr>
        <w:t>V1.0</w:t>
      </w:r>
      <w:r>
        <w:rPr>
          <w:spacing w:val="-5"/>
        </w:rPr>
        <w:t>，可以实现成果</w:t>
      </w:r>
      <w:r>
        <w:rPr>
          <w:spacing w:val="-117"/>
        </w:rPr>
        <w:t> </w:t>
      </w:r>
      <w:r>
        <w:rPr>
          <w:spacing w:val="-117"/>
        </w:rPr>
      </w:r>
      <w:r>
        <w:rPr/>
        <w:t>数据管理与共享、智能研判分析等功能。在农业领域，公司建设了中国农业科学院农业大数 据集成共享平台、中科院农业气象灾害预警大数据管理系统、内蒙古草原农业生态大数据平 台、河南省农业大数据</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项目等，保障了农业生产安全，促进了新农业生产方式的变化， 提高农业生产效率。</w:t>
      </w:r>
    </w:p>
    <w:p>
      <w:pPr>
        <w:pStyle w:val="BodyText"/>
        <w:spacing w:line="338" w:lineRule="auto" w:before="48"/>
        <w:ind w:right="1120" w:firstLine="480"/>
        <w:jc w:val="left"/>
      </w:pPr>
      <w:r>
        <w:rPr/>
        <w:t>未来公司将持续加强在大数据</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技术方面的研发和创新，将大数据</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技术的应用辐 射到更多行业和领域，赋能全新的应用价值。</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Heading2"/>
        <w:spacing w:line="240" w:lineRule="auto" w:before="26"/>
        <w:ind w:right="0"/>
        <w:jc w:val="both"/>
        <w:rPr>
          <w:b w:val="0"/>
          <w:bCs w:val="0"/>
        </w:rPr>
      </w:pPr>
      <w:r>
        <w:rPr>
          <w:rFonts w:ascii="Times New Roman" w:hAnsi="Times New Roman" w:cs="Times New Roman" w:eastAsia="Times New Roman" w:hint="default"/>
          <w:spacing w:val="2"/>
        </w:rPr>
        <w:t>3</w:t>
      </w:r>
      <w:r>
        <w:rPr>
          <w:spacing w:val="2"/>
        </w:rPr>
        <w:t>、公司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spacing w:val="3"/>
        </w:rPr>
        <w:t>年主要经营计划</w:t>
      </w:r>
      <w:r>
        <w:rPr>
          <w:b w:val="0"/>
          <w:bCs w:val="0"/>
          <w:spacing w:val="3"/>
        </w:rPr>
      </w:r>
    </w:p>
    <w:p>
      <w:pPr>
        <w:spacing w:line="240" w:lineRule="auto" w:before="4"/>
        <w:rPr>
          <w:rFonts w:ascii="宋体" w:hAnsi="宋体" w:cs="宋体" w:eastAsia="宋体" w:hint="default"/>
          <w:b/>
          <w:bCs/>
          <w:sz w:val="33"/>
          <w:szCs w:val="33"/>
        </w:rPr>
      </w:pPr>
    </w:p>
    <w:p>
      <w:pPr>
        <w:spacing w:line="367" w:lineRule="auto" w:before="0"/>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）把握改革战略机遇，迈向地理信息产业跨越式发展新起点</w:t>
      </w:r>
      <w:r>
        <w:rPr>
          <w:rFonts w:ascii="宋体" w:hAnsi="宋体" w:cs="宋体" w:eastAsia="宋体" w:hint="default"/>
          <w:b/>
          <w:bCs/>
          <w:w w:val="99"/>
          <w:sz w:val="24"/>
          <w:szCs w:val="24"/>
        </w:rPr>
        <w:t> </w:t>
      </w:r>
      <w:r>
        <w:rPr>
          <w:rFonts w:ascii="宋体" w:hAnsi="宋体" w:cs="宋体" w:eastAsia="宋体" w:hint="default"/>
          <w:sz w:val="24"/>
          <w:szCs w:val="24"/>
        </w:rPr>
        <w:t>把握机构改革机遇：公司将根据自然资源管理的最新标准和技术要求，利用在不动产登</w:t>
      </w:r>
    </w:p>
    <w:p>
      <w:pPr>
        <w:pStyle w:val="BodyText"/>
        <w:spacing w:line="357" w:lineRule="auto" w:before="26"/>
        <w:ind w:right="1170"/>
        <w:jc w:val="both"/>
      </w:pPr>
      <w:r>
        <w:rPr/>
        <w:t>记、国土调查、国土管理等领域积累的经验，充分发挥公司自然资源调查、确权、规划、开 发、利用、保护、监督等全流程链条的独到优势，升级并整合集团各专业解决方案，探索三 维自然资源管理新模式，准备自然资源登记和自然资源调查，不断提升产品和服务竞争力， 巩固并扩展自然资源管理的市场份额。</w:t>
      </w:r>
    </w:p>
    <w:p>
      <w:pPr>
        <w:pStyle w:val="BodyText"/>
        <w:spacing w:line="350" w:lineRule="auto" w:before="75"/>
        <w:ind w:right="1144" w:firstLine="480"/>
        <w:jc w:val="both"/>
      </w:pPr>
      <w:r>
        <w:rPr/>
        <w:t>紧抓自主可控的战略机遇：公司将进一步加大安全可靠业务布局，积极组织研发力量， 着力研发基于自主的</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操作系统、数据库、中间件解决方案，构建安全可靠研发、测试、 应用平台，助力国家党政机关</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相关安全可控平台的升级或更换。同时随着党政国产化替 代市场的集中爆发，公司将利用遍布全国的销售渠道和服务渠道，进一步加强与各地合作伙 伴的市场合作，实现安全可靠市场机会的快速落单。同时加强与高校、研究所、安全可靠产 业链伙伴一起深入合作，进行深入技术研究和探索，为安全可靠技术更广泛的行业应用奠定 基础。</w:t>
      </w:r>
    </w:p>
    <w:p>
      <w:pPr>
        <w:pStyle w:val="BodyText"/>
        <w:spacing w:line="357" w:lineRule="auto" w:before="84"/>
        <w:ind w:right="1132" w:firstLine="480"/>
        <w:jc w:val="both"/>
      </w:pPr>
      <w:r>
        <w:rPr/>
        <w:t>此外，面对从二维到三维的大升级时代机遇，公司将进一步发挥核心技术优势，完善基 </w:t>
      </w:r>
      <w:r>
        <w:rPr>
          <w:spacing w:val="-5"/>
        </w:rPr>
        <w:t>于三维的地理设计、城市管理、自然资源管理、生态环境保护和治理、智慧园区和楼宇管理、</w:t>
      </w:r>
      <w:r>
        <w:rPr/>
        <w:t> 军事应用解决方案，为从二维到三维的大升级提供技术支撑技术，全面提升三维信息化支撑 和服务能力。</w:t>
      </w:r>
    </w:p>
    <w:p>
      <w:pPr>
        <w:spacing w:line="364" w:lineRule="auto" w:before="77"/>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）加速推进国际化战略，强化新兴增长点</w:t>
      </w:r>
      <w:r>
        <w:rPr>
          <w:rFonts w:ascii="宋体" w:hAnsi="宋体" w:cs="宋体" w:eastAsia="宋体" w:hint="default"/>
          <w:b/>
          <w:bCs/>
          <w:w w:val="99"/>
          <w:sz w:val="24"/>
          <w:szCs w:val="24"/>
        </w:rPr>
        <w:t> </w:t>
      </w:r>
      <w:r>
        <w:rPr>
          <w:rFonts w:ascii="宋体" w:hAnsi="宋体" w:cs="宋体" w:eastAsia="宋体" w:hint="default"/>
          <w:sz w:val="24"/>
          <w:szCs w:val="24"/>
        </w:rPr>
        <w:t>公司将加速推进国际化战略，并采取一系列措施着力提高公司的品牌知名度，打造全球</w:t>
      </w:r>
    </w:p>
    <w:p>
      <w:pPr>
        <w:pStyle w:val="BodyText"/>
        <w:spacing w:line="348" w:lineRule="auto" w:before="29"/>
        <w:ind w:right="1132"/>
        <w:jc w:val="both"/>
      </w:pPr>
      <w:r>
        <w:rPr/>
        <w:t>知名</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企业品牌。公司将进一步加强国家化人才队伍建设，继续引进海外人才，营造外语 学习氛围，实现团队的国际化建设；持续参加大型国际市场活动，如德国国际大地测量学和 </w:t>
      </w:r>
      <w:r>
        <w:rPr>
          <w:spacing w:val="-8"/>
          <w:w w:val="99"/>
        </w:rPr>
        <w:t>地球信息技术展（</w:t>
      </w:r>
      <w:r>
        <w:rPr>
          <w:rFonts w:ascii="Times New Roman" w:hAnsi="Times New Roman" w:cs="Times New Roman" w:eastAsia="Times New Roman" w:hint="default"/>
          <w:spacing w:val="-8"/>
          <w:w w:val="99"/>
        </w:rPr>
        <w:t>InterGeo</w:t>
      </w:r>
      <w:r>
        <w:rPr>
          <w:spacing w:val="-8"/>
          <w:w w:val="99"/>
        </w:rPr>
        <w:t>），联合国地理信息大会等，增强品牌的影响力；整合互联网传播，</w:t>
      </w:r>
      <w:r>
        <w:rPr>
          <w:spacing w:val="-89"/>
          <w:w w:val="99"/>
        </w:rPr>
        <w:t> </w:t>
      </w:r>
      <w:r>
        <w:rPr>
          <w:spacing w:val="-89"/>
          <w:w w:val="99"/>
        </w:rPr>
      </w:r>
      <w:r>
        <w:rPr/>
        <w:t>并充分利用公司多年积累的行业解决方案优势和技术优势，积极开拓海外市场，深挖客户需 求，强化新兴增长点，为公司全面协调可持续发展积蓄力量。</w:t>
      </w:r>
    </w:p>
    <w:p>
      <w:pPr>
        <w:spacing w:line="367" w:lineRule="auto" w:before="86"/>
        <w:ind w:left="633" w:right="111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）全新发布</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SuperMap</w:t>
      </w:r>
      <w:r>
        <w:rPr>
          <w:rFonts w:ascii="Times New Roman" w:hAnsi="Times New Roman" w:cs="Times New Roman" w:eastAsia="Times New Roman" w:hint="default"/>
          <w:b/>
          <w:bCs/>
          <w:spacing w:val="-1"/>
          <w:sz w:val="24"/>
          <w:szCs w:val="24"/>
        </w:rPr>
        <w:t> </w:t>
      </w:r>
      <w:r>
        <w:rPr>
          <w:rFonts w:ascii="Times New Roman" w:hAnsi="Times New Roman" w:cs="Times New Roman" w:eastAsia="Times New Roman" w:hint="default"/>
          <w:b/>
          <w:bCs/>
          <w:sz w:val="24"/>
          <w:szCs w:val="24"/>
        </w:rPr>
        <w:t>GIS</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新版本产品，创新</w:t>
      </w:r>
      <w:r>
        <w:rPr>
          <w:rFonts w:ascii="宋体" w:hAnsi="宋体" w:cs="宋体" w:eastAsia="宋体" w:hint="default"/>
          <w:b/>
          <w:bCs/>
          <w:spacing w:val="-59"/>
          <w:sz w:val="24"/>
          <w:szCs w:val="24"/>
        </w:rPr>
        <w:t> </w:t>
      </w:r>
      <w:r>
        <w:rPr>
          <w:rFonts w:ascii="Times New Roman" w:hAnsi="Times New Roman" w:cs="Times New Roman" w:eastAsia="Times New Roman" w:hint="default"/>
          <w:b/>
          <w:bCs/>
          <w:sz w:val="24"/>
          <w:szCs w:val="24"/>
        </w:rPr>
        <w:t>IT</w:t>
      </w:r>
      <w:r>
        <w:rPr>
          <w:rFonts w:ascii="Times New Roman" w:hAnsi="Times New Roman" w:cs="Times New Roman" w:eastAsia="Times New Roman" w:hint="default"/>
          <w:b/>
          <w:bCs/>
          <w:spacing w:val="-3"/>
          <w:sz w:val="24"/>
          <w:szCs w:val="24"/>
        </w:rPr>
        <w:t> </w:t>
      </w:r>
      <w:r>
        <w:rPr>
          <w:rFonts w:ascii="宋体" w:hAnsi="宋体" w:cs="宋体" w:eastAsia="宋体" w:hint="default"/>
          <w:b/>
          <w:bCs/>
          <w:sz w:val="24"/>
          <w:szCs w:val="24"/>
        </w:rPr>
        <w:t>价值再升级</w:t>
      </w:r>
      <w:r>
        <w:rPr>
          <w:rFonts w:ascii="宋体" w:hAnsi="宋体" w:cs="宋体" w:eastAsia="宋体" w:hint="default"/>
          <w:b/>
          <w:bCs/>
          <w:w w:val="99"/>
          <w:sz w:val="24"/>
          <w:szCs w:val="24"/>
        </w:rPr>
        <w:t> </w:t>
      </w:r>
      <w:r>
        <w:rPr>
          <w:rFonts w:ascii="宋体" w:hAnsi="宋体" w:cs="宋体" w:eastAsia="宋体" w:hint="default"/>
          <w:spacing w:val="-6"/>
          <w:sz w:val="24"/>
          <w:szCs w:val="24"/>
        </w:rPr>
        <w:t>公司将积极组织研发工作，进一步完善公司产品，对现有的平台软件产品进行全新升级，</w:t>
      </w:r>
    </w:p>
    <w:p>
      <w:pPr>
        <w:pStyle w:val="BodyText"/>
        <w:spacing w:line="240" w:lineRule="auto" w:before="26"/>
        <w:ind w:right="0"/>
        <w:jc w:val="both"/>
      </w:pPr>
      <w:r>
        <w:rPr/>
        <w:t>发布</w:t>
      </w:r>
      <w:r>
        <w:rPr>
          <w:spacing w:val="-69"/>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9"/>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新版本，新版本将在分布式</w:t>
      </w:r>
      <w:r>
        <w:rPr>
          <w:spacing w:val="-69"/>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内核、云原生</w:t>
      </w:r>
      <w:r>
        <w:rPr>
          <w:spacing w:val="-69"/>
        </w:rPr>
        <w:t> </w:t>
      </w:r>
      <w:r>
        <w:rPr>
          <w:rFonts w:ascii="Times New Roman" w:hAnsi="Times New Roman" w:cs="Times New Roman" w:eastAsia="Times New Roman" w:hint="default"/>
        </w:rPr>
        <w:t>GIS</w:t>
      </w:r>
      <w:r>
        <w:rPr/>
        <w:t>、边缘计算</w:t>
      </w:r>
      <w:r>
        <w:rPr>
          <w:spacing w:val="-69"/>
        </w:rPr>
        <w:t> </w:t>
      </w:r>
      <w:r>
        <w:rPr>
          <w:rFonts w:ascii="Times New Roman" w:hAnsi="Times New Roman" w:cs="Times New Roman" w:eastAsia="Times New Roman" w:hint="default"/>
        </w:rPr>
        <w:t>GIS</w:t>
      </w:r>
      <w:r>
        <w:rPr/>
        <w:t>、三维</w:t>
      </w:r>
    </w:p>
    <w:p>
      <w:pPr>
        <w:spacing w:after="0" w:line="240"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both"/>
      </w:pPr>
      <w:r>
        <w:rPr/>
        <w:t>技术方面进一步升级完善。</w:t>
      </w:r>
    </w:p>
    <w:p>
      <w:pPr>
        <w:pStyle w:val="Heading2"/>
        <w:spacing w:line="240" w:lineRule="auto" w:before="194"/>
        <w:ind w:left="635" w:right="1273"/>
        <w:jc w:val="left"/>
        <w:rPr>
          <w:b w:val="0"/>
          <w:bCs w:val="0"/>
        </w:rPr>
      </w:pPr>
      <w:r>
        <w:rPr/>
        <w:t>（</w:t>
      </w:r>
      <w:r>
        <w:rPr>
          <w:rFonts w:ascii="Times New Roman" w:hAnsi="Times New Roman" w:cs="Times New Roman" w:eastAsia="Times New Roman" w:hint="default"/>
        </w:rPr>
        <w:t>4</w:t>
      </w:r>
      <w:r>
        <w:rPr/>
        <w:t>）打造</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通用应用框架，探索集团协同研发新模式</w:t>
      </w:r>
      <w:r>
        <w:rPr>
          <w:b w:val="0"/>
          <w:bCs w:val="0"/>
        </w:rPr>
      </w:r>
    </w:p>
    <w:p>
      <w:pPr>
        <w:pStyle w:val="BodyText"/>
        <w:spacing w:line="348" w:lineRule="auto" w:before="174"/>
        <w:ind w:right="1132" w:firstLine="480"/>
        <w:jc w:val="both"/>
      </w:pPr>
      <w:r>
        <w:rPr/>
        <w:t>随着</w:t>
      </w:r>
      <w:r>
        <w:rPr>
          <w:spacing w:val="-69"/>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2"/>
        </w:rPr>
        <w:t> </w:t>
      </w:r>
      <w:r>
        <w:rPr/>
        <w:t>技术日新月异，</w:t>
      </w:r>
      <w:r>
        <w:rPr>
          <w:rFonts w:ascii="Times New Roman" w:hAnsi="Times New Roman" w:cs="Times New Roman" w:eastAsia="Times New Roman" w:hint="default"/>
        </w:rPr>
        <w:t>GIS</w:t>
      </w:r>
      <w:r>
        <w:rPr>
          <w:rFonts w:ascii="Times New Roman" w:hAnsi="Times New Roman" w:cs="Times New Roman" w:eastAsia="Times New Roman" w:hint="default"/>
          <w:spacing w:val="-10"/>
        </w:rPr>
        <w:t> </w:t>
      </w:r>
      <w:r>
        <w:rPr/>
        <w:t>技术也随之迅猛发展，为了持续加强各子公司之间的研发整 合并放大协同效应，公司将打造</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通用应用框架，探索集团协同研发新模式，进一步优化 资源配置，打破部门壁垒，实现技术、产品等资源共享，实现集团内各子公司联合研发，避 免重复的研发投入，实现降费增效，从而进一步提升组织的研发效率和创新能力，促进公司 的技术升维，赋能更多的行业和应用领域。</w:t>
      </w:r>
    </w:p>
    <w:p>
      <w:pPr>
        <w:pStyle w:val="Heading2"/>
        <w:spacing w:line="240" w:lineRule="auto" w:before="86"/>
        <w:ind w:left="635" w:right="1273"/>
        <w:jc w:val="left"/>
        <w:rPr>
          <w:b w:val="0"/>
          <w:bCs w:val="0"/>
        </w:rPr>
      </w:pPr>
      <w:r>
        <w:rPr/>
        <w:t>（</w:t>
      </w:r>
      <w:r>
        <w:rPr>
          <w:rFonts w:ascii="Times New Roman" w:hAnsi="Times New Roman" w:cs="Times New Roman" w:eastAsia="Times New Roman" w:hint="default"/>
        </w:rPr>
        <w:t>5</w:t>
      </w:r>
      <w:r>
        <w:rPr/>
        <w:t>）升级</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教育战略，助力地信人才培养</w:t>
      </w:r>
      <w:r>
        <w:rPr>
          <w:b w:val="0"/>
          <w:bCs w:val="0"/>
        </w:rPr>
      </w:r>
    </w:p>
    <w:p>
      <w:pPr>
        <w:pStyle w:val="BodyText"/>
        <w:spacing w:line="338" w:lineRule="auto" w:before="177"/>
        <w:ind w:right="1129" w:firstLine="480"/>
        <w:jc w:val="both"/>
      </w:pPr>
      <w:r>
        <w:rPr/>
        <w:t>公司长期关注中国</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教育，已经连续</w:t>
      </w:r>
      <w:r>
        <w:rPr>
          <w:spacing w:val="-6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年举办全国高校</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大赛，连续多年举办</w:t>
      </w:r>
      <w:r>
        <w:rPr>
          <w:rFonts w:ascii="Times New Roman" w:hAnsi="Times New Roman" w:cs="Times New Roman" w:eastAsia="Times New Roman" w:hint="default"/>
        </w:rPr>
        <w:t>“</w:t>
      </w:r>
      <w:r>
        <w:rPr/>
        <w:t>全 国高校教师 </w:t>
      </w:r>
      <w:r>
        <w:rPr>
          <w:rFonts w:ascii="Times New Roman" w:hAnsi="Times New Roman" w:cs="Times New Roman" w:eastAsia="Times New Roman" w:hint="default"/>
        </w:rPr>
        <w:t>GIS </w:t>
      </w:r>
      <w:r>
        <w:rPr/>
        <w:t>技术研讨班</w:t>
      </w:r>
      <w:r>
        <w:rPr>
          <w:rFonts w:ascii="Times New Roman" w:hAnsi="Times New Roman" w:cs="Times New Roman" w:eastAsia="Times New Roman" w:hint="default"/>
        </w:rPr>
        <w:t>”</w:t>
      </w:r>
      <w:r>
        <w:rPr/>
        <w:t>和全国高校 </w:t>
      </w:r>
      <w:r>
        <w:rPr>
          <w:rFonts w:ascii="Times New Roman" w:hAnsi="Times New Roman" w:cs="Times New Roman" w:eastAsia="Times New Roman" w:hint="default"/>
        </w:rPr>
        <w:t>GIS</w:t>
      </w:r>
      <w:r>
        <w:rPr>
          <w:rFonts w:ascii="Times New Roman" w:hAnsi="Times New Roman" w:cs="Times New Roman" w:eastAsia="Times New Roman" w:hint="default"/>
          <w:spacing w:val="-7"/>
        </w:rPr>
        <w:t> </w:t>
      </w:r>
      <w:r>
        <w:rPr/>
        <w:t>节活动，积极参与组织校园讲座、校园培训、 青年教师培训、走进超图等活动，创建高校</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云实验室。公司将在原来的基础上升级公司 的</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教育战略，积极携手相关机构和高校，多维度搭建针对</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人才的创新培育环境，升 级</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大赛，催生更高质量的作品；研发</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教学材料，组织编写教材、实验教材、开发慕 课，升级云上 </w:t>
      </w:r>
      <w:r>
        <w:rPr>
          <w:rFonts w:ascii="Times New Roman" w:hAnsi="Times New Roman" w:cs="Times New Roman" w:eastAsia="Times New Roman" w:hint="default"/>
        </w:rPr>
        <w:t>GIS </w:t>
      </w:r>
      <w:r>
        <w:rPr/>
        <w:t>实验室，同时开发教育专用软件，发布教育版 </w:t>
      </w:r>
      <w:r>
        <w:rPr>
          <w:rFonts w:ascii="Times New Roman" w:hAnsi="Times New Roman" w:cs="Times New Roman" w:eastAsia="Times New Roman" w:hint="default"/>
        </w:rPr>
        <w:t>GIS</w:t>
      </w:r>
      <w:r>
        <w:rPr>
          <w:rFonts w:ascii="Times New Roman" w:hAnsi="Times New Roman" w:cs="Times New Roman" w:eastAsia="Times New Roman" w:hint="default"/>
          <w:spacing w:val="41"/>
        </w:rPr>
        <w:t> </w:t>
      </w:r>
      <w:r>
        <w:rPr/>
        <w:t>平台。通过一系列的 </w:t>
      </w:r>
      <w:r>
        <w:rPr>
          <w:rFonts w:ascii="Times New Roman" w:hAnsi="Times New Roman" w:cs="Times New Roman" w:eastAsia="Times New Roman" w:hint="default"/>
        </w:rPr>
        <w:t>GIS </w:t>
      </w:r>
      <w:r>
        <w:rPr/>
        <w:t>教育战略升级措施，持续传递 </w:t>
      </w:r>
      <w:r>
        <w:rPr>
          <w:rFonts w:ascii="Times New Roman" w:hAnsi="Times New Roman" w:cs="Times New Roman" w:eastAsia="Times New Roman" w:hint="default"/>
        </w:rPr>
        <w:t>GIS </w:t>
      </w:r>
      <w:r>
        <w:rPr/>
        <w:t>领域最新技术和理念，助力地信产业人才培养和</w:t>
      </w:r>
      <w:r>
        <w:rPr>
          <w:spacing w:val="-51"/>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教育的发展。</w:t>
      </w:r>
    </w:p>
    <w:p>
      <w:pPr>
        <w:spacing w:line="367" w:lineRule="auto" w:before="94"/>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）数据支撑精细化管理，</w:t>
      </w:r>
      <w:r>
        <w:rPr>
          <w:rFonts w:ascii="Times New Roman" w:hAnsi="Times New Roman" w:cs="Times New Roman" w:eastAsia="Times New Roman" w:hint="default"/>
          <w:b/>
          <w:bCs/>
          <w:sz w:val="24"/>
          <w:szCs w:val="24"/>
        </w:rPr>
        <w:t>IT</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助力开源节流</w:t>
      </w:r>
      <w:r>
        <w:rPr>
          <w:rFonts w:ascii="宋体" w:hAnsi="宋体" w:cs="宋体" w:eastAsia="宋体" w:hint="default"/>
          <w:b/>
          <w:bCs/>
          <w:w w:val="99"/>
          <w:sz w:val="24"/>
          <w:szCs w:val="24"/>
        </w:rPr>
        <w:t> </w:t>
      </w:r>
      <w:r>
        <w:rPr>
          <w:rFonts w:ascii="宋体" w:hAnsi="宋体" w:cs="宋体" w:eastAsia="宋体" w:hint="default"/>
          <w:sz w:val="24"/>
          <w:szCs w:val="24"/>
        </w:rPr>
        <w:t>公司将全面推进内部信息化改革，完善信息化系统整合和数据对接，进一步夯实公司的</w:t>
      </w:r>
    </w:p>
    <w:p>
      <w:pPr>
        <w:pStyle w:val="BodyText"/>
        <w:spacing w:line="352" w:lineRule="auto" w:before="26"/>
        <w:ind w:right="1128"/>
        <w:jc w:val="both"/>
      </w:pPr>
      <w:r>
        <w:rPr/>
        <w:t>基础管控平台，包括计划执行、财务管理、人力资源管理、办公协同平台；同时加大业务精 </w:t>
      </w:r>
      <w:r>
        <w:rPr>
          <w:spacing w:val="-5"/>
        </w:rPr>
        <w:t>细化管理的支撑投入，包括知识管理、项目管理、客户关系管理、管理报表和透明采购平台；</w:t>
      </w:r>
      <w:r>
        <w:rPr/>
        <w:t> 构建监控预警、营销决策、风险预测的智能决策支持平台，从而加强公司对各板块业务全方 位、全过程、全覆盖的管控，通过数据支撑精细化管理，并有效辅助公司决策，实现</w:t>
      </w:r>
      <w:r>
        <w:rPr>
          <w:spacing w:val="-92"/>
        </w:rPr>
        <w:t> </w:t>
      </w:r>
      <w:r>
        <w:rPr>
          <w:rFonts w:ascii="Times New Roman" w:hAnsi="Times New Roman" w:cs="Times New Roman" w:eastAsia="Times New Roman" w:hint="default"/>
        </w:rPr>
        <w:t>IT</w:t>
      </w:r>
      <w:r>
        <w:rPr>
          <w:rFonts w:ascii="Times New Roman" w:hAnsi="Times New Roman" w:cs="Times New Roman" w:eastAsia="Times New Roman" w:hint="default"/>
          <w:spacing w:val="-33"/>
        </w:rPr>
        <w:t> </w:t>
      </w:r>
      <w:r>
        <w:rPr/>
        <w:t>助力</w:t>
      </w:r>
      <w:r>
        <w:rPr>
          <w:spacing w:val="2"/>
        </w:rPr>
        <w:t> </w:t>
      </w:r>
      <w:r>
        <w:rPr/>
        <w:t>开源节流。</w:t>
      </w:r>
    </w:p>
    <w:p>
      <w:pPr>
        <w:spacing w:line="364" w:lineRule="auto" w:before="8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）落实控本降费，进一步加强预算管理</w:t>
      </w:r>
      <w:r>
        <w:rPr>
          <w:rFonts w:ascii="宋体" w:hAnsi="宋体" w:cs="宋体" w:eastAsia="宋体" w:hint="default"/>
          <w:b/>
          <w:bCs/>
          <w:w w:val="99"/>
          <w:sz w:val="24"/>
          <w:szCs w:val="24"/>
        </w:rPr>
        <w:t> </w:t>
      </w:r>
      <w:r>
        <w:rPr>
          <w:rFonts w:ascii="宋体" w:hAnsi="宋体" w:cs="宋体" w:eastAsia="宋体" w:hint="default"/>
          <w:sz w:val="24"/>
          <w:szCs w:val="24"/>
        </w:rPr>
        <w:t>为了全面提高公司的管理水平和经营效率，公司将进一步加强全面预算管理，修订发布</w:t>
      </w:r>
    </w:p>
    <w:p>
      <w:pPr>
        <w:pStyle w:val="BodyText"/>
        <w:spacing w:line="357" w:lineRule="auto" w:before="29"/>
        <w:ind w:right="1131"/>
        <w:jc w:val="both"/>
      </w:pPr>
      <w:r>
        <w:rPr>
          <w:spacing w:val="-5"/>
        </w:rPr>
        <w:t>《预算管理办法》，切实强化对预算执行的跟踪、预警和管控，增加费效比考核，加强预算管</w:t>
      </w:r>
      <w:r>
        <w:rPr>
          <w:spacing w:val="-117"/>
        </w:rPr>
        <w:t> </w:t>
      </w:r>
      <w:r>
        <w:rPr>
          <w:spacing w:val="-117"/>
        </w:rPr>
      </w:r>
      <w:r>
        <w:rPr/>
        <w:t>理培训。同时为了确保降本增效实施取得实效，由财务中心牵头，合理选择降本途径，制定 合理的降本措施，从盘活资产、降低可控费用、提高费用使用效率等方面入手制定控本降费 的具体措施，每项措施均对应相应的责任单位或部门，对措施的推进时点和要求进行量化明</w:t>
      </w:r>
    </w:p>
    <w:p>
      <w:pPr>
        <w:spacing w:after="0" w:line="357"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both"/>
      </w:pPr>
      <w:r>
        <w:rPr/>
        <w:t>确。通过实施科学的控本降费措施，提升公司的经营效益和效率。</w:t>
      </w:r>
    </w:p>
    <w:p>
      <w:pPr>
        <w:spacing w:line="240" w:lineRule="auto" w:before="11"/>
        <w:rPr>
          <w:rFonts w:ascii="宋体" w:hAnsi="宋体" w:cs="宋体" w:eastAsia="宋体" w:hint="default"/>
          <w:sz w:val="34"/>
          <w:szCs w:val="34"/>
        </w:rPr>
      </w:pPr>
    </w:p>
    <w:p>
      <w:pPr>
        <w:pStyle w:val="Heading2"/>
        <w:spacing w:line="240" w:lineRule="auto"/>
        <w:ind w:right="0"/>
        <w:jc w:val="both"/>
        <w:rPr>
          <w:b w:val="0"/>
          <w:bCs w:val="0"/>
        </w:rPr>
      </w:pPr>
      <w:r>
        <w:rPr>
          <w:rFonts w:ascii="Times New Roman" w:hAnsi="Times New Roman" w:cs="Times New Roman" w:eastAsia="Times New Roman" w:hint="default"/>
          <w:spacing w:val="4"/>
        </w:rPr>
        <w:t>4</w:t>
      </w:r>
      <w:r>
        <w:rPr>
          <w:spacing w:val="4"/>
        </w:rPr>
        <w:t>、对公司未来发展战略和经营目标的实现产生不利影响的风险因素分析</w:t>
      </w:r>
      <w:r>
        <w:rPr>
          <w:b w:val="0"/>
          <w:bCs w:val="0"/>
        </w:rPr>
      </w:r>
    </w:p>
    <w:p>
      <w:pPr>
        <w:spacing w:line="240" w:lineRule="auto" w:before="2"/>
        <w:rPr>
          <w:rFonts w:ascii="宋体" w:hAnsi="宋体" w:cs="宋体" w:eastAsia="宋体" w:hint="default"/>
          <w:b/>
          <w:bCs/>
          <w:sz w:val="33"/>
          <w:szCs w:val="33"/>
        </w:rPr>
      </w:pPr>
    </w:p>
    <w:p>
      <w:pPr>
        <w:spacing w:line="338" w:lineRule="auto" w:before="0"/>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）上下半年业绩不均衡风险</w:t>
      </w:r>
      <w:r>
        <w:rPr>
          <w:rFonts w:ascii="宋体" w:hAnsi="宋体" w:cs="宋体" w:eastAsia="宋体" w:hint="default"/>
          <w:b/>
          <w:bCs/>
          <w:w w:val="99"/>
          <w:sz w:val="24"/>
          <w:szCs w:val="24"/>
        </w:rPr>
        <w:t> </w:t>
      </w:r>
      <w:r>
        <w:rPr>
          <w:rFonts w:ascii="宋体" w:hAnsi="宋体" w:cs="宋体" w:eastAsia="宋体" w:hint="default"/>
          <w:sz w:val="24"/>
          <w:szCs w:val="24"/>
        </w:rPr>
        <w:t>公司利润的实现具有明显的上下半年不均衡特点，下半年实现的收入占全年收入的比例</w:t>
      </w:r>
    </w:p>
    <w:p>
      <w:pPr>
        <w:pStyle w:val="BodyText"/>
        <w:spacing w:line="357" w:lineRule="auto" w:before="55"/>
        <w:ind w:right="1132"/>
        <w:jc w:val="both"/>
      </w:pPr>
      <w:r>
        <w:rPr/>
        <w:t>较高。公司提供的地理信息系统产品和服务的用户多为政府部门或其事业单位，客户一般在 上半年制订采购预算，发布招标公告；正式采购合同通常在下半年签订，故此公司业务合同 </w:t>
      </w:r>
      <w:r>
        <w:rPr>
          <w:spacing w:val="-5"/>
        </w:rPr>
        <w:t>的签订主要集中于下半年。公司能否有效地维护和拓展客户资源，保证合同签订额保持增长，</w:t>
      </w:r>
      <w:r>
        <w:rPr>
          <w:spacing w:val="-117"/>
        </w:rPr>
        <w:t> </w:t>
      </w:r>
      <w:r>
        <w:rPr>
          <w:spacing w:val="-117"/>
        </w:rPr>
      </w:r>
      <w:r>
        <w:rPr/>
        <w:t>并确保合同的实施进度，将决定收入和利润能否保持良好增长。如果客户招投标进度延缓， 或对公司软件产品和技术开发服务的需求下降，都将可能影响公司合同的签订，进而影响全 年的业绩，并导致全年盈利情况存在不确定性。</w:t>
      </w:r>
    </w:p>
    <w:p>
      <w:pPr>
        <w:pStyle w:val="BodyText"/>
        <w:spacing w:line="357" w:lineRule="auto"/>
        <w:ind w:right="1132" w:firstLine="480"/>
        <w:jc w:val="both"/>
      </w:pPr>
      <w:r>
        <w:rPr>
          <w:spacing w:val="-6"/>
        </w:rPr>
        <w:t>应对措施：公司将在保持主营业务优势的基础上，深化融合与创新，有效整合各方资源，</w:t>
      </w:r>
      <w:r>
        <w:rPr/>
        <w:t> 继续以客户和市场需求为导向，持续进行业务模式创新，充分发挥多年积累的技术优势和行 业经验，实现市场、业务、研发的融合与发展。并且不断加大品牌宣传与市场推广力度，充 分利用现有的客户资源，拓展市场空间，完善销售布局，不断开拓政府领域之外的客户市场 和海外市场，实现核心竞争力及盈利能力的持续提升。</w:t>
      </w:r>
    </w:p>
    <w:p>
      <w:pPr>
        <w:pStyle w:val="Heading2"/>
        <w:spacing w:line="240" w:lineRule="auto" w:before="36"/>
        <w:ind w:left="635" w:right="1273"/>
        <w:jc w:val="left"/>
        <w:rPr>
          <w:b w:val="0"/>
          <w:bCs w:val="0"/>
        </w:rPr>
      </w:pPr>
      <w:r>
        <w:rPr/>
        <w:t>（</w:t>
      </w:r>
      <w:r>
        <w:rPr>
          <w:rFonts w:ascii="Times New Roman" w:hAnsi="Times New Roman" w:cs="Times New Roman" w:eastAsia="Times New Roman" w:hint="default"/>
        </w:rPr>
        <w:t>2</w:t>
      </w:r>
      <w:r>
        <w:rPr/>
        <w:t>）项目管理风险</w:t>
      </w:r>
      <w:r>
        <w:rPr>
          <w:b w:val="0"/>
          <w:bCs w:val="0"/>
        </w:rPr>
      </w:r>
    </w:p>
    <w:p>
      <w:pPr>
        <w:pStyle w:val="BodyText"/>
        <w:spacing w:line="352" w:lineRule="auto" w:before="135"/>
        <w:ind w:right="1150" w:firstLine="480"/>
        <w:jc w:val="both"/>
      </w:pPr>
      <w:r>
        <w:rPr/>
        <w:t>地理信息系统项目业务作为公司的主要收入来源，占总收入</w:t>
      </w:r>
      <w:r>
        <w:rPr>
          <w:spacing w:val="-61"/>
        </w:rPr>
        <w:t> </w:t>
      </w:r>
      <w:r>
        <w:rPr>
          <w:rFonts w:ascii="Times New Roman" w:hAnsi="Times New Roman" w:cs="Times New Roman" w:eastAsia="Times New Roman" w:hint="default"/>
        </w:rPr>
        <w:t>50%</w:t>
      </w:r>
      <w:r>
        <w:rPr/>
        <w:t>以上。随着公司规模的 扩大，项目数量、规模和复杂程度的不断增加，对公司的项目管理能力提出了更高的要求， 公司需要同时协调、实施与监管越来越多的项目，需要统筹安排项目人力资源、及时应对需 求变更，把控项目建设进度和实施质量，公司如未能对众多项目进行有效管理，则存在项目 交付延期、项目质量下滑的风险。</w:t>
      </w:r>
    </w:p>
    <w:p>
      <w:pPr>
        <w:pStyle w:val="BodyText"/>
        <w:spacing w:line="357" w:lineRule="auto" w:before="41"/>
        <w:ind w:right="1171" w:firstLine="480"/>
        <w:jc w:val="both"/>
      </w:pPr>
      <w:r>
        <w:rPr/>
        <w:t>应对措施：公司将加大项目管理平台的支撑投入，进一步完善项目管理机制，强化项目 实施，加强项目重要节点的里程碑监控，合理分解项目总进度控制、主进度控制和详细进度 控制；严把交付质量，落实项目责任制，提高交付效能，确保项目按时按质交付，不断提升 客户满意度。</w:t>
      </w:r>
    </w:p>
    <w:p>
      <w:pPr>
        <w:pStyle w:val="BodyText"/>
        <w:spacing w:line="338" w:lineRule="auto"/>
        <w:ind w:left="633" w:right="1153"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）管理风险</w:t>
      </w:r>
      <w:r>
        <w:rPr>
          <w:rFonts w:ascii="宋体" w:hAnsi="宋体" w:cs="宋体" w:eastAsia="宋体" w:hint="default"/>
          <w:b/>
          <w:bCs/>
          <w:w w:val="99"/>
        </w:rPr>
        <w:t> </w:t>
      </w:r>
      <w:r>
        <w:rPr/>
        <w:t>随着公司的业务规模不断拓展，业务范围也不断扩大，组织结构日益复杂，对公司的管</w:t>
      </w:r>
    </w:p>
    <w:p>
      <w:pPr>
        <w:pStyle w:val="BodyText"/>
        <w:spacing w:line="240" w:lineRule="auto" w:before="55"/>
        <w:ind w:right="0"/>
        <w:jc w:val="both"/>
      </w:pPr>
      <w:r>
        <w:rPr/>
        <w:t>理提出了更高的要求，如果公司不能及时根据实际情况提高管理水平、建立起更加科学有效</w:t>
      </w:r>
    </w:p>
    <w:p>
      <w:pPr>
        <w:spacing w:after="0" w:line="240"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7" w:lineRule="auto" w:before="26"/>
        <w:ind w:left="633" w:right="1153" w:hanging="480"/>
        <w:jc w:val="left"/>
      </w:pPr>
      <w:r>
        <w:rPr/>
        <w:t>的管理体制，将可能削弱公司的市场竞争力，影响公司的长远发展。 应对措施：公司将进一步健全内部控制体系，优化业务和管理流程，持续规范运作，及</w:t>
      </w:r>
    </w:p>
    <w:p>
      <w:pPr>
        <w:pStyle w:val="BodyText"/>
        <w:spacing w:line="357" w:lineRule="auto"/>
        <w:ind w:right="1170"/>
        <w:jc w:val="both"/>
      </w:pPr>
      <w:r>
        <w:rPr/>
        <w:t>时根据相关法律法规的要求和经营管理的需要不断修订和完善公司各项内部控制制度。进一 步推进公司内部管理与信息化改革，深化信息化系统的集团化应用和数据对接，完善系统整 合，加强对各板块业务的实时监控能力并有效辅助公司决策，充分发挥信息技术对公司运营 管理的促进作用。</w:t>
      </w:r>
    </w:p>
    <w:p>
      <w:pPr>
        <w:spacing w:line="338" w:lineRule="auto" w:before="36"/>
        <w:ind w:left="633" w:right="1116" w:firstLine="2"/>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）应收账款坏账风险</w:t>
      </w:r>
      <w:r>
        <w:rPr>
          <w:rFonts w:ascii="宋体" w:hAnsi="宋体" w:cs="宋体" w:eastAsia="宋体" w:hint="default"/>
          <w:b/>
          <w:bCs/>
          <w:w w:val="99"/>
          <w:sz w:val="24"/>
          <w:szCs w:val="24"/>
        </w:rPr>
        <w:t> </w:t>
      </w:r>
      <w:r>
        <w:rPr>
          <w:rFonts w:ascii="宋体" w:hAnsi="宋体" w:cs="宋体" w:eastAsia="宋体" w:hint="default"/>
          <w:sz w:val="24"/>
          <w:szCs w:val="24"/>
        </w:rPr>
        <w:t>报告期内，随着公司业务领域和规模快速扩大，公司应收账款余额增长迅速。截至</w:t>
      </w:r>
      <w:r>
        <w:rPr>
          <w:rFonts w:ascii="宋体" w:hAnsi="宋体" w:cs="宋体" w:eastAsia="宋体" w:hint="default"/>
          <w:spacing w:val="-83"/>
          <w:sz w:val="24"/>
          <w:szCs w:val="24"/>
        </w:rPr>
        <w:t> </w:t>
      </w:r>
      <w:r>
        <w:rPr>
          <w:rFonts w:ascii="Times New Roman" w:hAnsi="Times New Roman" w:cs="Times New Roman" w:eastAsia="Times New Roman" w:hint="default"/>
          <w:sz w:val="24"/>
          <w:szCs w:val="24"/>
        </w:rPr>
        <w:t>2018</w:t>
      </w:r>
    </w:p>
    <w:p>
      <w:pPr>
        <w:pStyle w:val="BodyText"/>
        <w:spacing w:line="352" w:lineRule="auto" w:before="27"/>
        <w:ind w:right="1130"/>
        <w:jc w:val="both"/>
      </w:pPr>
      <w:r>
        <w:rPr/>
        <w:t>年</w:t>
      </w:r>
      <w:r>
        <w:rPr>
          <w:spacing w:val="-60"/>
        </w:rPr>
        <w:t> </w:t>
      </w:r>
      <w:r>
        <w:rPr>
          <w:rFonts w:ascii="Times New Roman" w:hAnsi="Times New Roman" w:cs="Times New Roman" w:eastAsia="Times New Roman" w:hint="default"/>
        </w:rPr>
        <w:t>12 </w:t>
      </w:r>
      <w:r>
        <w:rPr/>
        <w:t>月</w:t>
      </w:r>
      <w:r>
        <w:rPr>
          <w:spacing w:val="-61"/>
        </w:rPr>
        <w:t> </w:t>
      </w:r>
      <w:r>
        <w:rPr>
          <w:rFonts w:ascii="Times New Roman" w:hAnsi="Times New Roman" w:cs="Times New Roman" w:eastAsia="Times New Roman" w:hint="default"/>
        </w:rPr>
        <w:t>31 </w:t>
      </w:r>
      <w:r>
        <w:rPr>
          <w:spacing w:val="-4"/>
        </w:rPr>
        <w:t>日，公司应收账款净额为</w:t>
      </w:r>
      <w:r>
        <w:rPr>
          <w:spacing w:val="-60"/>
        </w:rPr>
        <w:t> </w:t>
      </w:r>
      <w:r>
        <w:rPr>
          <w:rFonts w:ascii="Times New Roman" w:hAnsi="Times New Roman" w:cs="Times New Roman" w:eastAsia="Times New Roman" w:hint="default"/>
        </w:rPr>
        <w:t>5.03 </w:t>
      </w:r>
      <w:r>
        <w:rPr>
          <w:spacing w:val="-9"/>
        </w:rPr>
        <w:t>亿元，其中</w:t>
      </w:r>
      <w:r>
        <w:rPr>
          <w:spacing w:val="-60"/>
        </w:rPr>
        <w:t> </w:t>
      </w:r>
      <w:r>
        <w:rPr>
          <w:rFonts w:ascii="Times New Roman" w:hAnsi="Times New Roman" w:cs="Times New Roman" w:eastAsia="Times New Roman" w:hint="default"/>
        </w:rPr>
        <w:t>1 </w:t>
      </w:r>
      <w:r>
        <w:rPr/>
        <w:t>年期以内的应收账款净额约为</w:t>
      </w:r>
      <w:r>
        <w:rPr>
          <w:spacing w:val="-59"/>
        </w:rPr>
        <w:t> </w:t>
      </w:r>
      <w:r>
        <w:rPr>
          <w:rFonts w:ascii="Times New Roman" w:hAnsi="Times New Roman" w:cs="Times New Roman" w:eastAsia="Times New Roman" w:hint="default"/>
        </w:rPr>
        <w:t>4.50 </w:t>
      </w:r>
      <w:r>
        <w:rPr/>
        <w:t>亿 元。虽然当前公司主要客户是政府及相关事业单位，该类客户实力雄厚，信誉良好，应收账 款的收回有可靠保障，且从历史经验看相关应收账款回收良好。但如果出现宏观经济环境波 动，地方政府财政状况下降等变化，应收账款不能按期或无法回收发生坏账的情况，公司将 面临流动资金短缺的风险，从而对公司资金使用效率及经营业绩产生不利影响。</w:t>
      </w:r>
    </w:p>
    <w:p>
      <w:pPr>
        <w:pStyle w:val="BodyText"/>
        <w:spacing w:line="357" w:lineRule="auto" w:before="41"/>
        <w:ind w:right="1171" w:firstLine="480"/>
        <w:jc w:val="both"/>
      </w:pPr>
      <w:r>
        <w:rPr/>
        <w:t>应对措施：公司将进一步加强应收账款管理，定期对应收账款进行监控分析，尤其是针 对现有规模较大的应收账款，公司将进行实时跟踪，定期进行汇总分析，确保每笔应收账款 项有跟踪、有反馈，从而降低应收款项回收风险。</w:t>
      </w:r>
    </w:p>
    <w:p>
      <w:pPr>
        <w:pStyle w:val="Heading2"/>
        <w:spacing w:line="240" w:lineRule="auto" w:before="36"/>
        <w:ind w:left="635" w:right="1273"/>
        <w:jc w:val="left"/>
        <w:rPr>
          <w:b w:val="0"/>
          <w:bCs w:val="0"/>
        </w:rPr>
      </w:pPr>
      <w:r>
        <w:rPr/>
        <w:t>（</w:t>
      </w:r>
      <w:r>
        <w:rPr>
          <w:rFonts w:ascii="Times New Roman" w:hAnsi="Times New Roman" w:cs="Times New Roman" w:eastAsia="Times New Roman" w:hint="default"/>
        </w:rPr>
        <w:t>5</w:t>
      </w:r>
      <w:r>
        <w:rPr/>
        <w:t>）商誉减值的风险</w:t>
      </w:r>
      <w:r>
        <w:rPr>
          <w:b w:val="0"/>
          <w:bCs w:val="0"/>
        </w:rPr>
      </w:r>
    </w:p>
    <w:p>
      <w:pPr>
        <w:spacing w:line="240" w:lineRule="auto" w:before="2"/>
        <w:rPr>
          <w:rFonts w:ascii="宋体" w:hAnsi="宋体" w:cs="宋体" w:eastAsia="宋体" w:hint="default"/>
          <w:b/>
          <w:bCs/>
          <w:sz w:val="17"/>
          <w:szCs w:val="17"/>
        </w:rPr>
      </w:pPr>
    </w:p>
    <w:p>
      <w:pPr>
        <w:pStyle w:val="BodyText"/>
        <w:spacing w:line="240" w:lineRule="auto" w:before="0"/>
        <w:ind w:right="0" w:firstLine="480"/>
        <w:jc w:val="both"/>
      </w:pPr>
      <w:r>
        <w:rPr/>
        <w:t>报告期末，公司商誉账面价值为</w:t>
      </w:r>
      <w:r>
        <w:rPr>
          <w:spacing w:val="-73"/>
        </w:rPr>
        <w:t> </w:t>
      </w:r>
      <w:r>
        <w:rPr>
          <w:rFonts w:ascii="Times New Roman" w:hAnsi="Times New Roman" w:cs="Times New Roman" w:eastAsia="Times New Roman" w:hint="default"/>
        </w:rPr>
        <w:t>7.07</w:t>
      </w:r>
      <w:r>
        <w:rPr>
          <w:rFonts w:ascii="Times New Roman" w:hAnsi="Times New Roman" w:cs="Times New Roman" w:eastAsia="Times New Roman" w:hint="default"/>
          <w:spacing w:val="-13"/>
        </w:rPr>
        <w:t> </w:t>
      </w:r>
      <w:r>
        <w:rPr>
          <w:rFonts w:ascii="宋体" w:hAnsi="宋体" w:cs="宋体" w:eastAsia="宋体" w:hint="default"/>
        </w:rPr>
        <w:t>亿</w:t>
      </w:r>
      <w:r>
        <w:rPr/>
        <w:t>元，占公司报告期末的归属于母公司所有者权益</w:t>
      </w:r>
    </w:p>
    <w:p>
      <w:pPr>
        <w:pStyle w:val="BodyText"/>
        <w:spacing w:line="352" w:lineRule="auto" w:before="203"/>
        <w:ind w:right="1131"/>
        <w:jc w:val="both"/>
      </w:pPr>
      <w:r>
        <w:rPr/>
        <w:t>比例为</w:t>
      </w:r>
      <w:r>
        <w:rPr>
          <w:spacing w:val="-97"/>
        </w:rPr>
        <w:t> </w:t>
      </w:r>
      <w:r>
        <w:rPr>
          <w:rFonts w:ascii="Times New Roman" w:hAnsi="Times New Roman" w:cs="Times New Roman" w:eastAsia="Times New Roman" w:hint="default"/>
        </w:rPr>
        <w:t>36.55%</w:t>
      </w:r>
      <w:r>
        <w:rPr/>
        <w:t>，主要为近年并购子公司所致。公司根据会计准则于每年度末对形成商誉的相 关资产组或资产组组合进行减值测试。截至期末，商誉资产不存在减值迹象，因此公司未对</w:t>
      </w:r>
      <w:r>
        <w:rPr>
          <w:spacing w:val="-91"/>
        </w:rPr>
        <w:t> </w:t>
      </w:r>
      <w:r>
        <w:rPr>
          <w:spacing w:val="-91"/>
        </w:rPr>
      </w:r>
      <w:r>
        <w:rPr/>
        <w:t>该等商誉资产计提减值准备。未来若出现相关法律法规规定的资产减值迹象，则可能造成公</w:t>
      </w:r>
      <w:r>
        <w:rPr>
          <w:spacing w:val="-91"/>
        </w:rPr>
        <w:t> </w:t>
      </w:r>
      <w:r>
        <w:rPr>
          <w:spacing w:val="-91"/>
        </w:rPr>
      </w:r>
      <w:r>
        <w:rPr/>
        <w:t>司的商誉资产发生减值风险，甚至形成减值损失，从而可能对公司的财务状况和经营业绩造</w:t>
      </w:r>
      <w:r>
        <w:rPr>
          <w:spacing w:val="-91"/>
        </w:rPr>
        <w:t> </w:t>
      </w:r>
      <w:r>
        <w:rPr>
          <w:spacing w:val="-91"/>
        </w:rPr>
      </w:r>
      <w:r>
        <w:rPr/>
        <w:t>成一定的不利影响。</w:t>
      </w:r>
    </w:p>
    <w:p>
      <w:pPr>
        <w:pStyle w:val="BodyText"/>
        <w:spacing w:line="357" w:lineRule="auto" w:before="41"/>
        <w:ind w:right="1132" w:firstLine="480"/>
        <w:jc w:val="both"/>
      </w:pPr>
      <w:r>
        <w:rPr/>
        <w:t>应对措施：公司将继续加强各收购子公司的后续整合和管理工作，深化在财务管理、人 </w:t>
      </w:r>
      <w:r>
        <w:rPr>
          <w:spacing w:val="-5"/>
        </w:rPr>
        <w:t>力资源管理、客户管理、项目管理、资源统筹、业务拓展等方面的融合，发挥整合协同效应，</w:t>
      </w:r>
      <w:r>
        <w:rPr/>
        <w:t> </w:t>
      </w:r>
      <w:r>
        <w:rPr>
          <w:spacing w:val="-5"/>
        </w:rPr>
        <w:t>激发增长新动能。同时通过信息化系统的集团化应用和数据对接，建设集团化风险控制体系，</w:t>
      </w:r>
      <w:r>
        <w:rPr>
          <w:spacing w:val="-117"/>
        </w:rPr>
        <w:t> </w:t>
      </w:r>
      <w:r>
        <w:rPr>
          <w:spacing w:val="-117"/>
        </w:rPr>
      </w:r>
      <w:r>
        <w:rPr/>
        <w:t>最大限度地降低商誉减值风险。</w:t>
      </w:r>
    </w:p>
    <w:p>
      <w:pPr>
        <w:spacing w:line="338" w:lineRule="auto" w:before="36"/>
        <w:ind w:left="633" w:right="111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）行业竞争加剧的风险</w:t>
      </w:r>
      <w:r>
        <w:rPr>
          <w:rFonts w:ascii="宋体" w:hAnsi="宋体" w:cs="宋体" w:eastAsia="宋体" w:hint="default"/>
          <w:b/>
          <w:bCs/>
          <w:w w:val="99"/>
          <w:sz w:val="24"/>
          <w:szCs w:val="24"/>
        </w:rPr>
        <w:t> </w:t>
      </w:r>
      <w:r>
        <w:rPr>
          <w:rFonts w:ascii="宋体" w:hAnsi="宋体" w:cs="宋体" w:eastAsia="宋体" w:hint="default"/>
          <w:sz w:val="24"/>
          <w:szCs w:val="24"/>
        </w:rPr>
        <w:t>在大数据、云计算、移动互联、人工智能等技术应用蓬勃发展的当下，企业产品技术的</w:t>
      </w:r>
    </w:p>
    <w:p>
      <w:pPr>
        <w:spacing w:after="0" w:line="338" w:lineRule="auto"/>
        <w:jc w:val="left"/>
        <w:rPr>
          <w:rFonts w:ascii="宋体" w:hAnsi="宋体" w:cs="宋体" w:eastAsia="宋体" w:hint="default"/>
          <w:sz w:val="24"/>
          <w:szCs w:val="24"/>
        </w:rPr>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5" w:lineRule="auto" w:before="26"/>
        <w:ind w:right="997"/>
        <w:jc w:val="left"/>
      </w:pPr>
      <w:r>
        <w:rPr/>
        <w:t>研发创新能力、产业生态链的构建与运营能力在竞争中愈发重要。随着行业的不断延伸，各</w:t>
      </w:r>
      <w:r>
        <w:rPr>
          <w:spacing w:val="-91"/>
        </w:rPr>
        <w:t> </w:t>
      </w:r>
      <w:r>
        <w:rPr>
          <w:spacing w:val="-91"/>
        </w:rPr>
      </w:r>
      <w:r>
        <w:rPr/>
        <w:t>类参与主体明显增加，尤其是 </w:t>
      </w:r>
      <w:r>
        <w:rPr>
          <w:rFonts w:ascii="Times New Roman" w:hAnsi="Times New Roman" w:cs="Times New Roman" w:eastAsia="Times New Roman" w:hint="default"/>
          <w:spacing w:val="-9"/>
        </w:rPr>
        <w:t>BAT</w:t>
      </w:r>
      <w:r>
        <w:rPr>
          <w:rFonts w:ascii="Times New Roman" w:hAnsi="Times New Roman" w:cs="Times New Roman" w:eastAsia="Times New Roman" w:hint="default"/>
          <w:spacing w:val="3"/>
        </w:rPr>
        <w:t> </w:t>
      </w:r>
      <w:r>
        <w:rPr/>
        <w:t>互联网巨头对地理信息行业的不断渗透，行业竞争加剧。 此外，客户需求的多元化、精细化、综合化要求不断提高。只有高水平的信息技术、精准的</w:t>
      </w:r>
      <w:r>
        <w:rPr>
          <w:spacing w:val="-91"/>
        </w:rPr>
        <w:t> </w:t>
      </w:r>
      <w:r>
        <w:rPr>
          <w:spacing w:val="-91"/>
        </w:rPr>
      </w:r>
      <w:r>
        <w:rPr/>
        <w:t>市场定位以及丰富的运营经验才能更好的满足客户需求不断变化。如果公司不能正确判断、</w:t>
      </w:r>
      <w:r>
        <w:rPr>
          <w:spacing w:val="-91"/>
        </w:rPr>
        <w:t> </w:t>
      </w:r>
      <w:r>
        <w:rPr>
          <w:spacing w:val="-91"/>
        </w:rPr>
      </w:r>
      <w:r>
        <w:rPr/>
        <w:t>把握行业的市场动态和发展趋势，根据技术发展、行业标准和客户需求及时进行技术创新和</w:t>
      </w:r>
      <w:r>
        <w:rPr>
          <w:spacing w:val="-87"/>
        </w:rPr>
        <w:t> </w:t>
      </w:r>
      <w:r>
        <w:rPr>
          <w:spacing w:val="-87"/>
        </w:rPr>
      </w:r>
      <w:r>
        <w:rPr/>
        <w:t>业务模式创新，则存在因竞争优势减弱而导致市场份额下降，经营业绩不能达到预期目标的</w:t>
      </w:r>
      <w:r>
        <w:rPr>
          <w:spacing w:val="-91"/>
        </w:rPr>
        <w:t> </w:t>
      </w:r>
      <w:r>
        <w:rPr>
          <w:spacing w:val="-91"/>
        </w:rPr>
      </w:r>
      <w:r>
        <w:rPr/>
        <w:t>风险。</w:t>
      </w:r>
    </w:p>
    <w:p>
      <w:pPr>
        <w:pStyle w:val="BodyText"/>
        <w:spacing w:line="348" w:lineRule="auto" w:before="38"/>
        <w:ind w:right="1132" w:firstLine="480"/>
        <w:jc w:val="both"/>
      </w:pPr>
      <w:r>
        <w:rPr/>
        <w:t>应对措施：公司将持续关注最新的技术发展趋势和行业竞争格局的变化，进一步提高核 心竞争力。一方面持续进行技术创新，保持公司领先的技术优势，着眼于下一代革命性</w:t>
      </w:r>
      <w:r>
        <w:rPr>
          <w:spacing w:val="5"/>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技术的研究，推动</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领域前沿发展，不断拓展</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技术应用范围，突破技术性难题，规避 技术更新和替代风险；另一方面不断完善产品及解决方案，满足客户日益变化的需求，同时</w:t>
      </w:r>
      <w:r>
        <w:rPr>
          <w:spacing w:val="-91"/>
        </w:rPr>
        <w:t> </w:t>
      </w:r>
      <w:r>
        <w:rPr>
          <w:spacing w:val="-91"/>
        </w:rPr>
      </w:r>
      <w:r>
        <w:rPr/>
        <w:t>积极拓展海外及其他领域市场，整合多方资源，实现公司的持续稳健发展。</w:t>
      </w:r>
    </w:p>
    <w:p>
      <w:pPr>
        <w:spacing w:line="240" w:lineRule="auto" w:before="7"/>
        <w:rPr>
          <w:rFonts w:ascii="宋体" w:hAnsi="宋体" w:cs="宋体" w:eastAsia="宋体" w:hint="default"/>
          <w:sz w:val="20"/>
          <w:szCs w:val="20"/>
        </w:rPr>
      </w:pPr>
    </w:p>
    <w:p>
      <w:pPr>
        <w:pStyle w:val="Heading2"/>
        <w:spacing w:line="240" w:lineRule="auto"/>
        <w:ind w:right="1273"/>
        <w:jc w:val="left"/>
        <w:rPr>
          <w:b w:val="0"/>
          <w:bCs w:val="0"/>
        </w:rPr>
      </w:pPr>
      <w:r>
        <w:rPr/>
        <w:t>十、接待调研、沟通、采访等活动情况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127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395" w:type="dxa"/>
        <w:tblLayout w:type="fixed"/>
        <w:tblCellMar>
          <w:top w:w="0" w:type="dxa"/>
          <w:left w:w="0" w:type="dxa"/>
          <w:bottom w:w="0" w:type="dxa"/>
          <w:right w:w="0" w:type="dxa"/>
        </w:tblCellMar>
        <w:tblLook w:val="01E0"/>
      </w:tblPr>
      <w:tblGrid>
        <w:gridCol w:w="1726"/>
        <w:gridCol w:w="1349"/>
        <w:gridCol w:w="1508"/>
        <w:gridCol w:w="4563"/>
      </w:tblGrid>
      <w:tr>
        <w:trPr>
          <w:trHeight w:val="322"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b/>
                <w:bCs/>
                <w:sz w:val="21"/>
                <w:szCs w:val="21"/>
              </w:rPr>
              <w:t>接待时间</w:t>
            </w:r>
            <w:r>
              <w:rPr>
                <w:rFonts w:ascii="宋体" w:hAnsi="宋体" w:cs="宋体" w:eastAsia="宋体"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接待方式</w:t>
            </w:r>
            <w:r>
              <w:rPr>
                <w:rFonts w:ascii="宋体" w:hAnsi="宋体" w:cs="宋体" w:eastAsia="宋体" w:hint="default"/>
                <w:sz w:val="21"/>
                <w:szCs w:val="21"/>
              </w:rPr>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接待对象类型</w:t>
            </w:r>
            <w:r>
              <w:rPr>
                <w:rFonts w:ascii="宋体" w:hAnsi="宋体" w:cs="宋体" w:eastAsia="宋体" w:hint="default"/>
                <w:sz w:val="21"/>
                <w:szCs w:val="21"/>
              </w:rPr>
            </w:r>
          </w:p>
        </w:tc>
        <w:tc>
          <w:tcPr>
            <w:tcW w:w="4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32" w:right="0"/>
              <w:jc w:val="left"/>
              <w:rPr>
                <w:rFonts w:ascii="宋体" w:hAnsi="宋体" w:cs="宋体" w:eastAsia="宋体" w:hint="default"/>
                <w:sz w:val="21"/>
                <w:szCs w:val="21"/>
              </w:rPr>
            </w:pPr>
            <w:r>
              <w:rPr>
                <w:rFonts w:ascii="宋体" w:hAnsi="宋体" w:cs="宋体" w:eastAsia="宋体" w:hint="default"/>
                <w:b/>
                <w:bCs/>
                <w:sz w:val="21"/>
                <w:szCs w:val="21"/>
              </w:rPr>
              <w:t>调研基本情况索引</w:t>
            </w:r>
            <w:r>
              <w:rPr>
                <w:rFonts w:ascii="宋体" w:hAnsi="宋体" w:cs="宋体" w:eastAsia="宋体" w:hint="default"/>
                <w:sz w:val="21"/>
                <w:szCs w:val="21"/>
              </w:rPr>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2018</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2018</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2018</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2018</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28</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9"/>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2018</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2"/>
                <w:w w:val="100"/>
                <w:sz w:val="21"/>
                <w:szCs w:val="21"/>
              </w:rPr>
              <w:t>10</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月</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3"/>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2018</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25</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3"/>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bl>
    <w:p>
      <w:pPr>
        <w:pStyle w:val="BodyText"/>
        <w:spacing w:line="357" w:lineRule="auto" w:before="39"/>
        <w:ind w:right="997" w:firstLine="480"/>
        <w:jc w:val="left"/>
      </w:pPr>
      <w:r>
        <w:rPr>
          <w:spacing w:val="-3"/>
        </w:rPr>
        <w:t>除接待投资者实地调研，还通过深交所投资者互动平台和投资者热线与投资者进行互动，</w:t>
      </w:r>
      <w:r>
        <w:rPr/>
        <w:t> 在此不一一列举所接待的个人投资者的电话来访。</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1"/>
        <w:spacing w:line="240" w:lineRule="auto"/>
        <w:ind w:left="3793" w:right="4719"/>
        <w:jc w:val="center"/>
        <w:rPr>
          <w:b w:val="0"/>
          <w:bCs w:val="0"/>
        </w:rPr>
      </w:pPr>
      <w:bookmarkStart w:name="_bookmark4" w:id="5"/>
      <w:bookmarkEnd w:id="5"/>
      <w:r>
        <w:rPr>
          <w:b w:val="0"/>
          <w:bCs w:val="0"/>
        </w:rPr>
      </w:r>
      <w:r>
        <w:rPr>
          <w:spacing w:val="4"/>
        </w:rPr>
        <w:t>第五节</w:t>
      </w:r>
      <w:r>
        <w:rPr>
          <w:spacing w:val="-1"/>
        </w:rPr>
        <w:t> </w:t>
      </w:r>
      <w:r>
        <w:rPr>
          <w:spacing w:val="3"/>
        </w:rPr>
        <w:t>重要事项</w:t>
      </w:r>
      <w:r>
        <w:rPr>
          <w:b w:val="0"/>
          <w:bCs w:val="0"/>
          <w:spacing w:val="3"/>
        </w:rPr>
      </w:r>
    </w:p>
    <w:p>
      <w:pPr>
        <w:spacing w:line="690" w:lineRule="atLeast" w:before="69"/>
        <w:ind w:left="693" w:right="2113" w:hanging="480"/>
        <w:jc w:val="left"/>
        <w:rPr>
          <w:rFonts w:ascii="宋体" w:hAnsi="宋体" w:cs="宋体" w:eastAsia="宋体" w:hint="default"/>
          <w:sz w:val="24"/>
          <w:szCs w:val="24"/>
        </w:rPr>
      </w:pP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BodyText"/>
        <w:spacing w:line="240" w:lineRule="auto" w:before="154"/>
        <w:ind w:left="693"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693" w:right="99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11"/>
        </w:rPr>
        <w:t> </w:t>
      </w:r>
      <w:r>
        <w:rPr/>
        <w:t>日，公司第四届董事会第四次会议审议通过了</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年度利润分配方案，</w:t>
      </w:r>
    </w:p>
    <w:p>
      <w:pPr>
        <w:pStyle w:val="BodyText"/>
        <w:spacing w:line="240" w:lineRule="auto" w:before="135"/>
        <w:ind w:left="213" w:right="994"/>
        <w:jc w:val="left"/>
      </w:pPr>
      <w:r>
        <w:rPr/>
        <w:t>以公司总股本</w:t>
      </w:r>
      <w:r>
        <w:rPr>
          <w:spacing w:val="-85"/>
        </w:rPr>
        <w:t> </w:t>
      </w:r>
      <w:r>
        <w:rPr>
          <w:rFonts w:ascii="Times New Roman" w:hAnsi="Times New Roman" w:cs="Times New Roman" w:eastAsia="Times New Roman" w:hint="default"/>
        </w:rPr>
        <w:t>449,537,367</w:t>
      </w:r>
      <w:r>
        <w:rPr>
          <w:rFonts w:ascii="Times New Roman" w:hAnsi="Times New Roman" w:cs="Times New Roman" w:eastAsia="Times New Roman" w:hint="default"/>
          <w:spacing w:val="-24"/>
        </w:rPr>
        <w:t> </w:t>
      </w:r>
      <w:r>
        <w:rPr/>
        <w:t>股为基数</w:t>
      </w:r>
      <w:r>
        <w:rPr>
          <w:spacing w:val="-120"/>
        </w:rPr>
        <w:t>，</w:t>
      </w:r>
      <w:r>
        <w:rPr/>
        <w:t>向全体股东每</w:t>
      </w:r>
      <w:r>
        <w:rPr>
          <w:spacing w:val="-84"/>
        </w:rPr>
        <w:t>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股派发人民币现金红利</w:t>
      </w:r>
      <w:r>
        <w:rPr>
          <w:spacing w:val="-84"/>
        </w:rPr>
        <w:t> </w:t>
      </w:r>
      <w:r>
        <w:rPr>
          <w:rFonts w:ascii="Times New Roman" w:hAnsi="Times New Roman" w:cs="Times New Roman" w:eastAsia="Times New Roman" w:hint="default"/>
        </w:rPr>
        <w:t>0.88</w:t>
      </w:r>
      <w:r>
        <w:rPr>
          <w:rFonts w:ascii="Times New Roman" w:hAnsi="Times New Roman" w:cs="Times New Roman" w:eastAsia="Times New Roman" w:hint="default"/>
          <w:spacing w:val="-24"/>
        </w:rPr>
        <w:t> </w:t>
      </w:r>
      <w:r>
        <w:rPr>
          <w:spacing w:val="-120"/>
        </w:rPr>
        <w:t>元</w:t>
      </w:r>
      <w:r>
        <w:rPr/>
        <w:t>（含税</w:t>
      </w:r>
      <w:r>
        <w:rPr>
          <w:spacing w:val="-120"/>
        </w:rPr>
        <w:t>）</w:t>
      </w:r>
      <w:r>
        <w:rPr/>
        <w:t>。</w:t>
      </w:r>
    </w:p>
    <w:p>
      <w:pPr>
        <w:pStyle w:val="BodyText"/>
        <w:spacing w:line="240" w:lineRule="auto" w:before="136"/>
        <w:ind w:left="693" w:right="994"/>
        <w:jc w:val="left"/>
      </w:pPr>
      <w:r>
        <w:rPr/>
        <w:t>根据</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年度股东大会决议，公司于</w:t>
      </w:r>
      <w:r>
        <w:rPr>
          <w:spacing w:val="-6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日在巨潮资讯网刊登了《</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w:t>
      </w:r>
    </w:p>
    <w:p>
      <w:pPr>
        <w:pStyle w:val="BodyText"/>
        <w:spacing w:line="240" w:lineRule="auto" w:before="135"/>
        <w:ind w:left="213" w:right="994"/>
        <w:jc w:val="left"/>
        <w:rPr>
          <w:rFonts w:ascii="Times New Roman" w:hAnsi="Times New Roman" w:cs="Times New Roman" w:eastAsia="Times New Roman" w:hint="default"/>
        </w:rPr>
      </w:pPr>
      <w:r>
        <w:rPr/>
        <w:t>度权益</w:t>
      </w:r>
      <w:r>
        <w:rPr>
          <w:spacing w:val="-1"/>
        </w:rPr>
        <w:t>分</w:t>
      </w:r>
      <w:r>
        <w:rPr/>
        <w:t>派实施公告</w:t>
      </w:r>
      <w:r>
        <w:rPr>
          <w:spacing w:val="-120"/>
        </w:rPr>
        <w:t>》</w:t>
      </w:r>
      <w:r>
        <w:rPr>
          <w:spacing w:val="-65"/>
        </w:rPr>
        <w:t>，</w:t>
      </w:r>
      <w:r>
        <w:rPr/>
        <w:t>本次权益分配股权登记日为</w:t>
      </w:r>
      <w:r>
        <w:rPr>
          <w:spacing w:val="-64"/>
        </w:rPr>
        <w:t>：</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10 </w:t>
      </w:r>
      <w:r>
        <w:rPr/>
        <w:t>日</w:t>
      </w:r>
      <w:r>
        <w:rPr>
          <w:spacing w:val="-65"/>
        </w:rPr>
        <w:t>，</w:t>
      </w:r>
      <w:r>
        <w:rPr/>
        <w:t>除权除息日为</w:t>
      </w:r>
      <w:r>
        <w:rPr>
          <w:spacing w:val="-65"/>
        </w:rPr>
        <w:t>：</w:t>
      </w:r>
      <w:r>
        <w:rPr>
          <w:rFonts w:ascii="Times New Roman" w:hAnsi="Times New Roman" w:cs="Times New Roman" w:eastAsia="Times New Roman" w:hint="default"/>
        </w:rPr>
        <w:t>20</w:t>
      </w:r>
      <w:r>
        <w:rPr>
          <w:rFonts w:ascii="Times New Roman" w:hAnsi="Times New Roman" w:cs="Times New Roman" w:eastAsia="Times New Roman" w:hint="default"/>
          <w:spacing w:val="-3"/>
        </w:rPr>
        <w:t>1</w:t>
      </w:r>
      <w:r>
        <w:rPr>
          <w:rFonts w:ascii="Times New Roman" w:hAnsi="Times New Roman" w:cs="Times New Roman" w:eastAsia="Times New Roman" w:hint="default"/>
        </w:rPr>
        <w:t>8</w:t>
      </w:r>
    </w:p>
    <w:p>
      <w:pPr>
        <w:pStyle w:val="BodyText"/>
        <w:spacing w:line="240" w:lineRule="auto" w:before="135"/>
        <w:ind w:left="213" w:right="994"/>
        <w:jc w:val="left"/>
      </w:pP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日。截止本报告期末，该利润分配方案已实施完毕。</w:t>
      </w:r>
    </w:p>
    <w:p>
      <w:pPr>
        <w:spacing w:line="240" w:lineRule="auto" w:before="5"/>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023"/>
        <w:gridCol w:w="1834"/>
      </w:tblGrid>
      <w:tr>
        <w:trPr>
          <w:trHeight w:val="324" w:hRule="exact"/>
        </w:trPr>
        <w:tc>
          <w:tcPr>
            <w:tcW w:w="9857" w:type="dxa"/>
            <w:gridSpan w:val="2"/>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现金分红政策的专项说明</w:t>
            </w:r>
            <w:r>
              <w:rPr>
                <w:rFonts w:ascii="宋体" w:hAnsi="宋体" w:cs="宋体" w:eastAsia="宋体" w:hint="default"/>
                <w:sz w:val="21"/>
                <w:szCs w:val="21"/>
              </w:rPr>
            </w:r>
          </w:p>
        </w:tc>
      </w:tr>
      <w:tr>
        <w:trPr>
          <w:trHeight w:val="326"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8"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8"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4" w:lineRule="exact"/>
              <w:ind w:left="10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6"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6" w:hRule="exact"/>
        </w:trPr>
        <w:tc>
          <w:tcPr>
            <w:tcW w:w="802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83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6" w:hRule="exact"/>
        </w:trPr>
        <w:tc>
          <w:tcPr>
            <w:tcW w:w="8023"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63"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834" w:type="dxa"/>
            <w:tcBorders>
              <w:top w:val="single" w:sz="6" w:space="0" w:color="000000"/>
              <w:left w:val="single" w:sz="6"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357" w:lineRule="auto" w:before="40"/>
        <w:ind w:left="213" w:right="1153" w:firstLine="480"/>
        <w:jc w:val="left"/>
      </w:pPr>
      <w:r>
        <w:rPr/>
        <w:t>公司报告期利润分配预案及资本公积金转增股本预案与公司章程和分红管理办法等的相 关规定一致</w:t>
      </w:r>
    </w:p>
    <w:p>
      <w:pPr>
        <w:pStyle w:val="BodyText"/>
        <w:spacing w:line="338" w:lineRule="auto"/>
        <w:ind w:left="693" w:right="1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 公司报告期利润分配预案及资本公积金转增股本预案符合公司章程等的相关规定。</w:t>
      </w:r>
    </w:p>
    <w:p>
      <w:pPr>
        <w:pStyle w:val="BodyText"/>
        <w:spacing w:line="240" w:lineRule="auto" w:before="14"/>
        <w:ind w:left="213" w:right="994"/>
        <w:jc w:val="left"/>
      </w:pPr>
      <w:r>
        <w:rPr/>
        <w:t>本年度利润分配及资本公积金转增股本情况</w:t>
      </w:r>
    </w:p>
    <w:p>
      <w:pPr>
        <w:spacing w:line="240" w:lineRule="auto" w:before="1"/>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706"/>
        <w:gridCol w:w="5863"/>
      </w:tblGrid>
      <w:tr>
        <w:trPr>
          <w:trHeight w:val="401"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0.75</w:t>
            </w:r>
          </w:p>
        </w:tc>
      </w:tr>
      <w:tr>
        <w:trPr>
          <w:trHeight w:val="401"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449,537,367</w:t>
            </w:r>
          </w:p>
        </w:tc>
      </w:tr>
      <w:tr>
        <w:trPr>
          <w:trHeight w:val="401"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33,715,302.53</w:t>
            </w:r>
          </w:p>
        </w:tc>
      </w:tr>
      <w:tr>
        <w:trPr>
          <w:trHeight w:val="715"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97"/>
              <w:jc w:val="left"/>
              <w:rPr>
                <w:rFonts w:ascii="宋体" w:hAnsi="宋体" w:cs="宋体" w:eastAsia="宋体" w:hint="default"/>
                <w:sz w:val="21"/>
                <w:szCs w:val="21"/>
              </w:rPr>
            </w:pPr>
            <w:r>
              <w:rPr>
                <w:rFonts w:ascii="宋体" w:hAnsi="宋体" w:cs="宋体" w:eastAsia="宋体" w:hint="default"/>
                <w:spacing w:val="-2"/>
                <w:sz w:val="21"/>
                <w:szCs w:val="21"/>
              </w:rPr>
              <w:t>以其他方式（如回购股份）现金分红金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方</w:t>
            </w:r>
            <w:r>
              <w:rPr>
                <w:rFonts w:ascii="宋体" w:hAnsi="宋体" w:cs="宋体" w:eastAsia="宋体" w:hint="default"/>
                <w:w w:val="100"/>
                <w:sz w:val="21"/>
                <w:szCs w:val="21"/>
              </w:rPr>
              <w:t>式</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1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287,827,860.60</w:t>
            </w:r>
          </w:p>
        </w:tc>
      </w:tr>
      <w:tr>
        <w:trPr>
          <w:trHeight w:val="38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现金分红总额（含其他方式）占利润分</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5"/>
              <w:ind w:right="16"/>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2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07"/>
        <w:gridCol w:w="5863"/>
      </w:tblGrid>
      <w:tr>
        <w:trPr>
          <w:trHeight w:val="36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配总额的比例</w:t>
            </w:r>
          </w:p>
        </w:tc>
        <w:tc>
          <w:tcPr>
            <w:tcW w:w="5863" w:type="dxa"/>
            <w:tcBorders>
              <w:top w:val="single" w:sz="4" w:space="0" w:color="000000"/>
              <w:left w:val="single" w:sz="9" w:space="0" w:color="D2D2D2"/>
              <w:bottom w:val="single" w:sz="4" w:space="0" w:color="000000"/>
              <w:right w:val="single" w:sz="4" w:space="0" w:color="000000"/>
            </w:tcBorders>
          </w:tcPr>
          <w:p>
            <w:pP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7"/>
              <w:jc w:val="left"/>
              <w:rPr>
                <w:rFonts w:ascii="宋体" w:hAnsi="宋体" w:cs="宋体" w:eastAsia="宋体" w:hint="default"/>
                <w:sz w:val="21"/>
                <w:szCs w:val="21"/>
              </w:rPr>
            </w:pPr>
            <w:r>
              <w:rPr>
                <w:rFonts w:ascii="宋体" w:hAnsi="宋体" w:cs="宋体" w:eastAsia="宋体" w:hint="default"/>
                <w:spacing w:val="-2"/>
                <w:sz w:val="21"/>
                <w:szCs w:val="21"/>
              </w:rPr>
              <w:t>公司发展阶段属成长期且有重大资金支出安排的，进行利润分配时，现金分红在本次利润分配中所占比</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例最低应达到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以公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现</w:t>
            </w:r>
            <w:r>
              <w:rPr>
                <w:rFonts w:ascii="宋体" w:hAnsi="宋体" w:cs="宋体" w:eastAsia="宋体" w:hint="default"/>
                <w:spacing w:val="-3"/>
                <w:w w:val="100"/>
                <w:sz w:val="21"/>
                <w:szCs w:val="21"/>
              </w:rPr>
              <w:t>有</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49,5</w:t>
            </w:r>
            <w:r>
              <w:rPr>
                <w:rFonts w:ascii="Times New Roman" w:hAnsi="Times New Roman" w:cs="Times New Roman" w:eastAsia="Times New Roman" w:hint="default"/>
                <w:spacing w:val="-3"/>
                <w:w w:val="100"/>
                <w:sz w:val="21"/>
                <w:szCs w:val="21"/>
              </w:rPr>
              <w:t>37</w:t>
            </w:r>
            <w:r>
              <w:rPr>
                <w:rFonts w:ascii="Times New Roman" w:hAnsi="Times New Roman" w:cs="Times New Roman" w:eastAsia="Times New Roman" w:hint="default"/>
                <w:w w:val="100"/>
                <w:sz w:val="21"/>
                <w:szCs w:val="21"/>
              </w:rPr>
              <w:t>,367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东每</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现金</w:t>
            </w:r>
            <w:r>
              <w:rPr>
                <w:rFonts w:ascii="宋体" w:hAnsi="宋体" w:cs="宋体" w:eastAsia="宋体" w:hint="default"/>
                <w:w w:val="100"/>
                <w:sz w:val="21"/>
                <w:szCs w:val="21"/>
              </w:rPr>
              <w:t>红利</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bl>
    <w:p>
      <w:pPr>
        <w:pStyle w:val="BodyText"/>
        <w:spacing w:line="240" w:lineRule="auto" w:before="39"/>
        <w:ind w:left="573" w:right="997"/>
        <w:jc w:val="left"/>
      </w:pPr>
      <w:r>
        <w:rPr/>
        <w:t>公司近</w:t>
      </w:r>
      <w:r>
        <w:rPr>
          <w:spacing w:val="-61"/>
        </w:rPr>
        <w:t> </w:t>
      </w:r>
      <w:r>
        <w:rPr>
          <w:rFonts w:ascii="Times New Roman" w:hAnsi="Times New Roman" w:cs="Times New Roman" w:eastAsia="Times New Roman" w:hint="default"/>
        </w:rPr>
        <w:t>3 </w:t>
      </w:r>
      <w:r>
        <w:rPr>
          <w:spacing w:val="-5"/>
        </w:rPr>
        <w:t>年</w:t>
      </w:r>
      <w:r>
        <w:rPr/>
        <w:t>（包括本报告期</w:t>
      </w:r>
      <w:r>
        <w:rPr>
          <w:spacing w:val="-5"/>
        </w:rPr>
        <w:t>）</w:t>
      </w:r>
      <w:r>
        <w:rPr/>
        <w:t>的普通股股利分配方</w:t>
      </w:r>
      <w:r>
        <w:rPr>
          <w:spacing w:val="-5"/>
        </w:rPr>
        <w:t>案</w:t>
      </w:r>
      <w:r>
        <w:rPr/>
        <w:t>（预案</w:t>
      </w:r>
      <w:r>
        <w:rPr>
          <w:spacing w:val="-120"/>
        </w:rPr>
        <w:t>）</w:t>
      </w:r>
      <w:r>
        <w:rPr>
          <w:spacing w:val="-5"/>
        </w:rPr>
        <w:t>、</w:t>
      </w:r>
      <w:r>
        <w:rPr/>
        <w:t>资</w:t>
      </w:r>
      <w:r>
        <w:rPr>
          <w:spacing w:val="-3"/>
        </w:rPr>
        <w:t>本</w:t>
      </w:r>
      <w:r>
        <w:rPr/>
        <w:t>公积</w:t>
      </w:r>
      <w:r>
        <w:rPr>
          <w:spacing w:val="1"/>
        </w:rPr>
        <w:t>金</w:t>
      </w:r>
      <w:r>
        <w:rPr/>
        <w:t>转增股本方案</w:t>
      </w:r>
    </w:p>
    <w:p>
      <w:pPr>
        <w:pStyle w:val="BodyText"/>
        <w:spacing w:line="240" w:lineRule="auto" w:before="135"/>
        <w:ind w:right="1273"/>
        <w:jc w:val="left"/>
      </w:pPr>
      <w:r>
        <w:rPr/>
        <w:t>（预案）情况：</w:t>
      </w:r>
    </w:p>
    <w:p>
      <w:pPr>
        <w:pStyle w:val="BodyText"/>
        <w:spacing w:line="240" w:lineRule="auto" w:before="154"/>
        <w:ind w:left="633" w:right="99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年利润分配预案：以公司总股本</w:t>
      </w:r>
      <w:r>
        <w:rPr>
          <w:spacing w:val="-68"/>
        </w:rPr>
        <w:t> </w:t>
      </w:r>
      <w:r>
        <w:rPr>
          <w:rFonts w:ascii="Times New Roman" w:hAnsi="Times New Roman" w:cs="Times New Roman" w:eastAsia="Times New Roman" w:hint="default"/>
        </w:rPr>
        <w:t>449,537,367</w:t>
      </w:r>
      <w:r>
        <w:rPr>
          <w:rFonts w:ascii="Times New Roman" w:hAnsi="Times New Roman" w:cs="Times New Roman" w:eastAsia="Times New Roman" w:hint="default"/>
          <w:spacing w:val="-8"/>
        </w:rPr>
        <w:t> </w:t>
      </w:r>
      <w:r>
        <w:rPr/>
        <w:t>股为基数，向全体股东每</w:t>
      </w:r>
      <w:r>
        <w:rPr>
          <w:spacing w:val="-68"/>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w:t>
      </w:r>
    </w:p>
    <w:p>
      <w:pPr>
        <w:pStyle w:val="BodyText"/>
        <w:spacing w:line="240" w:lineRule="auto" w:before="136"/>
        <w:ind w:right="1273"/>
        <w:jc w:val="left"/>
      </w:pPr>
      <w:r>
        <w:rPr/>
        <w:t>人民币现金红利</w:t>
      </w:r>
      <w:r>
        <w:rPr>
          <w:spacing w:val="-61"/>
        </w:rPr>
        <w:t> </w:t>
      </w:r>
      <w:r>
        <w:rPr>
          <w:rFonts w:ascii="Times New Roman" w:hAnsi="Times New Roman" w:cs="Times New Roman" w:eastAsia="Times New Roman" w:hint="default"/>
        </w:rPr>
        <w:t>0.75 </w:t>
      </w:r>
      <w:r>
        <w:rPr/>
        <w:t>元（含税）</w:t>
      </w:r>
    </w:p>
    <w:p>
      <w:pPr>
        <w:pStyle w:val="BodyText"/>
        <w:spacing w:line="240" w:lineRule="auto" w:before="135"/>
        <w:ind w:left="633" w:right="118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年利润分配方案：以公司总股本</w:t>
      </w:r>
      <w:r>
        <w:rPr>
          <w:spacing w:val="-59"/>
        </w:rPr>
        <w:t> </w:t>
      </w:r>
      <w:r>
        <w:rPr>
          <w:rFonts w:ascii="Times New Roman" w:hAnsi="Times New Roman" w:cs="Times New Roman" w:eastAsia="Times New Roman" w:hint="default"/>
        </w:rPr>
        <w:t>449,537,367 </w:t>
      </w:r>
      <w:r>
        <w:rPr/>
        <w:t>股为基数，向全体股东每</w:t>
      </w:r>
      <w:r>
        <w:rPr>
          <w:spacing w:val="-60"/>
        </w:rPr>
        <w:t> </w:t>
      </w:r>
      <w:r>
        <w:rPr>
          <w:rFonts w:ascii="Times New Roman" w:hAnsi="Times New Roman" w:cs="Times New Roman" w:eastAsia="Times New Roman" w:hint="default"/>
        </w:rPr>
        <w:t>10 </w:t>
      </w:r>
      <w:r>
        <w:rPr/>
        <w:t>股派</w:t>
      </w:r>
    </w:p>
    <w:p>
      <w:pPr>
        <w:pStyle w:val="BodyText"/>
        <w:spacing w:line="240" w:lineRule="auto" w:before="135"/>
        <w:ind w:right="1273"/>
        <w:jc w:val="left"/>
      </w:pPr>
      <w:r>
        <w:rPr/>
        <w:t>发人民币现金红利</w:t>
      </w:r>
      <w:r>
        <w:rPr>
          <w:spacing w:val="-61"/>
        </w:rPr>
        <w:t> </w:t>
      </w:r>
      <w:r>
        <w:rPr>
          <w:rFonts w:ascii="Times New Roman" w:hAnsi="Times New Roman" w:cs="Times New Roman" w:eastAsia="Times New Roman" w:hint="default"/>
        </w:rPr>
        <w:t>0.88 </w:t>
      </w:r>
      <w:r>
        <w:rPr/>
        <w:t>元（含税</w:t>
      </w:r>
      <w:r>
        <w:rPr>
          <w:spacing w:val="-120"/>
        </w:rPr>
        <w:t>）</w:t>
      </w:r>
      <w:r>
        <w:rPr/>
        <w:t>。</w:t>
      </w:r>
    </w:p>
    <w:p>
      <w:pPr>
        <w:pStyle w:val="BodyText"/>
        <w:spacing w:line="240" w:lineRule="auto" w:before="135"/>
        <w:ind w:left="633" w:right="997"/>
        <w:jc w:val="left"/>
      </w:pPr>
      <w:r>
        <w:rPr>
          <w:rFonts w:ascii="Times New Roman" w:hAnsi="Times New Roman" w:cs="Times New Roman" w:eastAsia="Times New Roman" w:hint="default"/>
          <w:spacing w:val="-12"/>
        </w:rPr>
        <w:t>3</w:t>
      </w:r>
      <w:r>
        <w:rPr>
          <w:spacing w:val="-12"/>
        </w:rPr>
        <w:t>）</w:t>
      </w:r>
      <w:r>
        <w:rPr>
          <w:rFonts w:ascii="Times New Roman" w:hAnsi="Times New Roman" w:cs="Times New Roman" w:eastAsia="Times New Roman" w:hint="default"/>
          <w:spacing w:val="-12"/>
        </w:rPr>
        <w:t>2016</w:t>
      </w:r>
      <w:r>
        <w:rPr>
          <w:rFonts w:ascii="Times New Roman" w:hAnsi="Times New Roman" w:cs="Times New Roman" w:eastAsia="Times New Roman" w:hint="default"/>
          <w:spacing w:val="-1"/>
        </w:rPr>
        <w:t> </w:t>
      </w:r>
      <w:r>
        <w:rPr>
          <w:spacing w:val="-7"/>
        </w:rPr>
        <w:t>年利润分配方案：以截止</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w:t>
      </w:r>
      <w:r>
        <w:rPr>
          <w:spacing w:val="-60"/>
        </w:rPr>
        <w:t> </w:t>
      </w:r>
      <w:r>
        <w:rPr>
          <w:rFonts w:ascii="Times New Roman" w:hAnsi="Times New Roman" w:cs="Times New Roman" w:eastAsia="Times New Roman" w:hint="default"/>
        </w:rPr>
        <w:t>449,578,967 </w:t>
      </w:r>
      <w:r>
        <w:rPr/>
        <w:t>股为基数，</w:t>
      </w:r>
    </w:p>
    <w:p>
      <w:pPr>
        <w:pStyle w:val="BodyText"/>
        <w:spacing w:line="338" w:lineRule="auto" w:before="135"/>
        <w:ind w:left="633" w:right="4753" w:hanging="480"/>
        <w:jc w:val="left"/>
      </w:pPr>
      <w:r>
        <w:rPr/>
        <w:t>向全体股东每</w:t>
      </w:r>
      <w:r>
        <w:rPr>
          <w:spacing w:val="-61"/>
        </w:rPr>
        <w:t> </w:t>
      </w:r>
      <w:r>
        <w:rPr>
          <w:rFonts w:ascii="Times New Roman" w:hAnsi="Times New Roman" w:cs="Times New Roman" w:eastAsia="Times New Roman" w:hint="default"/>
        </w:rPr>
        <w:t>10 </w:t>
      </w:r>
      <w:r>
        <w:rPr/>
        <w:t>股派发人民币现金红利</w:t>
      </w:r>
      <w:r>
        <w:rPr>
          <w:spacing w:val="-60"/>
        </w:rPr>
        <w:t> </w:t>
      </w:r>
      <w:r>
        <w:rPr>
          <w:rFonts w:ascii="Times New Roman" w:hAnsi="Times New Roman" w:cs="Times New Roman" w:eastAsia="Times New Roman" w:hint="default"/>
        </w:rPr>
        <w:t>0.6 </w:t>
      </w:r>
      <w:r>
        <w:rPr>
          <w:spacing w:val="-20"/>
        </w:rPr>
        <w:t>元（含税）。</w:t>
      </w:r>
      <w:r>
        <w:rPr/>
        <w:t> 公司近三年（包括本报告期）普通股现金分红情况表</w:t>
      </w:r>
    </w:p>
    <w:p>
      <w:pPr>
        <w:pStyle w:val="BodyText"/>
        <w:spacing w:line="240" w:lineRule="auto" w:before="55"/>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23"/>
        <w:gridCol w:w="1275"/>
        <w:gridCol w:w="1438"/>
        <w:gridCol w:w="1185"/>
        <w:gridCol w:w="1218"/>
        <w:gridCol w:w="1174"/>
        <w:gridCol w:w="1352"/>
        <w:gridCol w:w="1386"/>
      </w:tblGrid>
      <w:tr>
        <w:trPr>
          <w:trHeight w:val="161" w:hRule="exact"/>
        </w:trPr>
        <w:tc>
          <w:tcPr>
            <w:tcW w:w="1123"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43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55" w:right="53"/>
              <w:jc w:val="center"/>
              <w:rPr>
                <w:rFonts w:ascii="宋体" w:hAnsi="宋体" w:cs="宋体" w:eastAsia="宋体" w:hint="default"/>
                <w:sz w:val="21"/>
                <w:szCs w:val="21"/>
              </w:rPr>
            </w:pPr>
            <w:r>
              <w:rPr>
                <w:rFonts w:ascii="宋体" w:hAnsi="宋体" w:cs="宋体" w:eastAsia="宋体" w:hint="default"/>
                <w:sz w:val="21"/>
                <w:szCs w:val="21"/>
              </w:rPr>
              <w:t>以其他方式</w:t>
            </w:r>
            <w:r>
              <w:rPr>
                <w:rFonts w:ascii="宋体" w:hAnsi="宋体" w:cs="宋体" w:eastAsia="宋体" w:hint="default"/>
                <w:w w:val="100"/>
                <w:sz w:val="21"/>
                <w:szCs w:val="21"/>
              </w:rPr>
              <w:t> </w:t>
            </w:r>
            <w:r>
              <w:rPr>
                <w:rFonts w:ascii="宋体" w:hAnsi="宋体" w:cs="宋体" w:eastAsia="宋体" w:hint="default"/>
                <w:sz w:val="21"/>
                <w:szCs w:val="21"/>
              </w:rPr>
              <w:t>现金分红金</w:t>
            </w:r>
            <w:r>
              <w:rPr>
                <w:rFonts w:ascii="宋体" w:hAnsi="宋体" w:cs="宋体" w:eastAsia="宋体" w:hint="default"/>
                <w:w w:val="100"/>
                <w:sz w:val="21"/>
                <w:szCs w:val="21"/>
              </w:rPr>
              <w:t> </w:t>
            </w:r>
            <w:r>
              <w:rPr>
                <w:rFonts w:ascii="宋体" w:hAnsi="宋体" w:cs="宋体" w:eastAsia="宋体" w:hint="default"/>
                <w:sz w:val="21"/>
                <w:szCs w:val="21"/>
              </w:rPr>
              <w:t>额占合并报</w:t>
            </w:r>
            <w:r>
              <w:rPr>
                <w:rFonts w:ascii="宋体" w:hAnsi="宋体" w:cs="宋体" w:eastAsia="宋体" w:hint="default"/>
                <w:w w:val="100"/>
                <w:sz w:val="21"/>
                <w:szCs w:val="21"/>
              </w:rPr>
              <w:t> </w:t>
            </w:r>
            <w:r>
              <w:rPr>
                <w:rFonts w:ascii="宋体" w:hAnsi="宋体" w:cs="宋体" w:eastAsia="宋体" w:hint="default"/>
                <w:sz w:val="21"/>
                <w:szCs w:val="21"/>
              </w:rPr>
              <w:t>表中归属于</w:t>
            </w:r>
            <w:r>
              <w:rPr>
                <w:rFonts w:ascii="宋体" w:hAnsi="宋体" w:cs="宋体" w:eastAsia="宋体" w:hint="default"/>
                <w:w w:val="100"/>
                <w:sz w:val="21"/>
                <w:szCs w:val="21"/>
              </w:rPr>
              <w:t> </w:t>
            </w:r>
            <w:r>
              <w:rPr>
                <w:rFonts w:ascii="宋体" w:hAnsi="宋体" w:cs="宋体" w:eastAsia="宋体" w:hint="default"/>
                <w:sz w:val="21"/>
                <w:szCs w:val="21"/>
              </w:rPr>
              <w:t>上市公司普</w:t>
            </w:r>
            <w:r>
              <w:rPr>
                <w:rFonts w:ascii="宋体" w:hAnsi="宋体" w:cs="宋体" w:eastAsia="宋体" w:hint="default"/>
                <w:w w:val="100"/>
                <w:sz w:val="21"/>
                <w:szCs w:val="21"/>
              </w:rPr>
              <w:t> </w:t>
            </w:r>
            <w:r>
              <w:rPr>
                <w:rFonts w:ascii="宋体" w:hAnsi="宋体" w:cs="宋体" w:eastAsia="宋体" w:hint="default"/>
                <w:sz w:val="21"/>
                <w:szCs w:val="21"/>
              </w:rPr>
              <w:t>通股股东的</w:t>
            </w:r>
            <w:r>
              <w:rPr>
                <w:rFonts w:ascii="宋体" w:hAnsi="宋体" w:cs="宋体" w:eastAsia="宋体" w:hint="default"/>
                <w:w w:val="100"/>
                <w:sz w:val="21"/>
                <w:szCs w:val="21"/>
              </w:rPr>
              <w:t> </w:t>
            </w:r>
            <w:r>
              <w:rPr>
                <w:rFonts w:ascii="宋体" w:hAnsi="宋体" w:cs="宋体" w:eastAsia="宋体" w:hint="default"/>
                <w:sz w:val="21"/>
                <w:szCs w:val="21"/>
              </w:rPr>
              <w:t>净利润的比</w:t>
            </w:r>
            <w:r>
              <w:rPr>
                <w:rFonts w:ascii="宋体" w:hAnsi="宋体" w:cs="宋体" w:eastAsia="宋体" w:hint="default"/>
                <w:w w:val="100"/>
                <w:sz w:val="21"/>
                <w:szCs w:val="21"/>
              </w:rPr>
              <w:t> </w:t>
            </w:r>
            <w:r>
              <w:rPr>
                <w:rFonts w:ascii="宋体" w:hAnsi="宋体" w:cs="宋体" w:eastAsia="宋体" w:hint="default"/>
                <w:sz w:val="21"/>
                <w:szCs w:val="21"/>
              </w:rPr>
              <w:t>例</w:t>
            </w:r>
          </w:p>
        </w:tc>
        <w:tc>
          <w:tcPr>
            <w:tcW w:w="1352" w:type="dxa"/>
            <w:vMerge w:val="restart"/>
            <w:tcBorders>
              <w:top w:val="single" w:sz="4" w:space="0" w:color="000000"/>
              <w:left w:val="single" w:sz="4" w:space="0" w:color="000000"/>
              <w:right w:val="single" w:sz="4" w:space="0" w:color="000000"/>
            </w:tcBorders>
            <w:shd w:val="clear" w:color="auto" w:fill="D2D2D2"/>
          </w:tcPr>
          <w:p>
            <w:pPr/>
          </w:p>
        </w:tc>
        <w:tc>
          <w:tcPr>
            <w:tcW w:w="13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123"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67" w:right="52"/>
              <w:jc w:val="center"/>
              <w:rPr>
                <w:rFonts w:ascii="宋体" w:hAnsi="宋体" w:cs="宋体" w:eastAsia="宋体" w:hint="default"/>
                <w:sz w:val="21"/>
                <w:szCs w:val="21"/>
              </w:rPr>
            </w:pPr>
            <w:r>
              <w:rPr>
                <w:rFonts w:ascii="宋体" w:hAnsi="宋体" w:cs="宋体" w:eastAsia="宋体" w:hint="default"/>
                <w:sz w:val="21"/>
                <w:szCs w:val="21"/>
              </w:rPr>
              <w:t>现金分红金</w:t>
            </w:r>
            <w:r>
              <w:rPr>
                <w:rFonts w:ascii="宋体" w:hAnsi="宋体" w:cs="宋体" w:eastAsia="宋体" w:hint="default"/>
                <w:w w:val="100"/>
                <w:sz w:val="21"/>
                <w:szCs w:val="21"/>
              </w:rPr>
              <w:t> </w:t>
            </w:r>
            <w:r>
              <w:rPr>
                <w:rFonts w:ascii="宋体" w:hAnsi="宋体" w:cs="宋体" w:eastAsia="宋体" w:hint="default"/>
                <w:sz w:val="21"/>
                <w:szCs w:val="21"/>
              </w:rPr>
              <w:t>额占合并报</w:t>
            </w:r>
            <w:r>
              <w:rPr>
                <w:rFonts w:ascii="宋体" w:hAnsi="宋体" w:cs="宋体" w:eastAsia="宋体" w:hint="default"/>
                <w:w w:val="100"/>
                <w:sz w:val="21"/>
                <w:szCs w:val="21"/>
              </w:rPr>
              <w:t> </w:t>
            </w:r>
            <w:r>
              <w:rPr>
                <w:rFonts w:ascii="宋体" w:hAnsi="宋体" w:cs="宋体" w:eastAsia="宋体" w:hint="default"/>
                <w:sz w:val="21"/>
                <w:szCs w:val="21"/>
              </w:rPr>
              <w:t>表中归属于</w:t>
            </w:r>
            <w:r>
              <w:rPr>
                <w:rFonts w:ascii="宋体" w:hAnsi="宋体" w:cs="宋体" w:eastAsia="宋体" w:hint="default"/>
                <w:w w:val="100"/>
                <w:sz w:val="21"/>
                <w:szCs w:val="21"/>
              </w:rPr>
              <w:t> </w:t>
            </w:r>
            <w:r>
              <w:rPr>
                <w:rFonts w:ascii="宋体" w:hAnsi="宋体" w:cs="宋体" w:eastAsia="宋体" w:hint="default"/>
                <w:sz w:val="21"/>
                <w:szCs w:val="21"/>
              </w:rPr>
              <w:t>上市公司普</w:t>
            </w:r>
            <w:r>
              <w:rPr>
                <w:rFonts w:ascii="宋体" w:hAnsi="宋体" w:cs="宋体" w:eastAsia="宋体" w:hint="default"/>
                <w:w w:val="100"/>
                <w:sz w:val="21"/>
                <w:szCs w:val="21"/>
              </w:rPr>
              <w:t> </w:t>
            </w:r>
            <w:r>
              <w:rPr>
                <w:rFonts w:ascii="宋体" w:hAnsi="宋体" w:cs="宋体" w:eastAsia="宋体" w:hint="default"/>
                <w:sz w:val="21"/>
                <w:szCs w:val="21"/>
              </w:rPr>
              <w:t>通股股东的</w:t>
            </w:r>
            <w:r>
              <w:rPr>
                <w:rFonts w:ascii="宋体" w:hAnsi="宋体" w:cs="宋体" w:eastAsia="宋体" w:hint="default"/>
                <w:w w:val="100"/>
                <w:sz w:val="21"/>
                <w:szCs w:val="21"/>
              </w:rPr>
              <w:t> </w:t>
            </w:r>
            <w:r>
              <w:rPr>
                <w:rFonts w:ascii="宋体" w:hAnsi="宋体" w:cs="宋体" w:eastAsia="宋体" w:hint="default"/>
                <w:sz w:val="21"/>
                <w:szCs w:val="21"/>
              </w:rPr>
              <w:t>净利润的比</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现金分红总额</w:t>
            </w:r>
          </w:p>
          <w:p>
            <w:pPr>
              <w:pStyle w:val="TableParagraph"/>
              <w:spacing w:line="273" w:lineRule="auto" w:before="37"/>
              <w:ind w:left="57" w:right="54" w:firstLine="2"/>
              <w:jc w:val="center"/>
              <w:rPr>
                <w:rFonts w:ascii="宋体" w:hAnsi="宋体" w:cs="宋体" w:eastAsia="宋体" w:hint="default"/>
                <w:sz w:val="21"/>
                <w:szCs w:val="21"/>
              </w:rPr>
            </w:pPr>
            <w:r>
              <w:rPr>
                <w:rFonts w:ascii="宋体" w:hAnsi="宋体" w:cs="宋体" w:eastAsia="宋体" w:hint="default"/>
                <w:sz w:val="21"/>
                <w:szCs w:val="21"/>
              </w:rPr>
              <w:t>（含其他方</w:t>
            </w:r>
            <w:r>
              <w:rPr>
                <w:rFonts w:ascii="宋体" w:hAnsi="宋体" w:cs="宋体" w:eastAsia="宋体" w:hint="default"/>
                <w:w w:val="100"/>
                <w:sz w:val="21"/>
                <w:szCs w:val="21"/>
              </w:rPr>
              <w:t> </w:t>
            </w:r>
            <w:r>
              <w:rPr>
                <w:rFonts w:ascii="宋体" w:hAnsi="宋体" w:cs="宋体" w:eastAsia="宋体" w:hint="default"/>
                <w:spacing w:val="-1"/>
                <w:sz w:val="21"/>
                <w:szCs w:val="21"/>
              </w:rPr>
              <w:t>式）占合并报</w:t>
            </w:r>
            <w:r>
              <w:rPr>
                <w:rFonts w:ascii="宋体" w:hAnsi="宋体" w:cs="宋体" w:eastAsia="宋体" w:hint="default"/>
                <w:w w:val="100"/>
                <w:sz w:val="21"/>
                <w:szCs w:val="21"/>
              </w:rPr>
              <w:t> </w:t>
            </w:r>
            <w:r>
              <w:rPr>
                <w:rFonts w:ascii="宋体" w:hAnsi="宋体" w:cs="宋体" w:eastAsia="宋体" w:hint="default"/>
                <w:spacing w:val="-1"/>
                <w:sz w:val="21"/>
                <w:szCs w:val="21"/>
              </w:rPr>
              <w:t>表中归属于上</w:t>
            </w:r>
            <w:r>
              <w:rPr>
                <w:rFonts w:ascii="宋体" w:hAnsi="宋体" w:cs="宋体" w:eastAsia="宋体" w:hint="default"/>
                <w:w w:val="100"/>
                <w:sz w:val="21"/>
                <w:szCs w:val="21"/>
              </w:rPr>
              <w:t> </w:t>
            </w:r>
            <w:r>
              <w:rPr>
                <w:rFonts w:ascii="宋体" w:hAnsi="宋体" w:cs="宋体" w:eastAsia="宋体" w:hint="default"/>
                <w:spacing w:val="-1"/>
                <w:sz w:val="21"/>
                <w:szCs w:val="21"/>
              </w:rPr>
              <w:t>市公司普通股</w:t>
            </w:r>
            <w:r>
              <w:rPr>
                <w:rFonts w:ascii="宋体" w:hAnsi="宋体" w:cs="宋体" w:eastAsia="宋体" w:hint="default"/>
                <w:w w:val="100"/>
                <w:sz w:val="21"/>
                <w:szCs w:val="21"/>
              </w:rPr>
              <w:t> </w:t>
            </w:r>
            <w:r>
              <w:rPr>
                <w:rFonts w:ascii="宋体" w:hAnsi="宋体" w:cs="宋体" w:eastAsia="宋体" w:hint="default"/>
                <w:spacing w:val="-1"/>
                <w:sz w:val="21"/>
                <w:szCs w:val="21"/>
              </w:rPr>
              <w:t>股东的净利润</w:t>
            </w:r>
            <w:r>
              <w:rPr>
                <w:rFonts w:ascii="宋体" w:hAnsi="宋体" w:cs="宋体" w:eastAsia="宋体" w:hint="default"/>
                <w:w w:val="100"/>
                <w:sz w:val="21"/>
                <w:szCs w:val="21"/>
              </w:rPr>
              <w:t> </w:t>
            </w:r>
            <w:r>
              <w:rPr>
                <w:rFonts w:ascii="宋体" w:hAnsi="宋体" w:cs="宋体" w:eastAsia="宋体" w:hint="default"/>
                <w:sz w:val="21"/>
                <w:szCs w:val="21"/>
              </w:rPr>
              <w:t>的比率</w:t>
            </w:r>
          </w:p>
        </w:tc>
      </w:tr>
      <w:tr>
        <w:trPr>
          <w:trHeight w:val="156" w:hRule="exact"/>
        </w:trPr>
        <w:tc>
          <w:tcPr>
            <w:tcW w:w="1123"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83" w:right="79"/>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1"/>
                <w:sz w:val="21"/>
                <w:szCs w:val="21"/>
              </w:rPr>
              <w:t>上市公司普通</w:t>
            </w:r>
            <w:r>
              <w:rPr>
                <w:rFonts w:ascii="宋体" w:hAnsi="宋体" w:cs="宋体" w:eastAsia="宋体" w:hint="default"/>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156" w:hRule="exact"/>
        </w:trPr>
        <w:tc>
          <w:tcPr>
            <w:tcW w:w="1123"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8" w:right="0"/>
              <w:jc w:val="both"/>
              <w:rPr>
                <w:rFonts w:ascii="宋体" w:hAnsi="宋体" w:cs="宋体" w:eastAsia="宋体" w:hint="default"/>
                <w:sz w:val="21"/>
                <w:szCs w:val="21"/>
              </w:rPr>
            </w:pPr>
            <w:r>
              <w:rPr>
                <w:rFonts w:ascii="宋体" w:hAnsi="宋体" w:cs="宋体" w:eastAsia="宋体" w:hint="default"/>
                <w:sz w:val="21"/>
                <w:szCs w:val="21"/>
              </w:rPr>
              <w:t>以其他方式</w:t>
            </w:r>
          </w:p>
          <w:p>
            <w:pPr>
              <w:pStyle w:val="TableParagraph"/>
              <w:spacing w:line="273" w:lineRule="auto" w:before="37"/>
              <w:ind w:left="78" w:right="74"/>
              <w:jc w:val="both"/>
              <w:rPr>
                <w:rFonts w:ascii="宋体" w:hAnsi="宋体" w:cs="宋体" w:eastAsia="宋体" w:hint="default"/>
                <w:sz w:val="21"/>
                <w:szCs w:val="21"/>
              </w:rPr>
            </w:pPr>
            <w:r>
              <w:rPr>
                <w:rFonts w:ascii="宋体" w:hAnsi="宋体" w:cs="宋体" w:eastAsia="宋体" w:hint="default"/>
                <w:sz w:val="21"/>
                <w:szCs w:val="21"/>
              </w:rPr>
              <w:t>（如回购股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份）现金分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红的金额</w:t>
            </w:r>
          </w:p>
        </w:tc>
        <w:tc>
          <w:tcPr>
            <w:tcW w:w="1174"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156" w:hRule="exact"/>
        </w:trPr>
        <w:tc>
          <w:tcPr>
            <w:tcW w:w="1123"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现金分红总额</w:t>
            </w:r>
          </w:p>
          <w:p>
            <w:pPr>
              <w:pStyle w:val="TableParagraph"/>
              <w:spacing w:line="273" w:lineRule="auto" w:before="37"/>
              <w:ind w:left="146" w:right="139"/>
              <w:jc w:val="center"/>
              <w:rPr>
                <w:rFonts w:ascii="宋体" w:hAnsi="宋体" w:cs="宋体" w:eastAsia="宋体" w:hint="default"/>
                <w:sz w:val="21"/>
                <w:szCs w:val="21"/>
              </w:rPr>
            </w:pPr>
            <w:r>
              <w:rPr>
                <w:rFonts w:ascii="宋体" w:hAnsi="宋体" w:cs="宋体" w:eastAsia="宋体" w:hint="default"/>
                <w:sz w:val="21"/>
                <w:szCs w:val="21"/>
              </w:rPr>
              <w:t>（含其他方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386" w:type="dxa"/>
            <w:vMerge/>
            <w:tcBorders>
              <w:left w:val="single" w:sz="4" w:space="0" w:color="000000"/>
              <w:right w:val="single" w:sz="4" w:space="0" w:color="000000"/>
            </w:tcBorders>
            <w:shd w:val="clear" w:color="auto" w:fill="D2D2D2"/>
          </w:tcPr>
          <w:p>
            <w:pPr/>
          </w:p>
        </w:tc>
      </w:tr>
      <w:tr>
        <w:trPr>
          <w:trHeight w:val="156" w:hRule="exact"/>
        </w:trPr>
        <w:tc>
          <w:tcPr>
            <w:tcW w:w="1123"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07" w:right="101"/>
              <w:jc w:val="left"/>
              <w:rPr>
                <w:rFonts w:ascii="宋体" w:hAnsi="宋体" w:cs="宋体" w:eastAsia="宋体" w:hint="default"/>
                <w:sz w:val="21"/>
                <w:szCs w:val="21"/>
              </w:rPr>
            </w:pPr>
            <w:r>
              <w:rPr>
                <w:rFonts w:ascii="宋体" w:hAnsi="宋体" w:cs="宋体" w:eastAsia="宋体" w:hint="default"/>
                <w:sz w:val="21"/>
                <w:szCs w:val="21"/>
              </w:rPr>
              <w:t>现金分红金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额（含税）</w:t>
            </w:r>
          </w:p>
        </w:tc>
        <w:tc>
          <w:tcPr>
            <w:tcW w:w="143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391"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9"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75"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156" w:hRule="exact"/>
        </w:trPr>
        <w:tc>
          <w:tcPr>
            <w:tcW w:w="1123"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156" w:hRule="exact"/>
        </w:trPr>
        <w:tc>
          <w:tcPr>
            <w:tcW w:w="1123"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156" w:hRule="exact"/>
        </w:trPr>
        <w:tc>
          <w:tcPr>
            <w:tcW w:w="1123"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156" w:hRule="exact"/>
        </w:trPr>
        <w:tc>
          <w:tcPr>
            <w:tcW w:w="1123"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312" w:hRule="exact"/>
        </w:trPr>
        <w:tc>
          <w:tcPr>
            <w:tcW w:w="1123"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43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3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352" w:type="dxa"/>
            <w:vMerge/>
            <w:tcBorders>
              <w:left w:val="single" w:sz="4" w:space="0" w:color="000000"/>
              <w:bottom w:val="single" w:sz="4" w:space="0" w:color="000000"/>
              <w:right w:val="single" w:sz="4" w:space="0" w:color="000000"/>
            </w:tcBorders>
            <w:shd w:val="clear" w:color="auto" w:fill="D2D2D2"/>
          </w:tcPr>
          <w:p>
            <w:pPr/>
          </w:p>
        </w:tc>
        <w:tc>
          <w:tcPr>
            <w:tcW w:w="13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33,715,302.53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167,612,442.09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20.12%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Times New Roman" w:hAnsi="Times New Roman" w:cs="Times New Roman" w:eastAsia="Times New Roman" w:hint="default"/>
                <w:sz w:val="21"/>
                <w:szCs w:val="21"/>
              </w:rPr>
            </w:pPr>
            <w:r>
              <w:rPr>
                <w:rFonts w:ascii="Times New Roman"/>
                <w:sz w:val="21"/>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9" w:right="0"/>
              <w:jc w:val="center"/>
              <w:rPr>
                <w:rFonts w:ascii="Times New Roman" w:hAnsi="Times New Roman" w:cs="Times New Roman" w:eastAsia="Times New Roman" w:hint="default"/>
                <w:sz w:val="21"/>
                <w:szCs w:val="21"/>
              </w:rPr>
            </w:pPr>
            <w:r>
              <w:rPr>
                <w:rFonts w:ascii="Times New Roman"/>
                <w:sz w:val="21"/>
              </w:rPr>
              <w:t>33,715,302.53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z w:val="21"/>
              </w:rPr>
              <w:t>20.12%</w:t>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39,559,288.30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196,266,033.25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
              <w:jc w:val="right"/>
              <w:rPr>
                <w:rFonts w:ascii="Times New Roman" w:hAnsi="Times New Roman" w:cs="Times New Roman" w:eastAsia="Times New Roman" w:hint="default"/>
                <w:sz w:val="21"/>
                <w:szCs w:val="21"/>
              </w:rPr>
            </w:pPr>
            <w:r>
              <w:rPr>
                <w:rFonts w:ascii="Times New Roman"/>
                <w:sz w:val="21"/>
              </w:rPr>
              <w:t>20.16%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
              <w:jc w:val="right"/>
              <w:rPr>
                <w:rFonts w:ascii="Times New Roman" w:hAnsi="Times New Roman" w:cs="Times New Roman" w:eastAsia="Times New Roman" w:hint="default"/>
                <w:sz w:val="21"/>
                <w:szCs w:val="21"/>
              </w:rPr>
            </w:pPr>
            <w:r>
              <w:rPr>
                <w:rFonts w:ascii="Times New Roman"/>
                <w:sz w:val="21"/>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
              <w:jc w:val="right"/>
              <w:rPr>
                <w:rFonts w:ascii="Times New Roman" w:hAnsi="Times New Roman" w:cs="Times New Roman" w:eastAsia="Times New Roman" w:hint="default"/>
                <w:sz w:val="21"/>
                <w:szCs w:val="21"/>
              </w:rPr>
            </w:pPr>
            <w:r>
              <w:rPr>
                <w:rFonts w:ascii="Times New Roman"/>
                <w:sz w:val="21"/>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 w:right="0"/>
              <w:jc w:val="center"/>
              <w:rPr>
                <w:rFonts w:ascii="Times New Roman" w:hAnsi="Times New Roman" w:cs="Times New Roman" w:eastAsia="Times New Roman" w:hint="default"/>
                <w:sz w:val="21"/>
                <w:szCs w:val="21"/>
              </w:rPr>
            </w:pPr>
            <w:r>
              <w:rPr>
                <w:rFonts w:ascii="Times New Roman"/>
                <w:sz w:val="21"/>
              </w:rPr>
              <w:t>39,559,288.30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z w:val="21"/>
              </w:rPr>
              <w:t>20.16%</w:t>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26,974,738.02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127,450,223.24</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21.16%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Times New Roman" w:hAnsi="Times New Roman" w:cs="Times New Roman" w:eastAsia="Times New Roman" w:hint="default"/>
                <w:sz w:val="21"/>
                <w:szCs w:val="21"/>
              </w:rPr>
            </w:pPr>
            <w:r>
              <w:rPr>
                <w:rFonts w:ascii="Times New Roman"/>
                <w:sz w:val="21"/>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
              <w:jc w:val="right"/>
              <w:rPr>
                <w:rFonts w:ascii="Times New Roman" w:hAnsi="Times New Roman" w:cs="Times New Roman" w:eastAsia="Times New Roman" w:hint="default"/>
                <w:sz w:val="21"/>
                <w:szCs w:val="21"/>
              </w:rPr>
            </w:pPr>
            <w:r>
              <w:rPr>
                <w:rFonts w:ascii="Times New Roman"/>
                <w:sz w:val="21"/>
              </w:rPr>
              <w:t>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9" w:right="0"/>
              <w:jc w:val="center"/>
              <w:rPr>
                <w:rFonts w:ascii="Times New Roman" w:hAnsi="Times New Roman" w:cs="Times New Roman" w:eastAsia="Times New Roman" w:hint="default"/>
                <w:sz w:val="21"/>
                <w:szCs w:val="21"/>
              </w:rPr>
            </w:pPr>
            <w:r>
              <w:rPr>
                <w:rFonts w:ascii="Times New Roman"/>
                <w:sz w:val="21"/>
              </w:rPr>
              <w:t>26,974,738.02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z w:val="21"/>
              </w:rPr>
              <w:t>21.16%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right="1213" w:firstLine="420"/>
        <w:jc w:val="left"/>
      </w:pPr>
      <w:r>
        <w:rPr/>
        <w:t>公司报告期内盈利且母公司可供普通股股东分配利润为正但未提出普通股现金红利分配 预案</w:t>
      </w:r>
    </w:p>
    <w:p>
      <w:pPr>
        <w:pStyle w:val="BodyText"/>
        <w:spacing w:line="240" w:lineRule="auto"/>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r>
        <w:rPr/>
        <w:pict>
          <v:shape style="position:absolute;margin-left:179.416168pt;margin-top:353.689972pt;width:49.5pt;height:187.25pt;mso-position-horizontal-relative:page;mso-position-vertical-relative:page;z-index:-1065208"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179.426727pt;margin-top:566.875pt;width:49.5pt;height:192.5pt;mso-position-horizontal-relative:page;mso-position-vertical-relative:page;z-index:-106518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p>
      <w:pPr>
        <w:pStyle w:val="Heading2"/>
        <w:spacing w:line="240" w:lineRule="auto" w:before="26"/>
        <w:ind w:left="433" w:right="134"/>
        <w:jc w:val="left"/>
        <w:rPr>
          <w:b w:val="0"/>
          <w:bCs w:val="0"/>
        </w:rPr>
      </w:pPr>
      <w:r>
        <w:rPr/>
        <w:t>二、承诺事项履行情况</w:t>
      </w:r>
      <w:r>
        <w:rPr>
          <w:b w:val="0"/>
          <w:bCs w:val="0"/>
        </w:rPr>
      </w:r>
    </w:p>
    <w:p>
      <w:pPr>
        <w:spacing w:line="240" w:lineRule="auto" w:before="11"/>
        <w:rPr>
          <w:rFonts w:ascii="宋体" w:hAnsi="宋体" w:cs="宋体" w:eastAsia="宋体" w:hint="default"/>
          <w:b/>
          <w:bCs/>
          <w:sz w:val="28"/>
          <w:szCs w:val="28"/>
        </w:rPr>
      </w:pPr>
    </w:p>
    <w:p>
      <w:pPr>
        <w:pStyle w:val="Heading2"/>
        <w:spacing w:line="338" w:lineRule="auto"/>
        <w:ind w:left="433" w:right="134" w:firstLine="480"/>
        <w:jc w:val="left"/>
        <w:rPr>
          <w:b w:val="0"/>
          <w:bCs w:val="0"/>
        </w:rPr>
      </w:pPr>
      <w:r>
        <w:rPr>
          <w:rFonts w:ascii="Times New Roman" w:hAnsi="Times New Roman" w:cs="Times New Roman" w:eastAsia="Times New Roman" w:hint="default"/>
          <w:spacing w:val="-3"/>
        </w:rPr>
        <w:t>1</w:t>
      </w:r>
      <w:r>
        <w:rPr>
          <w:spacing w:val="-3"/>
        </w:rPr>
        <w:t>、公司实际控制人、股东、关联方、收购人以及公司等承诺相关方在报告期内履行完毕</w:t>
      </w:r>
      <w:r>
        <w:rPr>
          <w:w w:val="99"/>
        </w:rPr>
        <w:t> </w:t>
      </w:r>
      <w:r>
        <w:rPr/>
        <w:t>及截至报告期末尚未履行完毕的承诺事项</w:t>
      </w:r>
      <w:r>
        <w:rPr>
          <w:b w:val="0"/>
          <w:bCs w:val="0"/>
        </w:rPr>
      </w:r>
    </w:p>
    <w:p>
      <w:pPr>
        <w:spacing w:line="240" w:lineRule="auto" w:before="3"/>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634"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439"/>
              <w:jc w:val="right"/>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56" w:right="0"/>
              <w:jc w:val="left"/>
              <w:rPr>
                <w:rFonts w:ascii="宋体" w:hAnsi="宋体" w:cs="宋体" w:eastAsia="宋体" w:hint="default"/>
                <w:sz w:val="21"/>
                <w:szCs w:val="21"/>
              </w:rPr>
            </w:pPr>
            <w:r>
              <w:rPr>
                <w:rFonts w:ascii="宋体" w:hAnsi="宋体" w:cs="宋体" w:eastAsia="宋体" w:hint="default"/>
                <w:b/>
                <w:bCs/>
                <w:sz w:val="21"/>
                <w:szCs w:val="21"/>
              </w:rPr>
              <w:t>承诺方</w:t>
            </w:r>
            <w:r>
              <w:rPr>
                <w:rFonts w:ascii="宋体" w:hAnsi="宋体" w:cs="宋体" w:eastAsia="宋体" w:hint="default"/>
                <w:sz w:val="21"/>
                <w:szCs w:val="21"/>
              </w:rPr>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5" w:right="215"/>
              <w:jc w:val="left"/>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3" w:right="0"/>
              <w:jc w:val="left"/>
              <w:rPr>
                <w:rFonts w:ascii="宋体" w:hAnsi="宋体" w:cs="宋体" w:eastAsia="宋体" w:hint="default"/>
                <w:sz w:val="21"/>
                <w:szCs w:val="21"/>
              </w:rPr>
            </w:pPr>
            <w:r>
              <w:rPr>
                <w:rFonts w:ascii="宋体" w:hAnsi="宋体" w:cs="宋体" w:eastAsia="宋体" w:hint="default"/>
                <w:b/>
                <w:bCs/>
                <w:sz w:val="21"/>
                <w:szCs w:val="21"/>
              </w:rPr>
              <w:t>承诺时间</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6" w:right="101" w:hanging="212"/>
              <w:jc w:val="left"/>
              <w:rPr>
                <w:rFonts w:ascii="宋体" w:hAnsi="宋体" w:cs="宋体" w:eastAsia="宋体" w:hint="default"/>
                <w:sz w:val="21"/>
                <w:szCs w:val="21"/>
              </w:rPr>
            </w:pPr>
            <w:r>
              <w:rPr>
                <w:rFonts w:ascii="宋体" w:hAnsi="宋体" w:cs="宋体" w:eastAsia="宋体" w:hint="default"/>
                <w:b/>
                <w:bCs/>
                <w:sz w:val="21"/>
                <w:szCs w:val="21"/>
              </w:rPr>
              <w:t>承诺期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00" w:right="86" w:hanging="212"/>
              <w:jc w:val="left"/>
              <w:rPr>
                <w:rFonts w:ascii="宋体" w:hAnsi="宋体" w:cs="宋体" w:eastAsia="宋体" w:hint="default"/>
                <w:sz w:val="21"/>
                <w:szCs w:val="21"/>
              </w:rPr>
            </w:pPr>
            <w:r>
              <w:rPr>
                <w:rFonts w:ascii="宋体" w:hAnsi="宋体" w:cs="宋体" w:eastAsia="宋体" w:hint="default"/>
                <w:b/>
                <w:bCs/>
                <w:sz w:val="21"/>
                <w:szCs w:val="21"/>
              </w:rPr>
              <w:t>履行情</w:t>
            </w:r>
            <w:r>
              <w:rPr>
                <w:rFonts w:ascii="宋体" w:hAnsi="宋体" w:cs="宋体" w:eastAsia="宋体" w:hint="default"/>
                <w:b/>
                <w:bCs/>
                <w:w w:val="100"/>
                <w:sz w:val="21"/>
                <w:szCs w:val="21"/>
              </w:rPr>
              <w:t> </w:t>
            </w:r>
            <w:r>
              <w:rPr>
                <w:rFonts w:ascii="宋体" w:hAnsi="宋体" w:cs="宋体" w:eastAsia="宋体" w:hint="default"/>
                <w:b/>
                <w:bCs/>
                <w:sz w:val="21"/>
                <w:szCs w:val="21"/>
              </w:rPr>
              <w:t>况</w:t>
            </w:r>
            <w:r>
              <w:rPr>
                <w:rFonts w:ascii="宋体" w:hAnsi="宋体" w:cs="宋体" w:eastAsia="宋体" w:hint="default"/>
                <w:sz w:val="21"/>
                <w:szCs w:val="21"/>
              </w:rPr>
            </w:r>
          </w:p>
        </w:tc>
      </w:tr>
      <w:tr>
        <w:trPr>
          <w:trHeight w:val="2194"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right="437"/>
              <w:jc w:val="right"/>
              <w:rPr>
                <w:rFonts w:ascii="宋体" w:hAnsi="宋体" w:cs="宋体" w:eastAsia="宋体" w:hint="default"/>
                <w:sz w:val="21"/>
                <w:szCs w:val="21"/>
              </w:rPr>
            </w:pPr>
            <w:r>
              <w:rPr>
                <w:rFonts w:ascii="宋体" w:hAnsi="宋体" w:cs="宋体" w:eastAsia="宋体" w:hint="default"/>
                <w:spacing w:val="-1"/>
                <w:sz w:val="21"/>
                <w:szCs w:val="21"/>
              </w:rPr>
              <w:t>股权激励承诺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73" w:lineRule="auto"/>
              <w:ind w:left="21" w:right="194" w:firstLine="2"/>
              <w:jc w:val="left"/>
              <w:rPr>
                <w:rFonts w:ascii="宋体" w:hAnsi="宋体" w:cs="宋体" w:eastAsia="宋体" w:hint="default"/>
                <w:sz w:val="21"/>
                <w:szCs w:val="21"/>
              </w:rPr>
            </w:pPr>
            <w:r>
              <w:rPr>
                <w:rFonts w:ascii="宋体" w:hAnsi="宋体" w:cs="宋体" w:eastAsia="宋体" w:hint="default"/>
                <w:sz w:val="21"/>
                <w:szCs w:val="21"/>
              </w:rPr>
              <w:t>其他承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1" w:right="24" w:firstLine="360"/>
              <w:jc w:val="left"/>
              <w:rPr>
                <w:rFonts w:ascii="宋体" w:hAnsi="宋体" w:cs="宋体" w:eastAsia="宋体" w:hint="default"/>
                <w:sz w:val="21"/>
                <w:szCs w:val="21"/>
              </w:rPr>
            </w:pPr>
            <w:r>
              <w:rPr>
                <w:rFonts w:ascii="宋体" w:hAnsi="宋体" w:cs="宋体" w:eastAsia="宋体" w:hint="default"/>
                <w:sz w:val="21"/>
                <w:szCs w:val="21"/>
              </w:rPr>
              <w:t>持股</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以上的主要股东或实际控</w:t>
            </w:r>
            <w:r>
              <w:rPr>
                <w:rFonts w:ascii="宋体" w:hAnsi="宋体" w:cs="宋体" w:eastAsia="宋体" w:hint="default"/>
                <w:w w:val="100"/>
                <w:sz w:val="21"/>
                <w:szCs w:val="21"/>
              </w:rPr>
              <w:t> </w:t>
            </w:r>
            <w:r>
              <w:rPr>
                <w:rFonts w:ascii="宋体" w:hAnsi="宋体" w:cs="宋体" w:eastAsia="宋体" w:hint="default"/>
                <w:spacing w:val="-2"/>
                <w:sz w:val="21"/>
                <w:szCs w:val="21"/>
              </w:rPr>
              <w:t>制人及其配偶、直系近亲属未参与本激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励计划。</w:t>
            </w:r>
          </w:p>
          <w:p>
            <w:pPr>
              <w:pStyle w:val="TableParagraph"/>
              <w:spacing w:line="273" w:lineRule="auto" w:before="16"/>
              <w:ind w:left="21" w:right="24" w:firstLine="360"/>
              <w:jc w:val="both"/>
              <w:rPr>
                <w:rFonts w:ascii="宋体" w:hAnsi="宋体" w:cs="宋体" w:eastAsia="宋体" w:hint="default"/>
                <w:sz w:val="21"/>
                <w:szCs w:val="21"/>
              </w:rPr>
            </w:pPr>
            <w:r>
              <w:rPr>
                <w:rFonts w:ascii="宋体" w:hAnsi="宋体" w:cs="宋体" w:eastAsia="宋体" w:hint="default"/>
                <w:sz w:val="21"/>
                <w:szCs w:val="21"/>
              </w:rPr>
              <w:t>不为激励对象依限制性股票激励计</w:t>
            </w:r>
            <w:r>
              <w:rPr>
                <w:rFonts w:ascii="宋体" w:hAnsi="宋体" w:cs="宋体" w:eastAsia="宋体" w:hint="default"/>
                <w:w w:val="100"/>
                <w:sz w:val="21"/>
                <w:szCs w:val="21"/>
              </w:rPr>
              <w:t> </w:t>
            </w:r>
            <w:r>
              <w:rPr>
                <w:rFonts w:ascii="宋体" w:hAnsi="宋体" w:cs="宋体" w:eastAsia="宋体" w:hint="default"/>
                <w:spacing w:val="-2"/>
                <w:sz w:val="21"/>
                <w:szCs w:val="21"/>
              </w:rPr>
              <w:t>划获取有关权益提供贷款以及其他任何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形式的财务资助，包括为其贷款提供担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40" w:lineRule="auto" w:before="21"/>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18</w:t>
            </w:r>
            <w:r>
              <w:rPr>
                <w:rFonts w:ascii="Times New Roman" w:hAnsi="Times New Roman" w:cs="Times New Roman" w:eastAsia="Times New Roman" w:hint="default"/>
                <w:sz w:val="21"/>
                <w:szCs w:val="21"/>
              </w:rPr>
            </w:r>
          </w:p>
          <w:p>
            <w:pPr>
              <w:pStyle w:val="TableParagraph"/>
              <w:spacing w:line="240" w:lineRule="auto" w:before="22"/>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83"/>
              <w:jc w:val="both"/>
              <w:rPr>
                <w:rFonts w:ascii="宋体" w:hAnsi="宋体" w:cs="宋体" w:eastAsia="宋体" w:hint="default"/>
                <w:sz w:val="21"/>
                <w:szCs w:val="21"/>
              </w:rPr>
            </w:pPr>
            <w:r>
              <w:rPr>
                <w:rFonts w:ascii="宋体" w:hAnsi="宋体" w:cs="宋体" w:eastAsia="宋体" w:hint="default"/>
                <w:sz w:val="21"/>
                <w:szCs w:val="21"/>
              </w:rPr>
              <w:t>至本次</w:t>
            </w:r>
            <w:r>
              <w:rPr>
                <w:rFonts w:ascii="宋体" w:hAnsi="宋体" w:cs="宋体" w:eastAsia="宋体" w:hint="default"/>
                <w:spacing w:val="-102"/>
                <w:sz w:val="21"/>
                <w:szCs w:val="21"/>
              </w:rPr>
              <w:t> </w:t>
            </w:r>
            <w:r>
              <w:rPr>
                <w:rFonts w:ascii="宋体" w:hAnsi="宋体" w:cs="宋体" w:eastAsia="宋体" w:hint="default"/>
                <w:sz w:val="21"/>
                <w:szCs w:val="21"/>
              </w:rPr>
              <w:t>股权激</w:t>
            </w:r>
            <w:r>
              <w:rPr>
                <w:rFonts w:ascii="宋体" w:hAnsi="宋体" w:cs="宋体" w:eastAsia="宋体" w:hint="default"/>
                <w:spacing w:val="-102"/>
                <w:sz w:val="21"/>
                <w:szCs w:val="21"/>
              </w:rPr>
              <w:t> </w:t>
            </w:r>
            <w:r>
              <w:rPr>
                <w:rFonts w:ascii="宋体" w:hAnsi="宋体" w:cs="宋体" w:eastAsia="宋体" w:hint="default"/>
                <w:sz w:val="21"/>
                <w:szCs w:val="21"/>
              </w:rPr>
              <w:t>励计划</w:t>
            </w:r>
            <w:r>
              <w:rPr>
                <w:rFonts w:ascii="宋体" w:hAnsi="宋体" w:cs="宋体" w:eastAsia="宋体" w:hint="default"/>
                <w:spacing w:val="-102"/>
                <w:sz w:val="21"/>
                <w:szCs w:val="21"/>
              </w:rPr>
              <w:t> </w:t>
            </w:r>
            <w:r>
              <w:rPr>
                <w:rFonts w:ascii="宋体" w:hAnsi="宋体" w:cs="宋体" w:eastAsia="宋体" w:hint="default"/>
                <w:sz w:val="21"/>
                <w:szCs w:val="21"/>
              </w:rPr>
              <w:t>终止或</w:t>
            </w:r>
            <w:r>
              <w:rPr>
                <w:rFonts w:ascii="宋体" w:hAnsi="宋体" w:cs="宋体" w:eastAsia="宋体" w:hint="default"/>
                <w:spacing w:val="-102"/>
                <w:sz w:val="21"/>
                <w:szCs w:val="21"/>
              </w:rPr>
              <w:t> </w:t>
            </w:r>
            <w:r>
              <w:rPr>
                <w:rFonts w:ascii="宋体" w:hAnsi="宋体" w:cs="宋体" w:eastAsia="宋体" w:hint="default"/>
                <w:sz w:val="21"/>
                <w:szCs w:val="21"/>
              </w:rPr>
              <w:t>有效期</w:t>
            </w:r>
            <w:r>
              <w:rPr>
                <w:rFonts w:ascii="宋体" w:hAnsi="宋体" w:cs="宋体" w:eastAsia="宋体" w:hint="default"/>
                <w:spacing w:val="-102"/>
                <w:sz w:val="21"/>
                <w:szCs w:val="21"/>
              </w:rPr>
              <w:t> </w:t>
            </w:r>
            <w:r>
              <w:rPr>
                <w:rFonts w:ascii="宋体" w:hAnsi="宋体" w:cs="宋体" w:eastAsia="宋体" w:hint="default"/>
                <w:sz w:val="21"/>
                <w:szCs w:val="21"/>
              </w:rPr>
              <w:t>结束。</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24" w:right="151"/>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946"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4"/>
              <w:jc w:val="both"/>
              <w:rPr>
                <w:rFonts w:ascii="宋体" w:hAnsi="宋体" w:cs="宋体" w:eastAsia="宋体" w:hint="default"/>
                <w:sz w:val="21"/>
                <w:szCs w:val="21"/>
              </w:rPr>
            </w:pPr>
            <w:r>
              <w:rPr>
                <w:rFonts w:ascii="宋体" w:hAnsi="宋体" w:cs="宋体" w:eastAsia="宋体" w:hint="default"/>
                <w:sz w:val="21"/>
                <w:szCs w:val="21"/>
              </w:rPr>
              <w:t>收购报告书或权益</w:t>
            </w:r>
            <w:r>
              <w:rPr>
                <w:rFonts w:ascii="宋体" w:hAnsi="宋体" w:cs="宋体" w:eastAsia="宋体" w:hint="default"/>
                <w:w w:val="100"/>
                <w:sz w:val="21"/>
                <w:szCs w:val="21"/>
              </w:rPr>
              <w:t> </w:t>
            </w:r>
            <w:r>
              <w:rPr>
                <w:rFonts w:ascii="宋体" w:hAnsi="宋体" w:cs="宋体" w:eastAsia="宋体" w:hint="default"/>
                <w:sz w:val="21"/>
                <w:szCs w:val="21"/>
              </w:rPr>
              <w:t>变动报告书中所作</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11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8123" w:hRule="exact"/>
        </w:trPr>
        <w:tc>
          <w:tcPr>
            <w:tcW w:w="174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资产重组时所作承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11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73" w:lineRule="auto"/>
              <w:ind w:left="21" w:right="65" w:firstLine="2"/>
              <w:jc w:val="both"/>
              <w:rPr>
                <w:rFonts w:ascii="宋体" w:hAnsi="宋体" w:cs="宋体" w:eastAsia="宋体" w:hint="default"/>
                <w:sz w:val="21"/>
                <w:szCs w:val="21"/>
              </w:rPr>
            </w:pPr>
            <w:r>
              <w:rPr>
                <w:rFonts w:ascii="宋体" w:hAnsi="宋体" w:cs="宋体" w:eastAsia="宋体" w:hint="default"/>
                <w:sz w:val="21"/>
                <w:szCs w:val="21"/>
              </w:rPr>
              <w:t>孙在宏、吴</w:t>
            </w:r>
            <w:r>
              <w:rPr>
                <w:rFonts w:ascii="宋体" w:hAnsi="宋体" w:cs="宋体" w:eastAsia="宋体" w:hint="default"/>
                <w:w w:val="100"/>
                <w:sz w:val="21"/>
                <w:szCs w:val="21"/>
              </w:rPr>
              <w:t> </w:t>
            </w:r>
            <w:r>
              <w:rPr>
                <w:rFonts w:ascii="宋体" w:hAnsi="宋体" w:cs="宋体" w:eastAsia="宋体" w:hint="default"/>
                <w:spacing w:val="-11"/>
                <w:sz w:val="21"/>
                <w:szCs w:val="21"/>
              </w:rPr>
              <w:t>长彬、蒋斌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张伟良、刘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新平、王履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华、王亚华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胡永珍、吉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波</w:t>
            </w:r>
          </w:p>
        </w:tc>
        <w:tc>
          <w:tcPr>
            <w:tcW w:w="864" w:type="dxa"/>
            <w:tcBorders>
              <w:top w:val="single" w:sz="4" w:space="0" w:color="000000"/>
              <w:left w:val="single" w:sz="10" w:space="0" w:color="FFFFFF"/>
              <w:bottom w:val="single" w:sz="4" w:space="0" w:color="000000"/>
              <w:right w:val="single" w:sz="4" w:space="0" w:color="000000"/>
            </w:tcBorders>
          </w:tcPr>
          <w:p>
            <w:pPr>
              <w:pStyle w:val="TableParagraph"/>
              <w:spacing w:line="3744" w:lineRule="exact"/>
              <w:ind w:left="-8" w:right="-51"/>
              <w:jc w:val="left"/>
              <w:rPr>
                <w:rFonts w:ascii="宋体" w:hAnsi="宋体" w:cs="宋体" w:eastAsia="宋体" w:hint="default"/>
                <w:sz w:val="20"/>
                <w:szCs w:val="20"/>
              </w:rPr>
            </w:pPr>
            <w:r>
              <w:rPr>
                <w:rFonts w:ascii="宋体" w:hAnsi="宋体" w:cs="宋体" w:eastAsia="宋体" w:hint="default"/>
                <w:position w:val="-74"/>
                <w:sz w:val="20"/>
                <w:szCs w:val="20"/>
              </w:rPr>
              <w:pict>
                <v:group style="width:42.75pt;height:187.25pt;mso-position-horizontal-relative:char;mso-position-vertical-relative:line" coordorigin="0,0" coordsize="855,3745">
                  <v:group style="position:absolute;left:0;top:0;width:855;height:3745" coordorigin="0,0" coordsize="855,3745">
                    <v:shape style="position:absolute;left:0;top:0;width:855;height:3745" coordorigin="0,0" coordsize="855,3745" path="m0,3744l854,3744,854,0,0,0,0,3744xe" filled="true" fillcolor="#ffffff" stroked="false">
                      <v:path arrowok="t"/>
                      <v:fill type="solid"/>
                    </v:shape>
                  </v:group>
                </v:group>
              </w:pict>
            </w:r>
            <w:r>
              <w:rPr>
                <w:rFonts w:ascii="宋体" w:hAnsi="宋体" w:cs="宋体" w:eastAsia="宋体" w:hint="default"/>
                <w:position w:val="-74"/>
                <w:sz w:val="20"/>
                <w:szCs w:val="20"/>
              </w:rPr>
            </w:r>
          </w:p>
          <w:p>
            <w:pPr>
              <w:pStyle w:val="TableParagraph"/>
              <w:spacing w:line="273" w:lineRule="auto"/>
              <w:ind w:left="16" w:right="194"/>
              <w:jc w:val="left"/>
              <w:rPr>
                <w:rFonts w:ascii="宋体" w:hAnsi="宋体" w:cs="宋体" w:eastAsia="宋体" w:hint="default"/>
                <w:sz w:val="21"/>
                <w:szCs w:val="21"/>
              </w:rPr>
            </w:pPr>
            <w:r>
              <w:rPr>
                <w:rFonts w:ascii="宋体" w:hAnsi="宋体" w:cs="宋体" w:eastAsia="宋体" w:hint="default"/>
                <w:sz w:val="21"/>
                <w:szCs w:val="21"/>
              </w:rPr>
              <w:t>股份锁</w:t>
            </w:r>
            <w:r>
              <w:rPr>
                <w:rFonts w:ascii="宋体" w:hAnsi="宋体" w:cs="宋体" w:eastAsia="宋体" w:hint="default"/>
                <w:spacing w:val="-102"/>
                <w:sz w:val="21"/>
                <w:szCs w:val="21"/>
              </w:rPr>
              <w:t> </w:t>
            </w:r>
            <w:r>
              <w:rPr>
                <w:rFonts w:ascii="宋体" w:hAnsi="宋体" w:cs="宋体" w:eastAsia="宋体" w:hint="default"/>
                <w:sz w:val="21"/>
                <w:szCs w:val="21"/>
              </w:rPr>
              <w:t>定承诺</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744" w:lineRule="exact"/>
              <w:ind w:left="-8" w:right="-51"/>
              <w:jc w:val="left"/>
              <w:rPr>
                <w:rFonts w:ascii="宋体" w:hAnsi="宋体" w:cs="宋体" w:eastAsia="宋体" w:hint="default"/>
                <w:sz w:val="20"/>
                <w:szCs w:val="20"/>
              </w:rPr>
            </w:pPr>
            <w:r>
              <w:rPr>
                <w:rFonts w:ascii="宋体" w:hAnsi="宋体" w:cs="宋体" w:eastAsia="宋体" w:hint="default"/>
                <w:position w:val="-74"/>
                <w:sz w:val="20"/>
                <w:szCs w:val="20"/>
              </w:rPr>
              <w:pict>
                <v:group style="width:42.75pt;height:187.25pt;mso-position-horizontal-relative:char;mso-position-vertical-relative:line" coordorigin="0,0" coordsize="855,3745">
                  <v:group style="position:absolute;left:0;top:0;width:855;height:3745" coordorigin="0,0" coordsize="855,3745">
                    <v:shape style="position:absolute;left:0;top:0;width:855;height:3745" coordorigin="0,0" coordsize="855,3745" path="m0,3744l854,3744,854,0,0,0,0,3744xe" filled="true" fillcolor="#ffffff" stroked="false">
                      <v:path arrowok="t"/>
                      <v:fill type="solid"/>
                    </v:shape>
                  </v:group>
                </v:group>
              </w:pict>
            </w:r>
            <w:r>
              <w:rPr>
                <w:rFonts w:ascii="宋体" w:hAnsi="宋体" w:cs="宋体" w:eastAsia="宋体" w:hint="default"/>
                <w:position w:val="-74"/>
                <w:sz w:val="20"/>
                <w:szCs w:val="20"/>
              </w:rPr>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2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日，南京国图经南</w:t>
            </w:r>
            <w:r>
              <w:rPr>
                <w:rFonts w:ascii="宋体" w:hAnsi="宋体" w:cs="宋体" w:eastAsia="宋体" w:hint="default"/>
                <w:w w:val="100"/>
                <w:sz w:val="21"/>
                <w:szCs w:val="21"/>
              </w:rPr>
              <w:t> </w:t>
            </w:r>
            <w:r>
              <w:rPr>
                <w:rFonts w:ascii="宋体" w:hAnsi="宋体" w:cs="宋体" w:eastAsia="宋体" w:hint="default"/>
                <w:sz w:val="21"/>
                <w:szCs w:val="21"/>
              </w:rPr>
              <w:t>京市工商行政管理局核准，南京国图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的股权已过户登记至超图软件名</w:t>
            </w:r>
            <w:r>
              <w:rPr>
                <w:rFonts w:ascii="宋体" w:hAnsi="宋体" w:cs="宋体" w:eastAsia="宋体" w:hint="default"/>
                <w:w w:val="100"/>
                <w:sz w:val="21"/>
                <w:szCs w:val="21"/>
              </w:rPr>
              <w:t> </w:t>
            </w:r>
            <w:r>
              <w:rPr>
                <w:rFonts w:ascii="宋体" w:hAnsi="宋体" w:cs="宋体" w:eastAsia="宋体" w:hint="default"/>
                <w:spacing w:val="-2"/>
                <w:sz w:val="21"/>
                <w:szCs w:val="21"/>
              </w:rPr>
              <w:t>下，在满足相关法律法规以及证券监督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管理部门准许范围内，根据相关协议的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约定，超图软件本次向其发行的股份按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照如下方式进行锁定和解禁：</w:t>
            </w:r>
          </w:p>
          <w:p>
            <w:pPr>
              <w:pStyle w:val="TableParagraph"/>
              <w:spacing w:line="261" w:lineRule="auto" w:before="14"/>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1</w:t>
            </w:r>
            <w:r>
              <w:rPr>
                <w:rFonts w:ascii="宋体" w:hAnsi="宋体" w:cs="宋体" w:eastAsia="宋体" w:hint="default"/>
                <w:spacing w:val="-8"/>
                <w:w w:val="100"/>
                <w:sz w:val="21"/>
                <w:szCs w:val="21"/>
              </w:rPr>
              <w:t>、自发行结束并完成股份登记之日</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个月内且南京国图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年度审计</w:t>
            </w:r>
            <w:r>
              <w:rPr>
                <w:rFonts w:ascii="宋体" w:hAnsi="宋体" w:cs="宋体" w:eastAsia="宋体" w:hint="default"/>
                <w:w w:val="100"/>
                <w:sz w:val="21"/>
                <w:szCs w:val="21"/>
              </w:rPr>
              <w:t> </w:t>
            </w:r>
            <w:r>
              <w:rPr>
                <w:rFonts w:ascii="宋体" w:hAnsi="宋体" w:cs="宋体" w:eastAsia="宋体" w:hint="default"/>
                <w:spacing w:val="-2"/>
                <w:sz w:val="21"/>
                <w:szCs w:val="21"/>
              </w:rPr>
              <w:t>报告出具日之前，本人所持股份不得转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让；</w:t>
            </w:r>
          </w:p>
          <w:p>
            <w:pPr>
              <w:pStyle w:val="TableParagraph"/>
              <w:spacing w:line="268" w:lineRule="auto" w:before="18"/>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、南京国图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年度审计报告出</w:t>
            </w:r>
            <w:r>
              <w:rPr>
                <w:rFonts w:ascii="宋体" w:hAnsi="宋体" w:cs="宋体" w:eastAsia="宋体" w:hint="default"/>
                <w:w w:val="100"/>
                <w:sz w:val="21"/>
                <w:szCs w:val="21"/>
              </w:rPr>
              <w:t> </w:t>
            </w:r>
            <w:r>
              <w:rPr>
                <w:rFonts w:ascii="宋体" w:hAnsi="宋体" w:cs="宋体" w:eastAsia="宋体" w:hint="default"/>
                <w:spacing w:val="-2"/>
                <w:sz w:val="21"/>
                <w:szCs w:val="21"/>
              </w:rPr>
              <w:t>具且相应承诺利润已达成《盈利预测补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偿协议》之相关约定，当年不需要进行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业绩补偿的情况下，解禁本人所持股份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w:t>
            </w:r>
            <w:r>
              <w:rPr>
                <w:rFonts w:ascii="宋体" w:hAnsi="宋体" w:cs="宋体" w:eastAsia="宋体" w:hint="default"/>
                <w:spacing w:val="-27"/>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，否则应在履行相应业绩补偿义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务并取得超图软件同意后该等股份方可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w:t>
            </w:r>
          </w:p>
          <w:p>
            <w:pPr>
              <w:pStyle w:val="TableParagraph"/>
              <w:spacing w:line="266" w:lineRule="auto" w:before="12"/>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、南京国图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年度审计报告出</w:t>
            </w:r>
            <w:r>
              <w:rPr>
                <w:rFonts w:ascii="宋体" w:hAnsi="宋体" w:cs="宋体" w:eastAsia="宋体" w:hint="default"/>
                <w:w w:val="100"/>
                <w:sz w:val="21"/>
                <w:szCs w:val="21"/>
              </w:rPr>
              <w:t> </w:t>
            </w:r>
            <w:r>
              <w:rPr>
                <w:rFonts w:ascii="宋体" w:hAnsi="宋体" w:cs="宋体" w:eastAsia="宋体" w:hint="default"/>
                <w:spacing w:val="-2"/>
                <w:sz w:val="21"/>
                <w:szCs w:val="21"/>
              </w:rPr>
              <w:t>具且相应承诺利润已达成《盈利预测补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偿协议》之相关约定，当年不需要进行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业绩补偿的情况下，解禁本人所持股份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w:t>
            </w:r>
            <w:r>
              <w:rPr>
                <w:rFonts w:ascii="宋体" w:hAnsi="宋体" w:cs="宋体" w:eastAsia="宋体" w:hint="default"/>
                <w:spacing w:val="-27"/>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，否则应在履行相应业绩补偿义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务并取得超图软件同意后该等股份方可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w:t>
            </w:r>
          </w:p>
          <w:p>
            <w:pPr>
              <w:pStyle w:val="TableParagraph"/>
              <w:spacing w:line="240" w:lineRule="auto" w:before="14"/>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、南京国图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年度审计报告出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z w:val="21"/>
                <w:szCs w:val="21"/>
              </w:rPr>
              <w:t>至业绩</w:t>
            </w:r>
            <w:r>
              <w:rPr>
                <w:rFonts w:ascii="宋体" w:hAnsi="宋体" w:cs="宋体" w:eastAsia="宋体" w:hint="default"/>
                <w:spacing w:val="-102"/>
                <w:sz w:val="21"/>
                <w:szCs w:val="21"/>
              </w:rPr>
              <w:t> </w:t>
            </w:r>
            <w:r>
              <w:rPr>
                <w:rFonts w:ascii="宋体" w:hAnsi="宋体" w:cs="宋体" w:eastAsia="宋体" w:hint="default"/>
                <w:sz w:val="21"/>
                <w:szCs w:val="21"/>
              </w:rPr>
              <w:t>承诺实</w:t>
            </w:r>
            <w:r>
              <w:rPr>
                <w:rFonts w:ascii="宋体" w:hAnsi="宋体" w:cs="宋体" w:eastAsia="宋体" w:hint="default"/>
                <w:spacing w:val="-102"/>
                <w:sz w:val="21"/>
                <w:szCs w:val="21"/>
              </w:rPr>
              <w:t> </w:t>
            </w:r>
            <w:r>
              <w:rPr>
                <w:rFonts w:ascii="宋体" w:hAnsi="宋体" w:cs="宋体" w:eastAsia="宋体" w:hint="default"/>
                <w:sz w:val="21"/>
                <w:szCs w:val="21"/>
              </w:rPr>
              <w:t>现且办</w:t>
            </w:r>
            <w:r>
              <w:rPr>
                <w:rFonts w:ascii="宋体" w:hAnsi="宋体" w:cs="宋体" w:eastAsia="宋体" w:hint="default"/>
                <w:spacing w:val="-102"/>
                <w:sz w:val="21"/>
                <w:szCs w:val="21"/>
              </w:rPr>
              <w:t> </w:t>
            </w:r>
            <w:r>
              <w:rPr>
                <w:rFonts w:ascii="宋体" w:hAnsi="宋体" w:cs="宋体" w:eastAsia="宋体" w:hint="default"/>
                <w:sz w:val="21"/>
                <w:szCs w:val="21"/>
              </w:rPr>
              <w:t>理解锁</w:t>
            </w:r>
            <w:r>
              <w:rPr>
                <w:rFonts w:ascii="宋体" w:hAnsi="宋体" w:cs="宋体" w:eastAsia="宋体" w:hint="default"/>
                <w:spacing w:val="-102"/>
                <w:sz w:val="21"/>
                <w:szCs w:val="21"/>
              </w:rPr>
              <w:t> </w:t>
            </w:r>
            <w:r>
              <w:rPr>
                <w:rFonts w:ascii="宋体" w:hAnsi="宋体" w:cs="宋体" w:eastAsia="宋体" w:hint="default"/>
                <w:sz w:val="21"/>
                <w:szCs w:val="21"/>
              </w:rPr>
              <w:t>手续</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3"/>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877" w:footer="979" w:top="1100" w:bottom="1160" w:left="7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1882" w:hRule="exact"/>
        </w:trPr>
        <w:tc>
          <w:tcPr>
            <w:tcW w:w="1740" w:type="dxa"/>
            <w:vMerge w:val="restart"/>
            <w:tcBorders>
              <w:top w:val="single" w:sz="4" w:space="0" w:color="000000"/>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20"/>
              <w:jc w:val="both"/>
              <w:rPr>
                <w:rFonts w:ascii="宋体" w:hAnsi="宋体" w:cs="宋体" w:eastAsia="宋体" w:hint="default"/>
                <w:sz w:val="21"/>
                <w:szCs w:val="21"/>
              </w:rPr>
            </w:pPr>
            <w:r>
              <w:rPr>
                <w:rFonts w:ascii="宋体" w:hAnsi="宋体" w:cs="宋体" w:eastAsia="宋体" w:hint="default"/>
                <w:spacing w:val="-2"/>
                <w:sz w:val="21"/>
                <w:szCs w:val="21"/>
              </w:rPr>
              <w:t>具且相应承诺利润已达成《盈利预测补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偿协议》之相关约定，当年不需要进行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业绩补偿的情况下，解禁本人所持股份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w:t>
            </w:r>
            <w:r>
              <w:rPr>
                <w:rFonts w:ascii="宋体" w:hAnsi="宋体" w:cs="宋体" w:eastAsia="宋体" w:hint="default"/>
                <w:spacing w:val="-27"/>
                <w:sz w:val="21"/>
                <w:szCs w:val="21"/>
              </w:rPr>
              <w:t> </w:t>
            </w:r>
            <w:r>
              <w:rPr>
                <w:rFonts w:ascii="Times New Roman" w:hAnsi="Times New Roman" w:cs="Times New Roman" w:eastAsia="Times New Roman" w:hint="default"/>
                <w:spacing w:val="-3"/>
                <w:sz w:val="21"/>
                <w:szCs w:val="21"/>
              </w:rPr>
              <w:t>40%</w:t>
            </w:r>
            <w:r>
              <w:rPr>
                <w:rFonts w:ascii="宋体" w:hAnsi="宋体" w:cs="宋体" w:eastAsia="宋体" w:hint="default"/>
                <w:spacing w:val="-3"/>
                <w:sz w:val="21"/>
                <w:szCs w:val="21"/>
              </w:rPr>
              <w:t>，否则应在履行相应业绩补偿义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务并取得超图软件同意后该等股份方可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w:t>
            </w: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3130" w:hRule="exact"/>
        </w:trPr>
        <w:tc>
          <w:tcPr>
            <w:tcW w:w="1740" w:type="dxa"/>
            <w:vMerge/>
            <w:tcBorders>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75"/>
              <w:jc w:val="both"/>
              <w:rPr>
                <w:rFonts w:ascii="宋体" w:hAnsi="宋体" w:cs="宋体" w:eastAsia="宋体" w:hint="default"/>
                <w:sz w:val="21"/>
                <w:szCs w:val="21"/>
              </w:rPr>
            </w:pPr>
            <w:r>
              <w:rPr>
                <w:rFonts w:ascii="宋体" w:hAnsi="宋体" w:cs="宋体" w:eastAsia="宋体" w:hint="default"/>
                <w:sz w:val="21"/>
                <w:szCs w:val="21"/>
              </w:rPr>
              <w:t>江苏人才创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新创业投资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合伙企业</w:t>
            </w:r>
          </w:p>
          <w:p>
            <w:pPr>
              <w:pStyle w:val="TableParagraph"/>
              <w:spacing w:line="273" w:lineRule="auto" w:before="7"/>
              <w:ind w:left="21" w:right="75"/>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伙）与江苏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高投科贷创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业投资企业</w:t>
            </w:r>
          </w:p>
          <w:p>
            <w:pPr>
              <w:pStyle w:val="TableParagraph"/>
              <w:spacing w:line="273" w:lineRule="auto" w:before="7"/>
              <w:ind w:left="21" w:right="286"/>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3" w:lineRule="auto"/>
              <w:ind w:left="23" w:right="194"/>
              <w:jc w:val="left"/>
              <w:rPr>
                <w:rFonts w:ascii="宋体" w:hAnsi="宋体" w:cs="宋体" w:eastAsia="宋体" w:hint="default"/>
                <w:sz w:val="21"/>
                <w:szCs w:val="21"/>
              </w:rPr>
            </w:pPr>
            <w:r>
              <w:rPr>
                <w:rFonts w:ascii="宋体" w:hAnsi="宋体" w:cs="宋体" w:eastAsia="宋体" w:hint="default"/>
                <w:sz w:val="21"/>
                <w:szCs w:val="21"/>
              </w:rPr>
              <w:t>股份锁</w:t>
            </w:r>
            <w:r>
              <w:rPr>
                <w:rFonts w:ascii="宋体" w:hAnsi="宋体" w:cs="宋体" w:eastAsia="宋体" w:hint="default"/>
                <w:spacing w:val="-102"/>
                <w:sz w:val="21"/>
                <w:szCs w:val="21"/>
              </w:rPr>
              <w:t> </w:t>
            </w:r>
            <w:r>
              <w:rPr>
                <w:rFonts w:ascii="宋体" w:hAnsi="宋体" w:cs="宋体" w:eastAsia="宋体" w:hint="default"/>
                <w:sz w:val="21"/>
                <w:szCs w:val="21"/>
              </w:rPr>
              <w:t>定承诺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2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日，南京国图经南</w:t>
            </w:r>
            <w:r>
              <w:rPr>
                <w:rFonts w:ascii="宋体" w:hAnsi="宋体" w:cs="宋体" w:eastAsia="宋体" w:hint="default"/>
                <w:w w:val="100"/>
                <w:sz w:val="21"/>
                <w:szCs w:val="21"/>
              </w:rPr>
              <w:t> </w:t>
            </w:r>
            <w:r>
              <w:rPr>
                <w:rFonts w:ascii="宋体" w:hAnsi="宋体" w:cs="宋体" w:eastAsia="宋体" w:hint="default"/>
                <w:sz w:val="21"/>
                <w:szCs w:val="21"/>
              </w:rPr>
              <w:t>京市工商行政管理局核准，南京国图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的股权已过户登记至超图软件名</w:t>
            </w:r>
            <w:r>
              <w:rPr>
                <w:rFonts w:ascii="宋体" w:hAnsi="宋体" w:cs="宋体" w:eastAsia="宋体" w:hint="default"/>
                <w:w w:val="100"/>
                <w:sz w:val="21"/>
                <w:szCs w:val="21"/>
              </w:rPr>
              <w:t> </w:t>
            </w:r>
            <w:r>
              <w:rPr>
                <w:rFonts w:ascii="宋体" w:hAnsi="宋体" w:cs="宋体" w:eastAsia="宋体" w:hint="default"/>
                <w:spacing w:val="-2"/>
                <w:sz w:val="21"/>
                <w:szCs w:val="21"/>
              </w:rPr>
              <w:t>下，在满足相关法律法规以及证券监督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管理部门准许范围内，根据相关协议的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约定，超图软件本次向其发行的股份按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照如下方式进行锁定和解禁：</w:t>
            </w:r>
          </w:p>
          <w:p>
            <w:pPr>
              <w:pStyle w:val="TableParagraph"/>
              <w:spacing w:line="264" w:lineRule="auto" w:before="12"/>
              <w:ind w:left="23" w:right="20" w:firstLine="420"/>
              <w:jc w:val="both"/>
              <w:rPr>
                <w:rFonts w:ascii="宋体" w:hAnsi="宋体" w:cs="宋体" w:eastAsia="宋体" w:hint="default"/>
                <w:sz w:val="21"/>
                <w:szCs w:val="21"/>
              </w:rPr>
            </w:pPr>
            <w:r>
              <w:rPr>
                <w:rFonts w:ascii="宋体" w:hAnsi="宋体" w:cs="宋体" w:eastAsia="宋体" w:hint="default"/>
                <w:spacing w:val="-2"/>
                <w:sz w:val="21"/>
                <w:szCs w:val="21"/>
              </w:rPr>
              <w:t>自发行结束并完成股份登记之日起</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1"/>
                <w:sz w:val="21"/>
                <w:szCs w:val="21"/>
              </w:rPr>
              <w:t> </w:t>
            </w:r>
            <w:r>
              <w:rPr>
                <w:rFonts w:ascii="宋体" w:hAnsi="宋体" w:cs="宋体" w:eastAsia="宋体" w:hint="default"/>
                <w:spacing w:val="-5"/>
                <w:sz w:val="21"/>
                <w:szCs w:val="21"/>
              </w:rPr>
              <w:t>个月内不进行转让。锁定期结束后可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全部一次性解禁。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9"/>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2506" w:hRule="exact"/>
        </w:trPr>
        <w:tc>
          <w:tcPr>
            <w:tcW w:w="1740" w:type="dxa"/>
            <w:vMerge/>
            <w:tcBorders>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兴证资管</w:t>
            </w:r>
          </w:p>
          <w:p>
            <w:pPr>
              <w:pStyle w:val="TableParagraph"/>
              <w:spacing w:line="273" w:lineRule="auto" w:before="37"/>
              <w:ind w:left="23" w:right="72"/>
              <w:jc w:val="left"/>
              <w:rPr>
                <w:rFonts w:ascii="宋体" w:hAnsi="宋体" w:cs="宋体" w:eastAsia="宋体" w:hint="default"/>
                <w:sz w:val="21"/>
                <w:szCs w:val="21"/>
              </w:rPr>
            </w:pPr>
            <w:r>
              <w:rPr>
                <w:rFonts w:ascii="宋体" w:hAnsi="宋体" w:cs="宋体" w:eastAsia="宋体" w:hint="default"/>
                <w:sz w:val="21"/>
                <w:szCs w:val="21"/>
              </w:rPr>
              <w:t>（代兴证资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both"/>
              <w:rPr>
                <w:rFonts w:ascii="宋体" w:hAnsi="宋体" w:cs="宋体" w:eastAsia="宋体" w:hint="default"/>
                <w:sz w:val="21"/>
                <w:szCs w:val="21"/>
              </w:rPr>
            </w:pPr>
            <w:r>
              <w:rPr>
                <w:rFonts w:ascii="宋体" w:hAnsi="宋体" w:cs="宋体" w:eastAsia="宋体" w:hint="default"/>
                <w:sz w:val="21"/>
                <w:szCs w:val="21"/>
              </w:rPr>
              <w:t>关于股</w:t>
            </w:r>
            <w:r>
              <w:rPr>
                <w:rFonts w:ascii="宋体" w:hAnsi="宋体" w:cs="宋体" w:eastAsia="宋体" w:hint="default"/>
                <w:spacing w:val="-102"/>
                <w:sz w:val="21"/>
                <w:szCs w:val="21"/>
              </w:rPr>
              <w:t> </w:t>
            </w:r>
            <w:r>
              <w:rPr>
                <w:rFonts w:ascii="宋体" w:hAnsi="宋体" w:cs="宋体" w:eastAsia="宋体" w:hint="default"/>
                <w:sz w:val="21"/>
                <w:szCs w:val="21"/>
              </w:rPr>
              <w:t>份锁定</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2" w:firstLine="420"/>
              <w:jc w:val="both"/>
              <w:rPr>
                <w:rFonts w:ascii="宋体" w:hAnsi="宋体" w:cs="宋体" w:eastAsia="宋体" w:hint="default"/>
                <w:sz w:val="21"/>
                <w:szCs w:val="21"/>
              </w:rPr>
            </w:pPr>
            <w:r>
              <w:rPr>
                <w:rFonts w:ascii="宋体" w:hAnsi="宋体" w:cs="宋体" w:eastAsia="宋体" w:hint="default"/>
                <w:spacing w:val="-2"/>
                <w:sz w:val="21"/>
                <w:szCs w:val="21"/>
              </w:rPr>
              <w:t>我方保证本次非公开发行的股票过</w:t>
            </w:r>
            <w:r>
              <w:rPr>
                <w:rFonts w:ascii="宋体" w:hAnsi="宋体" w:cs="宋体" w:eastAsia="宋体" w:hint="default"/>
                <w:w w:val="100"/>
                <w:sz w:val="21"/>
                <w:szCs w:val="21"/>
              </w:rPr>
              <w:t> </w:t>
            </w:r>
            <w:r>
              <w:rPr>
                <w:rFonts w:ascii="宋体" w:hAnsi="宋体" w:cs="宋体" w:eastAsia="宋体" w:hint="default"/>
                <w:spacing w:val="-2"/>
                <w:sz w:val="21"/>
                <w:szCs w:val="21"/>
              </w:rPr>
              <w:t>户至我方资产管理计划名下之日起，在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法律、行政法规和中国证监会所规定的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限制股票转让期限内，不转让我方资产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管理计划所认购的本次非公开发行的股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票，亦不得接受资产管理计划的委托人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转让或退出其持有的资产管理计划份额</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的申请。</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4"/>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4069" w:hRule="exact"/>
        </w:trPr>
        <w:tc>
          <w:tcPr>
            <w:tcW w:w="1740" w:type="dxa"/>
            <w:vMerge/>
            <w:tcBorders>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20"/>
              <w:jc w:val="left"/>
              <w:rPr>
                <w:rFonts w:ascii="宋体" w:hAnsi="宋体" w:cs="宋体" w:eastAsia="宋体" w:hint="default"/>
                <w:sz w:val="21"/>
                <w:szCs w:val="21"/>
              </w:rPr>
            </w:pPr>
            <w:r>
              <w:rPr>
                <w:rFonts w:ascii="宋体" w:hAnsi="宋体" w:cs="宋体" w:eastAsia="宋体" w:hint="default"/>
                <w:sz w:val="21"/>
                <w:szCs w:val="21"/>
              </w:rPr>
              <w:t>南京毅达汇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聚股权投资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7"/>
                <w:w w:val="100"/>
                <w:sz w:val="21"/>
                <w:szCs w:val="21"/>
              </w:rPr>
              <w:t>合伙）、西南</w:t>
            </w:r>
            <w:r>
              <w:rPr>
                <w:rFonts w:ascii="宋体" w:hAnsi="宋体" w:cs="宋体" w:eastAsia="宋体" w:hint="default"/>
                <w:w w:val="100"/>
                <w:sz w:val="21"/>
                <w:szCs w:val="21"/>
              </w:rPr>
              <w:t> </w:t>
            </w:r>
            <w:r>
              <w:rPr>
                <w:rFonts w:ascii="宋体" w:hAnsi="宋体" w:cs="宋体" w:eastAsia="宋体" w:hint="default"/>
                <w:sz w:val="21"/>
                <w:szCs w:val="21"/>
              </w:rPr>
              <w:t>证券</w:t>
            </w:r>
            <w:r>
              <w:rPr>
                <w:rFonts w:ascii="Times New Roman" w:hAnsi="Times New Roman" w:cs="Times New Roman" w:eastAsia="Times New Roman" w:hint="default"/>
                <w:sz w:val="21"/>
                <w:szCs w:val="21"/>
              </w:rPr>
              <w:t>-</w:t>
            </w:r>
            <w:r>
              <w:rPr>
                <w:rFonts w:ascii="宋体" w:hAnsi="宋体" w:cs="宋体" w:eastAsia="宋体" w:hint="default"/>
                <w:sz w:val="21"/>
                <w:szCs w:val="21"/>
              </w:rPr>
              <w:t>超图</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号定</w:t>
            </w:r>
            <w:r>
              <w:rPr>
                <w:rFonts w:ascii="宋体" w:hAnsi="宋体" w:cs="宋体" w:eastAsia="宋体" w:hint="default"/>
                <w:spacing w:val="-103"/>
                <w:sz w:val="21"/>
                <w:szCs w:val="21"/>
              </w:rPr>
              <w:t> </w:t>
            </w:r>
            <w:r>
              <w:rPr>
                <w:rFonts w:ascii="宋体" w:hAnsi="宋体" w:cs="宋体" w:eastAsia="宋体" w:hint="default"/>
                <w:sz w:val="21"/>
                <w:szCs w:val="21"/>
              </w:rPr>
              <w:t>向资产管理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计划、王继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青、谛都融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成基金投资</w:t>
            </w:r>
          </w:p>
          <w:p>
            <w:pPr>
              <w:pStyle w:val="TableParagraph"/>
              <w:spacing w:line="273" w:lineRule="auto" w:before="12"/>
              <w:ind w:left="23" w:right="72"/>
              <w:jc w:val="both"/>
              <w:rPr>
                <w:rFonts w:ascii="宋体" w:hAnsi="宋体" w:cs="宋体" w:eastAsia="宋体" w:hint="default"/>
                <w:sz w:val="21"/>
                <w:szCs w:val="21"/>
              </w:rPr>
            </w:pPr>
            <w:r>
              <w:rPr>
                <w:rFonts w:ascii="宋体" w:hAnsi="宋体" w:cs="宋体" w:eastAsia="宋体" w:hint="default"/>
                <w:sz w:val="21"/>
                <w:szCs w:val="21"/>
              </w:rPr>
              <w:t>（三明）有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4"/>
              <w:jc w:val="both"/>
              <w:rPr>
                <w:rFonts w:ascii="宋体" w:hAnsi="宋体" w:cs="宋体" w:eastAsia="宋体" w:hint="default"/>
                <w:sz w:val="21"/>
                <w:szCs w:val="21"/>
              </w:rPr>
            </w:pPr>
            <w:r>
              <w:rPr>
                <w:rFonts w:ascii="宋体" w:hAnsi="宋体" w:cs="宋体" w:eastAsia="宋体" w:hint="default"/>
                <w:sz w:val="21"/>
                <w:szCs w:val="21"/>
              </w:rPr>
              <w:t>关于股</w:t>
            </w:r>
            <w:r>
              <w:rPr>
                <w:rFonts w:ascii="宋体" w:hAnsi="宋体" w:cs="宋体" w:eastAsia="宋体" w:hint="default"/>
                <w:spacing w:val="-102"/>
                <w:sz w:val="21"/>
                <w:szCs w:val="21"/>
              </w:rPr>
              <w:t> </w:t>
            </w:r>
            <w:r>
              <w:rPr>
                <w:rFonts w:ascii="宋体" w:hAnsi="宋体" w:cs="宋体" w:eastAsia="宋体" w:hint="default"/>
                <w:sz w:val="21"/>
                <w:szCs w:val="21"/>
              </w:rPr>
              <w:t>份锁定</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23" w:firstLine="420"/>
              <w:jc w:val="left"/>
              <w:rPr>
                <w:rFonts w:ascii="宋体" w:hAnsi="宋体" w:cs="宋体" w:eastAsia="宋体" w:hint="default"/>
                <w:sz w:val="21"/>
                <w:szCs w:val="21"/>
              </w:rPr>
            </w:pPr>
            <w:r>
              <w:rPr>
                <w:rFonts w:ascii="宋体" w:hAnsi="宋体" w:cs="宋体" w:eastAsia="宋体" w:hint="default"/>
                <w:sz w:val="21"/>
                <w:szCs w:val="21"/>
              </w:rPr>
              <w:t>我方</w:t>
            </w:r>
            <w:r>
              <w:rPr>
                <w:rFonts w:ascii="Times New Roman" w:hAnsi="Times New Roman" w:cs="Times New Roman" w:eastAsia="Times New Roman" w:hint="default"/>
                <w:sz w:val="21"/>
                <w:szCs w:val="21"/>
              </w:rPr>
              <w:t>/</w:t>
            </w:r>
            <w:r>
              <w:rPr>
                <w:rFonts w:ascii="宋体" w:hAnsi="宋体" w:cs="宋体" w:eastAsia="宋体" w:hint="default"/>
                <w:sz w:val="21"/>
                <w:szCs w:val="21"/>
              </w:rPr>
              <w:t>本人通过本次非公开发行认</w:t>
            </w:r>
            <w:r>
              <w:rPr>
                <w:rFonts w:ascii="宋体" w:hAnsi="宋体" w:cs="宋体" w:eastAsia="宋体" w:hint="default"/>
                <w:w w:val="100"/>
                <w:sz w:val="21"/>
                <w:szCs w:val="21"/>
              </w:rPr>
              <w:t> </w:t>
            </w:r>
            <w:r>
              <w:rPr>
                <w:rFonts w:ascii="宋体" w:hAnsi="宋体" w:cs="宋体" w:eastAsia="宋体" w:hint="default"/>
                <w:sz w:val="21"/>
                <w:szCs w:val="21"/>
              </w:rPr>
              <w:t>购的北京超图软件股份有限公司的股</w:t>
            </w:r>
            <w:r>
              <w:rPr>
                <w:rFonts w:ascii="宋体" w:hAnsi="宋体" w:cs="宋体" w:eastAsia="宋体" w:hint="default"/>
                <w:w w:val="100"/>
                <w:sz w:val="21"/>
                <w:szCs w:val="21"/>
              </w:rPr>
              <w:t> </w:t>
            </w:r>
            <w:r>
              <w:rPr>
                <w:rFonts w:ascii="宋体" w:hAnsi="宋体" w:cs="宋体" w:eastAsia="宋体" w:hint="default"/>
                <w:spacing w:val="-9"/>
                <w:w w:val="100"/>
                <w:sz w:val="21"/>
                <w:szCs w:val="21"/>
              </w:rPr>
              <w:t>份，自该等股份发行结束之日起</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2"/>
                <w:w w:val="100"/>
                <w:sz w:val="21"/>
                <w:szCs w:val="21"/>
              </w:rPr>
              <w:t>36</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3"/>
                <w:w w:val="100"/>
                <w:sz w:val="21"/>
                <w:szCs w:val="21"/>
              </w:rPr>
              <w:t>个月 </w:t>
            </w:r>
            <w:r>
              <w:rPr>
                <w:rFonts w:ascii="宋体" w:hAnsi="宋体" w:cs="宋体" w:eastAsia="宋体" w:hint="default"/>
                <w:sz w:val="21"/>
                <w:szCs w:val="21"/>
              </w:rPr>
              <w:t>内不得转让。</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8"/>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0"/>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2194"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23" w:right="194"/>
              <w:jc w:val="both"/>
              <w:rPr>
                <w:rFonts w:ascii="宋体" w:hAnsi="宋体" w:cs="宋体" w:eastAsia="宋体" w:hint="default"/>
                <w:sz w:val="21"/>
                <w:szCs w:val="21"/>
              </w:rPr>
            </w:pPr>
            <w:r>
              <w:rPr>
                <w:rFonts w:ascii="宋体" w:hAnsi="宋体" w:cs="宋体" w:eastAsia="宋体" w:hint="default"/>
                <w:sz w:val="21"/>
                <w:szCs w:val="21"/>
              </w:rPr>
              <w:t>关于避</w:t>
            </w:r>
            <w:r>
              <w:rPr>
                <w:rFonts w:ascii="宋体" w:hAnsi="宋体" w:cs="宋体" w:eastAsia="宋体" w:hint="default"/>
                <w:spacing w:val="-102"/>
                <w:sz w:val="21"/>
                <w:szCs w:val="21"/>
              </w:rPr>
              <w:t> </w:t>
            </w:r>
            <w:r>
              <w:rPr>
                <w:rFonts w:ascii="宋体" w:hAnsi="宋体" w:cs="宋体" w:eastAsia="宋体" w:hint="default"/>
                <w:sz w:val="21"/>
                <w:szCs w:val="21"/>
              </w:rPr>
              <w:t>免同业</w:t>
            </w:r>
            <w:r>
              <w:rPr>
                <w:rFonts w:ascii="宋体" w:hAnsi="宋体" w:cs="宋体" w:eastAsia="宋体" w:hint="default"/>
                <w:spacing w:val="-102"/>
                <w:sz w:val="21"/>
                <w:szCs w:val="21"/>
              </w:rPr>
              <w:t> </w:t>
            </w:r>
            <w:r>
              <w:rPr>
                <w:rFonts w:ascii="宋体" w:hAnsi="宋体" w:cs="宋体" w:eastAsia="宋体" w:hint="default"/>
                <w:sz w:val="21"/>
                <w:szCs w:val="21"/>
              </w:rPr>
              <w:t>竞争的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20"/>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、本人或本人近亲属、本人或本人近亲</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属实际控制的公司或者企业、由本人或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本人近亲属担任董事或高级管理人员的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公司或者企业（以下统称为</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本人或本人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8"/>
                <w:w w:val="100"/>
                <w:sz w:val="21"/>
                <w:szCs w:val="21"/>
              </w:rPr>
              <w:t>近亲属控制或影响的企业</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）（南京国图</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及其下属控股子公司除外）目前并没有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以任何方式（包括但不限于自营、合资</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z w:val="21"/>
                <w:szCs w:val="21"/>
              </w:rPr>
              <w:t>利润承</w:t>
            </w:r>
            <w:r>
              <w:rPr>
                <w:rFonts w:ascii="宋体" w:hAnsi="宋体" w:cs="宋体" w:eastAsia="宋体" w:hint="default"/>
                <w:spacing w:val="-102"/>
                <w:sz w:val="21"/>
                <w:szCs w:val="21"/>
              </w:rPr>
              <w:t> </w:t>
            </w:r>
            <w:r>
              <w:rPr>
                <w:rFonts w:ascii="宋体" w:hAnsi="宋体" w:cs="宋体" w:eastAsia="宋体" w:hint="default"/>
                <w:sz w:val="21"/>
                <w:szCs w:val="21"/>
              </w:rPr>
              <w:t>诺期及</w:t>
            </w:r>
            <w:r>
              <w:rPr>
                <w:rFonts w:ascii="宋体" w:hAnsi="宋体" w:cs="宋体" w:eastAsia="宋体" w:hint="default"/>
                <w:spacing w:val="-102"/>
                <w:sz w:val="21"/>
                <w:szCs w:val="21"/>
              </w:rPr>
              <w:t> </w:t>
            </w:r>
            <w:r>
              <w:rPr>
                <w:rFonts w:ascii="宋体" w:hAnsi="宋体" w:cs="宋体" w:eastAsia="宋体" w:hint="default"/>
                <w:sz w:val="21"/>
                <w:szCs w:val="21"/>
              </w:rPr>
              <w:t>期满后</w:t>
            </w:r>
            <w:r>
              <w:rPr>
                <w:rFonts w:ascii="宋体" w:hAnsi="宋体" w:cs="宋体" w:eastAsia="宋体" w:hint="default"/>
                <w:spacing w:val="-102"/>
                <w:sz w:val="21"/>
                <w:szCs w:val="21"/>
              </w:rPr>
              <w:t> </w:t>
            </w:r>
            <w:r>
              <w:rPr>
                <w:rFonts w:ascii="宋体" w:hAnsi="宋体" w:cs="宋体" w:eastAsia="宋体" w:hint="default"/>
                <w:sz w:val="21"/>
                <w:szCs w:val="21"/>
              </w:rPr>
              <w:t>两年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877" w:footer="979" w:top="1100" w:bottom="1160" w:left="700" w:right="0"/>
        </w:sectPr>
      </w:pPr>
    </w:p>
    <w:p>
      <w:pPr>
        <w:spacing w:line="240" w:lineRule="auto" w:before="11"/>
        <w:rPr>
          <w:rFonts w:ascii="Times New Roman" w:hAnsi="Times New Roman" w:cs="Times New Roman" w:eastAsia="Times New Roman" w:hint="default"/>
          <w:sz w:val="27"/>
          <w:szCs w:val="27"/>
        </w:rPr>
      </w:pPr>
      <w:r>
        <w:rPr/>
        <w:pict>
          <v:shape style="position:absolute;margin-left:403.996887pt;margin-top:72.475983pt;width:52.5pt;height:670.9pt;mso-position-horizontal-relative:page;mso-position-vertical-relative:page;z-index:-106513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8"/>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318"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或联营）从事与超图软件及其下属子公</w:t>
            </w:r>
          </w:p>
        </w:tc>
        <w:tc>
          <w:tcPr>
            <w:tcW w:w="919" w:type="dxa"/>
            <w:vMerge w:val="restart"/>
            <w:tcBorders>
              <w:top w:val="single" w:sz="4" w:space="0" w:color="000000"/>
              <w:left w:val="single" w:sz="4" w:space="0" w:color="000000"/>
              <w:right w:val="single" w:sz="4" w:space="0" w:color="000000"/>
            </w:tcBorders>
          </w:tcPr>
          <w:p>
            <w:pPr>
              <w:pStyle w:val="TableParagraph"/>
              <w:spacing w:line="1341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7"/>
                <w:sz w:val="20"/>
                <w:szCs w:val="20"/>
              </w:rPr>
              <w:pict>
                <v:group style="width:45.5pt;height:670.9pt;mso-position-horizontal-relative:char;mso-position-vertical-relative:line" coordorigin="0,0" coordsize="910,13418">
                  <v:group style="position:absolute;left:0;top:0;width:910;height:13418" coordorigin="0,0" coordsize="910,13418">
                    <v:shape style="position:absolute;left:0;top:0;width:910;height:13418" coordorigin="0,0" coordsize="910,13418" path="m0,13418l910,13418,910,0,0,0,0,13418xe" filled="true" fillcolor="#ffffff" stroked="false">
                      <v:path arrowok="t"/>
                      <v:fill type="solid"/>
                    </v:shape>
                  </v:group>
                </v:group>
              </w:pict>
            </w:r>
            <w:r>
              <w:rPr>
                <w:rFonts w:ascii="Times New Roman" w:hAnsi="Times New Roman" w:cs="Times New Roman" w:eastAsia="Times New Roman" w:hint="default"/>
                <w:position w:val="-267"/>
                <w:sz w:val="20"/>
                <w:szCs w:val="20"/>
              </w:rPr>
            </w:r>
          </w:p>
        </w:tc>
        <w:tc>
          <w:tcPr>
            <w:tcW w:w="852"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司、南京国图及其下属子公司的主营业</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务存在竞争或可能构成竞争的业务。</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20"/>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、在《发行股份及支付现金购买资</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产协议》中约定的本人承诺任职期限内</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（即</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期</w:t>
            </w:r>
            <w:r>
              <w:rPr>
                <w:rFonts w:ascii="宋体" w:hAnsi="宋体" w:cs="宋体" w:eastAsia="宋体" w:hint="default"/>
                <w:w w:val="100"/>
                <w:sz w:val="21"/>
                <w:szCs w:val="21"/>
              </w:rPr>
              <w:t>及</w:t>
            </w:r>
            <w:r>
              <w:rPr>
                <w:rFonts w:ascii="宋体" w:hAnsi="宋体" w:cs="宋体" w:eastAsia="宋体" w:hint="default"/>
                <w:spacing w:val="-3"/>
                <w:w w:val="100"/>
                <w:sz w:val="21"/>
                <w:szCs w:val="21"/>
              </w:rPr>
              <w:t>期</w:t>
            </w:r>
            <w:r>
              <w:rPr>
                <w:rFonts w:ascii="宋体" w:hAnsi="宋体" w:cs="宋体" w:eastAsia="宋体" w:hint="default"/>
                <w:w w:val="100"/>
                <w:sz w:val="21"/>
                <w:szCs w:val="21"/>
              </w:rPr>
              <w:t>满</w:t>
            </w:r>
            <w:r>
              <w:rPr>
                <w:rFonts w:ascii="宋体" w:hAnsi="宋体" w:cs="宋体" w:eastAsia="宋体" w:hint="default"/>
                <w:spacing w:val="-3"/>
                <w:w w:val="100"/>
                <w:sz w:val="21"/>
                <w:szCs w:val="21"/>
              </w:rPr>
              <w:t>后</w:t>
            </w:r>
            <w:r>
              <w:rPr>
                <w:rFonts w:ascii="宋体" w:hAnsi="宋体" w:cs="宋体" w:eastAsia="宋体" w:hint="default"/>
                <w:w w:val="100"/>
                <w:sz w:val="21"/>
                <w:szCs w:val="21"/>
              </w:rPr>
              <w:t>两年</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人</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本人近亲属、本人或本人近亲属控制或</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影响的企业将不会以任何方式（包括但</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不限于自营、合资或联营）参与或进行</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与超图软件及其下属子公司（含南京国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图）的主营业务存在竞争或可能构成竞</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争的业务。</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8" w:lineRule="exact"/>
              <w:ind w:right="20"/>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、在《发行股份及支付现金购买资</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产协议》中约定的本人承诺任职期限内</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（即</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期</w:t>
            </w:r>
            <w:r>
              <w:rPr>
                <w:rFonts w:ascii="宋体" w:hAnsi="宋体" w:cs="宋体" w:eastAsia="宋体" w:hint="default"/>
                <w:w w:val="100"/>
                <w:sz w:val="21"/>
                <w:szCs w:val="21"/>
              </w:rPr>
              <w:t>及</w:t>
            </w:r>
            <w:r>
              <w:rPr>
                <w:rFonts w:ascii="宋体" w:hAnsi="宋体" w:cs="宋体" w:eastAsia="宋体" w:hint="default"/>
                <w:spacing w:val="-3"/>
                <w:w w:val="100"/>
                <w:sz w:val="21"/>
                <w:szCs w:val="21"/>
              </w:rPr>
              <w:t>期</w:t>
            </w:r>
            <w:r>
              <w:rPr>
                <w:rFonts w:ascii="宋体" w:hAnsi="宋体" w:cs="宋体" w:eastAsia="宋体" w:hint="default"/>
                <w:w w:val="100"/>
                <w:sz w:val="21"/>
                <w:szCs w:val="21"/>
              </w:rPr>
              <w:t>满</w:t>
            </w:r>
            <w:r>
              <w:rPr>
                <w:rFonts w:ascii="宋体" w:hAnsi="宋体" w:cs="宋体" w:eastAsia="宋体" w:hint="default"/>
                <w:spacing w:val="-3"/>
                <w:w w:val="100"/>
                <w:sz w:val="21"/>
                <w:szCs w:val="21"/>
              </w:rPr>
              <w:t>后</w:t>
            </w:r>
            <w:r>
              <w:rPr>
                <w:rFonts w:ascii="宋体" w:hAnsi="宋体" w:cs="宋体" w:eastAsia="宋体" w:hint="default"/>
                <w:w w:val="100"/>
                <w:sz w:val="21"/>
                <w:szCs w:val="21"/>
              </w:rPr>
              <w:t>两年</w:t>
            </w:r>
            <w:r>
              <w:rPr>
                <w:rFonts w:ascii="宋体" w:hAnsi="宋体" w:cs="宋体" w:eastAsia="宋体" w:hint="default"/>
                <w:spacing w:val="-108"/>
                <w:w w:val="100"/>
                <w:sz w:val="21"/>
                <w:szCs w:val="21"/>
              </w:rPr>
              <w:t>）</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人除</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在超图软件及其下属子公司（含南京国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图）担任职务外，不在同超图软件及其</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下属子公司（含南京国图）存在相同或</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者相类似业务的实体任职或者担任任何</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形式的顾问；不在为超图软件及其下属</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子公司（含南京国图）工作之外以超图</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软件及其下属子公司（含南京国图）的</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名义为超图软件及其下属子公司（含南</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京国图）现有客户提供相同或类似的商</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品或服务。</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20"/>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、如果本人、本人近亲属、本人或</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本人近亲属控制或影响的企业违反上述</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声明、保证与承诺，并造成超图软件及</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其下属子公司（含南京国图）经济损失</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的，本人同意立即停止与超图软件及其</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下属子公司（含南京国图）构成竞争之</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业务，并采取必要措施予以纠正补救；</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同时对因未履行承诺而给超图软件及其</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下属子公司（含南京国图）造成的损失</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和后果承担赔偿责任，具体赔偿标准为</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本人按照本次交易时本人持有的南京国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本次交易的资产交易总</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。在超图软件确认本人违反上述</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承诺</w:t>
            </w:r>
            <w:r>
              <w:rPr>
                <w:rFonts w:ascii="宋体" w:hAnsi="宋体" w:cs="宋体" w:eastAsia="宋体" w:hint="default"/>
                <w:spacing w:val="-3"/>
                <w:w w:val="100"/>
                <w:sz w:val="21"/>
                <w:szCs w:val="21"/>
              </w:rPr>
              <w:t>后</w:t>
            </w:r>
            <w:r>
              <w:rPr>
                <w:rFonts w:ascii="宋体" w:hAnsi="宋体" w:cs="宋体" w:eastAsia="宋体" w:hint="default"/>
                <w:w w:val="100"/>
                <w:sz w:val="21"/>
                <w:szCs w:val="21"/>
              </w:rPr>
              <w:t>的</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天</w:t>
            </w:r>
            <w:r>
              <w:rPr>
                <w:rFonts w:ascii="宋体" w:hAnsi="宋体" w:cs="宋体" w:eastAsia="宋体" w:hint="default"/>
                <w:w w:val="100"/>
                <w:sz w:val="21"/>
                <w:szCs w:val="21"/>
              </w:rPr>
              <w:t>内</w:t>
            </w:r>
            <w:r>
              <w:rPr>
                <w:rFonts w:ascii="宋体" w:hAnsi="宋体" w:cs="宋体" w:eastAsia="宋体" w:hint="default"/>
                <w:spacing w:val="-104"/>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现金</w:t>
            </w:r>
            <w:r>
              <w:rPr>
                <w:rFonts w:ascii="宋体" w:hAnsi="宋体" w:cs="宋体" w:eastAsia="宋体" w:hint="default"/>
                <w:w w:val="100"/>
                <w:sz w:val="21"/>
                <w:szCs w:val="21"/>
              </w:rPr>
              <w:t>方式</w:t>
            </w:r>
            <w:r>
              <w:rPr>
                <w:rFonts w:ascii="宋体" w:hAnsi="宋体" w:cs="宋体" w:eastAsia="宋体" w:hint="default"/>
                <w:spacing w:val="-3"/>
                <w:w w:val="100"/>
                <w:sz w:val="21"/>
                <w:szCs w:val="21"/>
              </w:rPr>
              <w:t>对</w:t>
            </w:r>
            <w:r>
              <w:rPr>
                <w:rFonts w:ascii="宋体" w:hAnsi="宋体" w:cs="宋体" w:eastAsia="宋体" w:hint="default"/>
                <w:w w:val="100"/>
                <w:sz w:val="21"/>
                <w:szCs w:val="21"/>
              </w:rPr>
              <w:t>超</w:t>
            </w:r>
            <w:r>
              <w:rPr>
                <w:rFonts w:ascii="宋体" w:hAnsi="宋体" w:cs="宋体" w:eastAsia="宋体" w:hint="default"/>
                <w:spacing w:val="-3"/>
                <w:w w:val="100"/>
                <w:sz w:val="21"/>
                <w:szCs w:val="21"/>
              </w:rPr>
              <w:t>图</w:t>
            </w:r>
            <w:r>
              <w:rPr>
                <w:rFonts w:ascii="宋体" w:hAnsi="宋体" w:cs="宋体" w:eastAsia="宋体" w:hint="default"/>
                <w:w w:val="100"/>
                <w:sz w:val="21"/>
                <w:szCs w:val="21"/>
              </w:rPr>
              <w:t>软</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件进行赔偿。</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20"/>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、本声明、承诺与保证应被视为本</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人对超图软件及超图软件的其他股东共</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同和分别作出的声明、承诺和保证。</w:t>
            </w: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r>
      <w:tr>
        <w:trPr>
          <w:trHeight w:val="322"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吴长彬、蒋</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关于避</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、本人或本人近亲属、本人或本人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利润承</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严格遵</w:t>
            </w:r>
          </w:p>
        </w:tc>
      </w:tr>
    </w:tbl>
    <w:p>
      <w:pPr>
        <w:spacing w:after="0" w:line="262" w:lineRule="exact"/>
        <w:jc w:val="left"/>
        <w:rPr>
          <w:rFonts w:ascii="宋体" w:hAnsi="宋体" w:cs="宋体" w:eastAsia="宋体" w:hint="default"/>
          <w:sz w:val="21"/>
          <w:szCs w:val="21"/>
        </w:rPr>
        <w:sectPr>
          <w:pgSz w:w="11910" w:h="16840"/>
          <w:pgMar w:header="877" w:footer="979" w:top="1100" w:bottom="1160" w:left="700" w:right="0"/>
        </w:sectPr>
      </w:pPr>
    </w:p>
    <w:p>
      <w:pPr>
        <w:spacing w:line="240" w:lineRule="auto" w:before="11"/>
        <w:rPr>
          <w:rFonts w:ascii="Times New Roman" w:hAnsi="Times New Roman" w:cs="Times New Roman" w:eastAsia="Times New Roman" w:hint="default"/>
          <w:sz w:val="27"/>
          <w:szCs w:val="27"/>
        </w:rPr>
      </w:pPr>
      <w:r>
        <w:rPr/>
        <w:pict>
          <v:shape style="position:absolute;margin-left:179.303848pt;margin-top:119.305984pt;width:49.6pt;height:639.7pt;mso-position-horizontal-relative:page;mso-position-vertical-relative:page;z-index:-1065040"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03.996887pt;margin-top:88.10598pt;width:52.5pt;height:670.9pt;mso-position-horizontal-relative:page;mso-position-vertical-relative:page;z-index:-106501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13740"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10" w:space="0" w:color="FFFFFF"/>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pacing w:val="-18"/>
                <w:sz w:val="21"/>
                <w:szCs w:val="21"/>
              </w:rPr>
              <w:t>斌、张伟良、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刘新平、王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履华、王亚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华、胡永珍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吉波</w:t>
            </w:r>
          </w:p>
        </w:tc>
        <w:tc>
          <w:tcPr>
            <w:tcW w:w="864" w:type="dxa"/>
            <w:tcBorders>
              <w:top w:val="single" w:sz="4" w:space="0" w:color="000000"/>
              <w:left w:val="single" w:sz="10" w:space="0" w:color="FFFFFF"/>
              <w:bottom w:val="single" w:sz="4" w:space="0" w:color="000000"/>
              <w:right w:val="single" w:sz="4" w:space="0" w:color="000000"/>
            </w:tcBorders>
          </w:tcPr>
          <w:p>
            <w:pPr>
              <w:pStyle w:val="TableParagraph"/>
              <w:spacing w:line="273" w:lineRule="auto"/>
              <w:ind w:left="16" w:right="194"/>
              <w:jc w:val="both"/>
              <w:rPr>
                <w:rFonts w:ascii="宋体" w:hAnsi="宋体" w:cs="宋体" w:eastAsia="宋体" w:hint="default"/>
                <w:sz w:val="21"/>
                <w:szCs w:val="21"/>
              </w:rPr>
            </w:pPr>
            <w:r>
              <w:rPr>
                <w:rFonts w:ascii="宋体" w:hAnsi="宋体" w:cs="宋体" w:eastAsia="宋体" w:hint="default"/>
                <w:sz w:val="21"/>
                <w:szCs w:val="21"/>
              </w:rPr>
              <w:t>免同业</w:t>
            </w:r>
            <w:r>
              <w:rPr>
                <w:rFonts w:ascii="宋体" w:hAnsi="宋体" w:cs="宋体" w:eastAsia="宋体" w:hint="default"/>
                <w:spacing w:val="-102"/>
                <w:sz w:val="21"/>
                <w:szCs w:val="21"/>
              </w:rPr>
              <w:t> </w:t>
            </w:r>
            <w:r>
              <w:rPr>
                <w:rFonts w:ascii="宋体" w:hAnsi="宋体" w:cs="宋体" w:eastAsia="宋体" w:hint="default"/>
                <w:sz w:val="21"/>
                <w:szCs w:val="21"/>
              </w:rPr>
              <w:t>竞争的</w:t>
            </w:r>
            <w:r>
              <w:rPr>
                <w:rFonts w:ascii="宋体" w:hAnsi="宋体" w:cs="宋体" w:eastAsia="宋体" w:hint="default"/>
                <w:spacing w:val="-102"/>
                <w:sz w:val="21"/>
                <w:szCs w:val="21"/>
              </w:rPr>
              <w:t> </w:t>
            </w:r>
            <w:r>
              <w:rPr>
                <w:rFonts w:ascii="宋体" w:hAnsi="宋体" w:cs="宋体" w:eastAsia="宋体" w:hint="default"/>
                <w:sz w:val="21"/>
                <w:szCs w:val="21"/>
              </w:rPr>
              <w:t>承诺</w:t>
            </w: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0.450pt;height:15.65pt;mso-position-horizontal-relative:char;mso-position-vertical-relative:line" coordorigin="0,0" coordsize="809,313">
                  <v:group style="position:absolute;left:0;top:0;width:809;height:313" coordorigin="0,0" coordsize="809,313">
                    <v:shape style="position:absolute;left:0;top:0;width:809;height:313" coordorigin="0,0" coordsize="809,313" path="m0,312l809,312,80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12793"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5"/>
                <w:sz w:val="20"/>
                <w:szCs w:val="20"/>
              </w:rPr>
              <w:pict>
                <v:group style="width:42.75pt;height:639.7pt;mso-position-horizontal-relative:char;mso-position-vertical-relative:line" coordorigin="0,0" coordsize="855,12794">
                  <v:group style="position:absolute;left:0;top:0;width:855;height:12794" coordorigin="0,0" coordsize="855,12794">
                    <v:shape style="position:absolute;left:0;top:0;width:855;height:12794" coordorigin="0,0" coordsize="855,12794" path="m0,12793l854,12793,854,0,0,0,0,12793xe" filled="true" fillcolor="#ffffff" stroked="false">
                      <v:path arrowok="t"/>
                      <v:fill type="solid"/>
                    </v:shape>
                  </v:group>
                </v:group>
              </w:pict>
            </w:r>
            <w:r>
              <w:rPr>
                <w:rFonts w:ascii="Times New Roman" w:hAnsi="Times New Roman" w:cs="Times New Roman" w:eastAsia="Times New Roman" w:hint="default"/>
                <w:position w:val="-255"/>
                <w:sz w:val="20"/>
                <w:szCs w:val="20"/>
              </w:rPr>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20"/>
              <w:jc w:val="left"/>
              <w:rPr>
                <w:rFonts w:ascii="宋体" w:hAnsi="宋体" w:cs="宋体" w:eastAsia="宋体" w:hint="default"/>
                <w:sz w:val="21"/>
                <w:szCs w:val="21"/>
              </w:rPr>
            </w:pPr>
            <w:r>
              <w:rPr>
                <w:rFonts w:ascii="宋体" w:hAnsi="宋体" w:cs="宋体" w:eastAsia="宋体" w:hint="default"/>
                <w:spacing w:val="-2"/>
                <w:sz w:val="21"/>
                <w:szCs w:val="21"/>
              </w:rPr>
              <w:t>近亲属实际控制的公司或者企业、由本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人或本人近亲属担任董事或高级管理人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员的公司或者企业（以下统称为</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本人或</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w w:val="100"/>
                <w:sz w:val="21"/>
                <w:szCs w:val="21"/>
              </w:rPr>
              <w:t>本人近亲属控制或影响的企业</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）（南京</w:t>
            </w:r>
            <w:r>
              <w:rPr>
                <w:rFonts w:ascii="宋体" w:hAnsi="宋体" w:cs="宋体" w:eastAsia="宋体" w:hint="default"/>
                <w:w w:val="100"/>
                <w:sz w:val="21"/>
                <w:szCs w:val="21"/>
              </w:rPr>
              <w:t> </w:t>
            </w:r>
            <w:r>
              <w:rPr>
                <w:rFonts w:ascii="宋体" w:hAnsi="宋体" w:cs="宋体" w:eastAsia="宋体" w:hint="default"/>
                <w:spacing w:val="-2"/>
                <w:sz w:val="21"/>
                <w:szCs w:val="21"/>
              </w:rPr>
              <w:t>国图及其下属控股子公司除外）目前并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没有以任何方式（包括但不限于自营、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合资或联营）从事与超图软件及其下属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子公司、南京国图及其下属子公司的主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营业务存在竞争或可能构成竞争的业</w:t>
            </w:r>
            <w:r>
              <w:rPr>
                <w:rFonts w:ascii="宋体" w:hAnsi="宋体" w:cs="宋体" w:eastAsia="宋体" w:hint="default"/>
                <w:w w:val="100"/>
                <w:sz w:val="21"/>
                <w:szCs w:val="21"/>
              </w:rPr>
              <w:t> </w:t>
            </w:r>
            <w:r>
              <w:rPr>
                <w:rFonts w:ascii="宋体" w:hAnsi="宋体" w:cs="宋体" w:eastAsia="宋体" w:hint="default"/>
                <w:sz w:val="21"/>
                <w:szCs w:val="21"/>
              </w:rPr>
              <w:t>务。</w:t>
            </w:r>
          </w:p>
          <w:p>
            <w:pPr>
              <w:pStyle w:val="TableParagraph"/>
              <w:spacing w:line="256" w:lineRule="auto" w:before="12"/>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p>
            <w:pPr>
              <w:pStyle w:val="TableParagraph"/>
              <w:spacing w:line="273" w:lineRule="auto" w:before="23"/>
              <w:ind w:left="23" w:right="22"/>
              <w:jc w:val="left"/>
              <w:rPr>
                <w:rFonts w:ascii="宋体" w:hAnsi="宋体" w:cs="宋体" w:eastAsia="宋体" w:hint="default"/>
                <w:sz w:val="21"/>
                <w:szCs w:val="21"/>
              </w:rPr>
            </w:pPr>
            <w:r>
              <w:rPr>
                <w:rFonts w:ascii="宋体" w:hAnsi="宋体" w:cs="宋体" w:eastAsia="宋体" w:hint="default"/>
                <w:spacing w:val="-8"/>
                <w:w w:val="100"/>
                <w:sz w:val="21"/>
                <w:szCs w:val="21"/>
              </w:rPr>
              <w:t>（即利润承诺期及期满后一年），本人</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本人近亲属、本人或本人近亲属控制或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影响的企业将不会以任何方式（包括但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不限于自营、合资或联营）参与或进行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与超图软件及其下属子公司（含南京国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图）的主营业务存在竞争或可能构成竞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争的业务。</w:t>
            </w:r>
          </w:p>
          <w:p>
            <w:pPr>
              <w:pStyle w:val="TableParagraph"/>
              <w:spacing w:line="256" w:lineRule="auto" w:before="7"/>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p>
            <w:pPr>
              <w:pStyle w:val="TableParagraph"/>
              <w:spacing w:line="273" w:lineRule="auto" w:before="22"/>
              <w:ind w:left="23" w:right="17"/>
              <w:jc w:val="both"/>
              <w:rPr>
                <w:rFonts w:ascii="宋体" w:hAnsi="宋体" w:cs="宋体" w:eastAsia="宋体" w:hint="default"/>
                <w:sz w:val="21"/>
                <w:szCs w:val="21"/>
              </w:rPr>
            </w:pPr>
            <w:r>
              <w:rPr>
                <w:rFonts w:ascii="宋体" w:hAnsi="宋体" w:cs="宋体" w:eastAsia="宋体" w:hint="default"/>
                <w:spacing w:val="-13"/>
                <w:w w:val="100"/>
                <w:sz w:val="21"/>
                <w:szCs w:val="21"/>
              </w:rPr>
              <w:t>（即利润承诺期及期满后一年），本人除</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2"/>
                <w:sz w:val="21"/>
                <w:szCs w:val="21"/>
              </w:rPr>
              <w:t>在超图软件及其下属子公司（含南京国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图）担任职务外，不在同超图软件及其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下属子公司（含南京国图）存在相同或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者相类似业务的实体任职或者担任任何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形式的顾问；不在为超图软件及其下属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子公司（含南京国图）工作之外以超图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软件及其下属子公司（含南京国图）的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名义为超图软件及其下属子公司（含南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京国图）现有客户提供相同或类似的商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品或服务。</w:t>
            </w:r>
          </w:p>
          <w:p>
            <w:pPr>
              <w:pStyle w:val="TableParagraph"/>
              <w:spacing w:line="271" w:lineRule="auto" w:before="7"/>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、如果本人、本人近亲属、本人或</w:t>
            </w:r>
            <w:r>
              <w:rPr>
                <w:rFonts w:ascii="宋体" w:hAnsi="宋体" w:cs="宋体" w:eastAsia="宋体" w:hint="default"/>
                <w:w w:val="100"/>
                <w:sz w:val="21"/>
                <w:szCs w:val="21"/>
              </w:rPr>
              <w:t> </w:t>
            </w:r>
            <w:r>
              <w:rPr>
                <w:rFonts w:ascii="宋体" w:hAnsi="宋体" w:cs="宋体" w:eastAsia="宋体" w:hint="default"/>
                <w:spacing w:val="-2"/>
                <w:sz w:val="21"/>
                <w:szCs w:val="21"/>
              </w:rPr>
              <w:t>本人近亲属控制或影响的企业违反上述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声明、保证与承诺，并造成超图软件及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其下属子公司（含南京国图）经济损失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的，本人同意立即停止与超图软件及其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下属子公司（含南京国图）构成竞争之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业务，并采取必要措施予以纠正补救；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同时对因未履行承诺而给超图软件及其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下属子公司（含南京国图）造成的损失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和后果承担赔偿责任，具体赔偿标准为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本人按照本次交易时本人持有的南京国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本次交易的资产交易总</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1341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7"/>
                <w:sz w:val="20"/>
                <w:szCs w:val="20"/>
              </w:rPr>
              <w:pict>
                <v:group style="width:45.5pt;height:670.9pt;mso-position-horizontal-relative:char;mso-position-vertical-relative:line" coordorigin="0,0" coordsize="910,13418">
                  <v:group style="position:absolute;left:0;top:0;width:910;height:13418" coordorigin="0,0" coordsize="910,13418">
                    <v:shape style="position:absolute;left:0;top:0;width:910;height:13418" coordorigin="0,0" coordsize="910,13418" path="m0,13417l910,13417,910,0,0,0,0,13417xe" filled="true" fillcolor="#ffffff" stroked="false">
                      <v:path arrowok="t"/>
                      <v:fill type="solid"/>
                    </v:shape>
                  </v:group>
                </v:group>
              </w:pict>
            </w:r>
            <w:r>
              <w:rPr>
                <w:rFonts w:ascii="Times New Roman" w:hAnsi="Times New Roman" w:cs="Times New Roman" w:eastAsia="Times New Roman" w:hint="default"/>
                <w:position w:val="-267"/>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z w:val="21"/>
                <w:szCs w:val="21"/>
              </w:rPr>
              <w:t>诺期及</w:t>
            </w:r>
            <w:r>
              <w:rPr>
                <w:rFonts w:ascii="宋体" w:hAnsi="宋体" w:cs="宋体" w:eastAsia="宋体" w:hint="default"/>
                <w:spacing w:val="-102"/>
                <w:sz w:val="21"/>
                <w:szCs w:val="21"/>
              </w:rPr>
              <w:t> </w:t>
            </w:r>
            <w:r>
              <w:rPr>
                <w:rFonts w:ascii="宋体" w:hAnsi="宋体" w:cs="宋体" w:eastAsia="宋体" w:hint="default"/>
                <w:sz w:val="21"/>
                <w:szCs w:val="21"/>
              </w:rPr>
              <w:t>期满后</w:t>
            </w:r>
            <w:r>
              <w:rPr>
                <w:rFonts w:ascii="宋体" w:hAnsi="宋体" w:cs="宋体" w:eastAsia="宋体" w:hint="default"/>
                <w:spacing w:val="-102"/>
                <w:sz w:val="21"/>
                <w:szCs w:val="21"/>
              </w:rPr>
              <w:t> </w:t>
            </w:r>
            <w:r>
              <w:rPr>
                <w:rFonts w:ascii="宋体" w:hAnsi="宋体" w:cs="宋体" w:eastAsia="宋体" w:hint="default"/>
                <w:sz w:val="21"/>
                <w:szCs w:val="21"/>
              </w:rPr>
              <w:t>一年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5"/>
              <w:jc w:val="left"/>
              <w:rPr>
                <w:rFonts w:ascii="宋体" w:hAnsi="宋体" w:cs="宋体" w:eastAsia="宋体" w:hint="default"/>
                <w:sz w:val="21"/>
                <w:szCs w:val="21"/>
              </w:rPr>
            </w:pP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left"/>
        <w:rPr>
          <w:rFonts w:ascii="宋体" w:hAnsi="宋体" w:cs="宋体" w:eastAsia="宋体" w:hint="default"/>
          <w:sz w:val="21"/>
          <w:szCs w:val="21"/>
        </w:rPr>
        <w:sectPr>
          <w:pgSz w:w="11910" w:h="16840"/>
          <w:pgMar w:header="877" w:footer="979" w:top="1100" w:bottom="1160" w:left="7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1882"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19"/>
              <w:jc w:val="both"/>
              <w:rPr>
                <w:rFonts w:ascii="宋体" w:hAnsi="宋体" w:cs="宋体" w:eastAsia="宋体" w:hint="default"/>
                <w:sz w:val="21"/>
                <w:szCs w:val="21"/>
              </w:rPr>
            </w:pPr>
            <w:r>
              <w:rPr>
                <w:rFonts w:ascii="宋体" w:hAnsi="宋体" w:cs="宋体" w:eastAsia="宋体" w:hint="default"/>
                <w:spacing w:val="-6"/>
                <w:sz w:val="21"/>
                <w:szCs w:val="21"/>
              </w:rPr>
              <w:t>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。在超图软件确认本人违反上述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
                <w:w w:val="100"/>
                <w:sz w:val="21"/>
                <w:szCs w:val="21"/>
              </w:rPr>
              <w:t>承诺后的</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2"/>
                <w:w w:val="100"/>
                <w:sz w:val="21"/>
                <w:szCs w:val="21"/>
              </w:rPr>
              <w:t>30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0"/>
                <w:w w:val="100"/>
                <w:sz w:val="21"/>
                <w:szCs w:val="21"/>
              </w:rPr>
              <w:t>天内，以现金方式对超图软</w:t>
            </w:r>
            <w:r>
              <w:rPr>
                <w:rFonts w:ascii="宋体" w:hAnsi="宋体" w:cs="宋体" w:eastAsia="宋体" w:hint="default"/>
                <w:w w:val="100"/>
                <w:sz w:val="21"/>
                <w:szCs w:val="21"/>
              </w:rPr>
              <w:t> </w:t>
            </w:r>
            <w:r>
              <w:rPr>
                <w:rFonts w:ascii="宋体" w:hAnsi="宋体" w:cs="宋体" w:eastAsia="宋体" w:hint="default"/>
                <w:sz w:val="21"/>
                <w:szCs w:val="21"/>
              </w:rPr>
              <w:t>件进行赔偿。</w:t>
            </w:r>
          </w:p>
          <w:p>
            <w:pPr>
              <w:pStyle w:val="TableParagraph"/>
              <w:spacing w:line="264" w:lineRule="auto" w:before="22"/>
              <w:ind w:left="23" w:right="20" w:firstLine="420"/>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、本声明、承诺与保证应被视为本</w:t>
            </w:r>
            <w:r>
              <w:rPr>
                <w:rFonts w:ascii="宋体" w:hAnsi="宋体" w:cs="宋体" w:eastAsia="宋体" w:hint="default"/>
                <w:w w:val="100"/>
                <w:sz w:val="21"/>
                <w:szCs w:val="21"/>
              </w:rPr>
              <w:t> </w:t>
            </w:r>
            <w:r>
              <w:rPr>
                <w:rFonts w:ascii="宋体" w:hAnsi="宋体" w:cs="宋体" w:eastAsia="宋体" w:hint="default"/>
                <w:spacing w:val="-2"/>
                <w:sz w:val="21"/>
                <w:szCs w:val="21"/>
              </w:rPr>
              <w:t>人对超图软件及超图软件的其他股东共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同和分别作出的声明、承诺和保证。</w:t>
            </w: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11867"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3" w:lineRule="auto"/>
              <w:ind w:left="21" w:right="197"/>
              <w:jc w:val="both"/>
              <w:rPr>
                <w:rFonts w:ascii="宋体" w:hAnsi="宋体" w:cs="宋体" w:eastAsia="宋体" w:hint="default"/>
                <w:sz w:val="21"/>
                <w:szCs w:val="21"/>
              </w:rPr>
            </w:pPr>
            <w:r>
              <w:rPr>
                <w:rFonts w:ascii="宋体" w:hAnsi="宋体" w:cs="宋体" w:eastAsia="宋体" w:hint="default"/>
                <w:sz w:val="21"/>
                <w:szCs w:val="21"/>
              </w:rPr>
              <w:t>关于任</w:t>
            </w:r>
            <w:r>
              <w:rPr>
                <w:rFonts w:ascii="宋体" w:hAnsi="宋体" w:cs="宋体" w:eastAsia="宋体" w:hint="default"/>
                <w:spacing w:val="-102"/>
                <w:sz w:val="21"/>
                <w:szCs w:val="21"/>
              </w:rPr>
              <w:t> </w:t>
            </w:r>
            <w:r>
              <w:rPr>
                <w:rFonts w:ascii="宋体" w:hAnsi="宋体" w:cs="宋体" w:eastAsia="宋体" w:hint="default"/>
                <w:sz w:val="21"/>
                <w:szCs w:val="21"/>
              </w:rPr>
              <w:t>职期限</w:t>
            </w:r>
            <w:r>
              <w:rPr>
                <w:rFonts w:ascii="宋体" w:hAnsi="宋体" w:cs="宋体" w:eastAsia="宋体" w:hint="default"/>
                <w:spacing w:val="-102"/>
                <w:sz w:val="21"/>
                <w:szCs w:val="21"/>
              </w:rPr>
              <w:t> </w:t>
            </w:r>
            <w:r>
              <w:rPr>
                <w:rFonts w:ascii="宋体" w:hAnsi="宋体" w:cs="宋体" w:eastAsia="宋体" w:hint="default"/>
                <w:sz w:val="21"/>
                <w:szCs w:val="21"/>
              </w:rPr>
              <w:t>和竞业</w:t>
            </w:r>
            <w:r>
              <w:rPr>
                <w:rFonts w:ascii="宋体" w:hAnsi="宋体" w:cs="宋体" w:eastAsia="宋体" w:hint="default"/>
                <w:spacing w:val="-102"/>
                <w:sz w:val="21"/>
                <w:szCs w:val="21"/>
              </w:rPr>
              <w:t> </w:t>
            </w:r>
            <w:r>
              <w:rPr>
                <w:rFonts w:ascii="宋体" w:hAnsi="宋体" w:cs="宋体" w:eastAsia="宋体" w:hint="default"/>
                <w:sz w:val="21"/>
                <w:szCs w:val="21"/>
              </w:rPr>
              <w:t>禁止的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41" w:right="2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、关于任职期限</w:t>
            </w:r>
            <w:r>
              <w:rPr>
                <w:rFonts w:ascii="宋体" w:hAnsi="宋体" w:cs="宋体" w:eastAsia="宋体" w:hint="default"/>
                <w:w w:val="100"/>
                <w:sz w:val="21"/>
                <w:szCs w:val="21"/>
              </w:rPr>
              <w:t> </w:t>
            </w:r>
            <w:r>
              <w:rPr>
                <w:rFonts w:ascii="宋体" w:hAnsi="宋体" w:cs="宋体" w:eastAsia="宋体" w:hint="default"/>
                <w:spacing w:val="-2"/>
                <w:sz w:val="21"/>
                <w:szCs w:val="21"/>
              </w:rPr>
              <w:t>为保证南京国图及其子公司持续发</w:t>
            </w:r>
          </w:p>
          <w:p>
            <w:pPr>
              <w:pStyle w:val="TableParagraph"/>
              <w:spacing w:line="271" w:lineRule="auto" w:before="22"/>
              <w:ind w:left="21" w:right="24"/>
              <w:jc w:val="right"/>
              <w:rPr>
                <w:rFonts w:ascii="宋体" w:hAnsi="宋体" w:cs="宋体" w:eastAsia="宋体" w:hint="default"/>
                <w:sz w:val="21"/>
                <w:szCs w:val="21"/>
              </w:rPr>
            </w:pPr>
            <w:r>
              <w:rPr>
                <w:rFonts w:ascii="宋体" w:hAnsi="宋体" w:cs="宋体" w:eastAsia="宋体" w:hint="default"/>
                <w:spacing w:val="-2"/>
                <w:sz w:val="21"/>
                <w:szCs w:val="21"/>
              </w:rPr>
              <w:t>展和保持持续竞争优势，在本次交易交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割前，本人应与南京国图签订不短于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年期限的聘用合同，在本次交易完成南</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京国图股权交割后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年内，非经超图软</w:t>
            </w:r>
            <w:r>
              <w:rPr>
                <w:rFonts w:ascii="宋体" w:hAnsi="宋体" w:cs="宋体" w:eastAsia="宋体" w:hint="default"/>
                <w:w w:val="100"/>
                <w:sz w:val="21"/>
                <w:szCs w:val="21"/>
              </w:rPr>
              <w:t> </w:t>
            </w:r>
            <w:r>
              <w:rPr>
                <w:rFonts w:ascii="宋体" w:hAnsi="宋体" w:cs="宋体" w:eastAsia="宋体" w:hint="default"/>
                <w:spacing w:val="-2"/>
                <w:sz w:val="21"/>
                <w:szCs w:val="21"/>
              </w:rPr>
              <w:t>件同意，本人不主动从南京国图离职。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本人承诺，在利润承诺期内不得以</w:t>
            </w:r>
            <w:r>
              <w:rPr>
                <w:rFonts w:ascii="宋体" w:hAnsi="宋体" w:cs="宋体" w:eastAsia="宋体" w:hint="default"/>
                <w:w w:val="100"/>
                <w:sz w:val="21"/>
                <w:szCs w:val="21"/>
              </w:rPr>
              <w:t> </w:t>
            </w:r>
            <w:r>
              <w:rPr>
                <w:rFonts w:ascii="宋体" w:hAnsi="宋体" w:cs="宋体" w:eastAsia="宋体" w:hint="default"/>
                <w:spacing w:val="-2"/>
                <w:sz w:val="21"/>
                <w:szCs w:val="21"/>
              </w:rPr>
              <w:t>任何原因主动从超图软件（含超图软件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关联方）离职，并应履行本人应尽勤勉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尽责义务。若本人在利润承诺期内从超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图软件（含超图软件关联方）或南京国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图离职，则本人届时所持有的全部尚未</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到期解禁的本次发行股份将在利润承诺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期满后方能解禁，届时，该部分股份应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在超图软件监管账户下完成转让，并将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转让价款全额支付给超图软件作为赔偿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金。此外，本人承诺在利润承诺期满后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的二年内不得从超图软件（含超图软件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关联方）或南京国图离职，并继续履行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本人应尽勤勉尽责义务，否则每提前一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年（不足一年的视为一年）应向南京国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图支付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万元赔偿款。但在利润承诺</w:t>
            </w:r>
            <w:r>
              <w:rPr>
                <w:rFonts w:ascii="宋体" w:hAnsi="宋体" w:cs="宋体" w:eastAsia="宋体" w:hint="default"/>
                <w:w w:val="100"/>
                <w:sz w:val="21"/>
                <w:szCs w:val="21"/>
              </w:rPr>
              <w:t> </w:t>
            </w:r>
            <w:r>
              <w:rPr>
                <w:rFonts w:ascii="宋体" w:hAnsi="宋体" w:cs="宋体" w:eastAsia="宋体" w:hint="default"/>
                <w:spacing w:val="-2"/>
                <w:sz w:val="21"/>
                <w:szCs w:val="21"/>
              </w:rPr>
              <w:t>期内，如本人因疾病、丧失劳动能力、</w:t>
            </w:r>
          </w:p>
          <w:p>
            <w:pPr>
              <w:pStyle w:val="TableParagraph"/>
              <w:spacing w:line="273" w:lineRule="auto" w:before="10"/>
              <w:ind w:left="21" w:right="24"/>
              <w:jc w:val="left"/>
              <w:rPr>
                <w:rFonts w:ascii="宋体" w:hAnsi="宋体" w:cs="宋体" w:eastAsia="宋体" w:hint="default"/>
                <w:sz w:val="21"/>
                <w:szCs w:val="21"/>
              </w:rPr>
            </w:pPr>
            <w:r>
              <w:rPr>
                <w:rFonts w:ascii="宋体" w:hAnsi="宋体" w:cs="宋体" w:eastAsia="宋体" w:hint="default"/>
                <w:sz w:val="21"/>
                <w:szCs w:val="21"/>
              </w:rPr>
              <w:t>死亡等身体原因无法继续任职而离职</w:t>
            </w:r>
            <w:r>
              <w:rPr>
                <w:rFonts w:ascii="宋体" w:hAnsi="宋体" w:cs="宋体" w:eastAsia="宋体" w:hint="default"/>
                <w:w w:val="100"/>
                <w:sz w:val="21"/>
                <w:szCs w:val="21"/>
              </w:rPr>
              <w:t> </w:t>
            </w:r>
            <w:r>
              <w:rPr>
                <w:rFonts w:ascii="宋体" w:hAnsi="宋体" w:cs="宋体" w:eastAsia="宋体" w:hint="default"/>
                <w:spacing w:val="-2"/>
                <w:sz w:val="21"/>
                <w:szCs w:val="21"/>
              </w:rPr>
              <w:t>的，该等离职不属于违反任职期限承诺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的事项。</w:t>
            </w:r>
          </w:p>
          <w:p>
            <w:pPr>
              <w:pStyle w:val="TableParagraph"/>
              <w:spacing w:line="259" w:lineRule="auto" w:before="7"/>
              <w:ind w:left="441" w:right="2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、关于竞业禁止</w:t>
            </w:r>
            <w:r>
              <w:rPr>
                <w:rFonts w:ascii="宋体" w:hAnsi="宋体" w:cs="宋体" w:eastAsia="宋体" w:hint="default"/>
                <w:w w:val="100"/>
                <w:sz w:val="21"/>
                <w:szCs w:val="21"/>
              </w:rPr>
              <w:t> </w:t>
            </w:r>
            <w:r>
              <w:rPr>
                <w:rFonts w:ascii="宋体" w:hAnsi="宋体" w:cs="宋体" w:eastAsia="宋体" w:hint="default"/>
                <w:spacing w:val="-2"/>
                <w:sz w:val="21"/>
                <w:szCs w:val="21"/>
              </w:rPr>
              <w:t>在《发行股份及支付现金购买资产</w:t>
            </w:r>
          </w:p>
          <w:p>
            <w:pPr>
              <w:pStyle w:val="TableParagraph"/>
              <w:spacing w:line="273" w:lineRule="auto" w:before="20"/>
              <w:ind w:left="21" w:right="17"/>
              <w:jc w:val="both"/>
              <w:rPr>
                <w:rFonts w:ascii="宋体" w:hAnsi="宋体" w:cs="宋体" w:eastAsia="宋体" w:hint="default"/>
                <w:sz w:val="21"/>
                <w:szCs w:val="21"/>
              </w:rPr>
            </w:pPr>
            <w:r>
              <w:rPr>
                <w:rFonts w:ascii="宋体" w:hAnsi="宋体" w:cs="宋体" w:eastAsia="宋体" w:hint="default"/>
                <w:spacing w:val="-13"/>
                <w:w w:val="100"/>
                <w:sz w:val="21"/>
                <w:szCs w:val="21"/>
              </w:rPr>
              <w:t>协议》中约定的本人承诺任职期限内（即</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13"/>
                <w:w w:val="100"/>
                <w:sz w:val="21"/>
                <w:szCs w:val="21"/>
              </w:rPr>
              <w:t>利润承诺期及期满后两年），本人除在超</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sz w:val="21"/>
                <w:szCs w:val="21"/>
              </w:rPr>
              <w:t>图软件及其下属子公司（含南京国图）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担任职务外，不在同超图软件及其下属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子公司（含南京国图）存在相同或者相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类似业务的实体任职或者担任任何形式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的顾问；不在为超图软件及其下属子公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司（含南京国图）工作之外以超图软件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及其下属子公司（含南京国图）的名义</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9"/>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877" w:footer="979" w:top="1100" w:bottom="1160" w:left="700" w:right="0"/>
        </w:sectPr>
      </w:pPr>
    </w:p>
    <w:p>
      <w:pPr>
        <w:spacing w:line="240" w:lineRule="auto" w:before="11"/>
        <w:rPr>
          <w:rFonts w:ascii="Times New Roman" w:hAnsi="Times New Roman" w:cs="Times New Roman" w:eastAsia="Times New Roman" w:hint="default"/>
          <w:sz w:val="27"/>
          <w:szCs w:val="27"/>
        </w:rPr>
      </w:pPr>
      <w:r>
        <w:rPr/>
        <w:pict>
          <v:shape style="position:absolute;margin-left:403.87384pt;margin-top:72.47998pt;width:52.6pt;height:218.45pt;mso-position-horizontal-relative:page;mso-position-vertical-relative:page;z-index:-1064968"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318"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为超图软件及其下属子公司（含南京国</w:t>
            </w:r>
          </w:p>
        </w:tc>
        <w:tc>
          <w:tcPr>
            <w:tcW w:w="919" w:type="dxa"/>
            <w:vMerge w:val="restart"/>
            <w:tcBorders>
              <w:top w:val="single" w:sz="4" w:space="0" w:color="000000"/>
              <w:left w:val="single" w:sz="4" w:space="0" w:color="000000"/>
              <w:right w:val="single" w:sz="4" w:space="0" w:color="000000"/>
            </w:tcBorders>
          </w:tcPr>
          <w:p>
            <w:pPr>
              <w:pStyle w:val="TableParagraph"/>
              <w:spacing w:line="436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45.5pt;height:218.45pt;mso-position-horizontal-relative:char;mso-position-vertical-relative:line" coordorigin="0,0" coordsize="910,4369">
                  <v:group style="position:absolute;left:0;top:0;width:910;height:4369" coordorigin="0,0" coordsize="910,4369">
                    <v:shape style="position:absolute;left:0;top:0;width:910;height:4369" coordorigin="0,0" coordsize="910,4369" path="m0,4369l910,4369,910,0,0,0,0,4369xe" filled="true" fillcolor="#ffffff" stroked="false">
                      <v:path arrowok="t"/>
                      <v:fill type="solid"/>
                    </v:shape>
                  </v:group>
                </v:group>
              </w:pict>
            </w:r>
            <w:r>
              <w:rPr>
                <w:rFonts w:ascii="Times New Roman" w:hAnsi="Times New Roman" w:cs="Times New Roman" w:eastAsia="Times New Roman" w:hint="default"/>
                <w:position w:val="-86"/>
                <w:sz w:val="20"/>
                <w:szCs w:val="20"/>
              </w:rPr>
            </w:r>
          </w:p>
        </w:tc>
        <w:tc>
          <w:tcPr>
            <w:tcW w:w="852"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图）现有客户提供相同或类似的商品或</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若本人违反上述承诺，应立即停止</w:t>
            </w:r>
            <w:r>
              <w:rPr>
                <w:rFonts w:ascii="宋体" w:hAnsi="宋体" w:cs="宋体" w:eastAsia="宋体" w:hint="default"/>
                <w:sz w:val="21"/>
                <w:szCs w:val="21"/>
              </w:rPr>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与超图软件及其下属子公司（含南京国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图）构成竞争之业务，并采取必要措施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予以纠正补救；同时对因未履行承诺而</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给超图软件及其下属子公司（含南京国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图）造成的损失和后果承担赔偿责任，</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具体赔偿标准为本人按照本次交易时所</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z w:val="21"/>
                <w:szCs w:val="21"/>
              </w:rPr>
              <w:t>持有的南京国图的股权比例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的资产交易总价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。本人应在超图软</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件确认本人违反上述承诺后的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天内</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0"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以现金方式对超图软件进行赔偿。</w:t>
            </w: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r>
      <w:tr>
        <w:trPr>
          <w:trHeight w:val="323" w:hRule="exact"/>
        </w:trPr>
        <w:tc>
          <w:tcPr>
            <w:tcW w:w="1740" w:type="dxa"/>
            <w:vMerge/>
            <w:tcBorders>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78"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、关于任职期限</w:t>
            </w:r>
          </w:p>
        </w:tc>
        <w:tc>
          <w:tcPr>
            <w:tcW w:w="919"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为保证南京国图及其子公司持续发</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展和保持持续竞争优势，在本次交易交</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割前，本人应与南京国图签订不短于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年期限的聘用合同，在本次交易完成南</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z w:val="21"/>
                <w:szCs w:val="21"/>
              </w:rPr>
              <w:t>京国图股权交割后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年内，非经超图软</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件同意，本人不主动从南京国图离职。</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本人承诺，在利润承诺期内不得以</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任何原因主动从超图软件（含超图软件</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关联方）离职，并应履行本人应尽勤勉</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尽责义务。如本人在利润承诺期内从超</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图软件（含超图软件关联方）或南京国</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64" w:lineRule="auto"/>
              <w:ind w:left="21" w:right="75"/>
              <w:jc w:val="both"/>
              <w:rPr>
                <w:rFonts w:ascii="宋体" w:hAnsi="宋体" w:cs="宋体" w:eastAsia="宋体" w:hint="default"/>
                <w:sz w:val="21"/>
                <w:szCs w:val="21"/>
              </w:rPr>
            </w:pPr>
            <w:r>
              <w:rPr>
                <w:rFonts w:ascii="宋体" w:hAnsi="宋体" w:cs="宋体" w:eastAsia="宋体" w:hint="default"/>
                <w:sz w:val="21"/>
                <w:szCs w:val="21"/>
              </w:rPr>
              <w:t>吴长彬等其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名业绩</w:t>
            </w:r>
            <w:r>
              <w:rPr>
                <w:rFonts w:ascii="宋体" w:hAnsi="宋体" w:cs="宋体" w:eastAsia="宋体" w:hint="default"/>
                <w:w w:val="100"/>
                <w:sz w:val="21"/>
                <w:szCs w:val="21"/>
              </w:rPr>
              <w:t> </w:t>
            </w:r>
            <w:r>
              <w:rPr>
                <w:rFonts w:ascii="宋体" w:hAnsi="宋体" w:cs="宋体" w:eastAsia="宋体" w:hint="default"/>
                <w:sz w:val="21"/>
                <w:szCs w:val="21"/>
              </w:rPr>
              <w:t>承诺人</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1" w:right="197"/>
              <w:jc w:val="both"/>
              <w:rPr>
                <w:rFonts w:ascii="宋体" w:hAnsi="宋体" w:cs="宋体" w:eastAsia="宋体" w:hint="default"/>
                <w:sz w:val="21"/>
                <w:szCs w:val="21"/>
              </w:rPr>
            </w:pPr>
            <w:r>
              <w:rPr>
                <w:rFonts w:ascii="宋体" w:hAnsi="宋体" w:cs="宋体" w:eastAsia="宋体" w:hint="default"/>
                <w:sz w:val="21"/>
                <w:szCs w:val="21"/>
              </w:rPr>
              <w:t>关于任</w:t>
            </w:r>
            <w:r>
              <w:rPr>
                <w:rFonts w:ascii="宋体" w:hAnsi="宋体" w:cs="宋体" w:eastAsia="宋体" w:hint="default"/>
                <w:spacing w:val="-102"/>
                <w:sz w:val="21"/>
                <w:szCs w:val="21"/>
              </w:rPr>
              <w:t> </w:t>
            </w:r>
            <w:r>
              <w:rPr>
                <w:rFonts w:ascii="宋体" w:hAnsi="宋体" w:cs="宋体" w:eastAsia="宋体" w:hint="default"/>
                <w:sz w:val="21"/>
                <w:szCs w:val="21"/>
              </w:rPr>
              <w:t>职期限</w:t>
            </w:r>
            <w:r>
              <w:rPr>
                <w:rFonts w:ascii="宋体" w:hAnsi="宋体" w:cs="宋体" w:eastAsia="宋体" w:hint="default"/>
                <w:spacing w:val="-102"/>
                <w:sz w:val="21"/>
                <w:szCs w:val="21"/>
              </w:rPr>
              <w:t> </w:t>
            </w:r>
            <w:r>
              <w:rPr>
                <w:rFonts w:ascii="宋体" w:hAnsi="宋体" w:cs="宋体" w:eastAsia="宋体" w:hint="default"/>
                <w:sz w:val="21"/>
                <w:szCs w:val="21"/>
              </w:rPr>
              <w:t>和竞业</w:t>
            </w:r>
            <w:r>
              <w:rPr>
                <w:rFonts w:ascii="宋体" w:hAnsi="宋体" w:cs="宋体" w:eastAsia="宋体" w:hint="default"/>
                <w:spacing w:val="-102"/>
                <w:sz w:val="21"/>
                <w:szCs w:val="21"/>
              </w:rPr>
              <w:t> </w:t>
            </w:r>
            <w:r>
              <w:rPr>
                <w:rFonts w:ascii="宋体" w:hAnsi="宋体" w:cs="宋体" w:eastAsia="宋体" w:hint="default"/>
                <w:sz w:val="21"/>
                <w:szCs w:val="21"/>
              </w:rPr>
              <w:t>禁止的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both"/>
              <w:rPr>
                <w:rFonts w:ascii="宋体" w:hAnsi="宋体" w:cs="宋体" w:eastAsia="宋体" w:hint="default"/>
                <w:sz w:val="21"/>
                <w:szCs w:val="21"/>
              </w:rPr>
            </w:pPr>
            <w:r>
              <w:rPr>
                <w:rFonts w:ascii="宋体" w:hAnsi="宋体" w:cs="宋体" w:eastAsia="宋体" w:hint="default"/>
                <w:sz w:val="21"/>
                <w:szCs w:val="21"/>
              </w:rPr>
              <w:t>图离职，则本人届时所持有的全部尚未</w:t>
            </w:r>
          </w:p>
          <w:p>
            <w:pPr>
              <w:pStyle w:val="TableParagraph"/>
              <w:spacing w:line="273" w:lineRule="auto" w:before="37"/>
              <w:ind w:left="21" w:right="24"/>
              <w:jc w:val="both"/>
              <w:rPr>
                <w:rFonts w:ascii="宋体" w:hAnsi="宋体" w:cs="宋体" w:eastAsia="宋体" w:hint="default"/>
                <w:sz w:val="21"/>
                <w:szCs w:val="21"/>
              </w:rPr>
            </w:pPr>
            <w:r>
              <w:rPr>
                <w:rFonts w:ascii="宋体" w:hAnsi="宋体" w:cs="宋体" w:eastAsia="宋体" w:hint="default"/>
                <w:spacing w:val="-2"/>
                <w:sz w:val="21"/>
                <w:szCs w:val="21"/>
              </w:rPr>
              <w:t>到期解禁的本次发行股份将在利润承诺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期满后方能解禁，届时，该部分股份应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在超图软件监管账户下完成转让，并将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转让价款全额支付给孙在宏先生，由孙</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在宏先生将该等转让价款向尚未离职的</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其他管理层股东或其他南京国图骨干人</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员进行分配。此外，本人承诺在利润承</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诺期满后一年内不得从超图软件（含超</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图软件关联方）或南京国图离职，并继</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续履行本人应尽勤勉尽责义务，若一年</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内（不足一年的视同为一年）从超图软</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件（含超图软件关联方）或南京国图离</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z w:val="21"/>
                <w:szCs w:val="21"/>
              </w:rPr>
              <w:t>职，则本人应向南京国图支付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赔偿款。但在利润承诺期内，如本人因</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疾病、丧失劳动能力、死亡等身体原因</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无法继续任职而离职的，该等离职不属</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740" w:type="dxa"/>
            <w:vMerge/>
            <w:tcBorders>
              <w:left w:val="single" w:sz="4" w:space="0" w:color="000000"/>
              <w:bottom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于违反任职期限承诺的事项。</w:t>
            </w:r>
          </w:p>
        </w:tc>
        <w:tc>
          <w:tcPr>
            <w:tcW w:w="91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700" w:right="0"/>
        </w:sectPr>
      </w:pPr>
    </w:p>
    <w:p>
      <w:pPr>
        <w:spacing w:line="240" w:lineRule="auto" w:before="11"/>
        <w:rPr>
          <w:rFonts w:ascii="Times New Roman" w:hAnsi="Times New Roman" w:cs="Times New Roman" w:eastAsia="Times New Roman" w:hint="default"/>
          <w:sz w:val="27"/>
          <w:szCs w:val="27"/>
        </w:rPr>
      </w:pPr>
      <w:r>
        <w:rPr/>
        <w:pict>
          <v:shape style="position:absolute;margin-left:403.87384pt;margin-top:72.47998pt;width:52.6pt;height:390.1pt;mso-position-horizontal-relative:page;mso-position-vertical-relative:page;z-index:-106492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04.119781pt;margin-top:509.839996pt;width:52.35pt;height:140.450pt;mso-position-horizontal-relative:page;mso-position-vertical-relative:page;z-index:-1064896"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410.980011pt;margin-top:509.839996pt;width:45.5pt;height:140.450pt;mso-position-horizontal-relative:page;mso-position-vertical-relative:page;z-index:-1064872" coordorigin="8220,10197" coordsize="910,2809">
            <v:shape style="position:absolute;left:8220;top:10197;width:910;height:2809" coordorigin="8220,10197" coordsize="910,2809" path="m8220,13005l9129,13005,9129,10197,8220,10197,8220,13005xe" filled="true" fillcolor="#ffffff" stroked="false">
              <v:path arrowok="t"/>
              <v:fill type="solid"/>
            </v:shape>
            <w10:wrap type="none"/>
          </v:group>
        </w:pict>
      </w:r>
      <w:r>
        <w:rPr/>
        <w:pict>
          <v:group style="position:absolute;margin-left:187.369995pt;margin-top:689.73999pt;width:40.450pt;height:31.2pt;mso-position-horizontal-relative:page;mso-position-vertical-relative:page;z-index:-1064848" coordorigin="3747,13795" coordsize="809,624">
            <v:group style="position:absolute;left:3747;top:13795;width:809;height:312" coordorigin="3747,13795" coordsize="809,312">
              <v:shape style="position:absolute;left:3747;top:13795;width:809;height:312" coordorigin="3747,13795" coordsize="809,312" path="m3747,14107l4556,14107,4556,13795,3747,13795,3747,14107xe" filled="true" fillcolor="#ffffff" stroked="false">
                <v:path arrowok="t"/>
                <v:fill type="solid"/>
              </v:shape>
            </v:group>
            <v:group style="position:absolute;left:3747;top:14107;width:809;height:312" coordorigin="3747,14107" coordsize="809,312">
              <v:shape style="position:absolute;left:3747;top:14107;width:809;height:312" coordorigin="3747,14107" coordsize="809,312" path="m3747,14419l4556,14419,4556,14107,3747,14107,3747,14419xe" filled="true" fillcolor="#ffffff" stroked="false">
                <v:path arrowok="t"/>
                <v:fill type="solid"/>
              </v:shape>
            </v:group>
            <w10:wrap type="none"/>
          </v:group>
        </w:pict>
      </w:r>
      <w:r>
        <w:rPr/>
        <w:pict>
          <v:group style="position:absolute;margin-left:412.179993pt;margin-top:681.940002pt;width:43.1pt;height:15.6pt;mso-position-horizontal-relative:page;mso-position-vertical-relative:page;z-index:-1064824" coordorigin="8244,13639" coordsize="862,312">
            <v:shape style="position:absolute;left:8244;top:13639;width:862;height:312" coordorigin="8244,13639" coordsize="862,312" path="m8244,13951l9105,13951,9105,13639,8244,13639,8244,13951xe" filled="true" fillcolor="#ffffff" stroked="false">
              <v:path arrowok="t"/>
              <v:fill type="solid"/>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324"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78"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、关于竞业禁止</w:t>
            </w:r>
          </w:p>
        </w:tc>
        <w:tc>
          <w:tcPr>
            <w:tcW w:w="919" w:type="dxa"/>
            <w:vMerge w:val="restart"/>
            <w:tcBorders>
              <w:top w:val="single" w:sz="4" w:space="0" w:color="000000"/>
              <w:left w:val="single" w:sz="4" w:space="0" w:color="000000"/>
              <w:right w:val="single" w:sz="4" w:space="0" w:color="000000"/>
            </w:tcBorders>
          </w:tcPr>
          <w:p>
            <w:pPr>
              <w:pStyle w:val="TableParagraph"/>
              <w:spacing w:line="78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5"/>
                <w:sz w:val="20"/>
                <w:szCs w:val="20"/>
              </w:rPr>
              <w:pict>
                <v:group style="width:45.5pt;height:390.1pt;mso-position-horizontal-relative:char;mso-position-vertical-relative:line" coordorigin="0,0" coordsize="910,7802">
                  <v:group style="position:absolute;left:0;top:0;width:910;height:7802" coordorigin="0,0" coordsize="910,7802">
                    <v:shape style="position:absolute;left:0;top:0;width:910;height:7802" coordorigin="0,0" coordsize="910,7802" path="m0,7801l910,7801,910,0,0,0,0,7801xe" filled="true" fillcolor="#ffffff" stroked="false">
                      <v:path arrowok="t"/>
                      <v:fill type="solid"/>
                    </v:shape>
                  </v:group>
                </v:group>
              </w:pict>
            </w:r>
            <w:r>
              <w:rPr>
                <w:rFonts w:ascii="Times New Roman" w:hAnsi="Times New Roman" w:cs="Times New Roman" w:eastAsia="Times New Roman" w:hint="default"/>
                <w:position w:val="-155"/>
                <w:sz w:val="20"/>
                <w:szCs w:val="20"/>
              </w:rPr>
            </w:r>
          </w:p>
        </w:tc>
        <w:tc>
          <w:tcPr>
            <w:tcW w:w="852"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在《发行股份及支付现金购买资产</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约</w:t>
            </w:r>
            <w:r>
              <w:rPr>
                <w:rFonts w:ascii="宋体" w:hAnsi="宋体" w:cs="宋体" w:eastAsia="宋体" w:hint="default"/>
                <w:spacing w:val="-3"/>
                <w:w w:val="100"/>
                <w:sz w:val="21"/>
                <w:szCs w:val="21"/>
              </w:rPr>
              <w:t>定</w:t>
            </w:r>
            <w:r>
              <w:rPr>
                <w:rFonts w:ascii="宋体" w:hAnsi="宋体" w:cs="宋体" w:eastAsia="宋体" w:hint="default"/>
                <w:w w:val="100"/>
                <w:sz w:val="21"/>
                <w:szCs w:val="21"/>
              </w:rPr>
              <w:t>的</w:t>
            </w:r>
            <w:r>
              <w:rPr>
                <w:rFonts w:ascii="宋体" w:hAnsi="宋体" w:cs="宋体" w:eastAsia="宋体" w:hint="default"/>
                <w:spacing w:val="-3"/>
                <w:w w:val="100"/>
                <w:sz w:val="21"/>
                <w:szCs w:val="21"/>
              </w:rPr>
              <w:t>本</w:t>
            </w:r>
            <w:r>
              <w:rPr>
                <w:rFonts w:ascii="宋体" w:hAnsi="宋体" w:cs="宋体" w:eastAsia="宋体" w:hint="default"/>
                <w:w w:val="100"/>
                <w:sz w:val="21"/>
                <w:szCs w:val="21"/>
              </w:rPr>
              <w:t>人</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任</w:t>
            </w:r>
            <w:r>
              <w:rPr>
                <w:rFonts w:ascii="宋体" w:hAnsi="宋体" w:cs="宋体" w:eastAsia="宋体" w:hint="default"/>
                <w:w w:val="100"/>
                <w:sz w:val="21"/>
                <w:szCs w:val="21"/>
              </w:rPr>
              <w:t>职期</w:t>
            </w:r>
            <w:r>
              <w:rPr>
                <w:rFonts w:ascii="宋体" w:hAnsi="宋体" w:cs="宋体" w:eastAsia="宋体" w:hint="default"/>
                <w:spacing w:val="-3"/>
                <w:w w:val="100"/>
                <w:sz w:val="21"/>
                <w:szCs w:val="21"/>
              </w:rPr>
              <w:t>限</w:t>
            </w:r>
            <w:r>
              <w:rPr>
                <w:rFonts w:ascii="宋体" w:hAnsi="宋体" w:cs="宋体" w:eastAsia="宋体" w:hint="default"/>
                <w:spacing w:val="-104"/>
                <w:w w:val="100"/>
                <w:sz w:val="21"/>
                <w:szCs w:val="21"/>
              </w:rPr>
              <w:t>内</w:t>
            </w:r>
            <w:r>
              <w:rPr>
                <w:rFonts w:ascii="宋体" w:hAnsi="宋体" w:cs="宋体" w:eastAsia="宋体" w:hint="default"/>
                <w:w w:val="100"/>
                <w:sz w:val="21"/>
                <w:szCs w:val="21"/>
              </w:rPr>
              <w:t>（即</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利润</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期</w:t>
            </w:r>
            <w:r>
              <w:rPr>
                <w:rFonts w:ascii="宋体" w:hAnsi="宋体" w:cs="宋体" w:eastAsia="宋体" w:hint="default"/>
                <w:w w:val="100"/>
                <w:sz w:val="21"/>
                <w:szCs w:val="21"/>
              </w:rPr>
              <w:t>及</w:t>
            </w:r>
            <w:r>
              <w:rPr>
                <w:rFonts w:ascii="宋体" w:hAnsi="宋体" w:cs="宋体" w:eastAsia="宋体" w:hint="default"/>
                <w:spacing w:val="-3"/>
                <w:w w:val="100"/>
                <w:sz w:val="21"/>
                <w:szCs w:val="21"/>
              </w:rPr>
              <w:t>期</w:t>
            </w:r>
            <w:r>
              <w:rPr>
                <w:rFonts w:ascii="宋体" w:hAnsi="宋体" w:cs="宋体" w:eastAsia="宋体" w:hint="default"/>
                <w:w w:val="100"/>
                <w:sz w:val="21"/>
                <w:szCs w:val="21"/>
              </w:rPr>
              <w:t>满</w:t>
            </w:r>
            <w:r>
              <w:rPr>
                <w:rFonts w:ascii="宋体" w:hAnsi="宋体" w:cs="宋体" w:eastAsia="宋体" w:hint="default"/>
                <w:spacing w:val="-3"/>
                <w:w w:val="100"/>
                <w:sz w:val="21"/>
                <w:szCs w:val="21"/>
              </w:rPr>
              <w:t>后</w:t>
            </w:r>
            <w:r>
              <w:rPr>
                <w:rFonts w:ascii="宋体" w:hAnsi="宋体" w:cs="宋体" w:eastAsia="宋体" w:hint="default"/>
                <w:w w:val="100"/>
                <w:sz w:val="21"/>
                <w:szCs w:val="21"/>
              </w:rPr>
              <w:t>一</w:t>
            </w:r>
            <w:r>
              <w:rPr>
                <w:rFonts w:ascii="宋体" w:hAnsi="宋体" w:cs="宋体" w:eastAsia="宋体" w:hint="default"/>
                <w:spacing w:val="-3"/>
                <w:w w:val="100"/>
                <w:sz w:val="21"/>
                <w:szCs w:val="21"/>
              </w:rPr>
              <w:t>年</w:t>
            </w:r>
            <w:r>
              <w:rPr>
                <w:rFonts w:ascii="宋体" w:hAnsi="宋体" w:cs="宋体" w:eastAsia="宋体" w:hint="default"/>
                <w:spacing w:val="-108"/>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除</w:t>
            </w:r>
            <w:r>
              <w:rPr>
                <w:rFonts w:ascii="宋体" w:hAnsi="宋体" w:cs="宋体" w:eastAsia="宋体" w:hint="default"/>
                <w:spacing w:val="-3"/>
                <w:w w:val="100"/>
                <w:sz w:val="21"/>
                <w:szCs w:val="21"/>
              </w:rPr>
              <w:t>在</w:t>
            </w:r>
            <w:r>
              <w:rPr>
                <w:rFonts w:ascii="宋体" w:hAnsi="宋体" w:cs="宋体" w:eastAsia="宋体" w:hint="default"/>
                <w:w w:val="100"/>
                <w:sz w:val="21"/>
                <w:szCs w:val="21"/>
              </w:rPr>
              <w:t>超</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图软件及其下属子公司（含南京国图）</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担任职务外，不在同超图软件及其下属</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子公司（含南京国图）存在相同或者相</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类似业务的实体任职或者担任任何形式</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的顾问；不在为超图软件及其下属子公</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司（含南京国图）工作之外以超图软件</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及其下属子公司（含南京国图）的名义</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为超图软件及其下属子公司（含南京国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图）现有客户提供相同或类似的商品或</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若本人违反上述承诺，应立即停止</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与超图软件及其下属子公司（含南京国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图）构成竞争之业务，并采取必要措施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予以纠正补救；同时对因未履行承诺而</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给超图软件及其下属子公司（含南京国</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图）造成的损失和后果承担赔偿责任，</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具体赔偿标准为本人按照本次交易时所</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z w:val="21"/>
                <w:szCs w:val="21"/>
              </w:rPr>
              <w:t>持有的南京国图的股权比例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的资产交易总价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。本人应在超图软</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件确认本人违反上述承诺后的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天内</w:t>
            </w: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0" w:hRule="exact"/>
        </w:trPr>
        <w:tc>
          <w:tcPr>
            <w:tcW w:w="1740" w:type="dxa"/>
            <w:vMerge/>
            <w:tcBorders>
              <w:left w:val="single" w:sz="4" w:space="0" w:color="000000"/>
              <w:bottom w:val="single" w:sz="4" w:space="0" w:color="000000"/>
              <w:right w:val="single" w:sz="4" w:space="0" w:color="000000"/>
            </w:tcBorders>
            <w:shd w:val="clear" w:color="auto" w:fill="D9D9D9"/>
          </w:tcPr>
          <w:p>
            <w:pPr/>
          </w:p>
        </w:tc>
        <w:tc>
          <w:tcPr>
            <w:tcW w:w="1162"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以现金方式对超图软件进行赔偿。</w:t>
            </w: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r>
      <w:tr>
        <w:trPr>
          <w:trHeight w:val="323" w:hRule="exact"/>
        </w:trPr>
        <w:tc>
          <w:tcPr>
            <w:tcW w:w="1740" w:type="dxa"/>
            <w:tcBorders>
              <w:top w:val="single" w:sz="4" w:space="0" w:color="000000"/>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控股股东钟耳顺的避免同业竞争承</w:t>
            </w:r>
          </w:p>
        </w:tc>
        <w:tc>
          <w:tcPr>
            <w:tcW w:w="919" w:type="dxa"/>
            <w:tcBorders>
              <w:top w:val="single" w:sz="4" w:space="0" w:color="000000"/>
              <w:left w:val="single" w:sz="4" w:space="0" w:color="000000"/>
              <w:bottom w:val="nil" w:sz="6" w:space="0" w:color="auto"/>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控股股</w:t>
            </w:r>
          </w:p>
        </w:tc>
        <w:tc>
          <w:tcPr>
            <w:tcW w:w="821"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严格遵</w:t>
            </w:r>
          </w:p>
        </w:tc>
      </w:tr>
      <w:tr>
        <w:trPr>
          <w:trHeight w:val="312"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pacing w:val="-7"/>
                <w:sz w:val="21"/>
                <w:szCs w:val="21"/>
              </w:rPr>
              <w:t>诺函：</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将来不以任何方式从事，包括与</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东的避</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守了承</w:t>
            </w:r>
          </w:p>
        </w:tc>
      </w:tr>
      <w:tr>
        <w:trPr>
          <w:trHeight w:val="306"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他人合作直接或间接从事与超图股份相</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免同业</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诺。</w:t>
            </w:r>
          </w:p>
        </w:tc>
      </w:tr>
      <w:tr>
        <w:trPr>
          <w:trHeight w:val="312"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相</w:t>
            </w:r>
            <w:r>
              <w:rPr>
                <w:rFonts w:ascii="宋体" w:hAnsi="宋体" w:cs="宋体" w:eastAsia="宋体" w:hint="default"/>
                <w:w w:val="100"/>
                <w:sz w:val="21"/>
                <w:szCs w:val="21"/>
              </w:rPr>
              <w:t>似</w:t>
            </w:r>
            <w:r>
              <w:rPr>
                <w:rFonts w:ascii="宋体" w:hAnsi="宋体" w:cs="宋体" w:eastAsia="宋体" w:hint="default"/>
                <w:spacing w:val="-3"/>
                <w:w w:val="100"/>
                <w:sz w:val="21"/>
                <w:szCs w:val="21"/>
              </w:rPr>
              <w:t>或</w:t>
            </w:r>
            <w:r>
              <w:rPr>
                <w:rFonts w:ascii="宋体" w:hAnsi="宋体" w:cs="宋体" w:eastAsia="宋体" w:hint="default"/>
                <w:w w:val="100"/>
                <w:sz w:val="21"/>
                <w:szCs w:val="21"/>
              </w:rPr>
              <w:t>在</w:t>
            </w:r>
            <w:r>
              <w:rPr>
                <w:rFonts w:ascii="宋体" w:hAnsi="宋体" w:cs="宋体" w:eastAsia="宋体" w:hint="default"/>
                <w:spacing w:val="-3"/>
                <w:w w:val="100"/>
                <w:sz w:val="21"/>
                <w:szCs w:val="21"/>
              </w:rPr>
              <w:t>任</w:t>
            </w:r>
            <w:r>
              <w:rPr>
                <w:rFonts w:ascii="宋体" w:hAnsi="宋体" w:cs="宋体" w:eastAsia="宋体" w:hint="default"/>
                <w:w w:val="100"/>
                <w:sz w:val="21"/>
                <w:szCs w:val="21"/>
              </w:rPr>
              <w:t>何</w:t>
            </w:r>
            <w:r>
              <w:rPr>
                <w:rFonts w:ascii="宋体" w:hAnsi="宋体" w:cs="宋体" w:eastAsia="宋体" w:hint="default"/>
                <w:spacing w:val="-3"/>
                <w:w w:val="100"/>
                <w:sz w:val="21"/>
                <w:szCs w:val="21"/>
              </w:rPr>
              <w:t>方</w:t>
            </w:r>
            <w:r>
              <w:rPr>
                <w:rFonts w:ascii="宋体" w:hAnsi="宋体" w:cs="宋体" w:eastAsia="宋体" w:hint="default"/>
                <w:w w:val="100"/>
                <w:sz w:val="21"/>
                <w:szCs w:val="21"/>
              </w:rPr>
              <w:t>面</w:t>
            </w:r>
            <w:r>
              <w:rPr>
                <w:rFonts w:ascii="宋体" w:hAnsi="宋体" w:cs="宋体" w:eastAsia="宋体" w:hint="default"/>
                <w:spacing w:val="-3"/>
                <w:w w:val="100"/>
                <w:sz w:val="21"/>
                <w:szCs w:val="21"/>
              </w:rPr>
              <w:t>构成</w:t>
            </w:r>
            <w:r>
              <w:rPr>
                <w:rFonts w:ascii="宋体" w:hAnsi="宋体" w:cs="宋体" w:eastAsia="宋体" w:hint="default"/>
                <w:w w:val="100"/>
                <w:sz w:val="21"/>
                <w:szCs w:val="21"/>
              </w:rPr>
              <w:t>竞争</w:t>
            </w:r>
            <w:r>
              <w:rPr>
                <w:rFonts w:ascii="宋体" w:hAnsi="宋体" w:cs="宋体" w:eastAsia="宋体" w:hint="default"/>
                <w:spacing w:val="-3"/>
                <w:w w:val="100"/>
                <w:sz w:val="21"/>
                <w:szCs w:val="21"/>
              </w:rPr>
              <w:t>的</w:t>
            </w:r>
            <w:r>
              <w:rPr>
                <w:rFonts w:ascii="宋体" w:hAnsi="宋体" w:cs="宋体" w:eastAsia="宋体" w:hint="default"/>
                <w:w w:val="100"/>
                <w:sz w:val="21"/>
                <w:szCs w:val="21"/>
              </w:rPr>
              <w:t>业务</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竞争的</w:t>
            </w: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不投资控股于业务与超图股份相同、类</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承诺期</w:t>
            </w:r>
          </w:p>
        </w:tc>
        <w:tc>
          <w:tcPr>
            <w:tcW w:w="82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1"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其他承</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w w:val="100"/>
                <w:sz w:val="21"/>
                <w:szCs w:val="21"/>
              </w:rPr>
              <w:t>诺</w:t>
            </w: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似或在任何方面构成竞争的公司、企业</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或其他机构、组织；不向其他业务与超</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pacing w:val="-11"/>
                <w:sz w:val="21"/>
                <w:szCs w:val="21"/>
              </w:rPr>
              <w:t>限为：作</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为超图</w:t>
            </w:r>
          </w:p>
        </w:tc>
        <w:tc>
          <w:tcPr>
            <w:tcW w:w="82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图股份相同、类似或在任何方面构成竞</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股份股</w:t>
            </w:r>
          </w:p>
        </w:tc>
        <w:tc>
          <w:tcPr>
            <w:tcW w:w="821"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73" w:lineRule="auto" w:before="147"/>
              <w:ind w:left="21" w:right="24"/>
              <w:jc w:val="left"/>
              <w:rPr>
                <w:rFonts w:ascii="宋体" w:hAnsi="宋体" w:cs="宋体" w:eastAsia="宋体" w:hint="default"/>
                <w:sz w:val="21"/>
                <w:szCs w:val="21"/>
              </w:rPr>
            </w:pPr>
            <w:r>
              <w:rPr>
                <w:rFonts w:ascii="宋体" w:hAnsi="宋体" w:cs="宋体" w:eastAsia="宋体" w:hint="default"/>
                <w:sz w:val="21"/>
                <w:szCs w:val="21"/>
              </w:rPr>
              <w:t>首次公开发行或再</w:t>
            </w:r>
            <w:r>
              <w:rPr>
                <w:rFonts w:ascii="宋体" w:hAnsi="宋体" w:cs="宋体" w:eastAsia="宋体" w:hint="default"/>
                <w:w w:val="100"/>
                <w:sz w:val="21"/>
                <w:szCs w:val="21"/>
              </w:rPr>
              <w:t> </w:t>
            </w:r>
            <w:r>
              <w:rPr>
                <w:rFonts w:ascii="宋体" w:hAnsi="宋体" w:cs="宋体" w:eastAsia="宋体" w:hint="default"/>
                <w:sz w:val="21"/>
                <w:szCs w:val="21"/>
              </w:rPr>
              <w:t>融资时所作承诺</w:t>
            </w:r>
          </w:p>
        </w:tc>
        <w:tc>
          <w:tcPr>
            <w:tcW w:w="116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争的公司、企业或其他机构、组织或个</w:t>
            </w:r>
          </w:p>
          <w:p>
            <w:pPr>
              <w:pStyle w:val="TableParagraph"/>
              <w:spacing w:line="273" w:lineRule="auto" w:before="37"/>
              <w:ind w:left="21" w:right="24"/>
              <w:jc w:val="left"/>
              <w:rPr>
                <w:rFonts w:ascii="宋体" w:hAnsi="宋体" w:cs="宋体" w:eastAsia="宋体" w:hint="default"/>
                <w:sz w:val="21"/>
                <w:szCs w:val="21"/>
              </w:rPr>
            </w:pPr>
            <w:r>
              <w:rPr>
                <w:rFonts w:ascii="宋体" w:hAnsi="宋体" w:cs="宋体" w:eastAsia="宋体" w:hint="default"/>
                <w:spacing w:val="-2"/>
                <w:sz w:val="21"/>
                <w:szCs w:val="21"/>
              </w:rPr>
              <w:t>人提供专有技术或提供销售渠道、客户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信息等商业秘密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东或关</w:t>
            </w:r>
          </w:p>
          <w:p>
            <w:pPr>
              <w:pStyle w:val="TableParagraph"/>
              <w:spacing w:line="273" w:lineRule="auto" w:before="37"/>
              <w:ind w:left="21" w:right="185"/>
              <w:jc w:val="left"/>
              <w:rPr>
                <w:rFonts w:ascii="宋体" w:hAnsi="宋体" w:cs="宋体" w:eastAsia="宋体" w:hint="default"/>
                <w:sz w:val="21"/>
                <w:szCs w:val="21"/>
              </w:rPr>
            </w:pPr>
            <w:r>
              <w:rPr>
                <w:rFonts w:ascii="宋体" w:hAnsi="宋体" w:cs="宋体" w:eastAsia="宋体" w:hint="default"/>
                <w:sz w:val="21"/>
                <w:szCs w:val="21"/>
              </w:rPr>
              <w:t>联方的</w:t>
            </w:r>
            <w:r>
              <w:rPr>
                <w:rFonts w:ascii="宋体" w:hAnsi="宋体" w:cs="宋体" w:eastAsia="宋体" w:hint="default"/>
                <w:spacing w:val="-102"/>
                <w:sz w:val="21"/>
                <w:szCs w:val="21"/>
              </w:rPr>
              <w:t> </w:t>
            </w:r>
            <w:r>
              <w:rPr>
                <w:rFonts w:ascii="宋体" w:hAnsi="宋体" w:cs="宋体" w:eastAsia="宋体" w:hint="default"/>
                <w:sz w:val="21"/>
                <w:szCs w:val="21"/>
              </w:rPr>
              <w:t>整个期</w:t>
            </w:r>
          </w:p>
        </w:tc>
        <w:tc>
          <w:tcPr>
            <w:tcW w:w="821"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间。</w:t>
            </w:r>
          </w:p>
        </w:tc>
        <w:tc>
          <w:tcPr>
            <w:tcW w:w="821"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自股票上市之起三十六个月内，不</w:t>
            </w:r>
          </w:p>
        </w:tc>
        <w:tc>
          <w:tcPr>
            <w:tcW w:w="919"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股票上</w:t>
            </w:r>
          </w:p>
        </w:tc>
        <w:tc>
          <w:tcPr>
            <w:tcW w:w="82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钟耳顺、宋</w:t>
            </w: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转让或者委托他人管理其持有的发行人</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市之日</w:t>
            </w:r>
          </w:p>
        </w:tc>
        <w:tc>
          <w:tcPr>
            <w:tcW w:w="82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10" w:space="0" w:color="FFFFFF"/>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关福、杜庆</w:t>
            </w:r>
          </w:p>
          <w:p>
            <w:pPr>
              <w:pStyle w:val="TableParagraph"/>
              <w:spacing w:line="273" w:lineRule="auto" w:before="37"/>
              <w:ind w:left="21" w:right="68"/>
              <w:jc w:val="left"/>
              <w:rPr>
                <w:rFonts w:ascii="宋体" w:hAnsi="宋体" w:cs="宋体" w:eastAsia="宋体" w:hint="default"/>
                <w:sz w:val="21"/>
                <w:szCs w:val="21"/>
              </w:rPr>
            </w:pPr>
            <w:r>
              <w:rPr>
                <w:rFonts w:ascii="宋体" w:hAnsi="宋体" w:cs="宋体" w:eastAsia="宋体" w:hint="default"/>
                <w:spacing w:val="-11"/>
                <w:sz w:val="21"/>
                <w:szCs w:val="21"/>
              </w:rPr>
              <w:t>娥、王康弘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王继晖、曾</w:t>
            </w:r>
          </w:p>
        </w:tc>
        <w:tc>
          <w:tcPr>
            <w:tcW w:w="864" w:type="dxa"/>
            <w:tcBorders>
              <w:top w:val="nil" w:sz="6" w:space="0" w:color="auto"/>
              <w:left w:val="single" w:sz="10" w:space="0" w:color="FFFFFF"/>
              <w:bottom w:val="nil" w:sz="6" w:space="0" w:color="auto"/>
              <w:right w:val="single" w:sz="4" w:space="0" w:color="000000"/>
            </w:tcBorders>
          </w:tcPr>
          <w:p>
            <w:pPr>
              <w:pStyle w:val="TableParagraph"/>
              <w:spacing w:line="215" w:lineRule="exact" w:before="142"/>
              <w:ind w:left="14"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156" w:lineRule="exact"/>
              <w:ind w:left="-143"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left="14" w:right="0"/>
              <w:jc w:val="left"/>
              <w:rPr>
                <w:rFonts w:ascii="宋体" w:hAnsi="宋体" w:cs="宋体" w:eastAsia="宋体" w:hint="default"/>
                <w:sz w:val="21"/>
                <w:szCs w:val="21"/>
              </w:rPr>
            </w:pPr>
            <w:r>
              <w:rPr>
                <w:rFonts w:ascii="宋体" w:hAnsi="宋体" w:cs="宋体" w:eastAsia="宋体" w:hint="default"/>
                <w:sz w:val="21"/>
                <w:szCs w:val="21"/>
              </w:rPr>
              <w:t>售承诺</w:t>
            </w:r>
          </w:p>
        </w:tc>
        <w:tc>
          <w:tcPr>
            <w:tcW w:w="3632" w:type="dxa"/>
            <w:tcBorders>
              <w:top w:val="nil" w:sz="6" w:space="0" w:color="auto"/>
              <w:left w:val="single" w:sz="4" w:space="0" w:color="000000"/>
              <w:bottom w:val="nil" w:sz="6" w:space="0" w:color="auto"/>
              <w:right w:val="single" w:sz="10" w:space="0" w:color="FFFFFF"/>
            </w:tcBorders>
          </w:tcPr>
          <w:p>
            <w:pPr>
              <w:pStyle w:val="TableParagraph"/>
              <w:spacing w:line="261" w:lineRule="exact"/>
              <w:ind w:left="21" w:right="-39"/>
              <w:jc w:val="left"/>
              <w:rPr>
                <w:rFonts w:ascii="宋体" w:hAnsi="宋体" w:cs="宋体" w:eastAsia="宋体" w:hint="default"/>
                <w:sz w:val="21"/>
                <w:szCs w:val="21"/>
              </w:rPr>
            </w:pPr>
            <w:r>
              <w:rPr>
                <w:rFonts w:ascii="宋体" w:hAnsi="宋体" w:cs="宋体" w:eastAsia="宋体" w:hint="default"/>
                <w:w w:val="100"/>
                <w:sz w:val="21"/>
                <w:szCs w:val="21"/>
              </w:rPr>
              <w:t>股份</w:t>
            </w:r>
            <w:r>
              <w:rPr>
                <w:rFonts w:ascii="宋体" w:hAnsi="宋体" w:cs="宋体" w:eastAsia="宋体" w:hint="default"/>
                <w:spacing w:val="-101"/>
                <w:w w:val="100"/>
                <w:sz w:val="21"/>
                <w:szCs w:val="21"/>
              </w:rPr>
              <w:t>，</w:t>
            </w:r>
            <w:r>
              <w:rPr>
                <w:rFonts w:ascii="宋体" w:hAnsi="宋体" w:cs="宋体" w:eastAsia="宋体" w:hint="default"/>
                <w:w w:val="100"/>
                <w:sz w:val="21"/>
                <w:szCs w:val="21"/>
              </w:rPr>
              <w:t>也</w:t>
            </w:r>
            <w:r>
              <w:rPr>
                <w:rFonts w:ascii="宋体" w:hAnsi="宋体" w:cs="宋体" w:eastAsia="宋体" w:hint="default"/>
                <w:spacing w:val="-3"/>
                <w:w w:val="100"/>
                <w:sz w:val="21"/>
                <w:szCs w:val="21"/>
              </w:rPr>
              <w:t>不</w:t>
            </w:r>
            <w:r>
              <w:rPr>
                <w:rFonts w:ascii="宋体" w:hAnsi="宋体" w:cs="宋体" w:eastAsia="宋体" w:hint="default"/>
                <w:w w:val="100"/>
                <w:sz w:val="21"/>
                <w:szCs w:val="21"/>
              </w:rPr>
              <w:t>由</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3"/>
                <w:w w:val="100"/>
                <w:sz w:val="21"/>
                <w:szCs w:val="21"/>
              </w:rPr>
              <w:t>人</w:t>
            </w:r>
            <w:r>
              <w:rPr>
                <w:rFonts w:ascii="宋体" w:hAnsi="宋体" w:cs="宋体" w:eastAsia="宋体" w:hint="default"/>
                <w:w w:val="100"/>
                <w:sz w:val="21"/>
                <w:szCs w:val="21"/>
              </w:rPr>
              <w:t>回</w:t>
            </w:r>
            <w:r>
              <w:rPr>
                <w:rFonts w:ascii="宋体" w:hAnsi="宋体" w:cs="宋体" w:eastAsia="宋体" w:hint="default"/>
                <w:spacing w:val="-3"/>
                <w:w w:val="100"/>
                <w:sz w:val="21"/>
                <w:szCs w:val="21"/>
              </w:rPr>
              <w:t>购其</w:t>
            </w:r>
            <w:r>
              <w:rPr>
                <w:rFonts w:ascii="宋体" w:hAnsi="宋体" w:cs="宋体" w:eastAsia="宋体" w:hint="default"/>
                <w:w w:val="100"/>
                <w:sz w:val="21"/>
                <w:szCs w:val="21"/>
              </w:rPr>
              <w:t>持有</w:t>
            </w:r>
            <w:r>
              <w:rPr>
                <w:rFonts w:ascii="宋体" w:hAnsi="宋体" w:cs="宋体" w:eastAsia="宋体" w:hint="default"/>
                <w:spacing w:val="-3"/>
                <w:w w:val="100"/>
                <w:sz w:val="21"/>
                <w:szCs w:val="21"/>
              </w:rPr>
              <w:t>的</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spacing w:val="-53"/>
                <w:w w:val="100"/>
                <w:sz w:val="21"/>
                <w:szCs w:val="21"/>
              </w:rPr>
              <w:t>。</w:t>
            </w:r>
            <w:r>
              <w:rPr>
                <w:rFonts w:ascii="宋体" w:hAnsi="宋体" w:cs="宋体" w:eastAsia="宋体" w:hint="default"/>
                <w:w w:val="100"/>
                <w:sz w:val="21"/>
                <w:szCs w:val="21"/>
              </w:rPr>
            </w:r>
          </w:p>
          <w:p>
            <w:pPr>
              <w:pStyle w:val="TableParagraph"/>
              <w:spacing w:line="273" w:lineRule="auto" w:before="37"/>
              <w:ind w:left="21" w:right="17"/>
              <w:jc w:val="left"/>
              <w:rPr>
                <w:rFonts w:ascii="宋体" w:hAnsi="宋体" w:cs="宋体" w:eastAsia="宋体" w:hint="default"/>
                <w:sz w:val="21"/>
                <w:szCs w:val="21"/>
              </w:rPr>
            </w:pPr>
            <w:r>
              <w:rPr>
                <w:rFonts w:ascii="宋体" w:hAnsi="宋体" w:cs="宋体" w:eastAsia="宋体" w:hint="default"/>
                <w:spacing w:val="-2"/>
                <w:sz w:val="21"/>
                <w:szCs w:val="21"/>
              </w:rPr>
              <w:t>在担任公司董事或高级管理人员期间，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每年转让的股份不超过本人所持发行人</w:t>
            </w:r>
          </w:p>
        </w:tc>
        <w:tc>
          <w:tcPr>
            <w:tcW w:w="919" w:type="dxa"/>
            <w:tcBorders>
              <w:top w:val="nil" w:sz="6" w:space="0" w:color="auto"/>
              <w:left w:val="single" w:sz="10" w:space="0" w:color="FFFFFF"/>
              <w:bottom w:val="nil" w:sz="6" w:space="0" w:color="auto"/>
              <w:right w:val="single" w:sz="4" w:space="0" w:color="000000"/>
            </w:tcBorders>
          </w:tcPr>
          <w:p>
            <w:pPr>
              <w:pStyle w:val="TableParagraph"/>
              <w:spacing w:line="277"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40" w:lineRule="auto" w:before="21"/>
              <w:ind w:left="1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1"/>
              <w:ind w:left="1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起三十</w:t>
            </w:r>
          </w:p>
          <w:p>
            <w:pPr>
              <w:pStyle w:val="TableParagraph"/>
              <w:spacing w:line="273" w:lineRule="auto" w:before="37"/>
              <w:ind w:left="21" w:right="185"/>
              <w:jc w:val="left"/>
              <w:rPr>
                <w:rFonts w:ascii="宋体" w:hAnsi="宋体" w:cs="宋体" w:eastAsia="宋体" w:hint="default"/>
                <w:sz w:val="21"/>
                <w:szCs w:val="21"/>
              </w:rPr>
            </w:pPr>
            <w:r>
              <w:rPr>
                <w:rFonts w:ascii="宋体" w:hAnsi="宋体" w:cs="宋体" w:eastAsia="宋体" w:hint="default"/>
                <w:sz w:val="21"/>
                <w:szCs w:val="21"/>
              </w:rPr>
              <w:t>六个月</w:t>
            </w:r>
            <w:r>
              <w:rPr>
                <w:rFonts w:ascii="宋体" w:hAnsi="宋体" w:cs="宋体" w:eastAsia="宋体" w:hint="default"/>
                <w:spacing w:val="-102"/>
                <w:sz w:val="21"/>
                <w:szCs w:val="21"/>
              </w:rPr>
              <w:t> </w:t>
            </w:r>
            <w:r>
              <w:rPr>
                <w:rFonts w:ascii="宋体" w:hAnsi="宋体" w:cs="宋体" w:eastAsia="宋体" w:hint="default"/>
                <w:sz w:val="21"/>
                <w:szCs w:val="21"/>
              </w:rPr>
              <w:t>内以及</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严格遵</w:t>
            </w:r>
          </w:p>
          <w:p>
            <w:pPr>
              <w:pStyle w:val="TableParagraph"/>
              <w:spacing w:line="273" w:lineRule="auto" w:before="37"/>
              <w:ind w:left="21" w:right="155"/>
              <w:jc w:val="left"/>
              <w:rPr>
                <w:rFonts w:ascii="宋体" w:hAnsi="宋体" w:cs="宋体" w:eastAsia="宋体" w:hint="default"/>
                <w:sz w:val="21"/>
                <w:szCs w:val="21"/>
              </w:rPr>
            </w:pP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312" w:hRule="exact"/>
        </w:trPr>
        <w:tc>
          <w:tcPr>
            <w:tcW w:w="1740" w:type="dxa"/>
            <w:tcBorders>
              <w:top w:val="nil" w:sz="6" w:space="0" w:color="auto"/>
              <w:left w:val="single" w:sz="4" w:space="0" w:color="000000"/>
              <w:bottom w:val="nil" w:sz="6" w:space="0" w:color="auto"/>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志明</w:t>
            </w:r>
          </w:p>
        </w:tc>
        <w:tc>
          <w:tcPr>
            <w:tcW w:w="864"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股份总数的百分之二十五，离职后半年</w:t>
            </w:r>
          </w:p>
        </w:tc>
        <w:tc>
          <w:tcPr>
            <w:tcW w:w="91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担任公</w:t>
            </w:r>
          </w:p>
        </w:tc>
        <w:tc>
          <w:tcPr>
            <w:tcW w:w="82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40" w:type="dxa"/>
            <w:tcBorders>
              <w:top w:val="nil" w:sz="6" w:space="0" w:color="auto"/>
              <w:left w:val="single" w:sz="4" w:space="0" w:color="000000"/>
              <w:bottom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内，不转让所持有的发行人股份，如在</w:t>
            </w:r>
          </w:p>
        </w:tc>
        <w:tc>
          <w:tcPr>
            <w:tcW w:w="91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1" w:right="-22"/>
              <w:jc w:val="left"/>
              <w:rPr>
                <w:rFonts w:ascii="宋体" w:hAnsi="宋体" w:cs="宋体" w:eastAsia="宋体" w:hint="default"/>
                <w:sz w:val="21"/>
                <w:szCs w:val="21"/>
              </w:rPr>
            </w:pPr>
            <w:r>
              <w:rPr>
                <w:rFonts w:ascii="宋体" w:hAnsi="宋体" w:cs="宋体" w:eastAsia="宋体" w:hint="default"/>
                <w:sz w:val="21"/>
                <w:szCs w:val="21"/>
              </w:rPr>
              <w:t>司董事、</w:t>
            </w:r>
          </w:p>
        </w:tc>
        <w:tc>
          <w:tcPr>
            <w:tcW w:w="82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7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740"/>
        <w:gridCol w:w="1162"/>
        <w:gridCol w:w="864"/>
        <w:gridCol w:w="3632"/>
        <w:gridCol w:w="919"/>
        <w:gridCol w:w="852"/>
        <w:gridCol w:w="821"/>
      </w:tblGrid>
      <w:tr>
        <w:trPr>
          <w:trHeight w:val="2194" w:hRule="exact"/>
        </w:trPr>
        <w:tc>
          <w:tcPr>
            <w:tcW w:w="1740" w:type="dxa"/>
            <w:tcBorders>
              <w:top w:val="nil" w:sz="6" w:space="0" w:color="auto"/>
              <w:left w:val="single" w:sz="4" w:space="0" w:color="000000"/>
              <w:bottom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pacing w:val="-2"/>
                <w:sz w:val="21"/>
                <w:szCs w:val="21"/>
              </w:rPr>
              <w:t>公司首次公开发行股票上市之日起六个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月内申报离职的，自申报离职之日起十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八个月内不得转让其直接持有的本公司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股份，在首次公开发行股票上市之日起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第七个月至第十二个月之内申报离职</w:t>
            </w:r>
            <w:r>
              <w:rPr>
                <w:rFonts w:ascii="宋体" w:hAnsi="宋体" w:cs="宋体" w:eastAsia="宋体" w:hint="default"/>
                <w:w w:val="100"/>
                <w:sz w:val="21"/>
                <w:szCs w:val="21"/>
              </w:rPr>
              <w:t> </w:t>
            </w:r>
            <w:r>
              <w:rPr>
                <w:rFonts w:ascii="宋体" w:hAnsi="宋体" w:cs="宋体" w:eastAsia="宋体" w:hint="default"/>
                <w:spacing w:val="-2"/>
                <w:sz w:val="21"/>
                <w:szCs w:val="21"/>
              </w:rPr>
              <w:t>的，自申报离职之日起十二个月内不得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转让其直接持有的本公司股份。</w:t>
            </w: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85"/>
              <w:jc w:val="left"/>
              <w:rPr>
                <w:rFonts w:ascii="宋体" w:hAnsi="宋体" w:cs="宋体" w:eastAsia="宋体" w:hint="default"/>
                <w:sz w:val="21"/>
                <w:szCs w:val="21"/>
              </w:rPr>
            </w:pPr>
            <w:r>
              <w:rPr>
                <w:rFonts w:ascii="宋体" w:hAnsi="宋体" w:cs="宋体" w:eastAsia="宋体" w:hint="default"/>
                <w:sz w:val="21"/>
                <w:szCs w:val="21"/>
              </w:rPr>
              <w:t>高管人</w:t>
            </w:r>
            <w:r>
              <w:rPr>
                <w:rFonts w:ascii="宋体" w:hAnsi="宋体" w:cs="宋体" w:eastAsia="宋体" w:hint="default"/>
                <w:spacing w:val="-102"/>
                <w:sz w:val="21"/>
                <w:szCs w:val="21"/>
              </w:rPr>
              <w:t> </w:t>
            </w:r>
            <w:r>
              <w:rPr>
                <w:rFonts w:ascii="宋体" w:hAnsi="宋体" w:cs="宋体" w:eastAsia="宋体" w:hint="default"/>
                <w:sz w:val="21"/>
                <w:szCs w:val="21"/>
              </w:rPr>
              <w:t>员期间</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其他对公司中小股</w:t>
            </w:r>
            <w:r>
              <w:rPr>
                <w:rFonts w:ascii="宋体" w:hAnsi="宋体" w:cs="宋体" w:eastAsia="宋体" w:hint="default"/>
                <w:w w:val="100"/>
                <w:sz w:val="21"/>
                <w:szCs w:val="21"/>
              </w:rPr>
              <w:t> </w:t>
            </w:r>
            <w:r>
              <w:rPr>
                <w:rFonts w:ascii="宋体" w:hAnsi="宋体" w:cs="宋体" w:eastAsia="宋体" w:hint="default"/>
                <w:sz w:val="21"/>
                <w:szCs w:val="21"/>
              </w:rPr>
              <w:t>东所作承诺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6"/>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64"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82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573"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4"/>
              <w:jc w:val="both"/>
              <w:rPr>
                <w:rFonts w:ascii="宋体" w:hAnsi="宋体" w:cs="宋体" w:eastAsia="宋体" w:hint="default"/>
                <w:sz w:val="21"/>
                <w:szCs w:val="21"/>
              </w:rPr>
            </w:pPr>
            <w:r>
              <w:rPr>
                <w:rFonts w:ascii="宋体" w:hAnsi="宋体" w:cs="宋体" w:eastAsia="宋体" w:hint="default"/>
                <w:sz w:val="21"/>
                <w:szCs w:val="21"/>
              </w:rPr>
              <w:t>如超期未履行完毕</w:t>
            </w:r>
            <w:r>
              <w:rPr>
                <w:rFonts w:ascii="宋体" w:hAnsi="宋体" w:cs="宋体" w:eastAsia="宋体" w:hint="default"/>
                <w:w w:val="100"/>
                <w:sz w:val="21"/>
                <w:szCs w:val="21"/>
              </w:rPr>
              <w:t> </w:t>
            </w:r>
            <w:r>
              <w:rPr>
                <w:rFonts w:ascii="宋体" w:hAnsi="宋体" w:cs="宋体" w:eastAsia="宋体" w:hint="default"/>
                <w:sz w:val="21"/>
                <w:szCs w:val="21"/>
              </w:rPr>
              <w:t>的，应详细说明未</w:t>
            </w:r>
            <w:r>
              <w:rPr>
                <w:rFonts w:ascii="宋体" w:hAnsi="宋体" w:cs="宋体" w:eastAsia="宋体" w:hint="default"/>
                <w:w w:val="100"/>
                <w:sz w:val="21"/>
                <w:szCs w:val="21"/>
              </w:rPr>
              <w:t> </w:t>
            </w:r>
            <w:r>
              <w:rPr>
                <w:rFonts w:ascii="宋体" w:hAnsi="宋体" w:cs="宋体" w:eastAsia="宋体" w:hint="default"/>
                <w:sz w:val="21"/>
                <w:szCs w:val="21"/>
              </w:rPr>
              <w:t>完成履行的具体原</w:t>
            </w:r>
            <w:r>
              <w:rPr>
                <w:rFonts w:ascii="宋体" w:hAnsi="宋体" w:cs="宋体" w:eastAsia="宋体" w:hint="default"/>
                <w:w w:val="100"/>
                <w:sz w:val="21"/>
                <w:szCs w:val="21"/>
              </w:rPr>
              <w:t> </w:t>
            </w:r>
            <w:r>
              <w:rPr>
                <w:rFonts w:ascii="宋体" w:hAnsi="宋体" w:cs="宋体" w:eastAsia="宋体" w:hint="default"/>
                <w:sz w:val="21"/>
                <w:szCs w:val="21"/>
              </w:rPr>
              <w:t>因及下一步计划</w:t>
            </w:r>
          </w:p>
          <w:p>
            <w:pPr>
              <w:pStyle w:val="TableParagraph"/>
              <w:spacing w:line="240" w:lineRule="auto" w:before="7"/>
              <w:ind w:left="21" w:right="0"/>
              <w:jc w:val="both"/>
              <w:rPr>
                <w:rFonts w:ascii="宋体" w:hAnsi="宋体" w:cs="宋体" w:eastAsia="宋体" w:hint="default"/>
                <w:sz w:val="21"/>
                <w:szCs w:val="21"/>
              </w:rPr>
            </w:pPr>
            <w:r>
              <w:rPr>
                <w:rFonts w:ascii="宋体" w:hAnsi="宋体" w:cs="宋体" w:eastAsia="宋体" w:hint="default"/>
                <w:sz w:val="21"/>
                <w:szCs w:val="21"/>
              </w:rPr>
              <w:t>（如有）</w:t>
            </w:r>
          </w:p>
        </w:tc>
        <w:tc>
          <w:tcPr>
            <w:tcW w:w="82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422" w:right="0"/>
              <w:jc w:val="center"/>
              <w:rPr>
                <w:rFonts w:ascii="宋体" w:hAnsi="宋体" w:cs="宋体" w:eastAsia="宋体" w:hint="default"/>
                <w:sz w:val="21"/>
                <w:szCs w:val="21"/>
              </w:rPr>
            </w:pPr>
            <w:r>
              <w:rPr>
                <w:rFonts w:ascii="宋体" w:hAnsi="宋体" w:cs="宋体" w:eastAsia="宋体" w:hint="default"/>
                <w:sz w:val="21"/>
                <w:szCs w:val="21"/>
              </w:rPr>
              <w:t>无此情况</w:t>
            </w:r>
          </w:p>
        </w:tc>
      </w:tr>
    </w:tbl>
    <w:p>
      <w:pPr>
        <w:spacing w:line="386" w:lineRule="auto" w:before="64"/>
        <w:ind w:left="433" w:right="134"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：谛都融成基金投资（三明）有限公司于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日变更名称为</w:t>
      </w:r>
      <w:r>
        <w:rPr>
          <w:rFonts w:ascii="Times New Roman" w:hAnsi="Times New Roman" w:cs="Times New Roman" w:eastAsia="Times New Roman" w:hint="default"/>
          <w:sz w:val="21"/>
          <w:szCs w:val="21"/>
        </w:rPr>
        <w:t>“</w:t>
      </w:r>
      <w:r>
        <w:rPr>
          <w:rFonts w:ascii="宋体" w:hAnsi="宋体" w:cs="宋体" w:eastAsia="宋体" w:hint="default"/>
          <w:sz w:val="21"/>
          <w:szCs w:val="21"/>
        </w:rPr>
        <w:t>中地信基金投资（三明）</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p>
    <w:p>
      <w:pPr>
        <w:spacing w:line="240" w:lineRule="auto" w:before="11"/>
        <w:rPr>
          <w:rFonts w:ascii="Times New Roman" w:hAnsi="Times New Roman" w:cs="Times New Roman" w:eastAsia="Times New Roman" w:hint="default"/>
          <w:sz w:val="26"/>
          <w:szCs w:val="26"/>
        </w:rPr>
      </w:pPr>
    </w:p>
    <w:p>
      <w:pPr>
        <w:pStyle w:val="Heading2"/>
        <w:spacing w:line="338" w:lineRule="auto"/>
        <w:ind w:left="433" w:right="1118"/>
        <w:jc w:val="left"/>
        <w:rPr>
          <w:b w:val="0"/>
          <w:bCs w:val="0"/>
        </w:rPr>
      </w:pP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w:t>
      </w:r>
      <w:r>
        <w:rPr>
          <w:w w:val="99"/>
        </w:rPr>
        <w:t> </w:t>
      </w:r>
      <w:r>
        <w:rPr/>
        <w:t>盈利预测及其原因做出说明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left="913"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428" w:type="dxa"/>
        <w:tblLayout w:type="fixed"/>
        <w:tblCellMar>
          <w:top w:w="0" w:type="dxa"/>
          <w:left w:w="0" w:type="dxa"/>
          <w:bottom w:w="0" w:type="dxa"/>
          <w:right w:w="0" w:type="dxa"/>
        </w:tblCellMar>
        <w:tblLook w:val="01E0"/>
      </w:tblPr>
      <w:tblGrid>
        <w:gridCol w:w="1306"/>
        <w:gridCol w:w="1179"/>
        <w:gridCol w:w="1181"/>
        <w:gridCol w:w="1181"/>
        <w:gridCol w:w="1178"/>
        <w:gridCol w:w="1181"/>
        <w:gridCol w:w="1183"/>
        <w:gridCol w:w="1176"/>
      </w:tblGrid>
      <w:tr>
        <w:trPr>
          <w:trHeight w:val="94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0" w:right="120"/>
              <w:jc w:val="center"/>
              <w:rPr>
                <w:rFonts w:ascii="宋体" w:hAnsi="宋体" w:cs="宋体" w:eastAsia="宋体" w:hint="default"/>
                <w:sz w:val="21"/>
                <w:szCs w:val="21"/>
              </w:rPr>
            </w:pPr>
            <w:r>
              <w:rPr>
                <w:rFonts w:ascii="宋体" w:hAnsi="宋体" w:cs="宋体" w:eastAsia="宋体" w:hint="default"/>
                <w:sz w:val="21"/>
                <w:szCs w:val="21"/>
              </w:rPr>
              <w:t>盈利预测资</w:t>
            </w:r>
            <w:r>
              <w:rPr>
                <w:rFonts w:ascii="宋体" w:hAnsi="宋体" w:cs="宋体" w:eastAsia="宋体" w:hint="default"/>
                <w:w w:val="100"/>
                <w:sz w:val="21"/>
                <w:szCs w:val="21"/>
              </w:rPr>
              <w:t> </w:t>
            </w:r>
            <w:r>
              <w:rPr>
                <w:rFonts w:ascii="宋体" w:hAnsi="宋体" w:cs="宋体" w:eastAsia="宋体" w:hint="default"/>
                <w:sz w:val="21"/>
                <w:szCs w:val="21"/>
              </w:rPr>
              <w:t>产或项目名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477" w:right="56" w:hanging="420"/>
              <w:jc w:val="left"/>
              <w:rPr>
                <w:rFonts w:ascii="宋体" w:hAnsi="宋体" w:cs="宋体" w:eastAsia="宋体" w:hint="default"/>
                <w:sz w:val="21"/>
                <w:szCs w:val="21"/>
              </w:rPr>
            </w:pPr>
            <w:r>
              <w:rPr>
                <w:rFonts w:ascii="宋体" w:hAnsi="宋体" w:cs="宋体" w:eastAsia="宋体" w:hint="default"/>
                <w:sz w:val="21"/>
                <w:szCs w:val="21"/>
              </w:rPr>
              <w:t>预测起始时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479" w:right="55" w:hanging="420"/>
              <w:jc w:val="left"/>
              <w:rPr>
                <w:rFonts w:ascii="宋体" w:hAnsi="宋体" w:cs="宋体" w:eastAsia="宋体" w:hint="default"/>
                <w:sz w:val="21"/>
                <w:szCs w:val="21"/>
              </w:rPr>
            </w:pPr>
            <w:r>
              <w:rPr>
                <w:rFonts w:ascii="宋体" w:hAnsi="宋体" w:cs="宋体" w:eastAsia="宋体" w:hint="default"/>
                <w:sz w:val="21"/>
                <w:szCs w:val="21"/>
              </w:rPr>
              <w:t>预测终止时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57" w:right="58"/>
              <w:jc w:val="left"/>
              <w:rPr>
                <w:rFonts w:ascii="宋体" w:hAnsi="宋体" w:cs="宋体" w:eastAsia="宋体" w:hint="default"/>
                <w:sz w:val="21"/>
                <w:szCs w:val="21"/>
              </w:rPr>
            </w:pPr>
            <w:r>
              <w:rPr>
                <w:rFonts w:ascii="宋体" w:hAnsi="宋体" w:cs="宋体" w:eastAsia="宋体" w:hint="default"/>
                <w:sz w:val="21"/>
                <w:szCs w:val="21"/>
              </w:rPr>
              <w:t>当期预测业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57" w:right="55"/>
              <w:jc w:val="left"/>
              <w:rPr>
                <w:rFonts w:ascii="宋体" w:hAnsi="宋体" w:cs="宋体" w:eastAsia="宋体" w:hint="default"/>
                <w:sz w:val="21"/>
                <w:szCs w:val="21"/>
              </w:rPr>
            </w:pPr>
            <w:r>
              <w:rPr>
                <w:rFonts w:ascii="宋体" w:hAnsi="宋体" w:cs="宋体" w:eastAsia="宋体" w:hint="default"/>
                <w:sz w:val="21"/>
                <w:szCs w:val="21"/>
              </w:rPr>
              <w:t>当期实际业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9" w:right="56"/>
              <w:jc w:val="center"/>
              <w:rPr>
                <w:rFonts w:ascii="宋体" w:hAnsi="宋体" w:cs="宋体" w:eastAsia="宋体" w:hint="default"/>
                <w:sz w:val="21"/>
                <w:szCs w:val="21"/>
              </w:rPr>
            </w:pPr>
            <w:r>
              <w:rPr>
                <w:rFonts w:ascii="宋体" w:hAnsi="宋体" w:cs="宋体" w:eastAsia="宋体" w:hint="default"/>
                <w:sz w:val="21"/>
                <w:szCs w:val="21"/>
              </w:rPr>
              <w:t>未达预测的</w:t>
            </w:r>
            <w:r>
              <w:rPr>
                <w:rFonts w:ascii="宋体" w:hAnsi="宋体" w:cs="宋体" w:eastAsia="宋体" w:hint="default"/>
                <w:w w:val="100"/>
                <w:sz w:val="21"/>
                <w:szCs w:val="21"/>
              </w:rPr>
              <w:t> </w:t>
            </w:r>
            <w:r>
              <w:rPr>
                <w:rFonts w:ascii="宋体" w:hAnsi="宋体" w:cs="宋体" w:eastAsia="宋体" w:hint="default"/>
                <w:sz w:val="21"/>
                <w:szCs w:val="21"/>
              </w:rPr>
              <w:t>原因（如适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74" w:right="57" w:hanging="315"/>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74" w:right="53" w:hanging="317"/>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索引</w:t>
            </w:r>
          </w:p>
        </w:tc>
      </w:tr>
      <w:tr>
        <w:trPr>
          <w:trHeight w:val="94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4"/>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1,562.50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2,132.13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1" w:right="34"/>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p>
            <w:pPr>
              <w:pStyle w:val="TableParagraph"/>
              <w:spacing w:line="240" w:lineRule="auto" w:before="3"/>
              <w:ind w:left="21" w:right="0"/>
              <w:jc w:val="left"/>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京</w:t>
            </w:r>
            <w:r>
              <w:rPr>
                <w:rFonts w:ascii="宋体" w:hAnsi="宋体" w:cs="宋体" w:eastAsia="宋体" w:hint="default"/>
                <w:spacing w:val="-54"/>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图</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5,746.00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6,004.31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1" w:right="34"/>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p>
            <w:pPr>
              <w:pStyle w:val="TableParagraph"/>
              <w:spacing w:line="240" w:lineRule="auto" w:before="3"/>
              <w:ind w:left="21" w:right="0"/>
              <w:jc w:val="left"/>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21" w:right="1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北</w:t>
            </w:r>
            <w:r>
              <w:rPr>
                <w:rFonts w:ascii="宋体" w:hAnsi="宋体" w:cs="宋体" w:eastAsia="宋体" w:hint="default"/>
                <w:spacing w:val="-57"/>
                <w:sz w:val="21"/>
                <w:szCs w:val="21"/>
              </w:rPr>
              <w:t> </w:t>
            </w:r>
            <w:r>
              <w:rPr>
                <w:rFonts w:ascii="宋体" w:hAnsi="宋体" w:cs="宋体" w:eastAsia="宋体" w:hint="default"/>
                <w:sz w:val="21"/>
                <w:szCs w:val="21"/>
              </w:rPr>
              <w:t>京</w:t>
            </w:r>
            <w:r>
              <w:rPr>
                <w:rFonts w:ascii="宋体" w:hAnsi="宋体" w:cs="宋体" w:eastAsia="宋体" w:hint="default"/>
                <w:spacing w:val="-54"/>
                <w:sz w:val="21"/>
                <w:szCs w:val="21"/>
              </w:rPr>
              <w:t> </w:t>
            </w: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图</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2,266.03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1" w:right="34"/>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p>
            <w:pPr>
              <w:pStyle w:val="TableParagraph"/>
              <w:spacing w:line="240" w:lineRule="auto" w:before="3"/>
              <w:ind w:left="21" w:right="0"/>
              <w:jc w:val="left"/>
              <w:rPr>
                <w:rFonts w:ascii="Times New Roman" w:hAnsi="Times New Roman" w:cs="Times New Roman" w:eastAsia="Times New Roman" w:hint="default"/>
                <w:sz w:val="21"/>
                <w:szCs w:val="21"/>
              </w:rPr>
            </w:pPr>
            <w:r>
              <w:rPr>
                <w:rFonts w:ascii="Times New Roman"/>
                <w:w w:val="100"/>
                <w:sz w:val="21"/>
              </w:rPr>
              <w:t>/</w:t>
            </w:r>
          </w:p>
        </w:tc>
      </w:tr>
      <w:tr>
        <w:trPr>
          <w:trHeight w:val="94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1" w:right="17"/>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4"/>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3,802.38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6"/>
              <w:ind w:left="21" w:right="34"/>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p>
            <w:pPr>
              <w:pStyle w:val="TableParagraph"/>
              <w:spacing w:line="240" w:lineRule="auto" w:before="3"/>
              <w:ind w:left="21" w:right="0"/>
              <w:jc w:val="lef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39"/>
        <w:ind w:left="913" w:right="134"/>
        <w:jc w:val="left"/>
      </w:pPr>
      <w:r>
        <w:rPr/>
        <w:t>公司股东、交易对手方对公司或相关资产年度经营业绩作出的承诺情况</w:t>
      </w:r>
    </w:p>
    <w:p>
      <w:pPr>
        <w:pStyle w:val="BodyText"/>
        <w:spacing w:line="240" w:lineRule="auto" w:before="154"/>
        <w:ind w:left="913"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913" w:right="134"/>
        <w:jc w:val="left"/>
      </w:pPr>
      <w:r>
        <w:rPr/>
        <w:t>根据公司与上海南康曹彤宇等股东</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10 </w:t>
      </w:r>
      <w:r>
        <w:rPr/>
        <w:t>日签署</w:t>
      </w:r>
      <w:r>
        <w:rPr>
          <w:spacing w:val="-41"/>
        </w:rPr>
        <w:t>的</w:t>
      </w:r>
      <w:r>
        <w:rPr/>
        <w:t>《股权转让协议</w:t>
      </w:r>
      <w:r>
        <w:rPr>
          <w:spacing w:val="-120"/>
        </w:rPr>
        <w:t>》</w:t>
      </w:r>
      <w:r>
        <w:rPr>
          <w:spacing w:val="-41"/>
        </w:rPr>
        <w:t>，</w:t>
      </w:r>
      <w:r>
        <w:rPr/>
        <w:t>转让方承</w:t>
      </w:r>
    </w:p>
    <w:p>
      <w:pPr>
        <w:spacing w:after="0" w:line="240" w:lineRule="auto"/>
        <w:jc w:val="left"/>
        <w:sectPr>
          <w:pgSz w:w="11910" w:h="16840"/>
          <w:pgMar w:header="877" w:footer="979" w:top="1100" w:bottom="1160" w:left="700" w:right="0"/>
        </w:sectPr>
      </w:pPr>
    </w:p>
    <w:p>
      <w:pPr>
        <w:spacing w:line="240" w:lineRule="auto" w:before="8"/>
        <w:rPr>
          <w:rFonts w:ascii="宋体" w:hAnsi="宋体" w:cs="宋体" w:eastAsia="宋体" w:hint="default"/>
          <w:sz w:val="25"/>
          <w:szCs w:val="25"/>
        </w:rPr>
      </w:pPr>
    </w:p>
    <w:p>
      <w:pPr>
        <w:pStyle w:val="BodyText"/>
        <w:spacing w:line="240" w:lineRule="auto" w:before="26"/>
        <w:ind w:right="1116"/>
        <w:jc w:val="left"/>
      </w:pPr>
      <w:r>
        <w:rPr>
          <w:spacing w:val="5"/>
        </w:rPr>
        <w:t>诺，上海南康 </w:t>
      </w:r>
      <w:r>
        <w:rPr>
          <w:rFonts w:ascii="Times New Roman" w:hAnsi="Times New Roman" w:cs="Times New Roman" w:eastAsia="Times New Roman" w:hint="default"/>
        </w:rPr>
        <w:t>2018 </w:t>
      </w:r>
      <w:r>
        <w:rPr>
          <w:rFonts w:ascii="Times New Roman" w:hAnsi="Times New Roman" w:cs="Times New Roman" w:eastAsia="Times New Roman" w:hint="default"/>
          <w:spacing w:val="41"/>
        </w:rPr>
        <w:t> </w:t>
      </w:r>
      <w:r>
        <w:rPr>
          <w:spacing w:val="6"/>
        </w:rPr>
        <w:t>年实现的扣除非经常性损益和研发资本化费用的税后净利润将不少于</w:t>
      </w:r>
    </w:p>
    <w:p>
      <w:pPr>
        <w:pStyle w:val="BodyText"/>
        <w:spacing w:line="240" w:lineRule="auto" w:before="135"/>
        <w:ind w:right="1273"/>
        <w:jc w:val="left"/>
      </w:pPr>
      <w:r>
        <w:rPr>
          <w:rFonts w:ascii="Times New Roman" w:hAnsi="Times New Roman" w:cs="Times New Roman" w:eastAsia="Times New Roman" w:hint="default"/>
        </w:rPr>
        <w:t>1,562.5</w:t>
      </w:r>
      <w:r>
        <w:rPr>
          <w:rFonts w:ascii="Times New Roman" w:hAnsi="Times New Roman" w:cs="Times New Roman" w:eastAsia="Times New Roman" w:hint="default"/>
          <w:spacing w:val="-1"/>
        </w:rPr>
        <w:t> </w:t>
      </w:r>
      <w:r>
        <w:rPr/>
        <w:t>万元。</w:t>
      </w:r>
    </w:p>
    <w:p>
      <w:pPr>
        <w:pStyle w:val="BodyText"/>
        <w:spacing w:line="357" w:lineRule="auto" w:before="135"/>
        <w:ind w:right="1153" w:firstLine="480"/>
        <w:jc w:val="left"/>
      </w:pPr>
      <w:r>
        <w:rPr/>
        <w:t>根据中汇会计师事务所（特殊普通合伙）出具的《关于上海南康科技有限公司业绩承诺 </w:t>
      </w:r>
      <w:r>
        <w:rPr>
          <w:spacing w:val="-8"/>
        </w:rPr>
        <w:t>完成情况的鉴证报告》，上海南康</w:t>
      </w:r>
      <w:r>
        <w:rPr>
          <w:spacing w:val="-60"/>
        </w:rPr>
        <w:t> </w:t>
      </w:r>
      <w:r>
        <w:rPr>
          <w:rFonts w:ascii="Times New Roman" w:hAnsi="Times New Roman" w:cs="Times New Roman" w:eastAsia="Times New Roman" w:hint="default"/>
        </w:rPr>
        <w:t>2018 </w:t>
      </w:r>
      <w:r>
        <w:rPr/>
        <w:t>年度实现的扣除非经常性损益和研发资本化费用后归</w:t>
      </w:r>
    </w:p>
    <w:p>
      <w:pPr>
        <w:pStyle w:val="BodyText"/>
        <w:spacing w:line="240" w:lineRule="auto" w:before="5"/>
        <w:ind w:right="1273"/>
        <w:jc w:val="left"/>
      </w:pPr>
      <w:r>
        <w:rPr/>
        <w:t>属于母公司的净利润</w:t>
      </w:r>
      <w:r>
        <w:rPr>
          <w:spacing w:val="-60"/>
        </w:rPr>
        <w:t> </w:t>
      </w:r>
      <w:r>
        <w:rPr>
          <w:rFonts w:ascii="Times New Roman" w:hAnsi="Times New Roman" w:cs="Times New Roman" w:eastAsia="Times New Roman" w:hint="default"/>
        </w:rPr>
        <w:t>2,132.13 </w:t>
      </w:r>
      <w:r>
        <w:rPr/>
        <w:t>万元，完成了</w:t>
      </w:r>
      <w:r>
        <w:rPr>
          <w:spacing w:val="-60"/>
        </w:rPr>
        <w:t> </w:t>
      </w:r>
      <w:r>
        <w:rPr>
          <w:rFonts w:ascii="Times New Roman" w:hAnsi="Times New Roman" w:cs="Times New Roman" w:eastAsia="Times New Roman" w:hint="default"/>
        </w:rPr>
        <w:t>2018 </w:t>
      </w:r>
      <w:r>
        <w:rPr/>
        <w:t>年度的业绩承诺。</w:t>
      </w:r>
    </w:p>
    <w:p>
      <w:pPr>
        <w:pStyle w:val="BodyText"/>
        <w:spacing w:line="240" w:lineRule="auto" w:before="135"/>
        <w:ind w:left="633" w:right="1116"/>
        <w:jc w:val="left"/>
      </w:pPr>
      <w:r>
        <w:rPr/>
        <w:t>根据公司与南京国图孙在宏等股东</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日签署的《股权转让协议</w:t>
      </w:r>
      <w:r>
        <w:rPr>
          <w:spacing w:val="-120"/>
        </w:rPr>
        <w:t>》</w:t>
      </w:r>
      <w:r>
        <w:rPr/>
        <w:t>，转让方承</w:t>
      </w:r>
    </w:p>
    <w:p>
      <w:pPr>
        <w:pStyle w:val="BodyText"/>
        <w:spacing w:line="240" w:lineRule="auto" w:before="135"/>
        <w:ind w:right="997"/>
        <w:jc w:val="left"/>
        <w:rPr>
          <w:rFonts w:ascii="Times New Roman" w:hAnsi="Times New Roman" w:cs="Times New Roman" w:eastAsia="Times New Roman" w:hint="default"/>
        </w:rPr>
      </w:pPr>
      <w:r>
        <w:rPr/>
        <w:t>诺</w:t>
      </w:r>
      <w:r>
        <w:rPr>
          <w:spacing w:val="-120"/>
        </w:rPr>
        <w:t>，</w:t>
      </w:r>
      <w:r>
        <w:rPr/>
        <w:t>南京国图</w:t>
      </w:r>
      <w:r>
        <w:rPr>
          <w:spacing w:val="-8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w:t>
      </w:r>
      <w:r>
        <w:rPr>
          <w:spacing w:val="-3"/>
        </w:rPr>
        <w:t>实</w:t>
      </w:r>
      <w:r>
        <w:rPr/>
        <w:t>现的扣除非经常性损益和研发资本化费用的税后净利</w:t>
      </w:r>
      <w:r>
        <w:rPr>
          <w:spacing w:val="1"/>
        </w:rPr>
        <w:t>润</w:t>
      </w:r>
      <w:r>
        <w:rPr/>
        <w:t>将不少于</w:t>
      </w:r>
      <w:r>
        <w:rPr>
          <w:spacing w:val="-86"/>
        </w:rPr>
        <w:t> </w:t>
      </w:r>
      <w:r>
        <w:rPr>
          <w:rFonts w:ascii="Times New Roman" w:hAnsi="Times New Roman" w:cs="Times New Roman" w:eastAsia="Times New Roman" w:hint="default"/>
        </w:rPr>
        <w:t>5,746</w:t>
      </w:r>
    </w:p>
    <w:p>
      <w:pPr>
        <w:pStyle w:val="BodyText"/>
        <w:spacing w:line="240" w:lineRule="auto" w:before="135"/>
        <w:ind w:right="1273"/>
        <w:jc w:val="left"/>
      </w:pPr>
      <w:r>
        <w:rPr/>
        <w:t>万元。</w:t>
      </w:r>
    </w:p>
    <w:p>
      <w:pPr>
        <w:pStyle w:val="BodyText"/>
        <w:spacing w:line="357" w:lineRule="auto" w:before="154"/>
        <w:ind w:right="1153" w:firstLine="480"/>
        <w:jc w:val="left"/>
      </w:pPr>
      <w:r>
        <w:rPr/>
        <w:t>根据中汇会计师事务所（特殊普通合伙）出具的《关于南京国图信息产业有限公司业绩 </w:t>
      </w:r>
      <w:r>
        <w:rPr>
          <w:spacing w:val="-8"/>
        </w:rPr>
        <w:t>承诺完成情况的鉴证报告》，南京国图</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年度实现的扣除非经常性损益和研发资本化费用</w:t>
      </w:r>
    </w:p>
    <w:p>
      <w:pPr>
        <w:pStyle w:val="BodyText"/>
        <w:spacing w:line="240" w:lineRule="auto" w:before="5"/>
        <w:ind w:right="1273"/>
        <w:jc w:val="left"/>
      </w:pPr>
      <w:r>
        <w:rPr/>
        <w:t>后归属于母公司的净利润</w:t>
      </w:r>
      <w:r>
        <w:rPr>
          <w:spacing w:val="-60"/>
        </w:rPr>
        <w:t> </w:t>
      </w:r>
      <w:r>
        <w:rPr>
          <w:rFonts w:ascii="Times New Roman" w:hAnsi="Times New Roman" w:cs="Times New Roman" w:eastAsia="Times New Roman" w:hint="default"/>
        </w:rPr>
        <w:t>6,004.31 </w:t>
      </w:r>
      <w:r>
        <w:rPr/>
        <w:t>万元，完成了</w:t>
      </w:r>
      <w:r>
        <w:rPr>
          <w:spacing w:val="-60"/>
        </w:rPr>
        <w:t> </w:t>
      </w:r>
      <w:r>
        <w:rPr>
          <w:rFonts w:ascii="Times New Roman" w:hAnsi="Times New Roman" w:cs="Times New Roman" w:eastAsia="Times New Roman" w:hint="default"/>
        </w:rPr>
        <w:t>2018 </w:t>
      </w:r>
      <w:r>
        <w:rPr/>
        <w:t>年度的业绩承诺。</w:t>
      </w:r>
    </w:p>
    <w:p>
      <w:pPr>
        <w:pStyle w:val="BodyText"/>
        <w:spacing w:line="240" w:lineRule="auto" w:before="135"/>
        <w:ind w:left="633" w:right="997"/>
        <w:jc w:val="left"/>
      </w:pPr>
      <w:r>
        <w:rPr/>
        <w:t>根据公司与北京安图康国红等股东</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20 </w:t>
      </w:r>
      <w:r>
        <w:rPr/>
        <w:t>日签署</w:t>
      </w:r>
      <w:r>
        <w:rPr>
          <w:spacing w:val="-41"/>
        </w:rPr>
        <w:t>的</w:t>
      </w:r>
      <w:r>
        <w:rPr/>
        <w:t>《股权转让协议</w:t>
      </w:r>
      <w:r>
        <w:rPr>
          <w:spacing w:val="-120"/>
        </w:rPr>
        <w:t>》</w:t>
      </w:r>
      <w:r>
        <w:rPr>
          <w:spacing w:val="-41"/>
        </w:rPr>
        <w:t>，</w:t>
      </w:r>
      <w:r>
        <w:rPr/>
        <w:t>转让方承</w:t>
      </w:r>
    </w:p>
    <w:p>
      <w:pPr>
        <w:pStyle w:val="BodyText"/>
        <w:spacing w:line="240" w:lineRule="auto" w:before="135"/>
        <w:ind w:right="997"/>
        <w:jc w:val="left"/>
        <w:rPr>
          <w:rFonts w:ascii="Times New Roman" w:hAnsi="Times New Roman" w:cs="Times New Roman" w:eastAsia="Times New Roman" w:hint="default"/>
        </w:rPr>
      </w:pPr>
      <w:r>
        <w:rPr/>
        <w:t>诺</w:t>
      </w:r>
      <w:r>
        <w:rPr>
          <w:spacing w:val="-120"/>
        </w:rPr>
        <w:t>，</w:t>
      </w:r>
      <w:r>
        <w:rPr/>
        <w:t>北京安图</w:t>
      </w:r>
      <w:r>
        <w:rPr>
          <w:spacing w:val="-8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w:t>
      </w:r>
      <w:r>
        <w:rPr>
          <w:spacing w:val="-3"/>
        </w:rPr>
        <w:t>实</w:t>
      </w:r>
      <w:r>
        <w:rPr/>
        <w:t>现的扣除非经常性损益和研发资本化费用的税后净利</w:t>
      </w:r>
      <w:r>
        <w:rPr>
          <w:spacing w:val="1"/>
        </w:rPr>
        <w:t>润</w:t>
      </w:r>
      <w:r>
        <w:rPr/>
        <w:t>将不少于</w:t>
      </w:r>
      <w:r>
        <w:rPr>
          <w:spacing w:val="-86"/>
        </w:rPr>
        <w:t> </w:t>
      </w:r>
      <w:r>
        <w:rPr>
          <w:rFonts w:ascii="Times New Roman" w:hAnsi="Times New Roman" w:cs="Times New Roman" w:eastAsia="Times New Roman" w:hint="default"/>
        </w:rPr>
        <w:t>1,600</w:t>
      </w:r>
    </w:p>
    <w:p>
      <w:pPr>
        <w:pStyle w:val="BodyText"/>
        <w:spacing w:line="240" w:lineRule="auto" w:before="135"/>
        <w:ind w:right="1273"/>
        <w:jc w:val="left"/>
      </w:pPr>
      <w:r>
        <w:rPr/>
        <w:t>万元。</w:t>
      </w:r>
    </w:p>
    <w:p>
      <w:pPr>
        <w:pStyle w:val="BodyText"/>
        <w:spacing w:line="357" w:lineRule="auto" w:before="154"/>
        <w:ind w:right="1153" w:firstLine="480"/>
        <w:jc w:val="left"/>
      </w:pPr>
      <w:r>
        <w:rPr/>
        <w:t>根据中汇会计师事务所（特殊普通合伙）出具的《关于北京世纪安图数码科技发展有限 </w:t>
      </w:r>
      <w:r>
        <w:rPr>
          <w:spacing w:val="-6"/>
        </w:rPr>
        <w:t>责任公司业绩承诺完成情况的鉴证报告》，北京安图</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年度实现的扣除非经常性损益、研</w:t>
      </w:r>
    </w:p>
    <w:p>
      <w:pPr>
        <w:pStyle w:val="BodyText"/>
        <w:spacing w:line="338" w:lineRule="auto" w:before="5"/>
        <w:ind w:right="1189"/>
        <w:jc w:val="left"/>
      </w:pPr>
      <w:r>
        <w:rPr/>
        <w:t>发资本化费用以后归属于母公司股东的净利润为</w:t>
      </w:r>
      <w:r>
        <w:rPr>
          <w:spacing w:val="-60"/>
        </w:rPr>
        <w:t> </w:t>
      </w:r>
      <w:r>
        <w:rPr>
          <w:rFonts w:ascii="Times New Roman" w:hAnsi="Times New Roman" w:cs="Times New Roman" w:eastAsia="Times New Roman" w:hint="default"/>
        </w:rPr>
        <w:t>2,266.03 </w:t>
      </w:r>
      <w:r>
        <w:rPr/>
        <w:t>万元，完成了</w:t>
      </w:r>
      <w:r>
        <w:rPr>
          <w:spacing w:val="-60"/>
        </w:rPr>
        <w:t> </w:t>
      </w:r>
      <w:r>
        <w:rPr>
          <w:rFonts w:ascii="Times New Roman" w:hAnsi="Times New Roman" w:cs="Times New Roman" w:eastAsia="Times New Roman" w:hint="default"/>
        </w:rPr>
        <w:t>2018 </w:t>
      </w:r>
      <w:r>
        <w:rPr/>
        <w:t>年度的业绩承 诺。</w:t>
      </w:r>
    </w:p>
    <w:p>
      <w:pPr>
        <w:pStyle w:val="BodyText"/>
        <w:spacing w:line="240" w:lineRule="auto" w:before="55"/>
        <w:ind w:left="633" w:right="997"/>
        <w:jc w:val="left"/>
      </w:pPr>
      <w:r>
        <w:rPr/>
        <w:t>根据公司与上海数慧元哲起等股东</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17 </w:t>
      </w:r>
      <w:r>
        <w:rPr/>
        <w:t>日签署</w:t>
      </w:r>
      <w:r>
        <w:rPr>
          <w:spacing w:val="-41"/>
        </w:rPr>
        <w:t>的</w:t>
      </w:r>
      <w:r>
        <w:rPr/>
        <w:t>《股权转让协议</w:t>
      </w:r>
      <w:r>
        <w:rPr>
          <w:spacing w:val="-120"/>
        </w:rPr>
        <w:t>》</w:t>
      </w:r>
      <w:r>
        <w:rPr>
          <w:spacing w:val="-41"/>
        </w:rPr>
        <w:t>，</w:t>
      </w:r>
      <w:r>
        <w:rPr/>
        <w:t>转让方承</w:t>
      </w:r>
    </w:p>
    <w:p>
      <w:pPr>
        <w:pStyle w:val="BodyText"/>
        <w:spacing w:line="240" w:lineRule="auto" w:before="135"/>
        <w:ind w:right="997"/>
        <w:jc w:val="left"/>
        <w:rPr>
          <w:rFonts w:ascii="Times New Roman" w:hAnsi="Times New Roman" w:cs="Times New Roman" w:eastAsia="Times New Roman" w:hint="default"/>
        </w:rPr>
      </w:pPr>
      <w:r>
        <w:rPr/>
        <w:t>诺</w:t>
      </w:r>
      <w:r>
        <w:rPr>
          <w:spacing w:val="-120"/>
        </w:rPr>
        <w:t>，</w:t>
      </w:r>
      <w:r>
        <w:rPr/>
        <w:t>上海数慧</w:t>
      </w:r>
      <w:r>
        <w:rPr>
          <w:spacing w:val="-8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w:t>
      </w:r>
      <w:r>
        <w:rPr>
          <w:spacing w:val="-3"/>
        </w:rPr>
        <w:t>实</w:t>
      </w:r>
      <w:r>
        <w:rPr/>
        <w:t>现的扣除非经常性损益和研发资本化费用的税后净利</w:t>
      </w:r>
      <w:r>
        <w:rPr>
          <w:spacing w:val="1"/>
        </w:rPr>
        <w:t>润</w:t>
      </w:r>
      <w:r>
        <w:rPr/>
        <w:t>将不少于</w:t>
      </w:r>
      <w:r>
        <w:rPr>
          <w:spacing w:val="-86"/>
        </w:rPr>
        <w:t> </w:t>
      </w:r>
      <w:r>
        <w:rPr>
          <w:rFonts w:ascii="Times New Roman" w:hAnsi="Times New Roman" w:cs="Times New Roman" w:eastAsia="Times New Roman" w:hint="default"/>
        </w:rPr>
        <w:t>3,200</w:t>
      </w:r>
    </w:p>
    <w:p>
      <w:pPr>
        <w:pStyle w:val="BodyText"/>
        <w:spacing w:line="240" w:lineRule="auto" w:before="135"/>
        <w:ind w:right="1273"/>
        <w:jc w:val="left"/>
      </w:pPr>
      <w:r>
        <w:rPr/>
        <w:t>万元。</w:t>
      </w:r>
    </w:p>
    <w:p>
      <w:pPr>
        <w:pStyle w:val="BodyText"/>
        <w:spacing w:line="357" w:lineRule="auto" w:before="154"/>
        <w:ind w:right="1153" w:firstLine="480"/>
        <w:jc w:val="left"/>
      </w:pPr>
      <w:r>
        <w:rPr/>
        <w:t>根据中汇会计师事务所（特殊普通合伙）出具的《关于上海数慧系统技术有限责任公司 </w:t>
      </w:r>
      <w:r>
        <w:rPr>
          <w:spacing w:val="-7"/>
        </w:rPr>
        <w:t>业绩承诺完成情况的鉴证报告》，上海数慧</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年度实现的扣除非经常性损益和研发资本化</w:t>
      </w:r>
    </w:p>
    <w:p>
      <w:pPr>
        <w:pStyle w:val="BodyText"/>
        <w:spacing w:line="348" w:lineRule="auto" w:before="6"/>
        <w:ind w:left="633" w:right="2233" w:hanging="480"/>
        <w:jc w:val="left"/>
      </w:pPr>
      <w:r>
        <w:rPr/>
        <w:t>费用后归属于母公司股东的净利润</w:t>
      </w:r>
      <w:r>
        <w:rPr>
          <w:spacing w:val="-60"/>
        </w:rPr>
        <w:t> </w:t>
      </w:r>
      <w:r>
        <w:rPr>
          <w:rFonts w:ascii="Times New Roman" w:hAnsi="Times New Roman" w:cs="Times New Roman" w:eastAsia="Times New Roman" w:hint="default"/>
        </w:rPr>
        <w:t>3,802.38 </w:t>
      </w:r>
      <w:r>
        <w:rPr/>
        <w:t>万元，完成了</w:t>
      </w:r>
      <w:r>
        <w:rPr>
          <w:spacing w:val="-60"/>
        </w:rPr>
        <w:t> </w:t>
      </w:r>
      <w:r>
        <w:rPr>
          <w:rFonts w:ascii="Times New Roman" w:hAnsi="Times New Roman" w:cs="Times New Roman" w:eastAsia="Times New Roman" w:hint="default"/>
        </w:rPr>
        <w:t>2018 </w:t>
      </w:r>
      <w:r>
        <w:rPr/>
        <w:t>年度的业绩承诺。 业绩承诺的完成情况对其商誉减值测试的影响 各交易对手方均已较好的完成了业绩承诺，目前不存在商誉减值的风险。</w:t>
      </w:r>
    </w:p>
    <w:p>
      <w:pPr>
        <w:spacing w:line="240" w:lineRule="auto" w:before="7"/>
        <w:rPr>
          <w:rFonts w:ascii="宋体" w:hAnsi="宋体" w:cs="宋体" w:eastAsia="宋体" w:hint="default"/>
          <w:sz w:val="20"/>
          <w:szCs w:val="20"/>
        </w:rPr>
      </w:pPr>
    </w:p>
    <w:p>
      <w:pPr>
        <w:pStyle w:val="Heading2"/>
        <w:spacing w:line="240" w:lineRule="auto"/>
        <w:ind w:right="1273"/>
        <w:jc w:val="left"/>
        <w:rPr>
          <w:b w:val="0"/>
          <w:bCs w:val="0"/>
        </w:rPr>
      </w:pPr>
      <w:r>
        <w:rPr/>
        <w:t>三、控股股东及其关联方对上市公司的非经营性占用资金情况</w:t>
      </w:r>
      <w:r>
        <w:rPr>
          <w:b w:val="0"/>
          <w:bCs w:val="0"/>
        </w:rPr>
      </w:r>
    </w:p>
    <w:p>
      <w:pPr>
        <w:spacing w:line="240" w:lineRule="auto" w:before="8"/>
        <w:rPr>
          <w:rFonts w:ascii="宋体" w:hAnsi="宋体" w:cs="宋体" w:eastAsia="宋体" w:hint="default"/>
          <w:b/>
          <w:bCs/>
          <w:sz w:val="28"/>
          <w:szCs w:val="28"/>
        </w:rPr>
      </w:pPr>
    </w:p>
    <w:p>
      <w:pPr>
        <w:pStyle w:val="BodyText"/>
        <w:spacing w:line="338" w:lineRule="auto" w:before="0"/>
        <w:ind w:left="633" w:right="2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公司报告期不存在控股股东及其关联方对上市公司的非经营性占用资金。</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27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宋体" w:hAnsi="宋体" w:cs="宋体" w:eastAsia="宋体" w:hint="default"/>
          <w:b/>
          <w:bCs/>
          <w:sz w:val="27"/>
          <w:szCs w:val="27"/>
        </w:rPr>
      </w:pPr>
    </w:p>
    <w:p>
      <w:pPr>
        <w:spacing w:line="499" w:lineRule="auto" w:before="0"/>
        <w:ind w:left="153" w:right="113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五、董事会、监事会、独立董事（如有）对会计师事务所本报告期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spacing w:line="499" w:lineRule="auto" w:before="69"/>
        <w:ind w:left="153" w:right="280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六、董事会关于报告期会计政策、会计估计变更或重大会计差错更正的说明</w:t>
      </w:r>
      <w:r>
        <w:rPr>
          <w:rFonts w:ascii="宋体" w:hAnsi="宋体" w:cs="宋体" w:eastAsia="宋体" w:hint="default"/>
          <w:sz w:val="24"/>
          <w:szCs w:val="24"/>
        </w:rPr>
      </w:r>
    </w:p>
    <w:p>
      <w:pPr>
        <w:pStyle w:val="BodyText"/>
        <w:spacing w:line="240" w:lineRule="auto" w:before="118"/>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6"/>
        <w:ind w:left="633" w:right="1273"/>
        <w:jc w:val="left"/>
      </w:pPr>
      <w:r>
        <w:rPr>
          <w:rFonts w:ascii="Times New Roman" w:hAnsi="Times New Roman" w:cs="Times New Roman" w:eastAsia="Times New Roman" w:hint="default"/>
        </w:rPr>
        <w:t>1</w:t>
      </w:r>
      <w:r>
        <w:rPr/>
        <w:t>、会计政策变更</w:t>
      </w:r>
    </w:p>
    <w:p>
      <w:pPr>
        <w:pStyle w:val="BodyText"/>
        <w:spacing w:line="338" w:lineRule="auto" w:before="135"/>
        <w:ind w:right="1130" w:firstLine="480"/>
        <w:jc w:val="both"/>
      </w:pPr>
      <w:r>
        <w:rPr>
          <w:rFonts w:ascii="Times New Roman" w:hAnsi="Times New Roman" w:cs="Times New Roman" w:eastAsia="Times New Roman" w:hint="default"/>
        </w:rPr>
        <w:t>1)</w:t>
      </w:r>
      <w:r>
        <w:rPr/>
        <w:t>执行《财政部关于修订印发</w:t>
      </w:r>
      <w:r>
        <w:rPr>
          <w:spacing w:val="-8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0"/>
        </w:rPr>
        <w:t> </w:t>
      </w:r>
      <w:r>
        <w:rPr/>
        <w:t>年度一般企业财务报表格式的通知》引起的会计政策</w:t>
      </w:r>
      <w:r>
        <w:rPr>
          <w:w w:val="99"/>
        </w:rPr>
        <w:t> </w:t>
      </w:r>
      <w:r>
        <w:rPr/>
        <w:t>变更</w:t>
      </w:r>
    </w:p>
    <w:p>
      <w:pPr>
        <w:pStyle w:val="BodyText"/>
        <w:spacing w:line="338" w:lineRule="auto" w:before="55"/>
        <w:ind w:right="1131" w:firstLine="480"/>
        <w:jc w:val="both"/>
      </w:pPr>
      <w:r>
        <w:rPr/>
        <w:t>财政部于</w:t>
      </w:r>
      <w:r>
        <w:rPr>
          <w:spacing w:val="-61"/>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15 </w:t>
      </w:r>
      <w:r>
        <w:rPr>
          <w:spacing w:val="-6"/>
        </w:rPr>
        <w:t>日发布了《财政部关于修订印发</w:t>
      </w:r>
      <w:r>
        <w:rPr>
          <w:spacing w:val="-60"/>
        </w:rPr>
        <w:t> </w:t>
      </w:r>
      <w:r>
        <w:rPr>
          <w:rFonts w:ascii="Times New Roman" w:hAnsi="Times New Roman" w:cs="Times New Roman" w:eastAsia="Times New Roman" w:hint="default"/>
        </w:rPr>
        <w:t>2018 </w:t>
      </w:r>
      <w:r>
        <w:rPr/>
        <w:t>年度一般企业财务报表格 </w:t>
      </w:r>
      <w:r>
        <w:rPr>
          <w:spacing w:val="-2"/>
        </w:rPr>
        <w:t>式的通知》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[2018]15</w:t>
      </w:r>
      <w:r>
        <w:rPr>
          <w:rFonts w:ascii="Times New Roman" w:hAnsi="Times New Roman" w:cs="Times New Roman" w:eastAsia="Times New Roman" w:hint="default"/>
          <w:spacing w:val="15"/>
        </w:rPr>
        <w:t> </w:t>
      </w:r>
      <w:r>
        <w:rPr>
          <w:spacing w:val="-2"/>
        </w:rPr>
        <w:t>号，以下简称</w:t>
      </w:r>
      <w:r>
        <w:rPr>
          <w:rFonts w:ascii="Times New Roman" w:hAnsi="Times New Roman" w:cs="Times New Roman" w:eastAsia="Times New Roman" w:hint="default"/>
          <w:spacing w:val="-2"/>
        </w:rPr>
        <w:t>“</w:t>
      </w:r>
      <w:r>
        <w:rPr>
          <w:spacing w:val="-2"/>
        </w:rPr>
        <w:t>新修订的财务报表格式</w:t>
      </w:r>
      <w:r>
        <w:rPr>
          <w:rFonts w:ascii="Times New Roman" w:hAnsi="Times New Roman" w:cs="Times New Roman" w:eastAsia="Times New Roman" w:hint="default"/>
          <w:spacing w:val="-2"/>
        </w:rPr>
        <w:t>”)</w:t>
      </w:r>
      <w:r>
        <w:rPr>
          <w:spacing w:val="-2"/>
        </w:rPr>
        <w:t>。新修订的财务报表格式主</w:t>
      </w:r>
      <w:r>
        <w:rPr>
          <w:spacing w:val="-118"/>
        </w:rPr>
        <w:t> </w:t>
      </w:r>
      <w:r>
        <w:rPr>
          <w:spacing w:val="-118"/>
        </w:rPr>
      </w:r>
      <w:r>
        <w:rPr/>
        <w:t>要将资产负债表中的部分项目合并列报，在利润表中将原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中的研发费用分拆单独 列示，新增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项目，反映企业进行研究与开发过程中发生的费用化支出。</w:t>
      </w:r>
    </w:p>
    <w:p>
      <w:pPr>
        <w:pStyle w:val="BodyText"/>
        <w:spacing w:line="338" w:lineRule="auto" w:before="27"/>
        <w:ind w:right="1115" w:firstLine="480"/>
        <w:jc w:val="left"/>
      </w:pPr>
      <w:r>
        <w:rPr>
          <w:spacing w:val="-3"/>
        </w:rPr>
        <w:t>本公司按照《企业会计准则第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30"/>
        </w:rPr>
        <w:t> </w:t>
      </w:r>
      <w:r>
        <w:rPr>
          <w:spacing w:val="-3"/>
        </w:rPr>
        <w:t>号</w:t>
      </w:r>
      <w:r>
        <w:rPr>
          <w:rFonts w:ascii="Times New Roman" w:hAnsi="Times New Roman" w:cs="Times New Roman" w:eastAsia="Times New Roman" w:hint="default"/>
          <w:spacing w:val="-3"/>
        </w:rPr>
        <w:t>——</w:t>
      </w:r>
      <w:r>
        <w:rPr>
          <w:spacing w:val="-3"/>
        </w:rPr>
        <w:t>财务报表列报》等相关规定，对此项会计政策变</w:t>
      </w:r>
      <w:r>
        <w:rPr/>
        <w:t> 更采用追溯调整法，</w:t>
      </w:r>
      <w:r>
        <w:rPr>
          <w:rFonts w:ascii="Times New Roman" w:hAnsi="Times New Roman" w:cs="Times New Roman" w:eastAsia="Times New Roman" w:hint="default"/>
        </w:rPr>
        <w:t>2018/2017 </w:t>
      </w:r>
      <w:r>
        <w:rPr/>
        <w:t>年度比较财务报表已重新表述。对</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年度合并财务报表相 关损益项目的影响为增加</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”175,436,778.11 </w:t>
      </w:r>
      <w:r>
        <w:rPr/>
        <w:t>元，减少</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”175,436,778.11</w:t>
      </w:r>
      <w:r>
        <w:rPr>
          <w:rFonts w:ascii="Times New Roman" w:hAnsi="Times New Roman" w:cs="Times New Roman" w:eastAsia="Times New Roman" w:hint="default"/>
          <w:spacing w:val="-10"/>
        </w:rPr>
        <w:t> </w:t>
      </w:r>
      <w:r>
        <w:rPr/>
        <w:t>元； 对</w:t>
      </w:r>
      <w:r>
        <w:rPr>
          <w:spacing w:val="-7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w w:val="100"/>
        </w:rPr>
        <w:t>年度母公司财务报表相关损益项目的影响为增加</w:t>
      </w:r>
      <w:r>
        <w:rPr>
          <w:rFonts w:ascii="Times New Roman" w:hAnsi="Times New Roman" w:cs="Times New Roman" w:eastAsia="Times New Roman" w:hint="default"/>
          <w:w w:val="100"/>
        </w:rPr>
        <w:t>“</w:t>
      </w:r>
      <w:r>
        <w:rPr>
          <w:w w:val="100"/>
        </w:rPr>
        <w:t>研发费用</w:t>
      </w:r>
      <w:r>
        <w:rPr>
          <w:rFonts w:ascii="Times New Roman" w:hAnsi="Times New Roman" w:cs="Times New Roman" w:eastAsia="Times New Roman" w:hint="default"/>
          <w:w w:val="100"/>
        </w:rPr>
        <w:t>”46,120,735.94</w:t>
      </w:r>
      <w:r>
        <w:rPr>
          <w:rFonts w:ascii="Times New Roman" w:hAnsi="Times New Roman" w:cs="Times New Roman" w:eastAsia="Times New Roman" w:hint="default"/>
          <w:spacing w:val="-14"/>
          <w:w w:val="100"/>
        </w:rPr>
        <w:t> </w:t>
      </w:r>
      <w:r>
        <w:rPr>
          <w:spacing w:val="-20"/>
          <w:w w:val="100"/>
        </w:rPr>
        <w:t>元，减少</w:t>
      </w:r>
      <w:r>
        <w:rPr>
          <w:rFonts w:ascii="Times New Roman" w:hAnsi="Times New Roman" w:cs="Times New Roman" w:eastAsia="Times New Roman" w:hint="default"/>
          <w:spacing w:val="-20"/>
          <w:w w:val="100"/>
        </w:rPr>
        <w:t>“</w:t>
      </w:r>
      <w:r>
        <w:rPr>
          <w:spacing w:val="-20"/>
          <w:w w:val="100"/>
        </w:rPr>
        <w:t>管</w:t>
      </w:r>
      <w:r>
        <w:rPr/>
        <w:t> 理费用</w:t>
      </w:r>
      <w:r>
        <w:rPr>
          <w:rFonts w:ascii="Times New Roman" w:hAnsi="Times New Roman" w:cs="Times New Roman" w:eastAsia="Times New Roman" w:hint="default"/>
        </w:rPr>
        <w:t>”46,120,735.94</w:t>
      </w:r>
      <w:r>
        <w:rPr>
          <w:rFonts w:ascii="Times New Roman" w:hAnsi="Times New Roman" w:cs="Times New Roman" w:eastAsia="Times New Roman" w:hint="default"/>
          <w:spacing w:val="-1"/>
        </w:rPr>
        <w:t> </w:t>
      </w:r>
      <w:r>
        <w:rPr/>
        <w:t>元。</w:t>
      </w:r>
    </w:p>
    <w:p>
      <w:pPr>
        <w:pStyle w:val="BodyText"/>
        <w:spacing w:line="338" w:lineRule="auto" w:before="27"/>
        <w:ind w:right="1132" w:firstLine="480"/>
        <w:jc w:val="both"/>
      </w:pPr>
      <w:r>
        <w:rPr>
          <w:rFonts w:ascii="Times New Roman" w:hAnsi="Times New Roman" w:cs="Times New Roman" w:eastAsia="Times New Roman" w:hint="default"/>
        </w:rPr>
        <w:t>2)</w:t>
      </w:r>
      <w:r>
        <w:rPr/>
        <w:t>执行财政部发布的《关于</w:t>
      </w:r>
      <w:r>
        <w:rPr>
          <w:spacing w:val="-8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年度一般企业财务报表格式有关问题的解读》引起的会</w:t>
      </w:r>
      <w:r>
        <w:rPr>
          <w:w w:val="99"/>
        </w:rPr>
        <w:t> </w:t>
      </w:r>
      <w:r>
        <w:rPr/>
        <w:t>计政策变更</w:t>
      </w:r>
    </w:p>
    <w:p>
      <w:pPr>
        <w:pStyle w:val="BodyText"/>
        <w:spacing w:line="345" w:lineRule="auto" w:before="55"/>
        <w:ind w:right="1131" w:firstLine="480"/>
        <w:jc w:val="both"/>
      </w:pPr>
      <w:r>
        <w:rPr/>
        <w:t>财政部于</w:t>
      </w:r>
      <w:r>
        <w:rPr>
          <w:spacing w:val="-61"/>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5 </w:t>
      </w:r>
      <w:r>
        <w:rPr/>
        <w:t>日发布了《关于</w:t>
      </w:r>
      <w:r>
        <w:rPr>
          <w:spacing w:val="-60"/>
        </w:rPr>
        <w:t> </w:t>
      </w:r>
      <w:r>
        <w:rPr>
          <w:rFonts w:ascii="Times New Roman" w:hAnsi="Times New Roman" w:cs="Times New Roman" w:eastAsia="Times New Roman" w:hint="default"/>
        </w:rPr>
        <w:t>2018 </w:t>
      </w:r>
      <w:r>
        <w:rPr/>
        <w:t>年度一般企业财务报表格式有关问题的解 </w:t>
      </w:r>
      <w:r>
        <w:rPr>
          <w:spacing w:val="-3"/>
        </w:rPr>
        <w:t>读》</w:t>
      </w:r>
      <w:r>
        <w:rPr>
          <w:rFonts w:ascii="Times New Roman" w:hAnsi="Times New Roman" w:cs="Times New Roman" w:eastAsia="Times New Roman" w:hint="default"/>
          <w:spacing w:val="-3"/>
        </w:rPr>
        <w:t>(</w:t>
      </w:r>
      <w:r>
        <w:rPr>
          <w:spacing w:val="-3"/>
        </w:rPr>
        <w:t>以下简称《解读》</w:t>
      </w:r>
      <w:r>
        <w:rPr>
          <w:rFonts w:ascii="Times New Roman" w:hAnsi="Times New Roman" w:cs="Times New Roman" w:eastAsia="Times New Roman" w:hint="default"/>
          <w:spacing w:val="-3"/>
        </w:rPr>
        <w:t>)</w:t>
      </w:r>
      <w:r>
        <w:rPr>
          <w:spacing w:val="-3"/>
        </w:rPr>
        <w:t>。《解读》规定：企业作为个人所得税的扣缴义务人，根据《中华人</w:t>
      </w:r>
      <w:r>
        <w:rPr>
          <w:spacing w:val="-115"/>
        </w:rPr>
        <w:t> </w:t>
      </w:r>
      <w:r>
        <w:rPr>
          <w:spacing w:val="-115"/>
        </w:rPr>
      </w:r>
      <w:r>
        <w:rPr/>
        <w:t>民共和国个人所得税法》收到的扣缴税款手续费，应作为其他与日常活动相关的项目在利润 表的</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项目中填列。</w:t>
      </w:r>
    </w:p>
    <w:p>
      <w:pPr>
        <w:pStyle w:val="BodyText"/>
        <w:spacing w:line="338" w:lineRule="auto" w:before="19"/>
        <w:ind w:right="1129" w:firstLine="480"/>
        <w:jc w:val="both"/>
      </w:pPr>
      <w:r>
        <w:rPr>
          <w:spacing w:val="-3"/>
        </w:rPr>
        <w:t>本公司按照《企业会计准则第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30"/>
        </w:rPr>
        <w:t> </w:t>
      </w:r>
      <w:r>
        <w:rPr>
          <w:spacing w:val="-3"/>
        </w:rPr>
        <w:t>号</w:t>
      </w:r>
      <w:r>
        <w:rPr>
          <w:rFonts w:ascii="Times New Roman" w:hAnsi="Times New Roman" w:cs="Times New Roman" w:eastAsia="Times New Roman" w:hint="default"/>
          <w:spacing w:val="-3"/>
        </w:rPr>
        <w:t>——</w:t>
      </w:r>
      <w:r>
        <w:rPr>
          <w:spacing w:val="-3"/>
        </w:rPr>
        <w:t>财务报表列报》等相关规定，对此项会计政策变</w:t>
      </w:r>
      <w:r>
        <w:rPr/>
        <w:t> 更采用追溯调整法，</w:t>
      </w:r>
      <w:r>
        <w:rPr>
          <w:rFonts w:ascii="Times New Roman" w:hAnsi="Times New Roman" w:cs="Times New Roman" w:eastAsia="Times New Roman" w:hint="default"/>
        </w:rPr>
        <w:t>2018/2017 </w:t>
      </w:r>
      <w:r>
        <w:rPr/>
        <w:t>年度比较财务报表已重新表述。对</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年度合并财务报表相 关损益项目的影响为增加</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”1,956,176.48 </w:t>
      </w:r>
      <w:r>
        <w:rPr/>
        <w:t>元，减少</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”1,956,176.48</w:t>
      </w:r>
      <w:r>
        <w:rPr>
          <w:rFonts w:ascii="Times New Roman" w:hAnsi="Times New Roman" w:cs="Times New Roman" w:eastAsia="Times New Roman" w:hint="default"/>
          <w:spacing w:val="-2"/>
        </w:rPr>
        <w:t> </w:t>
      </w:r>
      <w:r>
        <w:rPr/>
        <w:t>元。对</w:t>
      </w:r>
    </w:p>
    <w:p>
      <w:pPr>
        <w:spacing w:after="0" w:line="338"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right="1116"/>
        <w:jc w:val="left"/>
      </w:pPr>
      <w:r>
        <w:rPr>
          <w:rFonts w:ascii="Times New Roman" w:hAnsi="Times New Roman" w:cs="Times New Roman" w:eastAsia="Times New Roman" w:hint="default"/>
        </w:rPr>
        <w:t>2017 </w:t>
      </w:r>
      <w:r>
        <w:rPr/>
        <w:t>年度母公司财务报表相关损益项目的影响为增加</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”664,873.63</w:t>
      </w:r>
      <w:r>
        <w:rPr>
          <w:rFonts w:ascii="Times New Roman" w:hAnsi="Times New Roman" w:cs="Times New Roman" w:eastAsia="Times New Roman" w:hint="default"/>
          <w:spacing w:val="5"/>
        </w:rPr>
        <w:t> </w:t>
      </w:r>
      <w:r>
        <w:rPr>
          <w:spacing w:val="-6"/>
        </w:rPr>
        <w:t>元，减少</w:t>
      </w:r>
      <w:r>
        <w:rPr>
          <w:rFonts w:ascii="Times New Roman" w:hAnsi="Times New Roman" w:cs="Times New Roman" w:eastAsia="Times New Roman" w:hint="default"/>
          <w:spacing w:val="-6"/>
        </w:rPr>
        <w:t>“</w:t>
      </w:r>
      <w:r>
        <w:rPr>
          <w:spacing w:val="-6"/>
        </w:rPr>
        <w:t>营业外</w:t>
      </w:r>
      <w:r>
        <w:rPr/>
        <w:t> 收入</w:t>
      </w:r>
      <w:r>
        <w:rPr>
          <w:rFonts w:ascii="Times New Roman" w:hAnsi="Times New Roman" w:cs="Times New Roman" w:eastAsia="Times New Roman" w:hint="default"/>
        </w:rPr>
        <w:t>”664,</w:t>
      </w:r>
      <w:r>
        <w:rPr>
          <w:rFonts w:ascii="Times New Roman" w:hAnsi="Times New Roman" w:cs="Times New Roman" w:eastAsia="Times New Roman" w:hint="default"/>
        </w:rPr>
        <w:t>873.63</w:t>
      </w:r>
      <w:r>
        <w:rPr>
          <w:rFonts w:ascii="Times New Roman" w:hAnsi="Times New Roman" w:cs="Times New Roman" w:eastAsia="Times New Roman" w:hint="default"/>
          <w:spacing w:val="-2"/>
        </w:rPr>
        <w:t> </w:t>
      </w:r>
      <w:r>
        <w:rPr/>
        <w:t>元。</w:t>
      </w:r>
    </w:p>
    <w:p>
      <w:pPr>
        <w:pStyle w:val="BodyText"/>
        <w:spacing w:line="338" w:lineRule="auto" w:before="27"/>
        <w:ind w:left="633" w:right="4273"/>
        <w:jc w:val="left"/>
      </w:pPr>
      <w:r>
        <w:rPr>
          <w:rFonts w:ascii="Times New Roman" w:hAnsi="Times New Roman" w:cs="Times New Roman" w:eastAsia="Times New Roman" w:hint="default"/>
        </w:rPr>
        <w:t>2</w:t>
      </w:r>
      <w:r>
        <w:rPr/>
        <w:t>、会计估计变更或重大会计差错更正说明 本期公司无会计估计变更事项或重大会计差错更正事项。</w:t>
      </w:r>
    </w:p>
    <w:p>
      <w:pPr>
        <w:spacing w:line="240" w:lineRule="auto" w:before="4"/>
        <w:rPr>
          <w:rFonts w:ascii="宋体" w:hAnsi="宋体" w:cs="宋体" w:eastAsia="宋体" w:hint="default"/>
          <w:sz w:val="21"/>
          <w:szCs w:val="21"/>
        </w:rPr>
      </w:pPr>
    </w:p>
    <w:p>
      <w:pPr>
        <w:pStyle w:val="Heading2"/>
        <w:spacing w:line="240" w:lineRule="auto"/>
        <w:ind w:right="1273"/>
        <w:jc w:val="left"/>
        <w:rPr>
          <w:b w:val="0"/>
          <w:bCs w:val="0"/>
        </w:rPr>
      </w:pPr>
      <w:r>
        <w:rPr/>
        <w:t>七、与上年度财务报告相比，合并报表范围发生变化的情况说明</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right="1116"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．以直接设立或投资等方式增加的子公司</w:t>
      </w:r>
      <w:r>
        <w:rPr>
          <w:rFonts w:ascii="Times New Roman" w:hAnsi="Times New Roman" w:cs="Times New Roman" w:eastAsia="Times New Roman" w:hint="default"/>
          <w:spacing w:val="-3"/>
        </w:rPr>
        <w:t>(</w:t>
      </w:r>
      <w:r>
        <w:rPr>
          <w:spacing w:val="-3"/>
        </w:rPr>
        <w:t>指通过新设、派生分立等非合并收购方式增加</w:t>
      </w:r>
      <w:r>
        <w:rPr/>
        <w:t> 的子公司</w:t>
      </w:r>
      <w:r>
        <w:rPr>
          <w:rFonts w:ascii="Times New Roman" w:hAnsi="Times New Roman" w:cs="Times New Roman" w:eastAsia="Times New Roman" w:hint="default"/>
        </w:rPr>
        <w:t>)</w:t>
      </w:r>
    </w:p>
    <w:p>
      <w:pPr>
        <w:pStyle w:val="BodyText"/>
        <w:spacing w:line="386" w:lineRule="auto" w:before="115"/>
        <w:ind w:right="1118" w:firstLine="420"/>
        <w:jc w:val="left"/>
      </w:pPr>
      <w:r>
        <w:rPr>
          <w:spacing w:val="-5"/>
        </w:rPr>
        <w:t>投资设立湖南超图</w:t>
      </w:r>
      <w:r>
        <w:rPr>
          <w:rFonts w:ascii="宋体" w:hAnsi="宋体" w:cs="宋体" w:eastAsia="宋体" w:hint="default"/>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27</w:t>
      </w:r>
      <w:r>
        <w:rPr>
          <w:spacing w:val="-5"/>
        </w:rPr>
        <w:t>日，公司设立全资子公司湖南超图，持有其</w:t>
      </w:r>
      <w:r>
        <w:rPr>
          <w:rFonts w:ascii="Times New Roman" w:hAnsi="Times New Roman" w:cs="Times New Roman" w:eastAsia="Times New Roman" w:hint="default"/>
          <w:spacing w:val="-5"/>
        </w:rPr>
        <w:t>100%</w:t>
      </w:r>
      <w:r>
        <w:rPr>
          <w:spacing w:val="-5"/>
        </w:rPr>
        <w:t>股权，</w:t>
      </w:r>
      <w:r>
        <w:rPr/>
        <w:t> 拥有对其的实质控制权，故自该公司成立之日起，将其纳入合并财务报表范围。截止</w:t>
      </w:r>
      <w:r>
        <w:rPr>
          <w:rFonts w:ascii="Times New Roman" w:hAnsi="Times New Roman" w:cs="Times New Roman" w:eastAsia="Times New Roman" w:hint="default"/>
        </w:rPr>
        <w:t>2018</w:t>
      </w:r>
      <w:r>
        <w:rPr/>
        <w:t>年</w:t>
      </w:r>
    </w:p>
    <w:p>
      <w:pPr>
        <w:pStyle w:val="BodyText"/>
        <w:spacing w:line="306" w:lineRule="exact" w:before="0"/>
        <w:ind w:right="1273"/>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日，湖南超图尚未开展实质性经营业务。</w:t>
      </w:r>
    </w:p>
    <w:p>
      <w:pPr>
        <w:pStyle w:val="BodyText"/>
        <w:spacing w:line="338" w:lineRule="auto" w:before="135"/>
        <w:ind w:left="633" w:right="1113" w:hanging="60"/>
        <w:jc w:val="left"/>
      </w:pPr>
      <w:r>
        <w:rPr>
          <w:rFonts w:ascii="Times New Roman" w:hAnsi="Times New Roman" w:cs="Times New Roman" w:eastAsia="Times New Roman" w:hint="default"/>
          <w:spacing w:val="-5"/>
        </w:rPr>
        <w:t>2</w:t>
      </w:r>
      <w:r>
        <w:rPr>
          <w:spacing w:val="-5"/>
        </w:rPr>
        <w:t>．因其他原因减少子公司的情况</w:t>
      </w:r>
      <w:r>
        <w:rPr>
          <w:rFonts w:ascii="Times New Roman" w:hAnsi="Times New Roman" w:cs="Times New Roman" w:eastAsia="Times New Roman" w:hint="default"/>
          <w:spacing w:val="-5"/>
        </w:rPr>
        <w:t>(</w:t>
      </w:r>
      <w:r>
        <w:rPr>
          <w:spacing w:val="-5"/>
        </w:rPr>
        <w:t>指因破产、歇业、到期解散等原因而注销减少的子公司</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36"/>
        </w:rPr>
        <w:t> </w:t>
      </w:r>
      <w:r>
        <w:rPr/>
        <w:t>嘉兴兴图由于业务已停止，</w:t>
      </w:r>
      <w:r>
        <w:rPr>
          <w:rFonts w:ascii="Times New Roman" w:hAnsi="Times New Roman" w:cs="Times New Roman" w:eastAsia="Times New Roman" w:hint="default"/>
        </w:rPr>
        <w:t>2018</w:t>
      </w:r>
      <w:r>
        <w:rPr>
          <w:rFonts w:ascii="Times New Roman" w:hAnsi="Times New Roman" w:cs="Times New Roman" w:eastAsia="Times New Roman" w:hint="default"/>
          <w:spacing w:val="-20"/>
        </w:rPr>
        <w:t> </w:t>
      </w:r>
      <w:r>
        <w:rPr/>
        <w:t>年日本超图决议解散嘉兴兴图，自注销日起，不再将其</w:t>
      </w:r>
    </w:p>
    <w:p>
      <w:pPr>
        <w:spacing w:line="528" w:lineRule="auto" w:before="27"/>
        <w:ind w:left="153" w:right="7139" w:firstLine="0"/>
        <w:jc w:val="left"/>
        <w:rPr>
          <w:rFonts w:ascii="宋体" w:hAnsi="宋体" w:cs="宋体" w:eastAsia="宋体" w:hint="default"/>
          <w:sz w:val="24"/>
          <w:szCs w:val="24"/>
        </w:rPr>
      </w:pPr>
      <w:r>
        <w:rPr>
          <w:rFonts w:ascii="宋体" w:hAnsi="宋体" w:cs="宋体" w:eastAsia="宋体" w:hint="default"/>
          <w:sz w:val="24"/>
          <w:szCs w:val="24"/>
        </w:rPr>
        <w:t>纳入合并财务报表范围。 </w:t>
      </w:r>
      <w:r>
        <w:rPr>
          <w:rFonts w:ascii="宋体" w:hAnsi="宋体" w:cs="宋体" w:eastAsia="宋体" w:hint="default"/>
          <w:b/>
          <w:bCs/>
          <w:sz w:val="24"/>
          <w:szCs w:val="24"/>
        </w:rPr>
        <w:t>八、聘任、解聘会计师事务所情况</w:t>
      </w:r>
      <w:r>
        <w:rPr>
          <w:rFonts w:ascii="宋体" w:hAnsi="宋体" w:cs="宋体" w:eastAsia="宋体" w:hint="default"/>
          <w:sz w:val="24"/>
          <w:szCs w:val="24"/>
        </w:rPr>
      </w:r>
    </w:p>
    <w:p>
      <w:pPr>
        <w:pStyle w:val="BodyText"/>
        <w:spacing w:line="240" w:lineRule="auto" w:before="86"/>
        <w:ind w:left="633" w:right="1273"/>
        <w:jc w:val="left"/>
      </w:pPr>
      <w:r>
        <w:rPr/>
        <w:t>现聘任的会计师事务所</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5705"/>
        <w:gridCol w:w="4307"/>
      </w:tblGrid>
      <w:tr>
        <w:trPr>
          <w:trHeight w:val="322"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323"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95</w:t>
            </w:r>
          </w:p>
        </w:tc>
      </w:tr>
      <w:tr>
        <w:trPr>
          <w:trHeight w:val="323"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2"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赵亦飞、刘成龙</w:t>
            </w:r>
          </w:p>
        </w:tc>
      </w:tr>
      <w:tr>
        <w:trPr>
          <w:trHeight w:val="322"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2"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境外会计师事务所名称（如有）</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w w:val="100"/>
                <w:sz w:val="21"/>
                <w:szCs w:val="21"/>
              </w:rPr>
              <w:t>境外</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报</w:t>
            </w:r>
            <w:r>
              <w:rPr>
                <w:rFonts w:ascii="宋体" w:hAnsi="宋体" w:cs="宋体" w:eastAsia="宋体" w:hint="default"/>
                <w:w w:val="100"/>
                <w:sz w:val="21"/>
                <w:szCs w:val="21"/>
              </w:rPr>
              <w:t>酬</w:t>
            </w:r>
            <w:r>
              <w:rPr>
                <w:rFonts w:ascii="宋体" w:hAnsi="宋体" w:cs="宋体" w:eastAsia="宋体" w:hint="default"/>
                <w:spacing w:val="-3"/>
                <w:w w:val="100"/>
                <w:sz w:val="21"/>
                <w:szCs w:val="21"/>
              </w:rPr>
              <w:t>（</w:t>
            </w: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有）</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323"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境外会计师事务所审计服务的连续年限（如有）</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3"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2"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境外会计师事务所注册会计师姓名（如有）</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5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境外会计师事务所注册会计师审计服务的连续年限（如有）</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74" w:lineRule="exact" w:before="0"/>
        <w:ind w:left="633" w:right="1273"/>
        <w:jc w:val="left"/>
      </w:pPr>
      <w:r>
        <w:rPr/>
        <w:t>是否改聘会计师事务所</w:t>
      </w:r>
    </w:p>
    <w:p>
      <w:pPr>
        <w:pStyle w:val="BodyText"/>
        <w:tabs>
          <w:tab w:pos="1257" w:val="left" w:leader="none"/>
        </w:tabs>
        <w:spacing w:line="338" w:lineRule="auto" w:before="77"/>
        <w:ind w:left="633" w:right="4291"/>
        <w:jc w:val="left"/>
      </w:pPr>
      <w:r>
        <w:rPr>
          <w:rFonts w:ascii="Times New Roman" w:hAnsi="Times New Roman" w:cs="Times New Roman" w:eastAsia="Times New Roman" w:hint="default"/>
          <w:spacing w:val="-1"/>
        </w:rPr>
        <w:t>□</w:t>
      </w:r>
      <w:r>
        <w:rPr>
          <w:spacing w:val="-1"/>
        </w:rPr>
        <w:t>是</w:t>
        <w:tab/>
      </w:r>
      <w:r>
        <w:rPr>
          <w:rFonts w:ascii="Times New Roman" w:hAnsi="Times New Roman" w:cs="Times New Roman" w:eastAsia="Times New Roman" w:hint="default"/>
        </w:rPr>
        <w:t>√  </w:t>
      </w:r>
      <w:r>
        <w:rPr/>
        <w:t>否 聘请内部控制审计会计师事务所、财务顾问或保荐人情况</w:t>
      </w:r>
    </w:p>
    <w:p>
      <w:pPr>
        <w:pStyle w:val="BodyText"/>
        <w:tabs>
          <w:tab w:pos="1497" w:val="left" w:leader="none"/>
        </w:tabs>
        <w:spacing w:line="240" w:lineRule="auto" w:before="55"/>
        <w:ind w:left="633" w:right="127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273"/>
        <w:jc w:val="left"/>
        <w:rPr>
          <w:b w:val="0"/>
          <w:bCs w:val="0"/>
        </w:rPr>
      </w:pPr>
      <w:r>
        <w:rPr/>
        <w:t>九、年度报告披露后面临暂停上市和终止上市情况</w:t>
      </w:r>
      <w:r>
        <w:rPr>
          <w:b w:val="0"/>
          <w:bCs w:val="0"/>
        </w:rPr>
      </w:r>
    </w:p>
    <w:p>
      <w:pPr>
        <w:spacing w:line="240" w:lineRule="auto" w:before="11"/>
        <w:rPr>
          <w:rFonts w:ascii="宋体" w:hAnsi="宋体" w:cs="宋体" w:eastAsia="宋体" w:hint="default"/>
          <w:b/>
          <w:bCs/>
          <w:sz w:val="28"/>
          <w:szCs w:val="28"/>
        </w:rPr>
      </w:pPr>
    </w:p>
    <w:p>
      <w:pPr>
        <w:spacing w:line="499" w:lineRule="auto" w:before="0"/>
        <w:ind w:left="153" w:right="8344"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十、破产重整相关事项</w:t>
      </w:r>
      <w:r>
        <w:rPr>
          <w:rFonts w:ascii="宋体" w:hAnsi="宋体" w:cs="宋体" w:eastAsia="宋体" w:hint="default"/>
          <w:sz w:val="24"/>
          <w:szCs w:val="24"/>
        </w:rPr>
      </w:r>
    </w:p>
    <w:p>
      <w:pPr>
        <w:pStyle w:val="BodyText"/>
        <w:spacing w:line="338" w:lineRule="auto" w:before="115"/>
        <w:ind w:left="633" w:right="6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公司报告期未发生破产重整相关事项。</w:t>
      </w:r>
    </w:p>
    <w:p>
      <w:pPr>
        <w:spacing w:line="240" w:lineRule="auto" w:before="4"/>
        <w:rPr>
          <w:rFonts w:ascii="宋体" w:hAnsi="宋体" w:cs="宋体" w:eastAsia="宋体" w:hint="default"/>
          <w:sz w:val="21"/>
          <w:szCs w:val="21"/>
        </w:rPr>
      </w:pPr>
    </w:p>
    <w:p>
      <w:pPr>
        <w:pStyle w:val="Heading2"/>
        <w:spacing w:line="240" w:lineRule="auto"/>
        <w:ind w:right="1273"/>
        <w:jc w:val="left"/>
        <w:rPr>
          <w:b w:val="0"/>
          <w:bCs w:val="0"/>
        </w:rPr>
      </w:pPr>
      <w:r>
        <w:rPr/>
        <w:t>十一、重大诉讼、仲裁事项</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before="0"/>
        <w:ind w:left="633" w:right="6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本报告期公司无重大诉讼、仲裁事项。</w:t>
      </w:r>
    </w:p>
    <w:p>
      <w:pPr>
        <w:spacing w:line="240" w:lineRule="auto" w:before="4"/>
        <w:rPr>
          <w:rFonts w:ascii="宋体" w:hAnsi="宋体" w:cs="宋体" w:eastAsia="宋体" w:hint="default"/>
          <w:sz w:val="21"/>
          <w:szCs w:val="21"/>
        </w:rPr>
      </w:pPr>
    </w:p>
    <w:p>
      <w:pPr>
        <w:pStyle w:val="Heading2"/>
        <w:spacing w:line="240" w:lineRule="auto"/>
        <w:ind w:right="1273"/>
        <w:jc w:val="left"/>
        <w:rPr>
          <w:b w:val="0"/>
          <w:bCs w:val="0"/>
        </w:rPr>
      </w:pPr>
      <w:r>
        <w:rPr/>
        <w:t>十二、处罚及整改情况</w:t>
      </w:r>
      <w:r>
        <w:rPr>
          <w:b w:val="0"/>
          <w:bCs w:val="0"/>
        </w:rPr>
      </w:r>
    </w:p>
    <w:p>
      <w:pPr>
        <w:spacing w:line="240" w:lineRule="auto" w:before="8"/>
        <w:rPr>
          <w:rFonts w:ascii="宋体" w:hAnsi="宋体" w:cs="宋体" w:eastAsia="宋体" w:hint="default"/>
          <w:b/>
          <w:bCs/>
          <w:sz w:val="28"/>
          <w:szCs w:val="28"/>
        </w:rPr>
      </w:pPr>
    </w:p>
    <w:p>
      <w:pPr>
        <w:pStyle w:val="BodyText"/>
        <w:spacing w:line="338" w:lineRule="auto" w:before="0"/>
        <w:ind w:left="633"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公司报告期不存在处罚及整改情况。</w:t>
      </w:r>
    </w:p>
    <w:p>
      <w:pPr>
        <w:spacing w:line="240" w:lineRule="auto" w:before="4"/>
        <w:rPr>
          <w:rFonts w:ascii="宋体" w:hAnsi="宋体" w:cs="宋体" w:eastAsia="宋体" w:hint="default"/>
          <w:sz w:val="21"/>
          <w:szCs w:val="21"/>
        </w:rPr>
      </w:pPr>
    </w:p>
    <w:p>
      <w:pPr>
        <w:pStyle w:val="Heading2"/>
        <w:spacing w:line="240" w:lineRule="auto"/>
        <w:ind w:right="1273"/>
        <w:jc w:val="left"/>
        <w:rPr>
          <w:b w:val="0"/>
          <w:bCs w:val="0"/>
        </w:rPr>
      </w:pPr>
      <w:r>
        <w:rPr/>
        <w:t>十三、公司及其控股股东、实际控制人的诚信状况</w:t>
      </w:r>
      <w:r>
        <w:rPr>
          <w:b w:val="0"/>
          <w:bCs w:val="0"/>
        </w:rPr>
      </w:r>
    </w:p>
    <w:p>
      <w:pPr>
        <w:spacing w:line="240" w:lineRule="auto" w:before="11"/>
        <w:rPr>
          <w:rFonts w:ascii="宋体" w:hAnsi="宋体" w:cs="宋体" w:eastAsia="宋体" w:hint="default"/>
          <w:b/>
          <w:bCs/>
          <w:sz w:val="28"/>
          <w:szCs w:val="28"/>
        </w:rPr>
      </w:pPr>
    </w:p>
    <w:p>
      <w:pPr>
        <w:spacing w:line="499" w:lineRule="auto" w:before="0"/>
        <w:ind w:left="153" w:right="304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十四、公司股权激励计划、员工持股计划或其他员工激励措施的实施情况</w:t>
      </w:r>
      <w:r>
        <w:rPr>
          <w:rFonts w:ascii="宋体" w:hAnsi="宋体" w:cs="宋体" w:eastAsia="宋体" w:hint="default"/>
          <w:sz w:val="24"/>
          <w:szCs w:val="24"/>
        </w:rPr>
      </w:r>
    </w:p>
    <w:p>
      <w:pPr>
        <w:pStyle w:val="BodyText"/>
        <w:spacing w:line="338" w:lineRule="auto" w:before="115"/>
        <w:ind w:left="633" w:right="3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报告期内，公司实施了限制性股票预留部分的第四期解锁事宜。</w:t>
      </w:r>
    </w:p>
    <w:p>
      <w:pPr>
        <w:pStyle w:val="BodyText"/>
        <w:spacing w:line="357" w:lineRule="auto" w:before="55"/>
        <w:ind w:right="1153" w:firstLine="480"/>
        <w:jc w:val="left"/>
      </w:pPr>
      <w:r>
        <w:rPr/>
        <w:t>有关报告期内开展的公司股权激励计划、员工持股计划相关事宜详见公司披露于巨潮资 讯网的相关公告，具体公告有：</w:t>
      </w:r>
    </w:p>
    <w:tbl>
      <w:tblPr>
        <w:tblW w:w="0" w:type="auto"/>
        <w:jc w:val="left"/>
        <w:tblInd w:w="119" w:type="dxa"/>
        <w:tblLayout w:type="fixed"/>
        <w:tblCellMar>
          <w:top w:w="0" w:type="dxa"/>
          <w:left w:w="0" w:type="dxa"/>
          <w:bottom w:w="0" w:type="dxa"/>
          <w:right w:w="0" w:type="dxa"/>
        </w:tblCellMar>
        <w:tblLook w:val="01E0"/>
      </w:tblPr>
      <w:tblGrid>
        <w:gridCol w:w="5560"/>
        <w:gridCol w:w="2269"/>
        <w:gridCol w:w="1870"/>
      </w:tblGrid>
      <w:tr>
        <w:trPr>
          <w:trHeight w:val="634" w:hRule="exact"/>
        </w:trPr>
        <w:tc>
          <w:tcPr>
            <w:tcW w:w="5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临时公告名称</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临时公告披露日期</w:t>
            </w:r>
            <w:r>
              <w:rPr>
                <w:rFonts w:ascii="宋体" w:hAnsi="宋体" w:cs="宋体" w:eastAsia="宋体" w:hint="default"/>
                <w:sz w:val="21"/>
                <w:szCs w:val="21"/>
              </w:rPr>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临时公告披露网站</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r>
      <w:tr>
        <w:trPr>
          <w:trHeight w:val="32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第四届董事会第七次会议决议公告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第四届监事会第六次会议决议公告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关于公司股权激励计划预留部分限制性股票第四个解锁期条</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件成就可解锁的公告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独立董事关于公司股权激励计划预留部分限制性股票第四个</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解锁期条件成就可解锁的独立意见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北京市天元律师事务所关于公司限制性股票激励计划预留部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0" w:lineRule="exact"/>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5560"/>
        <w:gridCol w:w="2269"/>
        <w:gridCol w:w="1870"/>
      </w:tblGrid>
      <w:tr>
        <w:trPr>
          <w:trHeight w:val="322"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分限制性股票之第四个解锁期可解锁事项的法律意见</w:t>
            </w:r>
          </w:p>
        </w:tc>
        <w:tc>
          <w:tcPr>
            <w:tcW w:w="226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0"/>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关于公司股权激励计划预留部分限制性股票第四期解锁股份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上市流通的提示性公告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关于第一期员工持股计划锁定期即将届满的提示性公告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338" w:lineRule="auto" w:before="39"/>
        <w:ind w:right="1117" w:firstLine="480"/>
        <w:jc w:val="left"/>
      </w:pPr>
      <w:r>
        <w:rPr>
          <w:spacing w:val="-4"/>
        </w:rPr>
        <w:t>公司需要遵守《深圳证券交易所行业信息披露指引第</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上市公司从事软件与信息 技术服务业务》的披露要求</w:t>
      </w:r>
    </w:p>
    <w:p>
      <w:pPr>
        <w:pStyle w:val="BodyText"/>
        <w:spacing w:line="336" w:lineRule="auto" w:before="96"/>
        <w:ind w:right="1115" w:firstLine="480"/>
        <w:jc w:val="left"/>
      </w:pPr>
      <w:r>
        <w:rPr/>
        <w:t>报告期内，公司限制性股票预留部分第四期完成解锁，</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年度所需计提的股权激励费 用为</w:t>
      </w:r>
      <w:r>
        <w:rPr>
          <w:spacing w:val="-60"/>
        </w:rPr>
        <w:t> </w:t>
      </w:r>
      <w:r>
        <w:rPr>
          <w:rFonts w:ascii="Times New Roman" w:hAnsi="Times New Roman" w:cs="Times New Roman" w:eastAsia="Times New Roman" w:hint="default"/>
        </w:rPr>
        <w:t>1.82</w:t>
      </w:r>
      <w:r>
        <w:rPr>
          <w:rFonts w:ascii="Times New Roman" w:hAnsi="Times New Roman" w:cs="Times New Roman" w:eastAsia="Times New Roman" w:hint="default"/>
          <w:spacing w:val="-1"/>
        </w:rPr>
        <w:t> </w:t>
      </w:r>
      <w:r>
        <w:rPr/>
        <w:t>万元，对公司净利润的影响很小。</w:t>
      </w:r>
    </w:p>
    <w:p>
      <w:pPr>
        <w:spacing w:line="240" w:lineRule="auto" w:before="4"/>
        <w:rPr>
          <w:rFonts w:ascii="宋体" w:hAnsi="宋体" w:cs="宋体" w:eastAsia="宋体" w:hint="default"/>
          <w:sz w:val="19"/>
          <w:szCs w:val="19"/>
        </w:rPr>
      </w:pPr>
    </w:p>
    <w:p>
      <w:pPr>
        <w:pStyle w:val="Heading2"/>
        <w:spacing w:line="240" w:lineRule="auto"/>
        <w:ind w:right="1273"/>
        <w:jc w:val="left"/>
        <w:rPr>
          <w:b w:val="0"/>
          <w:bCs w:val="0"/>
        </w:rPr>
      </w:pPr>
      <w:r>
        <w:rPr/>
        <w:t>十五、重大关联交易</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127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4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公司报告期未发生与日常经营相关的重大关联交易。</w:t>
      </w:r>
    </w:p>
    <w:p>
      <w:pPr>
        <w:spacing w:line="240" w:lineRule="auto" w:before="2"/>
        <w:rPr>
          <w:rFonts w:ascii="宋体" w:hAnsi="宋体" w:cs="宋体" w:eastAsia="宋体" w:hint="default"/>
          <w:sz w:val="27"/>
          <w:szCs w:val="27"/>
        </w:rPr>
      </w:pPr>
    </w:p>
    <w:p>
      <w:pPr>
        <w:pStyle w:val="Heading2"/>
        <w:spacing w:line="240" w:lineRule="auto"/>
        <w:ind w:right="127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6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公司报告期不存在关联债权债务往来。</w:t>
      </w:r>
    </w:p>
    <w:p>
      <w:pPr>
        <w:spacing w:line="240" w:lineRule="auto" w:before="3"/>
        <w:rPr>
          <w:rFonts w:ascii="宋体" w:hAnsi="宋体" w:cs="宋体" w:eastAsia="宋体" w:hint="default"/>
          <w:sz w:val="27"/>
          <w:szCs w:val="27"/>
        </w:rPr>
      </w:pPr>
    </w:p>
    <w:p>
      <w:pPr>
        <w:pStyle w:val="Heading2"/>
        <w:spacing w:line="240" w:lineRule="auto"/>
        <w:ind w:right="127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十六、重大合同及其履行情况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0"/>
        <w:jc w:val="both"/>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both"/>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公司报告期不存在托管情况。</w:t>
      </w:r>
    </w:p>
    <w:p>
      <w:pPr>
        <w:spacing w:line="240" w:lineRule="auto" w:before="2"/>
        <w:rPr>
          <w:rFonts w:ascii="宋体" w:hAnsi="宋体" w:cs="宋体" w:eastAsia="宋体" w:hint="default"/>
          <w:sz w:val="27"/>
          <w:szCs w:val="27"/>
        </w:rPr>
      </w:pPr>
    </w:p>
    <w:p>
      <w:pPr>
        <w:pStyle w:val="Heading2"/>
        <w:spacing w:line="240" w:lineRule="auto"/>
        <w:ind w:right="0"/>
        <w:jc w:val="both"/>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33"/>
          <w:szCs w:val="33"/>
        </w:rPr>
      </w:pPr>
    </w:p>
    <w:p>
      <w:pPr>
        <w:pStyle w:val="BodyText"/>
        <w:spacing w:line="338" w:lineRule="auto" w:before="0"/>
        <w:ind w:left="63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公司报告期不存在承包情况。</w:t>
      </w:r>
    </w:p>
    <w:p>
      <w:pPr>
        <w:spacing w:line="240" w:lineRule="auto" w:before="2"/>
        <w:rPr>
          <w:rFonts w:ascii="宋体" w:hAnsi="宋体" w:cs="宋体" w:eastAsia="宋体" w:hint="default"/>
          <w:sz w:val="27"/>
          <w:szCs w:val="27"/>
        </w:rPr>
      </w:pPr>
    </w:p>
    <w:p>
      <w:pPr>
        <w:pStyle w:val="Heading2"/>
        <w:spacing w:line="240" w:lineRule="auto"/>
        <w:ind w:right="0"/>
        <w:jc w:val="both"/>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33"/>
          <w:szCs w:val="33"/>
        </w:rPr>
      </w:pPr>
    </w:p>
    <w:p>
      <w:pPr>
        <w:pStyle w:val="BodyText"/>
        <w:tabs>
          <w:tab w:pos="1605" w:val="left" w:leader="none"/>
        </w:tabs>
        <w:spacing w:line="338" w:lineRule="auto" w:before="0"/>
        <w:ind w:left="633" w:right="1170"/>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报告期内，公司将闲置办公用房租赁给第三方，承租方包括：北京合众天恒科技有限公</w:t>
      </w:r>
    </w:p>
    <w:p>
      <w:pPr>
        <w:pStyle w:val="BodyText"/>
        <w:spacing w:line="357" w:lineRule="auto" w:before="56"/>
        <w:ind w:right="1153"/>
        <w:jc w:val="left"/>
      </w:pPr>
      <w:r>
        <w:rPr/>
        <w:t>司、北京立思辰新技术有限公司、北京东方利禾景观设计有限公司、北京东方园林环境股份 有限公司、北京瑞华康源科技有限公司、北京泰和鼎业医学技术有限公司、书易嘉艺术设计</w:t>
      </w:r>
    </w:p>
    <w:p>
      <w:pPr>
        <w:pStyle w:val="BodyText"/>
        <w:spacing w:line="357" w:lineRule="auto"/>
        <w:ind w:right="1169"/>
        <w:jc w:val="both"/>
      </w:pPr>
      <w:r>
        <w:rPr/>
        <w:t>（北京）有限公司、易联汇华（北京）科技有限公司、上海易势商务服务有限公司、北京易 联智慧科技有限公司、北京联银信息技术有限公司、北京每好互联科技有限公司、北京华远 众科技有限公司、北京智讯天成技术有限公司、北京品胜餐饮管理有限公司等公司，共获得 房租收入</w:t>
      </w:r>
      <w:r>
        <w:rPr>
          <w:spacing w:val="-61"/>
        </w:rPr>
        <w:t> </w:t>
      </w:r>
      <w:r>
        <w:rPr>
          <w:rFonts w:ascii="Times New Roman" w:hAnsi="Times New Roman" w:cs="Times New Roman" w:eastAsia="Times New Roman" w:hint="default"/>
        </w:rPr>
        <w:t>1,921.27 </w:t>
      </w:r>
      <w:r>
        <w:rPr/>
        <w:t>万元。</w:t>
      </w:r>
    </w:p>
    <w:p>
      <w:pPr>
        <w:pStyle w:val="BodyText"/>
        <w:spacing w:line="240" w:lineRule="auto" w:before="5"/>
        <w:ind w:left="633" w:right="1273"/>
        <w:jc w:val="left"/>
      </w:pPr>
      <w:r>
        <w:rPr/>
        <w:t>为公司带来的损益达到公司报告期利润总额</w:t>
      </w:r>
      <w:r>
        <w:rPr>
          <w:spacing w:val="-61"/>
        </w:rPr>
        <w:t> </w:t>
      </w:r>
      <w:r>
        <w:rPr>
          <w:rFonts w:ascii="Times New Roman" w:hAnsi="Times New Roman" w:cs="Times New Roman" w:eastAsia="Times New Roman" w:hint="default"/>
        </w:rPr>
        <w:t>10%</w:t>
      </w:r>
      <w:r>
        <w:rPr/>
        <w:t>以上的项目</w:t>
      </w:r>
    </w:p>
    <w:p>
      <w:pPr>
        <w:pStyle w:val="BodyText"/>
        <w:spacing w:line="240" w:lineRule="auto" w:before="135"/>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6"/>
        <w:ind w:left="633" w:right="1273"/>
        <w:jc w:val="left"/>
      </w:pPr>
      <w:r>
        <w:rPr/>
        <w:t>公司报告期不存在为公司带来的损益达到公司报告期利润总额</w:t>
      </w:r>
      <w:r>
        <w:rPr>
          <w:spacing w:val="-60"/>
        </w:rPr>
        <w:t> </w:t>
      </w:r>
      <w:r>
        <w:rPr>
          <w:rFonts w:ascii="Times New Roman" w:hAnsi="Times New Roman" w:cs="Times New Roman" w:eastAsia="Times New Roman" w:hint="default"/>
        </w:rPr>
        <w:t>10%</w:t>
      </w:r>
      <w:r>
        <w:rPr/>
        <w:t>以上的租赁项目。</w:t>
      </w:r>
    </w:p>
    <w:p>
      <w:pPr>
        <w:spacing w:line="240" w:lineRule="auto" w:before="4"/>
        <w:rPr>
          <w:rFonts w:ascii="宋体" w:hAnsi="宋体" w:cs="宋体" w:eastAsia="宋体" w:hint="default"/>
          <w:sz w:val="33"/>
          <w:szCs w:val="33"/>
        </w:rPr>
      </w:pPr>
    </w:p>
    <w:p>
      <w:pPr>
        <w:pStyle w:val="Heading2"/>
        <w:spacing w:line="240" w:lineRule="auto"/>
        <w:ind w:right="0"/>
        <w:jc w:val="both"/>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63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公司报告期不存在担保情况。</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Heading2"/>
        <w:spacing w:line="240" w:lineRule="auto" w:before="26"/>
        <w:ind w:left="933" w:right="1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933" w:right="115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141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报告期内委托理财概况</w:t>
      </w:r>
    </w:p>
    <w:p>
      <w:pPr>
        <w:spacing w:before="8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92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322"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具体类型</w:t>
            </w:r>
            <w:r>
              <w:rPr>
                <w:rFonts w:ascii="宋体" w:hAnsi="宋体" w:cs="宋体" w:eastAsia="宋体"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b/>
                <w:bCs/>
                <w:sz w:val="21"/>
                <w:szCs w:val="21"/>
              </w:rPr>
              <w:t>委托理财的资金来源</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委托理财发生额</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未到期余额</w:t>
            </w:r>
            <w:r>
              <w:rPr>
                <w:rFonts w:ascii="宋体" w:hAnsi="宋体" w:cs="宋体" w:eastAsia="宋体" w:hint="default"/>
                <w:sz w:val="21"/>
                <w:szCs w:val="21"/>
              </w:rPr>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逾期未收回的金额</w:t>
            </w:r>
            <w:r>
              <w:rPr>
                <w:rFonts w:ascii="宋体" w:hAnsi="宋体" w:cs="宋体" w:eastAsia="宋体" w:hint="default"/>
                <w:sz w:val="21"/>
                <w:szCs w:val="21"/>
              </w:rPr>
            </w:r>
          </w:p>
        </w:tc>
      </w:tr>
      <w:tr>
        <w:trPr>
          <w:trHeight w:val="634"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4" w:right="29" w:hanging="527"/>
              <w:jc w:val="left"/>
              <w:rPr>
                <w:rFonts w:ascii="宋体" w:hAnsi="宋体" w:cs="宋体" w:eastAsia="宋体" w:hint="default"/>
                <w:sz w:val="21"/>
                <w:szCs w:val="21"/>
              </w:rPr>
            </w:pPr>
            <w:r>
              <w:rPr>
                <w:rFonts w:ascii="宋体" w:hAnsi="宋体" w:cs="宋体" w:eastAsia="宋体" w:hint="default"/>
                <w:sz w:val="21"/>
                <w:szCs w:val="21"/>
              </w:rPr>
              <w:t>自有资金和暂时闲置</w:t>
            </w:r>
            <w:r>
              <w:rPr>
                <w:rFonts w:ascii="宋体" w:hAnsi="宋体" w:cs="宋体" w:eastAsia="宋体" w:hint="default"/>
                <w:w w:val="100"/>
                <w:sz w:val="21"/>
                <w:szCs w:val="21"/>
              </w:rPr>
              <w:t> </w:t>
            </w:r>
            <w:r>
              <w:rPr>
                <w:rFonts w:ascii="宋体" w:hAnsi="宋体" w:cs="宋体" w:eastAsia="宋体" w:hint="default"/>
                <w:sz w:val="21"/>
                <w:szCs w:val="21"/>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5" w:right="0"/>
              <w:jc w:val="center"/>
              <w:rPr>
                <w:rFonts w:ascii="Times New Roman" w:hAnsi="Times New Roman" w:cs="Times New Roman" w:eastAsia="Times New Roman" w:hint="default"/>
                <w:sz w:val="22"/>
                <w:szCs w:val="22"/>
              </w:rPr>
            </w:pPr>
            <w:r>
              <w:rPr>
                <w:rFonts w:ascii="Times New Roman"/>
                <w:sz w:val="22"/>
              </w:rPr>
              <w:t>185,000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 w:right="0"/>
              <w:jc w:val="center"/>
              <w:rPr>
                <w:rFonts w:ascii="Times New Roman" w:hAnsi="Times New Roman" w:cs="Times New Roman" w:eastAsia="Times New Roman" w:hint="default"/>
                <w:sz w:val="22"/>
                <w:szCs w:val="22"/>
              </w:rPr>
            </w:pPr>
            <w:r>
              <w:rPr>
                <w:rFonts w:ascii="Times New Roman"/>
                <w:sz w:val="22"/>
              </w:rPr>
              <w:t>22,000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80"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 w:right="0"/>
              <w:jc w:val="center"/>
              <w:rPr>
                <w:rFonts w:ascii="Times New Roman" w:hAnsi="Times New Roman" w:cs="Times New Roman" w:eastAsia="Times New Roman" w:hint="default"/>
                <w:sz w:val="22"/>
                <w:szCs w:val="22"/>
              </w:rPr>
            </w:pPr>
            <w:r>
              <w:rPr>
                <w:rFonts w:ascii="Times New Roman"/>
                <w:sz w:val="22"/>
              </w:rPr>
              <w:t>185,000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Times New Roman" w:hAnsi="Times New Roman" w:cs="Times New Roman" w:eastAsia="Times New Roman" w:hint="default"/>
                <w:sz w:val="22"/>
                <w:szCs w:val="22"/>
              </w:rPr>
            </w:pPr>
            <w:r>
              <w:rPr>
                <w:rFonts w:ascii="Times New Roman"/>
                <w:sz w:val="22"/>
              </w:rPr>
              <w:t>22,000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0" w:lineRule="auto" w:before="39"/>
        <w:ind w:left="1413" w:right="1153"/>
        <w:jc w:val="left"/>
      </w:pPr>
      <w:r>
        <w:rPr/>
        <w:t>单项金额重大或安全性较低、流动性较差、不保本的高风险委托理财具体情况</w:t>
      </w:r>
    </w:p>
    <w:p>
      <w:pPr>
        <w:spacing w:before="179"/>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852"/>
        <w:gridCol w:w="427"/>
        <w:gridCol w:w="850"/>
        <w:gridCol w:w="708"/>
        <w:gridCol w:w="591"/>
        <w:gridCol w:w="994"/>
        <w:gridCol w:w="850"/>
        <w:gridCol w:w="1152"/>
        <w:gridCol w:w="566"/>
        <w:gridCol w:w="711"/>
        <w:gridCol w:w="758"/>
        <w:gridCol w:w="566"/>
        <w:gridCol w:w="427"/>
        <w:gridCol w:w="425"/>
        <w:gridCol w:w="566"/>
        <w:gridCol w:w="425"/>
        <w:gridCol w:w="425"/>
      </w:tblGrid>
      <w:tr>
        <w:trPr>
          <w:trHeight w:val="4378"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26" w:right="180"/>
              <w:jc w:val="both"/>
              <w:rPr>
                <w:rFonts w:ascii="宋体" w:hAnsi="宋体" w:cs="宋体" w:eastAsia="宋体" w:hint="default"/>
                <w:sz w:val="21"/>
                <w:szCs w:val="21"/>
              </w:rPr>
            </w:pPr>
            <w:r>
              <w:rPr>
                <w:rFonts w:ascii="宋体" w:hAnsi="宋体" w:cs="宋体" w:eastAsia="宋体" w:hint="default"/>
                <w:b/>
                <w:bCs/>
                <w:sz w:val="21"/>
                <w:szCs w:val="21"/>
              </w:rPr>
              <w:t>受托机</w:t>
            </w:r>
            <w:r>
              <w:rPr>
                <w:rFonts w:ascii="宋体" w:hAnsi="宋体" w:cs="宋体" w:eastAsia="宋体" w:hint="default"/>
                <w:b/>
                <w:bCs/>
                <w:w w:val="100"/>
                <w:sz w:val="21"/>
                <w:szCs w:val="21"/>
              </w:rPr>
              <w:t> </w:t>
            </w:r>
            <w:r>
              <w:rPr>
                <w:rFonts w:ascii="宋体" w:hAnsi="宋体" w:cs="宋体" w:eastAsia="宋体" w:hint="default"/>
                <w:b/>
                <w:bCs/>
                <w:sz w:val="21"/>
                <w:szCs w:val="21"/>
              </w:rPr>
              <w:t>构名称</w:t>
            </w:r>
            <w:r>
              <w:rPr>
                <w:rFonts w:ascii="宋体" w:hAnsi="宋体" w:cs="宋体" w:eastAsia="宋体" w:hint="default"/>
                <w:sz w:val="21"/>
                <w:szCs w:val="21"/>
              </w:rPr>
            </w:r>
          </w:p>
          <w:p>
            <w:pPr>
              <w:pStyle w:val="TableParagraph"/>
              <w:spacing w:line="273" w:lineRule="auto" w:before="8"/>
              <w:ind w:left="26" w:right="180"/>
              <w:jc w:val="both"/>
              <w:rPr>
                <w:rFonts w:ascii="宋体" w:hAnsi="宋体" w:cs="宋体" w:eastAsia="宋体" w:hint="default"/>
                <w:sz w:val="21"/>
                <w:szCs w:val="21"/>
              </w:rPr>
            </w:pPr>
            <w:r>
              <w:rPr>
                <w:rFonts w:ascii="宋体" w:hAnsi="宋体" w:cs="宋体" w:eastAsia="宋体" w:hint="default"/>
                <w:b/>
                <w:bCs/>
                <w:sz w:val="21"/>
                <w:szCs w:val="21"/>
              </w:rPr>
              <w:t>（或受</w:t>
            </w:r>
            <w:r>
              <w:rPr>
                <w:rFonts w:ascii="宋体" w:hAnsi="宋体" w:cs="宋体" w:eastAsia="宋体" w:hint="default"/>
                <w:b/>
                <w:bCs/>
                <w:w w:val="100"/>
                <w:sz w:val="21"/>
                <w:szCs w:val="21"/>
              </w:rPr>
              <w:t> </w:t>
            </w:r>
            <w:r>
              <w:rPr>
                <w:rFonts w:ascii="宋体" w:hAnsi="宋体" w:cs="宋体" w:eastAsia="宋体" w:hint="default"/>
                <w:b/>
                <w:bCs/>
                <w:sz w:val="21"/>
                <w:szCs w:val="21"/>
              </w:rPr>
              <w:t>托人姓</w:t>
            </w:r>
            <w:r>
              <w:rPr>
                <w:rFonts w:ascii="宋体" w:hAnsi="宋体" w:cs="宋体" w:eastAsia="宋体" w:hint="default"/>
                <w:b/>
                <w:bCs/>
                <w:w w:val="100"/>
                <w:sz w:val="21"/>
                <w:szCs w:val="21"/>
              </w:rPr>
              <w:t> </w:t>
            </w:r>
            <w:r>
              <w:rPr>
                <w:rFonts w:ascii="宋体" w:hAnsi="宋体" w:cs="宋体" w:eastAsia="宋体" w:hint="default"/>
                <w:b/>
                <w:bCs/>
                <w:sz w:val="21"/>
                <w:szCs w:val="21"/>
              </w:rPr>
              <w:t>名）</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7" w:right="86" w:hanging="12"/>
              <w:jc w:val="both"/>
              <w:rPr>
                <w:rFonts w:ascii="宋体" w:hAnsi="宋体" w:cs="宋体" w:eastAsia="宋体" w:hint="default"/>
                <w:sz w:val="21"/>
                <w:szCs w:val="21"/>
              </w:rPr>
            </w:pPr>
            <w:r>
              <w:rPr>
                <w:rFonts w:ascii="宋体" w:hAnsi="宋体" w:cs="宋体" w:eastAsia="宋体" w:hint="default"/>
                <w:b/>
                <w:bCs/>
                <w:sz w:val="21"/>
                <w:szCs w:val="21"/>
              </w:rPr>
              <w:t>受</w:t>
            </w:r>
            <w:r>
              <w:rPr>
                <w:rFonts w:ascii="宋体" w:hAnsi="宋体" w:cs="宋体" w:eastAsia="宋体" w:hint="default"/>
                <w:b/>
                <w:bCs/>
                <w:w w:val="100"/>
                <w:sz w:val="21"/>
                <w:szCs w:val="21"/>
              </w:rPr>
              <w:t> </w:t>
            </w:r>
            <w:r>
              <w:rPr>
                <w:rFonts w:ascii="宋体" w:hAnsi="宋体" w:cs="宋体" w:eastAsia="宋体" w:hint="default"/>
                <w:b/>
                <w:bCs/>
                <w:sz w:val="21"/>
                <w:szCs w:val="21"/>
              </w:rPr>
              <w:t>托</w:t>
            </w:r>
            <w:r>
              <w:rPr>
                <w:rFonts w:ascii="宋体" w:hAnsi="宋体" w:cs="宋体" w:eastAsia="宋体" w:hint="default"/>
                <w:b/>
                <w:bCs/>
                <w:w w:val="100"/>
                <w:sz w:val="21"/>
                <w:szCs w:val="21"/>
              </w:rPr>
              <w:t> </w:t>
            </w:r>
            <w:r>
              <w:rPr>
                <w:rFonts w:ascii="宋体" w:hAnsi="宋体" w:cs="宋体" w:eastAsia="宋体" w:hint="default"/>
                <w:b/>
                <w:bCs/>
                <w:sz w:val="21"/>
                <w:szCs w:val="21"/>
              </w:rPr>
              <w:t>机</w:t>
            </w:r>
            <w:r>
              <w:rPr>
                <w:rFonts w:ascii="宋体" w:hAnsi="宋体" w:cs="宋体" w:eastAsia="宋体" w:hint="default"/>
                <w:b/>
                <w:bCs/>
                <w:w w:val="100"/>
                <w:sz w:val="21"/>
                <w:szCs w:val="21"/>
              </w:rPr>
              <w:t> </w:t>
            </w:r>
            <w:r>
              <w:rPr>
                <w:rFonts w:ascii="宋体" w:hAnsi="宋体" w:cs="宋体" w:eastAsia="宋体" w:hint="default"/>
                <w:b/>
                <w:bCs/>
                <w:sz w:val="21"/>
                <w:szCs w:val="21"/>
              </w:rPr>
              <w:t>构</w:t>
            </w:r>
            <w:r>
              <w:rPr>
                <w:rFonts w:ascii="宋体" w:hAnsi="宋体" w:cs="宋体" w:eastAsia="宋体" w:hint="default"/>
                <w:sz w:val="21"/>
                <w:szCs w:val="21"/>
              </w:rPr>
            </w:r>
          </w:p>
          <w:p>
            <w:pPr>
              <w:pStyle w:val="TableParagraph"/>
              <w:spacing w:line="273" w:lineRule="auto" w:before="7"/>
              <w:ind w:left="117" w:right="86"/>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z w:val="21"/>
                <w:szCs w:val="21"/>
              </w:rPr>
              <w:t>或</w:t>
            </w:r>
            <w:r>
              <w:rPr>
                <w:rFonts w:ascii="宋体" w:hAnsi="宋体" w:cs="宋体" w:eastAsia="宋体" w:hint="default"/>
                <w:b/>
                <w:bCs/>
                <w:w w:val="100"/>
                <w:sz w:val="21"/>
                <w:szCs w:val="21"/>
              </w:rPr>
              <w:t> </w:t>
            </w:r>
            <w:r>
              <w:rPr>
                <w:rFonts w:ascii="宋体" w:hAnsi="宋体" w:cs="宋体" w:eastAsia="宋体" w:hint="default"/>
                <w:b/>
                <w:bCs/>
                <w:sz w:val="21"/>
                <w:szCs w:val="21"/>
              </w:rPr>
              <w:t>受</w:t>
            </w:r>
            <w:r>
              <w:rPr>
                <w:rFonts w:ascii="宋体" w:hAnsi="宋体" w:cs="宋体" w:eastAsia="宋体" w:hint="default"/>
                <w:b/>
                <w:bCs/>
                <w:w w:val="100"/>
                <w:sz w:val="21"/>
                <w:szCs w:val="21"/>
              </w:rPr>
              <w:t> </w:t>
            </w:r>
            <w:r>
              <w:rPr>
                <w:rFonts w:ascii="宋体" w:hAnsi="宋体" w:cs="宋体" w:eastAsia="宋体" w:hint="default"/>
                <w:b/>
                <w:bCs/>
                <w:sz w:val="21"/>
                <w:szCs w:val="21"/>
              </w:rPr>
              <w:t>托</w:t>
            </w:r>
            <w:r>
              <w:rPr>
                <w:rFonts w:ascii="宋体" w:hAnsi="宋体" w:cs="宋体" w:eastAsia="宋体" w:hint="default"/>
                <w:sz w:val="21"/>
                <w:szCs w:val="21"/>
              </w:rPr>
            </w:r>
          </w:p>
          <w:p>
            <w:pPr>
              <w:pStyle w:val="TableParagraph"/>
              <w:spacing w:line="273" w:lineRule="auto" w:before="7"/>
              <w:ind w:left="117" w:right="-39" w:hanging="84"/>
              <w:jc w:val="left"/>
              <w:rPr>
                <w:rFonts w:ascii="宋体" w:hAnsi="宋体" w:cs="宋体" w:eastAsia="宋体" w:hint="default"/>
                <w:sz w:val="21"/>
                <w:szCs w:val="21"/>
              </w:rPr>
            </w:pPr>
            <w:r>
              <w:rPr>
                <w:rFonts w:ascii="宋体" w:hAnsi="宋体" w:cs="宋体" w:eastAsia="宋体" w:hint="default"/>
                <w:b/>
                <w:bCs/>
                <w:sz w:val="21"/>
                <w:szCs w:val="21"/>
              </w:rPr>
              <w:t>人）</w:t>
            </w:r>
            <w:r>
              <w:rPr>
                <w:rFonts w:ascii="宋体" w:hAnsi="宋体" w:cs="宋体" w:eastAsia="宋体" w:hint="default"/>
                <w:b/>
                <w:bCs/>
                <w:w w:val="100"/>
                <w:sz w:val="21"/>
                <w:szCs w:val="21"/>
              </w:rPr>
              <w:t> </w:t>
            </w:r>
            <w:r>
              <w:rPr>
                <w:rFonts w:ascii="宋体" w:hAnsi="宋体" w:cs="宋体" w:eastAsia="宋体" w:hint="default"/>
                <w:b/>
                <w:bCs/>
                <w:sz w:val="21"/>
                <w:szCs w:val="21"/>
              </w:rPr>
              <w:t>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328" w:right="101" w:hanging="226"/>
              <w:jc w:val="left"/>
              <w:rPr>
                <w:rFonts w:ascii="宋体" w:hAnsi="宋体" w:cs="宋体" w:eastAsia="宋体" w:hint="default"/>
                <w:sz w:val="21"/>
                <w:szCs w:val="21"/>
              </w:rPr>
            </w:pPr>
            <w:r>
              <w:rPr>
                <w:rFonts w:ascii="宋体" w:hAnsi="宋体" w:cs="宋体" w:eastAsia="宋体" w:hint="default"/>
                <w:b/>
                <w:bCs/>
                <w:sz w:val="21"/>
                <w:szCs w:val="21"/>
              </w:rPr>
              <w:t>产品类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93" w:right="63" w:hanging="15"/>
              <w:jc w:val="left"/>
              <w:rPr>
                <w:rFonts w:ascii="宋体" w:hAnsi="宋体" w:cs="宋体" w:eastAsia="宋体" w:hint="default"/>
                <w:sz w:val="21"/>
                <w:szCs w:val="21"/>
              </w:rPr>
            </w:pPr>
            <w:r>
              <w:rPr>
                <w:rFonts w:ascii="宋体" w:hAnsi="宋体" w:cs="宋体" w:eastAsia="宋体" w:hint="default"/>
                <w:b/>
                <w:bCs/>
                <w:sz w:val="21"/>
                <w:szCs w:val="21"/>
              </w:rPr>
              <w:t>资金</w:t>
            </w:r>
            <w:r>
              <w:rPr>
                <w:rFonts w:ascii="宋体" w:hAnsi="宋体" w:cs="宋体" w:eastAsia="宋体" w:hint="default"/>
                <w:b/>
                <w:bCs/>
                <w:w w:val="100"/>
                <w:sz w:val="21"/>
                <w:szCs w:val="21"/>
              </w:rPr>
              <w:t> </w:t>
            </w:r>
            <w:r>
              <w:rPr>
                <w:rFonts w:ascii="宋体" w:hAnsi="宋体" w:cs="宋体" w:eastAsia="宋体" w:hint="default"/>
                <w:b/>
                <w:bCs/>
                <w:sz w:val="21"/>
                <w:szCs w:val="21"/>
              </w:rPr>
              <w:t>来源</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b/>
                <w:bCs/>
                <w:sz w:val="21"/>
                <w:szCs w:val="21"/>
              </w:rPr>
              <w:t>起始日期</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328" w:right="101" w:hanging="226"/>
              <w:jc w:val="left"/>
              <w:rPr>
                <w:rFonts w:ascii="宋体" w:hAnsi="宋体" w:cs="宋体" w:eastAsia="宋体" w:hint="default"/>
                <w:sz w:val="21"/>
                <w:szCs w:val="21"/>
              </w:rPr>
            </w:pPr>
            <w:r>
              <w:rPr>
                <w:rFonts w:ascii="宋体" w:hAnsi="宋体" w:cs="宋体" w:eastAsia="宋体" w:hint="default"/>
                <w:b/>
                <w:bCs/>
                <w:sz w:val="21"/>
                <w:szCs w:val="21"/>
              </w:rPr>
              <w:t>终止日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360" w:right="359"/>
              <w:jc w:val="left"/>
              <w:rPr>
                <w:rFonts w:ascii="宋体" w:hAnsi="宋体" w:cs="宋体" w:eastAsia="宋体" w:hint="default"/>
                <w:sz w:val="21"/>
                <w:szCs w:val="21"/>
              </w:rPr>
            </w:pPr>
            <w:r>
              <w:rPr>
                <w:rFonts w:ascii="宋体" w:hAnsi="宋体" w:cs="宋体" w:eastAsia="宋体" w:hint="default"/>
                <w:b/>
                <w:bCs/>
                <w:sz w:val="21"/>
                <w:szCs w:val="21"/>
              </w:rPr>
              <w:t>资金</w:t>
            </w:r>
            <w:r>
              <w:rPr>
                <w:rFonts w:ascii="宋体" w:hAnsi="宋体" w:cs="宋体" w:eastAsia="宋体" w:hint="default"/>
                <w:b/>
                <w:bCs/>
                <w:w w:val="100"/>
                <w:sz w:val="21"/>
                <w:szCs w:val="21"/>
              </w:rPr>
              <w:t> </w:t>
            </w:r>
            <w:r>
              <w:rPr>
                <w:rFonts w:ascii="宋体" w:hAnsi="宋体" w:cs="宋体" w:eastAsia="宋体" w:hint="default"/>
                <w:b/>
                <w:bCs/>
                <w:sz w:val="21"/>
                <w:szCs w:val="21"/>
              </w:rPr>
              <w:t>投向</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81" w:right="50" w:hanging="15"/>
              <w:jc w:val="both"/>
              <w:rPr>
                <w:rFonts w:ascii="宋体" w:hAnsi="宋体" w:cs="宋体" w:eastAsia="宋体" w:hint="default"/>
                <w:sz w:val="21"/>
                <w:szCs w:val="21"/>
              </w:rPr>
            </w:pPr>
            <w:r>
              <w:rPr>
                <w:rFonts w:ascii="宋体" w:hAnsi="宋体" w:cs="宋体" w:eastAsia="宋体" w:hint="default"/>
                <w:b/>
                <w:bCs/>
                <w:sz w:val="21"/>
                <w:szCs w:val="21"/>
              </w:rPr>
              <w:t>报酬</w:t>
            </w:r>
            <w:r>
              <w:rPr>
                <w:rFonts w:ascii="宋体" w:hAnsi="宋体" w:cs="宋体" w:eastAsia="宋体" w:hint="default"/>
                <w:b/>
                <w:bCs/>
                <w:w w:val="100"/>
                <w:sz w:val="21"/>
                <w:szCs w:val="21"/>
              </w:rPr>
              <w:t> </w:t>
            </w:r>
            <w:r>
              <w:rPr>
                <w:rFonts w:ascii="宋体" w:hAnsi="宋体" w:cs="宋体" w:eastAsia="宋体" w:hint="default"/>
                <w:b/>
                <w:bCs/>
                <w:sz w:val="21"/>
                <w:szCs w:val="21"/>
              </w:rPr>
              <w:t>确定</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33" w:right="20" w:hanging="12"/>
              <w:jc w:val="center"/>
              <w:rPr>
                <w:rFonts w:ascii="宋体" w:hAnsi="宋体" w:cs="宋体" w:eastAsia="宋体" w:hint="default"/>
                <w:sz w:val="21"/>
                <w:szCs w:val="21"/>
              </w:rPr>
            </w:pPr>
            <w:r>
              <w:rPr>
                <w:rFonts w:ascii="宋体" w:hAnsi="宋体" w:cs="宋体" w:eastAsia="宋体" w:hint="default"/>
                <w:b/>
                <w:bCs/>
                <w:sz w:val="21"/>
                <w:szCs w:val="21"/>
              </w:rPr>
              <w:t>参考年</w:t>
            </w:r>
            <w:r>
              <w:rPr>
                <w:rFonts w:ascii="宋体" w:hAnsi="宋体" w:cs="宋体" w:eastAsia="宋体" w:hint="default"/>
                <w:b/>
                <w:bCs/>
                <w:w w:val="100"/>
                <w:sz w:val="21"/>
                <w:szCs w:val="21"/>
              </w:rPr>
              <w:t> </w:t>
            </w:r>
            <w:r>
              <w:rPr>
                <w:rFonts w:ascii="宋体" w:hAnsi="宋体" w:cs="宋体" w:eastAsia="宋体" w:hint="default"/>
                <w:b/>
                <w:bCs/>
                <w:sz w:val="21"/>
                <w:szCs w:val="21"/>
              </w:rPr>
              <w:t>化收益</w:t>
            </w:r>
            <w:r>
              <w:rPr>
                <w:rFonts w:ascii="宋体" w:hAnsi="宋体" w:cs="宋体" w:eastAsia="宋体" w:hint="default"/>
                <w:b/>
                <w:bCs/>
                <w:w w:val="100"/>
                <w:sz w:val="21"/>
                <w:szCs w:val="21"/>
              </w:rPr>
              <w:t> </w:t>
            </w:r>
            <w:r>
              <w:rPr>
                <w:rFonts w:ascii="宋体" w:hAnsi="宋体" w:cs="宋体" w:eastAsia="宋体" w:hint="default"/>
                <w:b/>
                <w:bCs/>
                <w:sz w:val="21"/>
                <w:szCs w:val="21"/>
              </w:rPr>
              <w:t>率</w:t>
            </w:r>
            <w:r>
              <w:rPr>
                <w:rFonts w:ascii="宋体" w:hAnsi="宋体" w:cs="宋体" w:eastAsia="宋体" w:hint="default"/>
                <w:sz w:val="21"/>
                <w:szCs w:val="21"/>
              </w:rPr>
            </w:r>
          </w:p>
        </w:tc>
        <w:tc>
          <w:tcPr>
            <w:tcW w:w="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59" w:right="41" w:hanging="12"/>
              <w:jc w:val="center"/>
              <w:rPr>
                <w:rFonts w:ascii="宋体" w:hAnsi="宋体" w:cs="宋体" w:eastAsia="宋体" w:hint="default"/>
                <w:sz w:val="21"/>
                <w:szCs w:val="21"/>
              </w:rPr>
            </w:pPr>
            <w:r>
              <w:rPr>
                <w:rFonts w:ascii="宋体" w:hAnsi="宋体" w:cs="宋体" w:eastAsia="宋体" w:hint="default"/>
                <w:b/>
                <w:bCs/>
                <w:sz w:val="21"/>
                <w:szCs w:val="21"/>
              </w:rPr>
              <w:t>预期收</w:t>
            </w:r>
            <w:r>
              <w:rPr>
                <w:rFonts w:ascii="宋体" w:hAnsi="宋体" w:cs="宋体" w:eastAsia="宋体" w:hint="default"/>
                <w:b/>
                <w:bCs/>
                <w:w w:val="100"/>
                <w:sz w:val="21"/>
                <w:szCs w:val="21"/>
              </w:rPr>
              <w:t> </w:t>
            </w:r>
            <w:r>
              <w:rPr>
                <w:rFonts w:ascii="宋体" w:hAnsi="宋体" w:cs="宋体" w:eastAsia="宋体" w:hint="default"/>
                <w:b/>
                <w:bCs/>
                <w:sz w:val="21"/>
                <w:szCs w:val="21"/>
              </w:rPr>
              <w:t>益（如</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3" w:lineRule="auto"/>
              <w:ind w:left="67" w:right="36"/>
              <w:jc w:val="both"/>
              <w:rPr>
                <w:rFonts w:ascii="宋体" w:hAnsi="宋体" w:cs="宋体" w:eastAsia="宋体" w:hint="default"/>
                <w:sz w:val="18"/>
                <w:szCs w:val="18"/>
              </w:rPr>
            </w:pPr>
            <w:r>
              <w:rPr>
                <w:rFonts w:ascii="宋体" w:hAnsi="宋体" w:cs="宋体" w:eastAsia="宋体" w:hint="default"/>
                <w:b/>
                <w:bCs/>
                <w:sz w:val="21"/>
                <w:szCs w:val="21"/>
              </w:rPr>
              <w:t>报告</w:t>
            </w:r>
            <w:r>
              <w:rPr>
                <w:rFonts w:ascii="宋体" w:hAnsi="宋体" w:cs="宋体" w:eastAsia="宋体" w:hint="default"/>
                <w:b/>
                <w:bCs/>
                <w:w w:val="100"/>
                <w:sz w:val="21"/>
                <w:szCs w:val="21"/>
              </w:rPr>
              <w:t> </w:t>
            </w:r>
            <w:r>
              <w:rPr>
                <w:rFonts w:ascii="宋体" w:hAnsi="宋体" w:cs="宋体" w:eastAsia="宋体" w:hint="default"/>
                <w:b/>
                <w:bCs/>
                <w:sz w:val="21"/>
                <w:szCs w:val="21"/>
              </w:rPr>
              <w:t>期实</w:t>
            </w:r>
            <w:r>
              <w:rPr>
                <w:rFonts w:ascii="宋体" w:hAnsi="宋体" w:cs="宋体" w:eastAsia="宋体" w:hint="default"/>
                <w:b/>
                <w:bCs/>
                <w:w w:val="100"/>
                <w:sz w:val="21"/>
                <w:szCs w:val="21"/>
              </w:rPr>
              <w:t> </w:t>
            </w:r>
            <w:r>
              <w:rPr>
                <w:rFonts w:ascii="宋体" w:hAnsi="宋体" w:cs="宋体" w:eastAsia="宋体" w:hint="default"/>
                <w:b/>
                <w:bCs/>
                <w:sz w:val="21"/>
                <w:szCs w:val="21"/>
              </w:rPr>
              <w:t>际损</w:t>
            </w:r>
            <w:r>
              <w:rPr>
                <w:rFonts w:ascii="宋体" w:hAnsi="宋体" w:cs="宋体" w:eastAsia="宋体" w:hint="default"/>
                <w:b/>
                <w:bCs/>
                <w:w w:val="100"/>
                <w:sz w:val="21"/>
                <w:szCs w:val="21"/>
              </w:rPr>
              <w:t> </w:t>
            </w:r>
            <w:r>
              <w:rPr>
                <w:rFonts w:ascii="宋体" w:hAnsi="宋体" w:cs="宋体" w:eastAsia="宋体" w:hint="default"/>
                <w:b/>
                <w:bCs/>
                <w:sz w:val="21"/>
                <w:szCs w:val="21"/>
              </w:rPr>
              <w:t>益金</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注</w:t>
            </w:r>
            <w:r>
              <w:rPr>
                <w:rFonts w:ascii="宋体" w:hAnsi="宋体" w:cs="宋体" w:eastAsia="宋体" w:hint="default"/>
                <w:sz w:val="18"/>
                <w:szCs w:val="18"/>
              </w:rPr>
            </w:r>
          </w:p>
          <w:p>
            <w:pPr>
              <w:pStyle w:val="TableParagraph"/>
              <w:spacing w:line="240" w:lineRule="auto" w:before="64"/>
              <w:ind w:left="32" w:right="0"/>
              <w:jc w:val="center"/>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103" w:right="72" w:firstLine="2"/>
              <w:jc w:val="both"/>
              <w:rPr>
                <w:rFonts w:ascii="宋体" w:hAnsi="宋体" w:cs="宋体" w:eastAsia="宋体" w:hint="default"/>
                <w:sz w:val="18"/>
                <w:szCs w:val="18"/>
              </w:rPr>
            </w:pPr>
            <w:r>
              <w:rPr>
                <w:rFonts w:ascii="宋体" w:hAnsi="宋体" w:cs="宋体" w:eastAsia="宋体" w:hint="default"/>
                <w:b/>
                <w:bCs/>
                <w:sz w:val="21"/>
                <w:szCs w:val="21"/>
              </w:rPr>
              <w:t>报</w:t>
            </w:r>
            <w:r>
              <w:rPr>
                <w:rFonts w:ascii="宋体" w:hAnsi="宋体" w:cs="宋体" w:eastAsia="宋体" w:hint="default"/>
                <w:b/>
                <w:bCs/>
                <w:w w:val="100"/>
                <w:sz w:val="21"/>
                <w:szCs w:val="21"/>
              </w:rPr>
              <w:t> </w:t>
            </w:r>
            <w:r>
              <w:rPr>
                <w:rFonts w:ascii="宋体" w:hAnsi="宋体" w:cs="宋体" w:eastAsia="宋体" w:hint="default"/>
                <w:b/>
                <w:bCs/>
                <w:sz w:val="21"/>
                <w:szCs w:val="21"/>
              </w:rPr>
              <w:t>告</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b/>
                <w:bCs/>
                <w:w w:val="100"/>
                <w:sz w:val="21"/>
                <w:szCs w:val="21"/>
              </w:rPr>
              <w:t> </w:t>
            </w:r>
            <w:r>
              <w:rPr>
                <w:rFonts w:ascii="宋体" w:hAnsi="宋体" w:cs="宋体" w:eastAsia="宋体" w:hint="default"/>
                <w:b/>
                <w:bCs/>
                <w:sz w:val="21"/>
                <w:szCs w:val="21"/>
              </w:rPr>
              <w:t>损</w:t>
            </w:r>
            <w:r>
              <w:rPr>
                <w:rFonts w:ascii="宋体" w:hAnsi="宋体" w:cs="宋体" w:eastAsia="宋体" w:hint="default"/>
                <w:b/>
                <w:bCs/>
                <w:w w:val="100"/>
                <w:sz w:val="21"/>
                <w:szCs w:val="21"/>
              </w:rPr>
              <w:t> </w:t>
            </w:r>
            <w:r>
              <w:rPr>
                <w:rFonts w:ascii="宋体" w:hAnsi="宋体" w:cs="宋体" w:eastAsia="宋体" w:hint="default"/>
                <w:b/>
                <w:bCs/>
                <w:sz w:val="21"/>
                <w:szCs w:val="21"/>
              </w:rPr>
              <w:t>益</w:t>
            </w:r>
            <w:r>
              <w:rPr>
                <w:rFonts w:ascii="宋体" w:hAnsi="宋体" w:cs="宋体" w:eastAsia="宋体" w:hint="default"/>
                <w:b/>
                <w:bCs/>
                <w:w w:val="100"/>
                <w:sz w:val="21"/>
                <w:szCs w:val="21"/>
              </w:rPr>
              <w:t> </w:t>
            </w:r>
            <w:r>
              <w:rPr>
                <w:rFonts w:ascii="宋体" w:hAnsi="宋体" w:cs="宋体" w:eastAsia="宋体" w:hint="default"/>
                <w:b/>
                <w:bCs/>
                <w:sz w:val="21"/>
                <w:szCs w:val="21"/>
              </w:rPr>
              <w:t>实</w:t>
            </w:r>
            <w:r>
              <w:rPr>
                <w:rFonts w:ascii="宋体" w:hAnsi="宋体" w:cs="宋体" w:eastAsia="宋体" w:hint="default"/>
                <w:b/>
                <w:bCs/>
                <w:w w:val="100"/>
                <w:sz w:val="21"/>
                <w:szCs w:val="21"/>
              </w:rPr>
              <w:t> </w:t>
            </w:r>
            <w:r>
              <w:rPr>
                <w:rFonts w:ascii="宋体" w:hAnsi="宋体" w:cs="宋体" w:eastAsia="宋体" w:hint="default"/>
                <w:b/>
                <w:bCs/>
                <w:sz w:val="21"/>
                <w:szCs w:val="21"/>
              </w:rPr>
              <w:t>际</w:t>
            </w:r>
            <w:r>
              <w:rPr>
                <w:rFonts w:ascii="宋体" w:hAnsi="宋体" w:cs="宋体" w:eastAsia="宋体" w:hint="default"/>
                <w:b/>
                <w:bCs/>
                <w:w w:val="100"/>
                <w:sz w:val="21"/>
                <w:szCs w:val="21"/>
              </w:rPr>
              <w:t> </w:t>
            </w:r>
            <w:r>
              <w:rPr>
                <w:rFonts w:ascii="宋体" w:hAnsi="宋体" w:cs="宋体" w:eastAsia="宋体" w:hint="default"/>
                <w:b/>
                <w:bCs/>
                <w:sz w:val="21"/>
                <w:szCs w:val="21"/>
              </w:rPr>
              <w:t>收</w:t>
            </w:r>
            <w:r>
              <w:rPr>
                <w:rFonts w:ascii="宋体" w:hAnsi="宋体" w:cs="宋体" w:eastAsia="宋体" w:hint="default"/>
                <w:b/>
                <w:bCs/>
                <w:w w:val="100"/>
                <w:sz w:val="21"/>
                <w:szCs w:val="21"/>
              </w:rPr>
              <w:t> </w:t>
            </w:r>
            <w:r>
              <w:rPr>
                <w:rFonts w:ascii="宋体" w:hAnsi="宋体" w:cs="宋体" w:eastAsia="宋体" w:hint="default"/>
                <w:b/>
                <w:bCs/>
                <w:sz w:val="21"/>
                <w:szCs w:val="21"/>
              </w:rPr>
              <w:t>回</w:t>
            </w:r>
            <w:r>
              <w:rPr>
                <w:rFonts w:ascii="宋体" w:hAnsi="宋体" w:cs="宋体" w:eastAsia="宋体" w:hint="default"/>
                <w:b/>
                <w:bCs/>
                <w:w w:val="100"/>
                <w:sz w:val="21"/>
                <w:szCs w:val="21"/>
              </w:rPr>
              <w:t> </w:t>
            </w:r>
            <w:r>
              <w:rPr>
                <w:rFonts w:ascii="宋体" w:hAnsi="宋体" w:cs="宋体" w:eastAsia="宋体" w:hint="default"/>
                <w:b/>
                <w:bCs/>
                <w:sz w:val="21"/>
                <w:szCs w:val="21"/>
              </w:rPr>
              <w:t>情</w:t>
            </w:r>
            <w:r>
              <w:rPr>
                <w:rFonts w:ascii="宋体" w:hAnsi="宋体" w:cs="宋体" w:eastAsia="宋体" w:hint="default"/>
                <w:b/>
                <w:bCs/>
                <w:w w:val="100"/>
                <w:sz w:val="21"/>
                <w:szCs w:val="21"/>
              </w:rPr>
              <w:t> </w:t>
            </w:r>
            <w:r>
              <w:rPr>
                <w:rFonts w:ascii="宋体" w:hAnsi="宋体" w:cs="宋体" w:eastAsia="宋体" w:hint="default"/>
                <w:b/>
                <w:bCs/>
                <w:sz w:val="21"/>
                <w:szCs w:val="21"/>
              </w:rPr>
              <w:t>况</w:t>
            </w:r>
            <w:r>
              <w:rPr>
                <w:rFonts w:ascii="宋体" w:hAnsi="宋体" w:cs="宋体" w:eastAsia="宋体" w:hint="default"/>
                <w:b/>
                <w:bCs/>
                <w:w w:val="100"/>
                <w:sz w:val="21"/>
                <w:szCs w:val="21"/>
              </w:rPr>
              <w:t> </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注</w:t>
            </w:r>
            <w:r>
              <w:rPr>
                <w:rFonts w:ascii="宋体" w:hAnsi="宋体" w:cs="宋体" w:eastAsia="宋体" w:hint="default"/>
                <w:sz w:val="18"/>
                <w:szCs w:val="18"/>
              </w:rPr>
            </w:r>
          </w:p>
          <w:p>
            <w:pPr>
              <w:pStyle w:val="TableParagraph"/>
              <w:spacing w:line="240" w:lineRule="auto" w:before="82"/>
              <w:ind w:left="148" w:right="0"/>
              <w:jc w:val="both"/>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1" w:right="171" w:hanging="27"/>
              <w:jc w:val="both"/>
              <w:rPr>
                <w:rFonts w:ascii="宋体" w:hAnsi="宋体" w:cs="宋体" w:eastAsia="宋体" w:hint="default"/>
                <w:sz w:val="21"/>
                <w:szCs w:val="21"/>
              </w:rPr>
            </w:pPr>
            <w:r>
              <w:rPr>
                <w:rFonts w:ascii="宋体" w:hAnsi="宋体" w:cs="宋体" w:eastAsia="宋体" w:hint="default"/>
                <w:b/>
                <w:bCs/>
                <w:sz w:val="21"/>
                <w:szCs w:val="21"/>
              </w:rPr>
              <w:t>计</w:t>
            </w:r>
            <w:r>
              <w:rPr>
                <w:rFonts w:ascii="宋体" w:hAnsi="宋体" w:cs="宋体" w:eastAsia="宋体" w:hint="default"/>
                <w:b/>
                <w:bCs/>
                <w:w w:val="100"/>
                <w:sz w:val="21"/>
                <w:szCs w:val="21"/>
              </w:rPr>
              <w:t> </w:t>
            </w:r>
            <w:r>
              <w:rPr>
                <w:rFonts w:ascii="宋体" w:hAnsi="宋体" w:cs="宋体" w:eastAsia="宋体" w:hint="default"/>
                <w:b/>
                <w:bCs/>
                <w:sz w:val="21"/>
                <w:szCs w:val="21"/>
              </w:rPr>
              <w:t>提</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b/>
                <w:bCs/>
                <w:w w:val="100"/>
                <w:sz w:val="21"/>
                <w:szCs w:val="21"/>
              </w:rPr>
              <w:t> </w:t>
            </w:r>
            <w:r>
              <w:rPr>
                <w:rFonts w:ascii="宋体" w:hAnsi="宋体" w:cs="宋体" w:eastAsia="宋体" w:hint="default"/>
                <w:b/>
                <w:bCs/>
                <w:sz w:val="21"/>
                <w:szCs w:val="21"/>
              </w:rPr>
              <w:t>值</w:t>
            </w:r>
            <w:r>
              <w:rPr>
                <w:rFonts w:ascii="宋体" w:hAnsi="宋体" w:cs="宋体" w:eastAsia="宋体" w:hint="default"/>
                <w:b/>
                <w:bCs/>
                <w:w w:val="100"/>
                <w:sz w:val="21"/>
                <w:szCs w:val="21"/>
              </w:rPr>
              <w:t> </w:t>
            </w:r>
            <w:r>
              <w:rPr>
                <w:rFonts w:ascii="宋体" w:hAnsi="宋体" w:cs="宋体" w:eastAsia="宋体" w:hint="default"/>
                <w:b/>
                <w:bCs/>
                <w:sz w:val="21"/>
                <w:szCs w:val="21"/>
              </w:rPr>
              <w:t>准</w:t>
            </w:r>
            <w:r>
              <w:rPr>
                <w:rFonts w:ascii="宋体" w:hAnsi="宋体" w:cs="宋体" w:eastAsia="宋体" w:hint="default"/>
                <w:b/>
                <w:bCs/>
                <w:w w:val="100"/>
                <w:sz w:val="21"/>
                <w:szCs w:val="21"/>
              </w:rPr>
              <w:t> </w:t>
            </w:r>
            <w:r>
              <w:rPr>
                <w:rFonts w:ascii="宋体" w:hAnsi="宋体" w:cs="宋体" w:eastAsia="宋体" w:hint="default"/>
                <w:b/>
                <w:bCs/>
                <w:sz w:val="21"/>
                <w:szCs w:val="21"/>
              </w:rPr>
              <w:t>备</w:t>
            </w:r>
            <w:r>
              <w:rPr>
                <w:rFonts w:ascii="宋体" w:hAnsi="宋体" w:cs="宋体" w:eastAsia="宋体" w:hint="default"/>
                <w:b/>
                <w:bCs/>
                <w:w w:val="100"/>
                <w:sz w:val="21"/>
                <w:szCs w:val="21"/>
              </w:rPr>
              <w:t> </w:t>
            </w:r>
            <w:r>
              <w:rPr>
                <w:rFonts w:ascii="宋体" w:hAnsi="宋体" w:cs="宋体" w:eastAsia="宋体" w:hint="default"/>
                <w:b/>
                <w:bCs/>
                <w:sz w:val="21"/>
                <w:szCs w:val="21"/>
              </w:rPr>
              <w:t>金</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p>
            <w:pPr>
              <w:pStyle w:val="TableParagraph"/>
              <w:spacing w:line="273" w:lineRule="auto" w:before="7"/>
              <w:ind w:left="31" w:right="171"/>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z w:val="21"/>
                <w:szCs w:val="21"/>
              </w:rPr>
              <w:t>如</w:t>
            </w:r>
            <w:r>
              <w:rPr>
                <w:rFonts w:ascii="宋体" w:hAnsi="宋体" w:cs="宋体" w:eastAsia="宋体" w:hint="default"/>
                <w:sz w:val="21"/>
                <w:szCs w:val="21"/>
              </w:rPr>
            </w:r>
          </w:p>
          <w:p>
            <w:pPr>
              <w:pStyle w:val="TableParagraph"/>
              <w:spacing w:line="240" w:lineRule="auto" w:before="7"/>
              <w:ind w:left="31" w:right="0"/>
              <w:jc w:val="both"/>
              <w:rPr>
                <w:rFonts w:ascii="宋体" w:hAnsi="宋体" w:cs="宋体" w:eastAsia="宋体" w:hint="default"/>
                <w:sz w:val="21"/>
                <w:szCs w:val="21"/>
              </w:rPr>
            </w:pPr>
            <w:r>
              <w:rPr>
                <w:rFonts w:ascii="宋体" w:hAnsi="宋体" w:cs="宋体" w:eastAsia="宋体" w:hint="default"/>
                <w:b/>
                <w:bCs/>
                <w:w w:val="100"/>
                <w:sz w:val="21"/>
                <w:szCs w:val="21"/>
              </w:rPr>
              <w:t>有）</w:t>
            </w:r>
            <w:r>
              <w:rPr>
                <w:rFonts w:ascii="宋体" w:hAnsi="宋体" w:cs="宋体" w:eastAsia="宋体" w:hint="default"/>
                <w:w w:val="100"/>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31" w:right="101" w:hanging="27"/>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经过</w:t>
            </w:r>
            <w:r>
              <w:rPr>
                <w:rFonts w:ascii="宋体" w:hAnsi="宋体" w:cs="宋体" w:eastAsia="宋体" w:hint="default"/>
                <w:b/>
                <w:bCs/>
                <w:w w:val="100"/>
                <w:sz w:val="21"/>
                <w:szCs w:val="21"/>
              </w:rPr>
              <w:t> </w:t>
            </w:r>
            <w:r>
              <w:rPr>
                <w:rFonts w:ascii="宋体" w:hAnsi="宋体" w:cs="宋体" w:eastAsia="宋体" w:hint="default"/>
                <w:b/>
                <w:bCs/>
                <w:sz w:val="21"/>
                <w:szCs w:val="21"/>
              </w:rPr>
              <w:t>法定</w:t>
            </w:r>
            <w:r>
              <w:rPr>
                <w:rFonts w:ascii="宋体" w:hAnsi="宋体" w:cs="宋体" w:eastAsia="宋体" w:hint="default"/>
                <w:b/>
                <w:bCs/>
                <w:w w:val="100"/>
                <w:sz w:val="21"/>
                <w:szCs w:val="21"/>
              </w:rPr>
              <w:t> </w:t>
            </w:r>
            <w:r>
              <w:rPr>
                <w:rFonts w:ascii="宋体" w:hAnsi="宋体" w:cs="宋体" w:eastAsia="宋体" w:hint="default"/>
                <w:b/>
                <w:bCs/>
                <w:sz w:val="21"/>
                <w:szCs w:val="21"/>
              </w:rPr>
              <w:t>程序</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31" w:right="170" w:hanging="27"/>
              <w:jc w:val="both"/>
              <w:rPr>
                <w:rFonts w:ascii="宋体" w:hAnsi="宋体" w:cs="宋体" w:eastAsia="宋体" w:hint="default"/>
                <w:sz w:val="21"/>
                <w:szCs w:val="21"/>
              </w:rPr>
            </w:pPr>
            <w:r>
              <w:rPr>
                <w:rFonts w:ascii="宋体" w:hAnsi="宋体" w:cs="宋体" w:eastAsia="宋体" w:hint="default"/>
                <w:b/>
                <w:bCs/>
                <w:sz w:val="21"/>
                <w:szCs w:val="21"/>
              </w:rPr>
              <w:t>未</w:t>
            </w:r>
            <w:r>
              <w:rPr>
                <w:rFonts w:ascii="宋体" w:hAnsi="宋体" w:cs="宋体" w:eastAsia="宋体" w:hint="default"/>
                <w:b/>
                <w:bCs/>
                <w:w w:val="100"/>
                <w:sz w:val="21"/>
                <w:szCs w:val="21"/>
              </w:rPr>
              <w:t> </w:t>
            </w:r>
            <w:r>
              <w:rPr>
                <w:rFonts w:ascii="宋体" w:hAnsi="宋体" w:cs="宋体" w:eastAsia="宋体" w:hint="default"/>
                <w:b/>
                <w:bCs/>
                <w:sz w:val="21"/>
                <w:szCs w:val="21"/>
              </w:rPr>
              <w:t>来</w:t>
            </w:r>
            <w:r>
              <w:rPr>
                <w:rFonts w:ascii="宋体" w:hAnsi="宋体" w:cs="宋体" w:eastAsia="宋体" w:hint="default"/>
                <w:b/>
                <w:bCs/>
                <w:w w:val="100"/>
                <w:sz w:val="21"/>
                <w:szCs w:val="21"/>
              </w:rPr>
              <w:t> </w:t>
            </w:r>
            <w:r>
              <w:rPr>
                <w:rFonts w:ascii="宋体" w:hAnsi="宋体" w:cs="宋体" w:eastAsia="宋体" w:hint="default"/>
                <w:b/>
                <w:bCs/>
                <w:sz w:val="21"/>
                <w:szCs w:val="21"/>
              </w:rPr>
              <w:t>是</w:t>
            </w:r>
            <w:r>
              <w:rPr>
                <w:rFonts w:ascii="宋体" w:hAnsi="宋体" w:cs="宋体" w:eastAsia="宋体" w:hint="default"/>
                <w:b/>
                <w:bCs/>
                <w:w w:val="100"/>
                <w:sz w:val="21"/>
                <w:szCs w:val="21"/>
              </w:rPr>
              <w:t> </w:t>
            </w:r>
            <w:r>
              <w:rPr>
                <w:rFonts w:ascii="宋体" w:hAnsi="宋体" w:cs="宋体" w:eastAsia="宋体" w:hint="default"/>
                <w:b/>
                <w:bCs/>
                <w:sz w:val="21"/>
                <w:szCs w:val="21"/>
              </w:rPr>
              <w:t>否</w:t>
            </w:r>
            <w:r>
              <w:rPr>
                <w:rFonts w:ascii="宋体" w:hAnsi="宋体" w:cs="宋体" w:eastAsia="宋体" w:hint="default"/>
                <w:b/>
                <w:bCs/>
                <w:w w:val="100"/>
                <w:sz w:val="21"/>
                <w:szCs w:val="21"/>
              </w:rPr>
              <w:t> </w:t>
            </w:r>
            <w:r>
              <w:rPr>
                <w:rFonts w:ascii="宋体" w:hAnsi="宋体" w:cs="宋体" w:eastAsia="宋体" w:hint="default"/>
                <w:b/>
                <w:bCs/>
                <w:sz w:val="21"/>
                <w:szCs w:val="21"/>
              </w:rPr>
              <w:t>还</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b/>
                <w:bCs/>
                <w:w w:val="100"/>
                <w:sz w:val="21"/>
                <w:szCs w:val="21"/>
              </w:rPr>
              <w:t> </w:t>
            </w:r>
            <w:r>
              <w:rPr>
                <w:rFonts w:ascii="宋体" w:hAnsi="宋体" w:cs="宋体" w:eastAsia="宋体" w:hint="default"/>
                <w:b/>
                <w:bCs/>
                <w:sz w:val="21"/>
                <w:szCs w:val="21"/>
              </w:rPr>
              <w:t>委</w:t>
            </w:r>
            <w:r>
              <w:rPr>
                <w:rFonts w:ascii="宋体" w:hAnsi="宋体" w:cs="宋体" w:eastAsia="宋体" w:hint="default"/>
                <w:b/>
                <w:bCs/>
                <w:w w:val="100"/>
                <w:sz w:val="21"/>
                <w:szCs w:val="21"/>
              </w:rPr>
              <w:t> </w:t>
            </w:r>
            <w:r>
              <w:rPr>
                <w:rFonts w:ascii="宋体" w:hAnsi="宋体" w:cs="宋体" w:eastAsia="宋体" w:hint="default"/>
                <w:b/>
                <w:bCs/>
                <w:sz w:val="21"/>
                <w:szCs w:val="21"/>
              </w:rPr>
              <w:t>托</w:t>
            </w:r>
            <w:r>
              <w:rPr>
                <w:rFonts w:ascii="宋体" w:hAnsi="宋体" w:cs="宋体" w:eastAsia="宋体" w:hint="default"/>
                <w:b/>
                <w:bCs/>
                <w:w w:val="100"/>
                <w:sz w:val="21"/>
                <w:szCs w:val="21"/>
              </w:rPr>
              <w:t> </w:t>
            </w:r>
            <w:r>
              <w:rPr>
                <w:rFonts w:ascii="宋体" w:hAnsi="宋体" w:cs="宋体" w:eastAsia="宋体" w:hint="default"/>
                <w:b/>
                <w:bCs/>
                <w:sz w:val="21"/>
                <w:szCs w:val="21"/>
              </w:rPr>
              <w:t>理</w:t>
            </w:r>
            <w:r>
              <w:rPr>
                <w:rFonts w:ascii="宋体" w:hAnsi="宋体" w:cs="宋体" w:eastAsia="宋体" w:hint="default"/>
                <w:b/>
                <w:bCs/>
                <w:w w:val="100"/>
                <w:sz w:val="21"/>
                <w:szCs w:val="21"/>
              </w:rPr>
              <w:t> </w:t>
            </w:r>
            <w:r>
              <w:rPr>
                <w:rFonts w:ascii="宋体" w:hAnsi="宋体" w:cs="宋体" w:eastAsia="宋体" w:hint="default"/>
                <w:b/>
                <w:bCs/>
                <w:sz w:val="21"/>
                <w:szCs w:val="21"/>
              </w:rPr>
              <w:t>财</w:t>
            </w:r>
            <w:r>
              <w:rPr>
                <w:rFonts w:ascii="宋体" w:hAnsi="宋体" w:cs="宋体" w:eastAsia="宋体" w:hint="default"/>
                <w:b/>
                <w:bCs/>
                <w:w w:val="100"/>
                <w:sz w:val="21"/>
                <w:szCs w:val="21"/>
              </w:rPr>
              <w:t> </w:t>
            </w:r>
            <w:r>
              <w:rPr>
                <w:rFonts w:ascii="宋体" w:hAnsi="宋体" w:cs="宋体" w:eastAsia="宋体" w:hint="default"/>
                <w:b/>
                <w:bCs/>
                <w:sz w:val="21"/>
                <w:szCs w:val="21"/>
              </w:rPr>
              <w:t>计</w:t>
            </w:r>
            <w:r>
              <w:rPr>
                <w:rFonts w:ascii="宋体" w:hAnsi="宋体" w:cs="宋体" w:eastAsia="宋体" w:hint="default"/>
                <w:b/>
                <w:bCs/>
                <w:w w:val="100"/>
                <w:sz w:val="21"/>
                <w:szCs w:val="21"/>
              </w:rPr>
              <w:t> </w:t>
            </w:r>
            <w:r>
              <w:rPr>
                <w:rFonts w:ascii="宋体" w:hAnsi="宋体" w:cs="宋体" w:eastAsia="宋体" w:hint="default"/>
                <w:b/>
                <w:bCs/>
                <w:sz w:val="21"/>
                <w:szCs w:val="21"/>
              </w:rPr>
              <w:t>划</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1" w:right="170" w:hanging="27"/>
              <w:jc w:val="both"/>
              <w:rPr>
                <w:rFonts w:ascii="宋体" w:hAnsi="宋体" w:cs="宋体" w:eastAsia="宋体" w:hint="default"/>
                <w:sz w:val="21"/>
                <w:szCs w:val="21"/>
              </w:rPr>
            </w:pPr>
            <w:r>
              <w:rPr>
                <w:rFonts w:ascii="宋体" w:hAnsi="宋体" w:cs="宋体" w:eastAsia="宋体" w:hint="default"/>
                <w:b/>
                <w:bCs/>
                <w:sz w:val="21"/>
                <w:szCs w:val="21"/>
              </w:rPr>
              <w:t>事</w:t>
            </w:r>
            <w:r>
              <w:rPr>
                <w:rFonts w:ascii="宋体" w:hAnsi="宋体" w:cs="宋体" w:eastAsia="宋体" w:hint="default"/>
                <w:b/>
                <w:bCs/>
                <w:w w:val="100"/>
                <w:sz w:val="21"/>
                <w:szCs w:val="21"/>
              </w:rPr>
              <w:t> </w:t>
            </w:r>
            <w:r>
              <w:rPr>
                <w:rFonts w:ascii="宋体" w:hAnsi="宋体" w:cs="宋体" w:eastAsia="宋体" w:hint="default"/>
                <w:b/>
                <w:bCs/>
                <w:sz w:val="21"/>
                <w:szCs w:val="21"/>
              </w:rPr>
              <w:t>项</w:t>
            </w:r>
            <w:r>
              <w:rPr>
                <w:rFonts w:ascii="宋体" w:hAnsi="宋体" w:cs="宋体" w:eastAsia="宋体" w:hint="default"/>
                <w:b/>
                <w:bCs/>
                <w:w w:val="100"/>
                <w:sz w:val="21"/>
                <w:szCs w:val="21"/>
              </w:rPr>
              <w:t> </w:t>
            </w:r>
            <w:r>
              <w:rPr>
                <w:rFonts w:ascii="宋体" w:hAnsi="宋体" w:cs="宋体" w:eastAsia="宋体" w:hint="default"/>
                <w:b/>
                <w:bCs/>
                <w:sz w:val="21"/>
                <w:szCs w:val="21"/>
              </w:rPr>
              <w:t>概</w:t>
            </w:r>
            <w:r>
              <w:rPr>
                <w:rFonts w:ascii="宋体" w:hAnsi="宋体" w:cs="宋体" w:eastAsia="宋体" w:hint="default"/>
                <w:b/>
                <w:bCs/>
                <w:w w:val="100"/>
                <w:sz w:val="21"/>
                <w:szCs w:val="21"/>
              </w:rPr>
              <w:t> </w:t>
            </w:r>
            <w:r>
              <w:rPr>
                <w:rFonts w:ascii="宋体" w:hAnsi="宋体" w:cs="宋体" w:eastAsia="宋体" w:hint="default"/>
                <w:b/>
                <w:bCs/>
                <w:sz w:val="21"/>
                <w:szCs w:val="21"/>
              </w:rPr>
              <w:t>述</w:t>
            </w:r>
            <w:r>
              <w:rPr>
                <w:rFonts w:ascii="宋体" w:hAnsi="宋体" w:cs="宋体" w:eastAsia="宋体" w:hint="default"/>
                <w:b/>
                <w:bCs/>
                <w:w w:val="100"/>
                <w:sz w:val="21"/>
                <w:szCs w:val="21"/>
              </w:rPr>
              <w:t> </w:t>
            </w:r>
            <w:r>
              <w:rPr>
                <w:rFonts w:ascii="宋体" w:hAnsi="宋体" w:cs="宋体" w:eastAsia="宋体" w:hint="default"/>
                <w:b/>
                <w:bCs/>
                <w:sz w:val="21"/>
                <w:szCs w:val="21"/>
              </w:rPr>
              <w:t>及</w:t>
            </w:r>
            <w:r>
              <w:rPr>
                <w:rFonts w:ascii="宋体" w:hAnsi="宋体" w:cs="宋体" w:eastAsia="宋体" w:hint="default"/>
                <w:b/>
                <w:bCs/>
                <w:w w:val="100"/>
                <w:sz w:val="21"/>
                <w:szCs w:val="21"/>
              </w:rPr>
              <w:t> </w:t>
            </w:r>
            <w:r>
              <w:rPr>
                <w:rFonts w:ascii="宋体" w:hAnsi="宋体" w:cs="宋体" w:eastAsia="宋体" w:hint="default"/>
                <w:b/>
                <w:bCs/>
                <w:sz w:val="21"/>
                <w:szCs w:val="21"/>
              </w:rPr>
              <w:t>相</w:t>
            </w:r>
            <w:r>
              <w:rPr>
                <w:rFonts w:ascii="宋体" w:hAnsi="宋体" w:cs="宋体" w:eastAsia="宋体" w:hint="default"/>
                <w:b/>
                <w:bCs/>
                <w:w w:val="100"/>
                <w:sz w:val="21"/>
                <w:szCs w:val="21"/>
              </w:rPr>
              <w:t> </w:t>
            </w:r>
            <w:r>
              <w:rPr>
                <w:rFonts w:ascii="宋体" w:hAnsi="宋体" w:cs="宋体" w:eastAsia="宋体" w:hint="default"/>
                <w:b/>
                <w:bCs/>
                <w:sz w:val="21"/>
                <w:szCs w:val="21"/>
              </w:rPr>
              <w:t>关</w:t>
            </w:r>
            <w:r>
              <w:rPr>
                <w:rFonts w:ascii="宋体" w:hAnsi="宋体" w:cs="宋体" w:eastAsia="宋体" w:hint="default"/>
                <w:b/>
                <w:bCs/>
                <w:w w:val="100"/>
                <w:sz w:val="21"/>
                <w:szCs w:val="21"/>
              </w:rPr>
              <w:t> </w:t>
            </w:r>
            <w:r>
              <w:rPr>
                <w:rFonts w:ascii="宋体" w:hAnsi="宋体" w:cs="宋体" w:eastAsia="宋体" w:hint="default"/>
                <w:b/>
                <w:bCs/>
                <w:sz w:val="21"/>
                <w:szCs w:val="21"/>
              </w:rPr>
              <w:t>查</w:t>
            </w:r>
            <w:r>
              <w:rPr>
                <w:rFonts w:ascii="宋体" w:hAnsi="宋体" w:cs="宋体" w:eastAsia="宋体" w:hint="default"/>
                <w:b/>
                <w:bCs/>
                <w:w w:val="100"/>
                <w:sz w:val="21"/>
                <w:szCs w:val="21"/>
              </w:rPr>
              <w:t> </w:t>
            </w:r>
            <w:r>
              <w:rPr>
                <w:rFonts w:ascii="宋体" w:hAnsi="宋体" w:cs="宋体" w:eastAsia="宋体" w:hint="default"/>
                <w:b/>
                <w:bCs/>
                <w:sz w:val="21"/>
                <w:szCs w:val="21"/>
              </w:rPr>
              <w:t>询</w:t>
            </w:r>
            <w:r>
              <w:rPr>
                <w:rFonts w:ascii="宋体" w:hAnsi="宋体" w:cs="宋体" w:eastAsia="宋体" w:hint="default"/>
                <w:b/>
                <w:bCs/>
                <w:w w:val="100"/>
                <w:sz w:val="21"/>
                <w:szCs w:val="21"/>
              </w:rPr>
              <w:t> </w:t>
            </w:r>
            <w:r>
              <w:rPr>
                <w:rFonts w:ascii="宋体" w:hAnsi="宋体" w:cs="宋体" w:eastAsia="宋体" w:hint="default"/>
                <w:b/>
                <w:bCs/>
                <w:sz w:val="21"/>
                <w:szCs w:val="21"/>
              </w:rPr>
              <w:t>索</w:t>
            </w:r>
            <w:r>
              <w:rPr>
                <w:rFonts w:ascii="宋体" w:hAnsi="宋体" w:cs="宋体" w:eastAsia="宋体" w:hint="default"/>
                <w:b/>
                <w:bCs/>
                <w:w w:val="100"/>
                <w:sz w:val="21"/>
                <w:szCs w:val="21"/>
              </w:rPr>
              <w:t> </w:t>
            </w:r>
            <w:r>
              <w:rPr>
                <w:rFonts w:ascii="宋体" w:hAnsi="宋体" w:cs="宋体" w:eastAsia="宋体" w:hint="default"/>
                <w:b/>
                <w:bCs/>
                <w:sz w:val="21"/>
                <w:szCs w:val="21"/>
              </w:rPr>
              <w:t>引</w:t>
            </w:r>
            <w:r>
              <w:rPr>
                <w:rFonts w:ascii="宋体" w:hAnsi="宋体" w:cs="宋体" w:eastAsia="宋体" w:hint="default"/>
                <w:sz w:val="21"/>
                <w:szCs w:val="21"/>
              </w:rPr>
            </w:r>
          </w:p>
          <w:p>
            <w:pPr>
              <w:pStyle w:val="TableParagraph"/>
              <w:spacing w:line="273" w:lineRule="auto" w:before="7"/>
              <w:ind w:left="31" w:right="17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z w:val="21"/>
                <w:szCs w:val="21"/>
              </w:rPr>
              <w:t>如</w:t>
            </w:r>
            <w:r>
              <w:rPr>
                <w:rFonts w:ascii="宋体" w:hAnsi="宋体" w:cs="宋体" w:eastAsia="宋体" w:hint="default"/>
                <w:sz w:val="21"/>
                <w:szCs w:val="21"/>
              </w:rPr>
            </w:r>
          </w:p>
          <w:p>
            <w:pPr>
              <w:pStyle w:val="TableParagraph"/>
              <w:spacing w:line="240" w:lineRule="auto" w:before="7"/>
              <w:ind w:left="31" w:right="0"/>
              <w:jc w:val="both"/>
              <w:rPr>
                <w:rFonts w:ascii="宋体" w:hAnsi="宋体" w:cs="宋体" w:eastAsia="宋体" w:hint="default"/>
                <w:sz w:val="21"/>
                <w:szCs w:val="21"/>
              </w:rPr>
            </w:pPr>
            <w:r>
              <w:rPr>
                <w:rFonts w:ascii="宋体" w:hAnsi="宋体" w:cs="宋体" w:eastAsia="宋体" w:hint="default"/>
                <w:b/>
                <w:bCs/>
                <w:w w:val="100"/>
                <w:sz w:val="21"/>
                <w:szCs w:val="21"/>
              </w:rPr>
              <w:t>有）</w:t>
            </w:r>
            <w:r>
              <w:rPr>
                <w:rFonts w:ascii="宋体" w:hAnsi="宋体" w:cs="宋体" w:eastAsia="宋体" w:hint="default"/>
                <w:w w:val="100"/>
                <w:sz w:val="21"/>
                <w:szCs w:val="21"/>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招商银行</w:t>
            </w:r>
            <w:r>
              <w:rPr>
                <w:rFonts w:ascii="宋体" w:hAnsi="宋体" w:cs="宋体" w:eastAsia="宋体" w:hint="default"/>
                <w:w w:val="99"/>
                <w:sz w:val="20"/>
                <w:szCs w:val="20"/>
              </w:rPr>
              <w:t> </w:t>
            </w:r>
            <w:r>
              <w:rPr>
                <w:rFonts w:ascii="宋体" w:hAnsi="宋体" w:cs="宋体" w:eastAsia="宋体" w:hint="default"/>
                <w:sz w:val="20"/>
                <w:szCs w:val="20"/>
              </w:rPr>
              <w:t>望京支行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31" w:right="0"/>
              <w:jc w:val="left"/>
              <w:rPr>
                <w:rFonts w:ascii="Times New Roman" w:hAnsi="Times New Roman" w:cs="Times New Roman" w:eastAsia="Times New Roman" w:hint="default"/>
                <w:sz w:val="20"/>
                <w:szCs w:val="20"/>
              </w:rPr>
            </w:pPr>
            <w:r>
              <w:rPr>
                <w:rFonts w:ascii="Times New Roman"/>
                <w:sz w:val="20"/>
              </w:rPr>
              <w:t>2,700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65"/>
              <w:jc w:val="right"/>
              <w:rPr>
                <w:rFonts w:ascii="Times New Roman" w:hAnsi="Times New Roman" w:cs="Times New Roman" w:eastAsia="Times New Roman" w:hint="default"/>
                <w:sz w:val="20"/>
                <w:szCs w:val="20"/>
              </w:rPr>
            </w:pPr>
            <w:r>
              <w:rPr>
                <w:rFonts w:ascii="Times New Roman"/>
                <w:w w:val="95"/>
                <w:sz w:val="20"/>
              </w:rPr>
              <w:t>2017/10/31</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4" w:right="0"/>
              <w:jc w:val="left"/>
              <w:rPr>
                <w:rFonts w:ascii="Times New Roman" w:hAnsi="Times New Roman" w:cs="Times New Roman" w:eastAsia="Times New Roman" w:hint="default"/>
                <w:sz w:val="20"/>
                <w:szCs w:val="20"/>
              </w:rPr>
            </w:pPr>
            <w:r>
              <w:rPr>
                <w:rFonts w:ascii="Times New Roman"/>
                <w:sz w:val="20"/>
              </w:rPr>
              <w:t>2018/2/8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1"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spacing w:val="2"/>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
              <w:jc w:val="right"/>
              <w:rPr>
                <w:rFonts w:ascii="Times New Roman" w:hAnsi="Times New Roman" w:cs="Times New Roman" w:eastAsia="Times New Roman" w:hint="default"/>
                <w:sz w:val="20"/>
                <w:szCs w:val="20"/>
              </w:rPr>
            </w:pPr>
            <w:r>
              <w:rPr>
                <w:rFonts w:ascii="Times New Roman"/>
                <w:sz w:val="20"/>
              </w:rPr>
              <w:t>3.80%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
              <w:jc w:val="right"/>
              <w:rPr>
                <w:rFonts w:ascii="Times New Roman" w:hAnsi="Times New Roman" w:cs="Times New Roman" w:eastAsia="Times New Roman" w:hint="default"/>
                <w:sz w:val="20"/>
                <w:szCs w:val="20"/>
              </w:rPr>
            </w:pPr>
            <w:r>
              <w:rPr>
                <w:rFonts w:ascii="Times New Roman"/>
                <w:spacing w:val="-2"/>
                <w:sz w:val="20"/>
              </w:rPr>
              <w:t>28.11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0"/>
              <w:jc w:val="right"/>
              <w:rPr>
                <w:rFonts w:ascii="Times New Roman" w:hAnsi="Times New Roman" w:cs="Times New Roman" w:eastAsia="Times New Roman" w:hint="default"/>
                <w:sz w:val="20"/>
                <w:szCs w:val="20"/>
              </w:rPr>
            </w:pPr>
            <w:r>
              <w:rPr>
                <w:rFonts w:ascii="Times New Roman"/>
                <w:sz w:val="20"/>
              </w:rPr>
              <w:t>26.52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31" w:right="0"/>
              <w:jc w:val="left"/>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65"/>
              <w:jc w:val="right"/>
              <w:rPr>
                <w:rFonts w:ascii="Times New Roman" w:hAnsi="Times New Roman" w:cs="Times New Roman" w:eastAsia="Times New Roman" w:hint="default"/>
                <w:sz w:val="20"/>
                <w:szCs w:val="20"/>
              </w:rPr>
            </w:pPr>
            <w:r>
              <w:rPr>
                <w:rFonts w:ascii="Times New Roman"/>
                <w:w w:val="95"/>
                <w:sz w:val="20"/>
              </w:rPr>
              <w:t>2017/12/13</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4" w:right="0"/>
              <w:jc w:val="left"/>
              <w:rPr>
                <w:rFonts w:ascii="Times New Roman" w:hAnsi="Times New Roman" w:cs="Times New Roman" w:eastAsia="Times New Roman" w:hint="default"/>
                <w:sz w:val="20"/>
                <w:szCs w:val="20"/>
              </w:rPr>
            </w:pPr>
            <w:r>
              <w:rPr>
                <w:rFonts w:ascii="Times New Roman"/>
                <w:sz w:val="20"/>
              </w:rPr>
              <w:t>2018/2/26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right"/>
              <w:rPr>
                <w:rFonts w:ascii="Times New Roman" w:hAnsi="Times New Roman" w:cs="Times New Roman" w:eastAsia="Times New Roman" w:hint="default"/>
                <w:sz w:val="20"/>
                <w:szCs w:val="20"/>
              </w:rPr>
            </w:pPr>
            <w:r>
              <w:rPr>
                <w:rFonts w:ascii="Times New Roman"/>
                <w:sz w:val="20"/>
              </w:rPr>
              <w:t>4.45%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right"/>
              <w:rPr>
                <w:rFonts w:ascii="Times New Roman" w:hAnsi="Times New Roman" w:cs="Times New Roman" w:eastAsia="Times New Roman" w:hint="default"/>
                <w:sz w:val="20"/>
                <w:szCs w:val="20"/>
              </w:rPr>
            </w:pPr>
            <w:r>
              <w:rPr>
                <w:rFonts w:ascii="Times New Roman"/>
                <w:sz w:val="20"/>
              </w:rPr>
              <w:t>45.72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0"/>
              <w:jc w:val="right"/>
              <w:rPr>
                <w:rFonts w:ascii="Times New Roman" w:hAnsi="Times New Roman" w:cs="Times New Roman" w:eastAsia="Times New Roman" w:hint="default"/>
                <w:sz w:val="20"/>
                <w:szCs w:val="20"/>
              </w:rPr>
            </w:pPr>
            <w:r>
              <w:rPr>
                <w:rFonts w:ascii="Times New Roman"/>
                <w:sz w:val="20"/>
              </w:rPr>
              <w:t>43.13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31" w:right="0"/>
              <w:jc w:val="left"/>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65"/>
              <w:jc w:val="right"/>
              <w:rPr>
                <w:rFonts w:ascii="Times New Roman" w:hAnsi="Times New Roman" w:cs="Times New Roman" w:eastAsia="Times New Roman" w:hint="default"/>
                <w:sz w:val="20"/>
                <w:szCs w:val="20"/>
              </w:rPr>
            </w:pPr>
            <w:r>
              <w:rPr>
                <w:rFonts w:ascii="Times New Roman"/>
                <w:w w:val="95"/>
                <w:sz w:val="20"/>
              </w:rPr>
              <w:t>2017/12/26</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4" w:right="0"/>
              <w:jc w:val="left"/>
              <w:rPr>
                <w:rFonts w:ascii="Times New Roman" w:hAnsi="Times New Roman" w:cs="Times New Roman" w:eastAsia="Times New Roman" w:hint="default"/>
                <w:sz w:val="20"/>
                <w:szCs w:val="20"/>
              </w:rPr>
            </w:pPr>
            <w:r>
              <w:rPr>
                <w:rFonts w:ascii="Times New Roman"/>
                <w:sz w:val="20"/>
              </w:rPr>
              <w:t>2018/1/25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
              <w:jc w:val="right"/>
              <w:rPr>
                <w:rFonts w:ascii="Times New Roman" w:hAnsi="Times New Roman" w:cs="Times New Roman" w:eastAsia="Times New Roman" w:hint="default"/>
                <w:sz w:val="20"/>
                <w:szCs w:val="20"/>
              </w:rPr>
            </w:pPr>
            <w:r>
              <w:rPr>
                <w:rFonts w:ascii="Times New Roman"/>
                <w:sz w:val="20"/>
              </w:rPr>
              <w:t>4.40%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
              <w:jc w:val="right"/>
              <w:rPr>
                <w:rFonts w:ascii="Times New Roman" w:hAnsi="Times New Roman" w:cs="Times New Roman" w:eastAsia="Times New Roman" w:hint="default"/>
                <w:sz w:val="20"/>
                <w:szCs w:val="20"/>
              </w:rPr>
            </w:pPr>
            <w:r>
              <w:rPr>
                <w:rFonts w:ascii="Times New Roman"/>
                <w:sz w:val="20"/>
              </w:rPr>
              <w:t>18.08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0"/>
              <w:jc w:val="right"/>
              <w:rPr>
                <w:rFonts w:ascii="Times New Roman" w:hAnsi="Times New Roman" w:cs="Times New Roman" w:eastAsia="Times New Roman" w:hint="default"/>
                <w:sz w:val="20"/>
                <w:szCs w:val="20"/>
              </w:rPr>
            </w:pPr>
            <w:r>
              <w:rPr>
                <w:rFonts w:ascii="Times New Roman"/>
                <w:sz w:val="20"/>
              </w:rPr>
              <w:t>17.07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31" w:right="0"/>
              <w:jc w:val="left"/>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65"/>
              <w:jc w:val="right"/>
              <w:rPr>
                <w:rFonts w:ascii="Times New Roman" w:hAnsi="Times New Roman" w:cs="Times New Roman" w:eastAsia="Times New Roman" w:hint="default"/>
                <w:sz w:val="20"/>
                <w:szCs w:val="20"/>
              </w:rPr>
            </w:pPr>
            <w:r>
              <w:rPr>
                <w:rFonts w:ascii="Times New Roman"/>
                <w:w w:val="95"/>
                <w:sz w:val="20"/>
              </w:rPr>
              <w:t>2017/12/26</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4" w:right="0"/>
              <w:jc w:val="left"/>
              <w:rPr>
                <w:rFonts w:ascii="Times New Roman" w:hAnsi="Times New Roman" w:cs="Times New Roman" w:eastAsia="Times New Roman" w:hint="default"/>
                <w:sz w:val="20"/>
                <w:szCs w:val="20"/>
              </w:rPr>
            </w:pPr>
            <w:r>
              <w:rPr>
                <w:rFonts w:ascii="Times New Roman"/>
                <w:sz w:val="20"/>
              </w:rPr>
              <w:t>2018/1/25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
              <w:jc w:val="right"/>
              <w:rPr>
                <w:rFonts w:ascii="Times New Roman" w:hAnsi="Times New Roman" w:cs="Times New Roman" w:eastAsia="Times New Roman" w:hint="default"/>
                <w:sz w:val="20"/>
                <w:szCs w:val="20"/>
              </w:rPr>
            </w:pPr>
            <w:r>
              <w:rPr>
                <w:rFonts w:ascii="Times New Roman"/>
                <w:sz w:val="20"/>
              </w:rPr>
              <w:t>4.40%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
              <w:jc w:val="right"/>
              <w:rPr>
                <w:rFonts w:ascii="Times New Roman" w:hAnsi="Times New Roman" w:cs="Times New Roman" w:eastAsia="Times New Roman" w:hint="default"/>
                <w:sz w:val="20"/>
                <w:szCs w:val="20"/>
              </w:rPr>
            </w:pPr>
            <w:r>
              <w:rPr>
                <w:rFonts w:ascii="Times New Roman"/>
                <w:sz w:val="20"/>
              </w:rPr>
              <w:t>18.08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0"/>
              <w:jc w:val="right"/>
              <w:rPr>
                <w:rFonts w:ascii="Times New Roman" w:hAnsi="Times New Roman" w:cs="Times New Roman" w:eastAsia="Times New Roman" w:hint="default"/>
                <w:sz w:val="20"/>
                <w:szCs w:val="20"/>
              </w:rPr>
            </w:pPr>
            <w:r>
              <w:rPr>
                <w:rFonts w:ascii="Times New Roman"/>
                <w:sz w:val="20"/>
              </w:rPr>
              <w:t>17.07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pacing w:val="3"/>
                <w:sz w:val="20"/>
                <w:szCs w:val="20"/>
              </w:rPr>
              <w:t>广发银行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10"/>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5"/>
              <w:jc w:val="right"/>
              <w:rPr>
                <w:rFonts w:ascii="Times New Roman" w:hAnsi="Times New Roman" w:cs="Times New Roman" w:eastAsia="Times New Roman" w:hint="default"/>
                <w:sz w:val="20"/>
                <w:szCs w:val="20"/>
              </w:rPr>
            </w:pPr>
            <w:r>
              <w:rPr>
                <w:rFonts w:ascii="Times New Roman"/>
                <w:w w:val="95"/>
                <w:sz w:val="20"/>
              </w:rPr>
              <w:t>2017/12/26</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2018/3/26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7"/>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4.70%</w:t>
            </w:r>
          </w:p>
        </w:tc>
        <w:tc>
          <w:tcPr>
            <w:tcW w:w="7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 w:right="-8"/>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after="0" w:line="256" w:lineRule="exact"/>
        <w:jc w:val="left"/>
        <w:rPr>
          <w:rFonts w:ascii="宋体" w:hAnsi="宋体" w:cs="宋体" w:eastAsia="宋体" w:hint="default"/>
          <w:sz w:val="20"/>
          <w:szCs w:val="20"/>
        </w:rPr>
        <w:sectPr>
          <w:pgSz w:w="11910" w:h="16840"/>
          <w:pgMar w:header="877" w:footer="979" w:top="1100" w:bottom="1160" w:left="2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852"/>
        <w:gridCol w:w="427"/>
        <w:gridCol w:w="850"/>
        <w:gridCol w:w="708"/>
        <w:gridCol w:w="591"/>
        <w:gridCol w:w="994"/>
        <w:gridCol w:w="850"/>
        <w:gridCol w:w="1152"/>
        <w:gridCol w:w="566"/>
        <w:gridCol w:w="711"/>
        <w:gridCol w:w="758"/>
        <w:gridCol w:w="566"/>
        <w:gridCol w:w="427"/>
        <w:gridCol w:w="425"/>
        <w:gridCol w:w="566"/>
        <w:gridCol w:w="425"/>
        <w:gridCol w:w="425"/>
      </w:tblGrid>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 w:right="0"/>
              <w:jc w:val="left"/>
              <w:rPr>
                <w:rFonts w:ascii="宋体" w:hAnsi="宋体" w:cs="宋体" w:eastAsia="宋体" w:hint="default"/>
                <w:sz w:val="20"/>
                <w:szCs w:val="20"/>
              </w:rPr>
            </w:pP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82"/>
              <w:jc w:val="center"/>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 w:right="0"/>
              <w:jc w:val="left"/>
              <w:rPr>
                <w:rFonts w:ascii="宋体" w:hAnsi="宋体" w:cs="宋体" w:eastAsia="宋体" w:hint="default"/>
                <w:sz w:val="20"/>
                <w:szCs w:val="20"/>
              </w:rPr>
            </w:pP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jc w:val="left"/>
              <w:rPr>
                <w:rFonts w:ascii="宋体" w:hAnsi="宋体" w:cs="宋体" w:eastAsia="宋体" w:hint="default"/>
                <w:sz w:val="20"/>
                <w:szCs w:val="20"/>
              </w:rPr>
            </w:pPr>
            <w:r>
              <w:rPr>
                <w:rFonts w:ascii="宋体" w:hAnsi="宋体" w:cs="宋体" w:eastAsia="宋体" w:hint="default"/>
                <w:spacing w:val="-15"/>
                <w:w w:val="99"/>
                <w:sz w:val="20"/>
                <w:szCs w:val="20"/>
              </w:rPr>
              <w:t>具、债券等金</w:t>
            </w:r>
            <w:r>
              <w:rPr>
                <w:rFonts w:ascii="宋体" w:hAnsi="宋体" w:cs="宋体" w:eastAsia="宋体" w:hint="default"/>
                <w:spacing w:val="-97"/>
                <w:w w:val="99"/>
                <w:sz w:val="20"/>
                <w:szCs w:val="20"/>
              </w:rPr>
              <w:t> </w:t>
            </w:r>
            <w:r>
              <w:rPr>
                <w:rFonts w:ascii="宋体" w:hAnsi="宋体" w:cs="宋体" w:eastAsia="宋体" w:hint="default"/>
                <w:spacing w:val="-97"/>
                <w:w w:val="99"/>
                <w:sz w:val="20"/>
                <w:szCs w:val="20"/>
              </w:rPr>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z w:val="20"/>
              </w:rPr>
              <w:t>57.95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54.67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182"/>
              <w:jc w:val="left"/>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2017/12/26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38.64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36.46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z w:val="20"/>
                <w:szCs w:val="20"/>
              </w:rPr>
              <w:t>双秀支行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2017/12/27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3.60%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18.25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17.21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26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pacing w:val="3"/>
                <w:sz w:val="20"/>
                <w:szCs w:val="20"/>
              </w:rPr>
              <w:t>中关村科</w:t>
            </w:r>
            <w:r>
              <w:rPr>
                <w:rFonts w:ascii="宋体" w:hAnsi="宋体" w:cs="宋体" w:eastAsia="宋体" w:hint="default"/>
                <w:w w:val="99"/>
                <w:sz w:val="20"/>
                <w:szCs w:val="20"/>
              </w:rPr>
              <w:t> </w:t>
            </w:r>
            <w:r>
              <w:rPr>
                <w:rFonts w:ascii="宋体" w:hAnsi="宋体" w:cs="宋体" w:eastAsia="宋体" w:hint="default"/>
                <w:spacing w:val="3"/>
                <w:sz w:val="20"/>
                <w:szCs w:val="20"/>
              </w:rPr>
              <w:t>技园区支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8"/>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8"/>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2017/12/27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8"/>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3.60%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5.16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2,000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2017/12/29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4.45%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7.56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7.13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8,000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92.71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87.46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4.69%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47.29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44.61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z w:val="20"/>
                <w:szCs w:val="20"/>
              </w:rPr>
              <w:t>双秀支行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2018/3/12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15.34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14.47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pacing w:val="3"/>
                <w:sz w:val="20"/>
                <w:szCs w:val="20"/>
              </w:rPr>
              <w:t>中关村科</w:t>
            </w:r>
            <w:r>
              <w:rPr>
                <w:rFonts w:ascii="宋体" w:hAnsi="宋体" w:cs="宋体" w:eastAsia="宋体" w:hint="default"/>
                <w:w w:val="99"/>
                <w:sz w:val="20"/>
                <w:szCs w:val="20"/>
              </w:rPr>
              <w:t> </w:t>
            </w:r>
            <w:r>
              <w:rPr>
                <w:rFonts w:ascii="宋体" w:hAnsi="宋体" w:cs="宋体" w:eastAsia="宋体" w:hint="default"/>
                <w:spacing w:val="3"/>
                <w:sz w:val="20"/>
                <w:szCs w:val="20"/>
              </w:rPr>
              <w:t>技园区支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2018/3/12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4.34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招商银行</w:t>
            </w:r>
            <w:r>
              <w:rPr>
                <w:rFonts w:ascii="宋体" w:hAnsi="宋体" w:cs="宋体" w:eastAsia="宋体" w:hint="default"/>
                <w:w w:val="99"/>
                <w:sz w:val="20"/>
                <w:szCs w:val="20"/>
              </w:rPr>
              <w:t> </w:t>
            </w:r>
            <w:r>
              <w:rPr>
                <w:rFonts w:ascii="宋体" w:hAnsi="宋体" w:cs="宋体" w:eastAsia="宋体" w:hint="default"/>
                <w:sz w:val="20"/>
                <w:szCs w:val="20"/>
              </w:rPr>
              <w:t>望京支行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2,700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2018/6/14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37.59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35.46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4"/>
              <w:jc w:val="center"/>
              <w:rPr>
                <w:rFonts w:ascii="Times New Roman" w:hAnsi="Times New Roman" w:cs="Times New Roman" w:eastAsia="Times New Roman" w:hint="default"/>
                <w:sz w:val="20"/>
                <w:szCs w:val="20"/>
              </w:rPr>
            </w:pPr>
            <w:r>
              <w:rPr>
                <w:rFonts w:ascii="Times New Roman"/>
                <w:sz w:val="20"/>
              </w:rPr>
              <w:t>10,000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w w:val="95"/>
                <w:sz w:val="20"/>
              </w:rPr>
              <w:t>115.89</w:t>
            </w:r>
            <w:r>
              <w:rPr>
                <w:rFonts w:ascii="Times New Roman"/>
                <w:spacing w:val="-1"/>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right"/>
              <w:rPr>
                <w:rFonts w:ascii="Times New Roman" w:hAnsi="Times New Roman" w:cs="Times New Roman" w:eastAsia="Times New Roman" w:hint="default"/>
                <w:sz w:val="20"/>
                <w:szCs w:val="20"/>
              </w:rPr>
            </w:pPr>
            <w:r>
              <w:rPr>
                <w:rFonts w:ascii="Times New Roman"/>
                <w:sz w:val="20"/>
              </w:rPr>
              <w:t>109.3</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z w:val="20"/>
                <w:szCs w:val="20"/>
              </w:rPr>
              <w:t>双秀支行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16.78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15.83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pacing w:val="3"/>
                <w:sz w:val="20"/>
                <w:szCs w:val="20"/>
              </w:rPr>
              <w:t>中关村科</w:t>
            </w:r>
            <w:r>
              <w:rPr>
                <w:rFonts w:ascii="宋体" w:hAnsi="宋体" w:cs="宋体" w:eastAsia="宋体" w:hint="default"/>
                <w:w w:val="99"/>
                <w:sz w:val="20"/>
                <w:szCs w:val="20"/>
              </w:rPr>
              <w:t> </w:t>
            </w:r>
            <w:r>
              <w:rPr>
                <w:rFonts w:ascii="宋体" w:hAnsi="宋体" w:cs="宋体" w:eastAsia="宋体" w:hint="default"/>
                <w:spacing w:val="3"/>
                <w:sz w:val="20"/>
                <w:szCs w:val="20"/>
              </w:rPr>
              <w:t>技园区支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5.03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4.75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z w:val="20"/>
                <w:szCs w:val="20"/>
              </w:rPr>
              <w:t>双秀支行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2"/>
              <w:jc w:val="center"/>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16.78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15.83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77" w:footer="979" w:top="1100" w:bottom="1160" w:left="2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852"/>
        <w:gridCol w:w="427"/>
        <w:gridCol w:w="850"/>
        <w:gridCol w:w="708"/>
        <w:gridCol w:w="591"/>
        <w:gridCol w:w="994"/>
        <w:gridCol w:w="850"/>
        <w:gridCol w:w="1152"/>
        <w:gridCol w:w="566"/>
        <w:gridCol w:w="711"/>
        <w:gridCol w:w="758"/>
        <w:gridCol w:w="566"/>
        <w:gridCol w:w="427"/>
        <w:gridCol w:w="425"/>
        <w:gridCol w:w="566"/>
        <w:gridCol w:w="425"/>
        <w:gridCol w:w="425"/>
      </w:tblGrid>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pacing w:val="3"/>
                <w:sz w:val="20"/>
                <w:szCs w:val="20"/>
              </w:rPr>
              <w:t>中关村科</w:t>
            </w:r>
            <w:r>
              <w:rPr>
                <w:rFonts w:ascii="宋体" w:hAnsi="宋体" w:cs="宋体" w:eastAsia="宋体" w:hint="default"/>
                <w:w w:val="99"/>
                <w:sz w:val="20"/>
                <w:szCs w:val="20"/>
              </w:rPr>
              <w:t> </w:t>
            </w:r>
            <w:r>
              <w:rPr>
                <w:rFonts w:ascii="宋体" w:hAnsi="宋体" w:cs="宋体" w:eastAsia="宋体" w:hint="default"/>
                <w:spacing w:val="3"/>
                <w:sz w:val="20"/>
                <w:szCs w:val="20"/>
              </w:rPr>
              <w:t>技园区支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5.03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4.75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2018/7/26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4.60%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45.37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42.80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z w:val="20"/>
                <w:szCs w:val="20"/>
              </w:rPr>
              <w:t>双秀支行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2018/6/28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17.74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16.74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26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pacing w:val="3"/>
                <w:sz w:val="20"/>
                <w:szCs w:val="20"/>
              </w:rPr>
              <w:t>中关村科</w:t>
            </w:r>
            <w:r>
              <w:rPr>
                <w:rFonts w:ascii="宋体" w:hAnsi="宋体" w:cs="宋体" w:eastAsia="宋体" w:hint="default"/>
                <w:w w:val="99"/>
                <w:sz w:val="20"/>
                <w:szCs w:val="20"/>
              </w:rPr>
              <w:t> </w:t>
            </w:r>
            <w:r>
              <w:rPr>
                <w:rFonts w:ascii="宋体" w:hAnsi="宋体" w:cs="宋体" w:eastAsia="宋体" w:hint="default"/>
                <w:spacing w:val="3"/>
                <w:sz w:val="20"/>
                <w:szCs w:val="20"/>
              </w:rPr>
              <w:t>技园区支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9"/>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9"/>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2018/6/28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9"/>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5.02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2018/6/28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4.05%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13.32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12.56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2018/8/27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46.36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43.73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招商银行</w:t>
            </w:r>
            <w:r>
              <w:rPr>
                <w:rFonts w:ascii="宋体" w:hAnsi="宋体" w:cs="宋体" w:eastAsia="宋体" w:hint="default"/>
                <w:w w:val="99"/>
                <w:sz w:val="20"/>
                <w:szCs w:val="20"/>
              </w:rPr>
              <w:t> </w:t>
            </w:r>
            <w:r>
              <w:rPr>
                <w:rFonts w:ascii="宋体" w:hAnsi="宋体" w:cs="宋体" w:eastAsia="宋体" w:hint="default"/>
                <w:sz w:val="20"/>
                <w:szCs w:val="20"/>
              </w:rPr>
              <w:t>望京支行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2,700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2018/6/15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31.29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29.52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招商银行</w:t>
            </w:r>
            <w:r>
              <w:rPr>
                <w:rFonts w:ascii="宋体" w:hAnsi="宋体" w:cs="宋体" w:eastAsia="宋体" w:hint="default"/>
                <w:w w:val="99"/>
                <w:sz w:val="20"/>
                <w:szCs w:val="20"/>
              </w:rPr>
              <w:t> </w:t>
            </w:r>
            <w:r>
              <w:rPr>
                <w:rFonts w:ascii="宋体" w:hAnsi="宋体" w:cs="宋体" w:eastAsia="宋体" w:hint="default"/>
                <w:sz w:val="20"/>
                <w:szCs w:val="20"/>
              </w:rPr>
              <w:t>望京支行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300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2018/6/15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7"/>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3.28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2018/6/29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47.34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44.66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z w:val="20"/>
                <w:szCs w:val="20"/>
              </w:rPr>
              <w:t>双秀支行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2018/8/8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3.90%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18.70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17.64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pacing w:val="3"/>
                <w:sz w:val="20"/>
                <w:szCs w:val="20"/>
              </w:rPr>
              <w:t>中关村科</w:t>
            </w:r>
            <w:r>
              <w:rPr>
                <w:rFonts w:ascii="宋体" w:hAnsi="宋体" w:cs="宋体" w:eastAsia="宋体" w:hint="default"/>
                <w:w w:val="99"/>
                <w:sz w:val="20"/>
                <w:szCs w:val="20"/>
              </w:rPr>
              <w:t> </w:t>
            </w:r>
            <w:r>
              <w:rPr>
                <w:rFonts w:ascii="宋体" w:hAnsi="宋体" w:cs="宋体" w:eastAsia="宋体" w:hint="default"/>
                <w:spacing w:val="3"/>
                <w:sz w:val="20"/>
                <w:szCs w:val="20"/>
              </w:rPr>
              <w:t>技园区支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2018/8/10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5.02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2018/7/27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2018/10/2</w:t>
            </w:r>
          </w:p>
          <w:p>
            <w:pPr>
              <w:pStyle w:val="TableParagraph"/>
              <w:spacing w:line="240" w:lineRule="auto" w:before="82"/>
              <w:ind w:left="31"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4.60%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45.37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42.80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z w:val="20"/>
                <w:szCs w:val="20"/>
              </w:rPr>
              <w:t>双秀支行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2018/9/13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3.65%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16.98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pacing w:val="3"/>
                <w:sz w:val="20"/>
                <w:szCs w:val="20"/>
              </w:rPr>
              <w:t>中关村科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2018/8/17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2018/9/21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spacing w:val="-1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right"/>
              <w:rPr>
                <w:rFonts w:ascii="Times New Roman" w:hAnsi="Times New Roman" w:cs="Times New Roman" w:eastAsia="Times New Roman" w:hint="default"/>
                <w:sz w:val="20"/>
                <w:szCs w:val="20"/>
              </w:rPr>
            </w:pPr>
            <w:r>
              <w:rPr>
                <w:rFonts w:ascii="Times New Roman"/>
                <w:sz w:val="20"/>
              </w:rPr>
              <w:t>3.65%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right"/>
              <w:rPr>
                <w:rFonts w:ascii="Times New Roman" w:hAnsi="Times New Roman" w:cs="Times New Roman" w:eastAsia="Times New Roman" w:hint="default"/>
                <w:sz w:val="20"/>
                <w:szCs w:val="20"/>
              </w:rPr>
            </w:pPr>
            <w:r>
              <w:rPr>
                <w:rFonts w:ascii="Times New Roman"/>
                <w:sz w:val="20"/>
              </w:rPr>
              <w:t>5.25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right"/>
              <w:rPr>
                <w:rFonts w:ascii="Times New Roman" w:hAnsi="Times New Roman" w:cs="Times New Roman" w:eastAsia="Times New Roman" w:hint="default"/>
                <w:sz w:val="20"/>
                <w:szCs w:val="20"/>
              </w:rPr>
            </w:pPr>
            <w:r>
              <w:rPr>
                <w:rFonts w:ascii="Times New Roman"/>
                <w:sz w:val="20"/>
              </w:rPr>
              <w:t>4.61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77" w:footer="979" w:top="1100" w:bottom="1160" w:left="2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852"/>
        <w:gridCol w:w="427"/>
        <w:gridCol w:w="850"/>
        <w:gridCol w:w="708"/>
        <w:gridCol w:w="591"/>
        <w:gridCol w:w="994"/>
        <w:gridCol w:w="850"/>
        <w:gridCol w:w="1152"/>
        <w:gridCol w:w="566"/>
        <w:gridCol w:w="711"/>
        <w:gridCol w:w="758"/>
        <w:gridCol w:w="566"/>
        <w:gridCol w:w="427"/>
        <w:gridCol w:w="425"/>
        <w:gridCol w:w="566"/>
        <w:gridCol w:w="425"/>
        <w:gridCol w:w="425"/>
      </w:tblGrid>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技园区支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 w:right="0"/>
              <w:jc w:val="left"/>
              <w:rPr>
                <w:rFonts w:ascii="宋体" w:hAnsi="宋体" w:cs="宋体" w:eastAsia="宋体" w:hint="default"/>
                <w:sz w:val="20"/>
                <w:szCs w:val="20"/>
              </w:rPr>
            </w:pP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3" w:right="0"/>
              <w:jc w:val="left"/>
              <w:rPr>
                <w:rFonts w:ascii="宋体" w:hAnsi="宋体" w:cs="宋体" w:eastAsia="宋体" w:hint="default"/>
                <w:sz w:val="20"/>
                <w:szCs w:val="20"/>
              </w:rPr>
            </w:pPr>
            <w:r>
              <w:rPr>
                <w:rFonts w:ascii="宋体" w:hAnsi="宋体" w:cs="宋体" w:eastAsia="宋体" w:hint="default"/>
                <w:w w:val="99"/>
                <w:sz w:val="20"/>
                <w:szCs w:val="20"/>
              </w:rPr>
              <w:t>回</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2018/8/28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2018/11/2</w:t>
            </w:r>
          </w:p>
          <w:p>
            <w:pPr>
              <w:pStyle w:val="TableParagraph"/>
              <w:spacing w:line="240" w:lineRule="auto" w:before="82"/>
              <w:ind w:left="31"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4.35%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42.90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40.48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招商银行</w:t>
            </w:r>
            <w:r>
              <w:rPr>
                <w:rFonts w:ascii="宋体" w:hAnsi="宋体" w:cs="宋体" w:eastAsia="宋体" w:hint="default"/>
                <w:w w:val="99"/>
                <w:sz w:val="20"/>
                <w:szCs w:val="20"/>
              </w:rPr>
              <w:t> </w:t>
            </w:r>
            <w:r>
              <w:rPr>
                <w:rFonts w:ascii="宋体" w:hAnsi="宋体" w:cs="宋体" w:eastAsia="宋体" w:hint="default"/>
                <w:sz w:val="20"/>
                <w:szCs w:val="20"/>
              </w:rPr>
              <w:t>望京支行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2,700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2018/12/1</w:t>
            </w:r>
          </w:p>
          <w:p>
            <w:pPr>
              <w:pStyle w:val="TableParagraph"/>
              <w:spacing w:line="240" w:lineRule="auto" w:before="82"/>
              <w:ind w:left="31" w:right="0"/>
              <w:jc w:val="lef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3.85%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25.92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24.45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招商银行</w:t>
            </w:r>
            <w:r>
              <w:rPr>
                <w:rFonts w:ascii="宋体" w:hAnsi="宋体" w:cs="宋体" w:eastAsia="宋体" w:hint="default"/>
                <w:w w:val="99"/>
                <w:sz w:val="20"/>
                <w:szCs w:val="20"/>
              </w:rPr>
              <w:t> </w:t>
            </w:r>
            <w:r>
              <w:rPr>
                <w:rFonts w:ascii="宋体" w:hAnsi="宋体" w:cs="宋体" w:eastAsia="宋体" w:hint="default"/>
                <w:sz w:val="20"/>
                <w:szCs w:val="20"/>
              </w:rPr>
              <w:t>望京支行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300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4" w:right="0"/>
              <w:jc w:val="left"/>
              <w:rPr>
                <w:rFonts w:ascii="Times New Roman" w:hAnsi="Times New Roman" w:cs="Times New Roman" w:eastAsia="Times New Roman" w:hint="default"/>
                <w:sz w:val="20"/>
                <w:szCs w:val="20"/>
              </w:rPr>
            </w:pPr>
            <w:r>
              <w:rPr>
                <w:rFonts w:ascii="Times New Roman"/>
                <w:sz w:val="20"/>
              </w:rPr>
              <w:t>2018/12/1</w:t>
            </w:r>
          </w:p>
          <w:p>
            <w:pPr>
              <w:pStyle w:val="TableParagraph"/>
              <w:spacing w:line="240" w:lineRule="auto" w:before="82"/>
              <w:ind w:left="31" w:right="0"/>
              <w:jc w:val="lef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3.85%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2.88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2.72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z w:val="20"/>
                <w:szCs w:val="20"/>
              </w:rPr>
              <w:t>双秀支行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2018/10/2</w:t>
            </w:r>
          </w:p>
          <w:p>
            <w:pPr>
              <w:pStyle w:val="TableParagraph"/>
              <w:spacing w:line="240" w:lineRule="auto" w:before="82"/>
              <w:ind w:left="31"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16.78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15.83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北京银行</w:t>
            </w:r>
            <w:r>
              <w:rPr>
                <w:rFonts w:ascii="宋体" w:hAnsi="宋体" w:cs="宋体" w:eastAsia="宋体" w:hint="default"/>
                <w:w w:val="99"/>
                <w:sz w:val="20"/>
                <w:szCs w:val="20"/>
              </w:rPr>
              <w:t> </w:t>
            </w:r>
            <w:r>
              <w:rPr>
                <w:rFonts w:ascii="宋体" w:hAnsi="宋体" w:cs="宋体" w:eastAsia="宋体" w:hint="default"/>
                <w:spacing w:val="3"/>
                <w:sz w:val="20"/>
                <w:szCs w:val="20"/>
              </w:rPr>
              <w:t>中关村科</w:t>
            </w:r>
            <w:r>
              <w:rPr>
                <w:rFonts w:ascii="宋体" w:hAnsi="宋体" w:cs="宋体" w:eastAsia="宋体" w:hint="default"/>
                <w:w w:val="99"/>
                <w:sz w:val="20"/>
                <w:szCs w:val="20"/>
              </w:rPr>
              <w:t> </w:t>
            </w:r>
            <w:r>
              <w:rPr>
                <w:rFonts w:ascii="宋体" w:hAnsi="宋体" w:cs="宋体" w:eastAsia="宋体" w:hint="default"/>
                <w:spacing w:val="3"/>
                <w:sz w:val="20"/>
                <w:szCs w:val="20"/>
              </w:rPr>
              <w:t>技园区支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2" w:hanging="27"/>
              <w:jc w:val="left"/>
              <w:rPr>
                <w:rFonts w:ascii="宋体" w:hAnsi="宋体" w:cs="宋体" w:eastAsia="宋体" w:hint="default"/>
                <w:sz w:val="20"/>
                <w:szCs w:val="20"/>
              </w:rPr>
            </w:pPr>
            <w:r>
              <w:rPr>
                <w:rFonts w:ascii="宋体" w:hAnsi="宋体" w:cs="宋体" w:eastAsia="宋体" w:hint="default"/>
                <w:sz w:val="20"/>
                <w:szCs w:val="20"/>
              </w:rPr>
              <w:t>募</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2018/10/2</w:t>
            </w:r>
          </w:p>
          <w:p>
            <w:pPr>
              <w:pStyle w:val="TableParagraph"/>
              <w:spacing w:line="240" w:lineRule="auto" w:before="82"/>
              <w:ind w:left="31"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3.40%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4.89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4.61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2,000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2018/12/2</w:t>
            </w:r>
          </w:p>
          <w:p>
            <w:pPr>
              <w:pStyle w:val="TableParagraph"/>
              <w:spacing w:line="240" w:lineRule="auto" w:before="82"/>
              <w:ind w:left="31" w:right="0"/>
              <w:jc w:val="lef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19.73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18.61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招商银行</w:t>
            </w:r>
            <w:r>
              <w:rPr>
                <w:rFonts w:ascii="宋体" w:hAnsi="宋体" w:cs="宋体" w:eastAsia="宋体" w:hint="default"/>
                <w:w w:val="99"/>
                <w:sz w:val="20"/>
                <w:szCs w:val="20"/>
              </w:rPr>
              <w:t> </w:t>
            </w:r>
            <w:r>
              <w:rPr>
                <w:rFonts w:ascii="宋体" w:hAnsi="宋体" w:cs="宋体" w:eastAsia="宋体" w:hint="default"/>
                <w:sz w:val="20"/>
                <w:szCs w:val="20"/>
              </w:rPr>
              <w:t>望京支行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3,000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2018/10/26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2019/1/25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28.42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未到</w:t>
            </w:r>
            <w:r>
              <w:rPr>
                <w:rFonts w:ascii="宋体" w:hAnsi="宋体" w:cs="宋体" w:eastAsia="宋体" w:hint="default"/>
                <w:spacing w:val="9"/>
                <w:w w:val="99"/>
                <w:sz w:val="20"/>
                <w:szCs w:val="20"/>
              </w:rPr>
              <w:t> </w:t>
            </w:r>
            <w:r>
              <w:rPr>
                <w:rFonts w:ascii="宋体" w:hAnsi="宋体" w:cs="宋体" w:eastAsia="宋体" w:hint="default"/>
                <w:sz w:val="20"/>
                <w:szCs w:val="20"/>
              </w:rPr>
              <w:t>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招商银行</w:t>
            </w:r>
            <w:r>
              <w:rPr>
                <w:rFonts w:ascii="宋体" w:hAnsi="宋体" w:cs="宋体" w:eastAsia="宋体" w:hint="default"/>
                <w:w w:val="99"/>
                <w:sz w:val="20"/>
                <w:szCs w:val="20"/>
              </w:rPr>
              <w:t> </w:t>
            </w:r>
            <w:r>
              <w:rPr>
                <w:rFonts w:ascii="宋体" w:hAnsi="宋体" w:cs="宋体" w:eastAsia="宋体" w:hint="default"/>
                <w:sz w:val="20"/>
                <w:szCs w:val="20"/>
              </w:rPr>
              <w:t>望京支行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2019/5/14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3.97%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78.75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未到</w:t>
            </w:r>
            <w:r>
              <w:rPr>
                <w:rFonts w:ascii="宋体" w:hAnsi="宋体" w:cs="宋体" w:eastAsia="宋体" w:hint="default"/>
                <w:spacing w:val="9"/>
                <w:w w:val="99"/>
                <w:sz w:val="20"/>
                <w:szCs w:val="20"/>
              </w:rPr>
              <w:t> </w:t>
            </w:r>
            <w:r>
              <w:rPr>
                <w:rFonts w:ascii="宋体" w:hAnsi="宋体" w:cs="宋体" w:eastAsia="宋体" w:hint="default"/>
                <w:sz w:val="20"/>
                <w:szCs w:val="20"/>
              </w:rPr>
              <w:t>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4,000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2018/11/27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2019/2/25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4.10%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40.44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未到</w:t>
            </w:r>
            <w:r>
              <w:rPr>
                <w:rFonts w:ascii="宋体" w:hAnsi="宋体" w:cs="宋体" w:eastAsia="宋体" w:hint="default"/>
                <w:spacing w:val="9"/>
                <w:w w:val="99"/>
                <w:sz w:val="20"/>
                <w:szCs w:val="20"/>
              </w:rPr>
              <w:t> </w:t>
            </w:r>
            <w:r>
              <w:rPr>
                <w:rFonts w:ascii="宋体" w:hAnsi="宋体" w:cs="宋体" w:eastAsia="宋体" w:hint="default"/>
                <w:sz w:val="20"/>
                <w:szCs w:val="20"/>
              </w:rPr>
              <w:t>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2019/3/4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4.10%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50.55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未到</w:t>
            </w:r>
            <w:r>
              <w:rPr>
                <w:rFonts w:ascii="宋体" w:hAnsi="宋体" w:cs="宋体" w:eastAsia="宋体" w:hint="default"/>
                <w:spacing w:val="9"/>
                <w:w w:val="99"/>
                <w:sz w:val="20"/>
                <w:szCs w:val="20"/>
              </w:rPr>
              <w:t> </w:t>
            </w:r>
            <w:r>
              <w:rPr>
                <w:rFonts w:ascii="宋体" w:hAnsi="宋体" w:cs="宋体" w:eastAsia="宋体" w:hint="default"/>
                <w:sz w:val="20"/>
                <w:szCs w:val="20"/>
              </w:rPr>
              <w:t>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both"/>
              <w:rPr>
                <w:rFonts w:ascii="宋体" w:hAnsi="宋体" w:cs="宋体" w:eastAsia="宋体" w:hint="default"/>
                <w:sz w:val="20"/>
                <w:szCs w:val="20"/>
              </w:rPr>
            </w:pPr>
            <w:r>
              <w:rPr>
                <w:rFonts w:ascii="宋体" w:hAnsi="宋体" w:cs="宋体" w:eastAsia="宋体" w:hint="default"/>
                <w:spacing w:val="3"/>
                <w:sz w:val="20"/>
                <w:szCs w:val="20"/>
              </w:rPr>
              <w:t>广发银行</w:t>
            </w:r>
            <w:r>
              <w:rPr>
                <w:rFonts w:ascii="宋体" w:hAnsi="宋体" w:cs="宋体" w:eastAsia="宋体" w:hint="default"/>
                <w:w w:val="99"/>
                <w:sz w:val="20"/>
                <w:szCs w:val="20"/>
              </w:rPr>
              <w:t> </w:t>
            </w:r>
            <w:r>
              <w:rPr>
                <w:rFonts w:ascii="宋体" w:hAnsi="宋体" w:cs="宋体" w:eastAsia="宋体" w:hint="default"/>
                <w:spacing w:val="3"/>
                <w:sz w:val="20"/>
                <w:szCs w:val="20"/>
              </w:rPr>
              <w:t>北京海淀</w:t>
            </w:r>
            <w:r>
              <w:rPr>
                <w:rFonts w:ascii="宋体" w:hAnsi="宋体" w:cs="宋体" w:eastAsia="宋体" w:hint="default"/>
                <w:w w:val="99"/>
                <w:sz w:val="20"/>
                <w:szCs w:val="20"/>
              </w:rPr>
              <w:t> </w:t>
            </w:r>
            <w:r>
              <w:rPr>
                <w:rFonts w:ascii="宋体" w:hAnsi="宋体" w:cs="宋体" w:eastAsia="宋体" w:hint="default"/>
                <w:sz w:val="20"/>
                <w:szCs w:val="20"/>
              </w:rPr>
              <w:t>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5,000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2019/3/26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51.78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未到</w:t>
            </w:r>
            <w:r>
              <w:rPr>
                <w:rFonts w:ascii="宋体" w:hAnsi="宋体" w:cs="宋体" w:eastAsia="宋体" w:hint="default"/>
                <w:spacing w:val="9"/>
                <w:w w:val="99"/>
                <w:sz w:val="20"/>
                <w:szCs w:val="20"/>
              </w:rPr>
              <w:t> </w:t>
            </w:r>
            <w:r>
              <w:rPr>
                <w:rFonts w:ascii="宋体" w:hAnsi="宋体" w:cs="宋体" w:eastAsia="宋体" w:hint="default"/>
                <w:sz w:val="20"/>
                <w:szCs w:val="20"/>
              </w:rPr>
              <w:t>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2017/12/13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6.47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2"/>
                <w:sz w:val="20"/>
              </w:rPr>
              <w:t>6.11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2017/12/20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4.07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63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31" w:right="0"/>
              <w:jc w:val="left"/>
              <w:rPr>
                <w:rFonts w:ascii="Times New Roman" w:hAnsi="Times New Roman" w:cs="Times New Roman" w:eastAsia="Times New Roman" w:hint="default"/>
                <w:sz w:val="20"/>
                <w:szCs w:val="20"/>
              </w:rPr>
            </w:pPr>
            <w:r>
              <w:rPr>
                <w:rFonts w:ascii="Times New Roman"/>
                <w:sz w:val="20"/>
              </w:rPr>
              <w:t>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2017/12/27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2018/1/31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spacing w:val="-1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right"/>
              <w:rPr>
                <w:rFonts w:ascii="Times New Roman" w:hAnsi="Times New Roman" w:cs="Times New Roman" w:eastAsia="Times New Roman" w:hint="default"/>
                <w:sz w:val="20"/>
                <w:szCs w:val="20"/>
              </w:rPr>
            </w:pPr>
            <w:r>
              <w:rPr>
                <w:rFonts w:ascii="Times New Roman"/>
                <w:sz w:val="20"/>
              </w:rPr>
              <w:t>4.80%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right"/>
              <w:rPr>
                <w:rFonts w:ascii="Times New Roman" w:hAnsi="Times New Roman" w:cs="Times New Roman" w:eastAsia="Times New Roman" w:hint="default"/>
                <w:sz w:val="20"/>
                <w:szCs w:val="20"/>
              </w:rPr>
            </w:pPr>
            <w:r>
              <w:rPr>
                <w:rFonts w:ascii="Times New Roman"/>
                <w:sz w:val="20"/>
              </w:rPr>
              <w:t>2.30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right"/>
              <w:rPr>
                <w:rFonts w:ascii="Times New Roman" w:hAnsi="Times New Roman" w:cs="Times New Roman" w:eastAsia="Times New Roman" w:hint="default"/>
                <w:sz w:val="20"/>
                <w:szCs w:val="20"/>
              </w:rPr>
            </w:pPr>
            <w:r>
              <w:rPr>
                <w:rFonts w:ascii="Times New Roman"/>
                <w:sz w:val="20"/>
              </w:rPr>
              <w:t>2.17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77" w:footer="979" w:top="1100" w:bottom="1160" w:left="2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852"/>
        <w:gridCol w:w="427"/>
        <w:gridCol w:w="850"/>
        <w:gridCol w:w="708"/>
        <w:gridCol w:w="591"/>
        <w:gridCol w:w="994"/>
        <w:gridCol w:w="850"/>
        <w:gridCol w:w="1152"/>
        <w:gridCol w:w="566"/>
        <w:gridCol w:w="711"/>
        <w:gridCol w:w="758"/>
        <w:gridCol w:w="566"/>
        <w:gridCol w:w="427"/>
        <w:gridCol w:w="425"/>
        <w:gridCol w:w="566"/>
        <w:gridCol w:w="425"/>
        <w:gridCol w:w="425"/>
      </w:tblGrid>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 w:right="0"/>
              <w:jc w:val="left"/>
              <w:rPr>
                <w:rFonts w:ascii="宋体" w:hAnsi="宋体" w:cs="宋体" w:eastAsia="宋体" w:hint="default"/>
                <w:sz w:val="20"/>
                <w:szCs w:val="20"/>
              </w:rPr>
            </w:pP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3" w:right="0"/>
              <w:jc w:val="left"/>
              <w:rPr>
                <w:rFonts w:ascii="宋体" w:hAnsi="宋体" w:cs="宋体" w:eastAsia="宋体" w:hint="default"/>
                <w:sz w:val="20"/>
                <w:szCs w:val="20"/>
              </w:rPr>
            </w:pPr>
            <w:r>
              <w:rPr>
                <w:rFonts w:ascii="宋体" w:hAnsi="宋体" w:cs="宋体" w:eastAsia="宋体" w:hint="default"/>
                <w:w w:val="99"/>
                <w:sz w:val="20"/>
                <w:szCs w:val="20"/>
              </w:rPr>
              <w:t>回</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6.04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5.70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2018/3/7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4.03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3.84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2018/4/11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4.22%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2.43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2.29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2018/4/11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4.05%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5.50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4.05%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3.88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3.66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1,600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4.15%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6.37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6.01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3.84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3.53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2018/7/4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4.75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700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2018/7/11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2.42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2.22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2018/8/15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5.32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4.75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2018/8/20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2018/9/24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3.30%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4.48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2,000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2018/11/1</w:t>
            </w:r>
          </w:p>
          <w:p>
            <w:pPr>
              <w:pStyle w:val="TableParagraph"/>
              <w:spacing w:line="240" w:lineRule="auto" w:before="82"/>
              <w:ind w:left="31" w:right="0"/>
              <w:jc w:val="lef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6.31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5.79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26" w:right="1"/>
              <w:jc w:val="left"/>
              <w:rPr>
                <w:rFonts w:ascii="宋体" w:hAnsi="宋体" w:cs="宋体" w:eastAsia="宋体" w:hint="default"/>
                <w:sz w:val="20"/>
                <w:szCs w:val="20"/>
              </w:rPr>
            </w:pPr>
            <w:r>
              <w:rPr>
                <w:rFonts w:ascii="宋体" w:hAnsi="宋体" w:cs="宋体" w:eastAsia="宋体" w:hint="default"/>
                <w:spacing w:val="3"/>
                <w:sz w:val="20"/>
                <w:szCs w:val="20"/>
              </w:rPr>
              <w:t>上海银行</w:t>
            </w:r>
            <w:r>
              <w:rPr>
                <w:rFonts w:ascii="宋体" w:hAnsi="宋体" w:cs="宋体" w:eastAsia="宋体" w:hint="default"/>
                <w:w w:val="99"/>
                <w:sz w:val="20"/>
                <w:szCs w:val="20"/>
              </w:rPr>
              <w:t> </w:t>
            </w:r>
            <w:r>
              <w:rPr>
                <w:rFonts w:ascii="宋体" w:hAnsi="宋体" w:cs="宋体" w:eastAsia="宋体" w:hint="default"/>
                <w:sz w:val="20"/>
                <w:szCs w:val="20"/>
              </w:rPr>
              <w:t>徐汇支行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
              <w:jc w:val="right"/>
              <w:rPr>
                <w:rFonts w:ascii="宋体" w:hAnsi="宋体" w:cs="宋体" w:eastAsia="宋体" w:hint="default"/>
                <w:sz w:val="20"/>
                <w:szCs w:val="20"/>
              </w:rPr>
            </w:pPr>
            <w:r>
              <w:rPr>
                <w:rFonts w:ascii="宋体" w:hAnsi="宋体" w:cs="宋体" w:eastAsia="宋体" w:hint="default"/>
                <w:w w:val="95"/>
                <w:sz w:val="20"/>
                <w:szCs w:val="20"/>
              </w:rPr>
              <w:t>银行</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2,000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2018/11/20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4" w:right="0"/>
              <w:jc w:val="left"/>
              <w:rPr>
                <w:rFonts w:ascii="Times New Roman" w:hAnsi="Times New Roman" w:cs="Times New Roman" w:eastAsia="Times New Roman" w:hint="default"/>
                <w:sz w:val="20"/>
                <w:szCs w:val="20"/>
              </w:rPr>
            </w:pPr>
            <w:r>
              <w:rPr>
                <w:rFonts w:ascii="Times New Roman"/>
                <w:sz w:val="20"/>
              </w:rPr>
              <w:t>2018/12/2</w:t>
            </w:r>
          </w:p>
          <w:p>
            <w:pPr>
              <w:pStyle w:val="TableParagraph"/>
              <w:spacing w:line="240" w:lineRule="auto" w:before="82"/>
              <w:ind w:left="31" w:right="0"/>
              <w:jc w:val="lef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6.61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6.42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6" w:right="0"/>
              <w:jc w:val="center"/>
              <w:rPr>
                <w:rFonts w:ascii="宋体" w:hAnsi="宋体" w:cs="宋体" w:eastAsia="宋体" w:hint="default"/>
                <w:sz w:val="20"/>
                <w:szCs w:val="20"/>
              </w:rPr>
            </w:pPr>
            <w:r>
              <w:rPr>
                <w:rFonts w:ascii="宋体" w:hAnsi="宋体" w:cs="宋体" w:eastAsia="宋体" w:hint="default"/>
                <w:sz w:val="20"/>
                <w:szCs w:val="20"/>
              </w:rPr>
              <w:t>上海银行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上海</w:t>
            </w:r>
            <w:r>
              <w:rPr>
                <w:rFonts w:ascii="宋体" w:hAnsi="宋体" w:cs="宋体" w:eastAsia="宋体" w:hint="default"/>
                <w:spacing w:val="9"/>
                <w:w w:val="99"/>
                <w:sz w:val="20"/>
                <w:szCs w:val="20"/>
              </w:rPr>
              <w:t> </w:t>
            </w:r>
            <w:r>
              <w:rPr>
                <w:rFonts w:ascii="宋体" w:hAnsi="宋体" w:cs="宋体" w:eastAsia="宋体" w:hint="default"/>
                <w:sz w:val="20"/>
                <w:szCs w:val="20"/>
              </w:rPr>
              <w:t>银</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1"/>
                <w:sz w:val="20"/>
                <w:szCs w:val="20"/>
              </w:rPr>
              <w:t>封闭式理</w:t>
            </w:r>
            <w:r>
              <w:rPr>
                <w:rFonts w:ascii="宋体" w:hAnsi="宋体" w:cs="宋体" w:eastAsia="宋体" w:hint="default"/>
                <w:spacing w:val="12"/>
                <w:w w:val="99"/>
                <w:sz w:val="20"/>
                <w:szCs w:val="20"/>
              </w:rPr>
              <w:t> </w:t>
            </w:r>
            <w:r>
              <w:rPr>
                <w:rFonts w:ascii="宋体" w:hAnsi="宋体" w:cs="宋体" w:eastAsia="宋体" w:hint="default"/>
                <w:sz w:val="20"/>
                <w:szCs w:val="20"/>
              </w:rPr>
              <w:t>财产品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2018/3/14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4.42%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4.24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4.12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 w:right="0"/>
              <w:jc w:val="center"/>
              <w:rPr>
                <w:rFonts w:ascii="宋体" w:hAnsi="宋体" w:cs="宋体" w:eastAsia="宋体" w:hint="default"/>
                <w:sz w:val="20"/>
                <w:szCs w:val="20"/>
              </w:rPr>
            </w:pPr>
            <w:r>
              <w:rPr>
                <w:rFonts w:ascii="宋体" w:hAnsi="宋体" w:cs="宋体" w:eastAsia="宋体" w:hint="default"/>
                <w:sz w:val="20"/>
                <w:szCs w:val="20"/>
              </w:rPr>
              <w:t>上海银行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8"/>
              <w:jc w:val="right"/>
              <w:rPr>
                <w:rFonts w:ascii="宋体" w:hAnsi="宋体" w:cs="宋体" w:eastAsia="宋体" w:hint="default"/>
                <w:sz w:val="20"/>
                <w:szCs w:val="20"/>
              </w:rPr>
            </w:pPr>
            <w:r>
              <w:rPr>
                <w:rFonts w:ascii="宋体" w:hAnsi="宋体" w:cs="宋体" w:eastAsia="宋体" w:hint="default"/>
                <w:spacing w:val="9"/>
                <w:w w:val="95"/>
                <w:sz w:val="20"/>
                <w:szCs w:val="20"/>
              </w:rPr>
              <w:t>上海</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10"/>
              <w:jc w:val="left"/>
              <w:rPr>
                <w:rFonts w:ascii="宋体" w:hAnsi="宋体" w:cs="宋体" w:eastAsia="宋体" w:hint="default"/>
                <w:sz w:val="20"/>
                <w:szCs w:val="20"/>
              </w:rPr>
            </w:pPr>
            <w:r>
              <w:rPr>
                <w:rFonts w:ascii="宋体" w:hAnsi="宋体" w:cs="宋体" w:eastAsia="宋体" w:hint="default"/>
                <w:spacing w:val="12"/>
                <w:sz w:val="20"/>
                <w:szCs w:val="20"/>
              </w:rPr>
              <w:t>封闭式理</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2018/3/21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2018/4/25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7"/>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4.27%</w:t>
            </w:r>
          </w:p>
        </w:tc>
        <w:tc>
          <w:tcPr>
            <w:tcW w:w="7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 w:right="-8"/>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after="0" w:line="256" w:lineRule="exact"/>
        <w:jc w:val="left"/>
        <w:rPr>
          <w:rFonts w:ascii="宋体" w:hAnsi="宋体" w:cs="宋体" w:eastAsia="宋体" w:hint="default"/>
          <w:sz w:val="20"/>
          <w:szCs w:val="20"/>
        </w:rPr>
        <w:sectPr>
          <w:pgSz w:w="11910" w:h="16840"/>
          <w:pgMar w:header="877" w:footer="979" w:top="1100" w:bottom="1160" w:left="2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852"/>
        <w:gridCol w:w="427"/>
        <w:gridCol w:w="850"/>
        <w:gridCol w:w="708"/>
        <w:gridCol w:w="591"/>
        <w:gridCol w:w="994"/>
        <w:gridCol w:w="850"/>
        <w:gridCol w:w="1152"/>
        <w:gridCol w:w="566"/>
        <w:gridCol w:w="711"/>
        <w:gridCol w:w="758"/>
        <w:gridCol w:w="566"/>
        <w:gridCol w:w="427"/>
        <w:gridCol w:w="425"/>
        <w:gridCol w:w="566"/>
        <w:gridCol w:w="425"/>
        <w:gridCol w:w="425"/>
      </w:tblGrid>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182"/>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 w:right="0"/>
              <w:jc w:val="left"/>
              <w:rPr>
                <w:rFonts w:ascii="宋体" w:hAnsi="宋体" w:cs="宋体" w:eastAsia="宋体" w:hint="default"/>
                <w:sz w:val="20"/>
                <w:szCs w:val="20"/>
              </w:rPr>
            </w:pPr>
            <w:r>
              <w:rPr>
                <w:rFonts w:ascii="宋体" w:hAnsi="宋体" w:cs="宋体" w:eastAsia="宋体" w:hint="default"/>
                <w:sz w:val="20"/>
                <w:szCs w:val="20"/>
              </w:rPr>
              <w:t>财产品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1" w:right="0"/>
              <w:jc w:val="left"/>
              <w:rPr>
                <w:rFonts w:ascii="Times New Roman" w:hAnsi="Times New Roman" w:cs="Times New Roman" w:eastAsia="Times New Roman" w:hint="default"/>
                <w:sz w:val="20"/>
                <w:szCs w:val="20"/>
              </w:rPr>
            </w:pPr>
            <w:r>
              <w:rPr>
                <w:rFonts w:ascii="Times New Roman"/>
                <w:sz w:val="20"/>
              </w:rPr>
              <w:t>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 w:right="0"/>
              <w:jc w:val="left"/>
              <w:rPr>
                <w:rFonts w:ascii="宋体" w:hAnsi="宋体" w:cs="宋体" w:eastAsia="宋体" w:hint="default"/>
                <w:sz w:val="20"/>
                <w:szCs w:val="20"/>
              </w:rPr>
            </w:pP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jc w:val="left"/>
              <w:rPr>
                <w:rFonts w:ascii="宋体" w:hAnsi="宋体" w:cs="宋体" w:eastAsia="宋体" w:hint="default"/>
                <w:sz w:val="20"/>
                <w:szCs w:val="20"/>
              </w:rPr>
            </w:pPr>
            <w:r>
              <w:rPr>
                <w:rFonts w:ascii="宋体" w:hAnsi="宋体" w:cs="宋体" w:eastAsia="宋体" w:hint="default"/>
                <w:spacing w:val="-15"/>
                <w:w w:val="99"/>
                <w:sz w:val="20"/>
                <w:szCs w:val="20"/>
              </w:rPr>
              <w:t>具、债券等金</w:t>
            </w:r>
            <w:r>
              <w:rPr>
                <w:rFonts w:ascii="宋体" w:hAnsi="宋体" w:cs="宋体" w:eastAsia="宋体" w:hint="default"/>
                <w:spacing w:val="-97"/>
                <w:w w:val="99"/>
                <w:sz w:val="20"/>
                <w:szCs w:val="20"/>
              </w:rPr>
              <w:t> </w:t>
            </w:r>
            <w:r>
              <w:rPr>
                <w:rFonts w:ascii="宋体" w:hAnsi="宋体" w:cs="宋体" w:eastAsia="宋体" w:hint="default"/>
                <w:spacing w:val="-97"/>
                <w:w w:val="99"/>
                <w:sz w:val="20"/>
                <w:szCs w:val="20"/>
              </w:rPr>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z w:val="20"/>
              </w:rPr>
              <w:t>2.05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0"/>
                <w:szCs w:val="20"/>
              </w:rPr>
            </w:pPr>
            <w:r>
              <w:rPr>
                <w:rFonts w:ascii="Times New Roman"/>
                <w:sz w:val="20"/>
              </w:rPr>
              <w:t>1.99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182"/>
              <w:jc w:val="left"/>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26" w:right="0"/>
              <w:jc w:val="left"/>
              <w:rPr>
                <w:rFonts w:ascii="宋体" w:hAnsi="宋体" w:cs="宋体" w:eastAsia="宋体" w:hint="default"/>
                <w:sz w:val="20"/>
                <w:szCs w:val="20"/>
              </w:rPr>
            </w:pPr>
            <w:r>
              <w:rPr>
                <w:rFonts w:ascii="宋体" w:hAnsi="宋体" w:cs="宋体" w:eastAsia="宋体" w:hint="default"/>
                <w:sz w:val="20"/>
                <w:szCs w:val="20"/>
              </w:rPr>
              <w:t>上海银行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上海</w:t>
            </w:r>
            <w:r>
              <w:rPr>
                <w:rFonts w:ascii="宋体" w:hAnsi="宋体" w:cs="宋体" w:eastAsia="宋体" w:hint="default"/>
                <w:spacing w:val="9"/>
                <w:w w:val="99"/>
                <w:sz w:val="20"/>
                <w:szCs w:val="20"/>
              </w:rPr>
              <w:t> </w:t>
            </w:r>
            <w:r>
              <w:rPr>
                <w:rFonts w:ascii="宋体" w:hAnsi="宋体" w:cs="宋体" w:eastAsia="宋体" w:hint="default"/>
                <w:sz w:val="20"/>
                <w:szCs w:val="20"/>
              </w:rPr>
              <w:t>银</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封闭式理</w:t>
            </w:r>
            <w:r>
              <w:rPr>
                <w:rFonts w:ascii="宋体" w:hAnsi="宋体" w:cs="宋体" w:eastAsia="宋体" w:hint="default"/>
                <w:spacing w:val="12"/>
                <w:w w:val="99"/>
                <w:sz w:val="20"/>
                <w:szCs w:val="20"/>
              </w:rPr>
              <w:t> </w:t>
            </w:r>
            <w:r>
              <w:rPr>
                <w:rFonts w:ascii="宋体" w:hAnsi="宋体" w:cs="宋体" w:eastAsia="宋体" w:hint="default"/>
                <w:sz w:val="20"/>
                <w:szCs w:val="20"/>
              </w:rPr>
              <w:t>财产品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700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2018/4/11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2018/5/16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4.32%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2.90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2.82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26" w:right="0"/>
              <w:jc w:val="left"/>
              <w:rPr>
                <w:rFonts w:ascii="宋体" w:hAnsi="宋体" w:cs="宋体" w:eastAsia="宋体" w:hint="default"/>
                <w:sz w:val="20"/>
                <w:szCs w:val="20"/>
              </w:rPr>
            </w:pPr>
            <w:r>
              <w:rPr>
                <w:rFonts w:ascii="宋体" w:hAnsi="宋体" w:cs="宋体" w:eastAsia="宋体" w:hint="default"/>
                <w:sz w:val="20"/>
                <w:szCs w:val="20"/>
              </w:rPr>
              <w:t>上海银行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上海</w:t>
            </w:r>
            <w:r>
              <w:rPr>
                <w:rFonts w:ascii="宋体" w:hAnsi="宋体" w:cs="宋体" w:eastAsia="宋体" w:hint="default"/>
                <w:spacing w:val="9"/>
                <w:w w:val="99"/>
                <w:sz w:val="20"/>
                <w:szCs w:val="20"/>
              </w:rPr>
              <w:t> </w:t>
            </w:r>
            <w:r>
              <w:rPr>
                <w:rFonts w:ascii="宋体" w:hAnsi="宋体" w:cs="宋体" w:eastAsia="宋体" w:hint="default"/>
                <w:sz w:val="20"/>
                <w:szCs w:val="20"/>
              </w:rPr>
              <w:t>银</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封闭式理</w:t>
            </w:r>
            <w:r>
              <w:rPr>
                <w:rFonts w:ascii="宋体" w:hAnsi="宋体" w:cs="宋体" w:eastAsia="宋体" w:hint="default"/>
                <w:spacing w:val="12"/>
                <w:w w:val="99"/>
                <w:sz w:val="20"/>
                <w:szCs w:val="20"/>
              </w:rPr>
              <w:t> </w:t>
            </w:r>
            <w:r>
              <w:rPr>
                <w:rFonts w:ascii="宋体" w:hAnsi="宋体" w:cs="宋体" w:eastAsia="宋体" w:hint="default"/>
                <w:sz w:val="20"/>
                <w:szCs w:val="20"/>
              </w:rPr>
              <w:t>财产品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400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2018/6/13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2018/7/18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1.34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1.30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6" w:right="0"/>
              <w:jc w:val="left"/>
              <w:rPr>
                <w:rFonts w:ascii="宋体" w:hAnsi="宋体" w:cs="宋体" w:eastAsia="宋体" w:hint="default"/>
                <w:sz w:val="20"/>
                <w:szCs w:val="20"/>
              </w:rPr>
            </w:pPr>
            <w:r>
              <w:rPr>
                <w:rFonts w:ascii="宋体" w:hAnsi="宋体" w:cs="宋体" w:eastAsia="宋体" w:hint="default"/>
                <w:sz w:val="20"/>
                <w:szCs w:val="20"/>
              </w:rPr>
              <w:t>上海银行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上海</w:t>
            </w:r>
            <w:r>
              <w:rPr>
                <w:rFonts w:ascii="宋体" w:hAnsi="宋体" w:cs="宋体" w:eastAsia="宋体" w:hint="default"/>
                <w:spacing w:val="9"/>
                <w:w w:val="99"/>
                <w:sz w:val="20"/>
                <w:szCs w:val="20"/>
              </w:rPr>
              <w:t> </w:t>
            </w:r>
            <w:r>
              <w:rPr>
                <w:rFonts w:ascii="宋体" w:hAnsi="宋体" w:cs="宋体" w:eastAsia="宋体" w:hint="default"/>
                <w:sz w:val="20"/>
                <w:szCs w:val="20"/>
              </w:rPr>
              <w:t>银</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封闭式理</w:t>
            </w:r>
            <w:r>
              <w:rPr>
                <w:rFonts w:ascii="宋体" w:hAnsi="宋体" w:cs="宋体" w:eastAsia="宋体" w:hint="default"/>
                <w:spacing w:val="12"/>
                <w:w w:val="99"/>
                <w:sz w:val="20"/>
                <w:szCs w:val="20"/>
              </w:rPr>
              <w:t> </w:t>
            </w:r>
            <w:r>
              <w:rPr>
                <w:rFonts w:ascii="宋体" w:hAnsi="宋体" w:cs="宋体" w:eastAsia="宋体" w:hint="default"/>
                <w:sz w:val="20"/>
                <w:szCs w:val="20"/>
              </w:rPr>
              <w:t>财产品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200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2018/8/8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3.60%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0.69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0.67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26" w:right="0"/>
              <w:jc w:val="left"/>
              <w:rPr>
                <w:rFonts w:ascii="宋体" w:hAnsi="宋体" w:cs="宋体" w:eastAsia="宋体" w:hint="default"/>
                <w:sz w:val="20"/>
                <w:szCs w:val="20"/>
              </w:rPr>
            </w:pPr>
            <w:r>
              <w:rPr>
                <w:rFonts w:ascii="宋体" w:hAnsi="宋体" w:cs="宋体" w:eastAsia="宋体" w:hint="default"/>
                <w:sz w:val="20"/>
                <w:szCs w:val="20"/>
              </w:rPr>
              <w:t>招商银行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招商</w:t>
            </w:r>
            <w:r>
              <w:rPr>
                <w:rFonts w:ascii="宋体" w:hAnsi="宋体" w:cs="宋体" w:eastAsia="宋体" w:hint="default"/>
                <w:spacing w:val="9"/>
                <w:w w:val="99"/>
                <w:sz w:val="20"/>
                <w:szCs w:val="20"/>
              </w:rPr>
              <w:t> </w:t>
            </w:r>
            <w:r>
              <w:rPr>
                <w:rFonts w:ascii="宋体" w:hAnsi="宋体" w:cs="宋体" w:eastAsia="宋体" w:hint="default"/>
                <w:sz w:val="20"/>
                <w:szCs w:val="20"/>
              </w:rPr>
              <w:t>银</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10" w:hanging="27"/>
              <w:jc w:val="left"/>
              <w:rPr>
                <w:rFonts w:ascii="宋体" w:hAnsi="宋体" w:cs="宋体" w:eastAsia="宋体" w:hint="default"/>
                <w:sz w:val="20"/>
                <w:szCs w:val="20"/>
              </w:rPr>
            </w:pPr>
            <w:r>
              <w:rPr>
                <w:rFonts w:ascii="宋体" w:hAnsi="宋体" w:cs="宋体" w:eastAsia="宋体" w:hint="default"/>
                <w:spacing w:val="12"/>
                <w:sz w:val="20"/>
                <w:szCs w:val="20"/>
              </w:rPr>
              <w:t>保本浮动</w:t>
            </w:r>
            <w:r>
              <w:rPr>
                <w:rFonts w:ascii="宋体" w:hAnsi="宋体" w:cs="宋体" w:eastAsia="宋体" w:hint="default"/>
                <w:spacing w:val="12"/>
                <w:w w:val="99"/>
                <w:sz w:val="20"/>
                <w:szCs w:val="20"/>
              </w:rPr>
              <w:t> </w:t>
            </w:r>
            <w:r>
              <w:rPr>
                <w:rFonts w:ascii="宋体" w:hAnsi="宋体" w:cs="宋体" w:eastAsia="宋体" w:hint="default"/>
                <w:sz w:val="20"/>
                <w:szCs w:val="20"/>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1,500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2" w:hanging="27"/>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2018/1/9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1" w:right="0" w:hanging="27"/>
              <w:jc w:val="both"/>
              <w:rPr>
                <w:rFonts w:ascii="宋体" w:hAnsi="宋体" w:cs="宋体" w:eastAsia="宋体" w:hint="default"/>
                <w:sz w:val="20"/>
                <w:szCs w:val="20"/>
              </w:rPr>
            </w:pPr>
            <w:r>
              <w:rPr>
                <w:rFonts w:ascii="宋体" w:hAnsi="宋体" w:cs="宋体" w:eastAsia="宋体" w:hint="default"/>
                <w:sz w:val="20"/>
                <w:szCs w:val="20"/>
              </w:rPr>
              <w:t>货</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5"/>
                <w:w w:val="99"/>
                <w:sz w:val="20"/>
                <w:szCs w:val="20"/>
              </w:rPr>
              <w:t>具、债券等金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31" w:right="0" w:hanging="2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4.40%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z w:val="20"/>
              </w:rPr>
              <w:t>0.72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19.45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3" w:right="-8" w:hanging="27"/>
              <w:jc w:val="left"/>
              <w:rPr>
                <w:rFonts w:ascii="宋体" w:hAnsi="宋体" w:cs="宋体" w:eastAsia="宋体" w:hint="default"/>
                <w:sz w:val="20"/>
                <w:szCs w:val="20"/>
              </w:rPr>
            </w:pPr>
            <w:r>
              <w:rPr>
                <w:rFonts w:ascii="宋体" w:hAnsi="宋体" w:cs="宋体" w:eastAsia="宋体" w:hint="default"/>
                <w:spacing w:val="9"/>
                <w:sz w:val="20"/>
                <w:szCs w:val="20"/>
              </w:rPr>
              <w:t>全额</w:t>
            </w:r>
            <w:r>
              <w:rPr>
                <w:rFonts w:ascii="宋体" w:hAnsi="宋体" w:cs="宋体" w:eastAsia="宋体" w:hint="default"/>
                <w:spacing w:val="9"/>
                <w:w w:val="99"/>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85" w:lineRule="auto"/>
              <w:ind w:left="26" w:right="20"/>
              <w:jc w:val="left"/>
              <w:rPr>
                <w:rFonts w:ascii="宋体" w:hAnsi="宋体" w:cs="宋体" w:eastAsia="宋体" w:hint="default"/>
                <w:sz w:val="20"/>
                <w:szCs w:val="20"/>
              </w:rPr>
            </w:pPr>
            <w:r>
              <w:rPr>
                <w:rFonts w:ascii="宋体" w:hAnsi="宋体" w:cs="宋体" w:eastAsia="宋体" w:hint="default"/>
                <w:spacing w:val="49"/>
                <w:w w:val="99"/>
                <w:sz w:val="20"/>
                <w:szCs w:val="20"/>
              </w:rPr>
              <w:t>交通</w:t>
            </w:r>
            <w:r>
              <w:rPr>
                <w:rFonts w:ascii="宋体" w:hAnsi="宋体" w:cs="宋体" w:eastAsia="宋体" w:hint="default"/>
                <w:spacing w:val="-2"/>
                <w:w w:val="99"/>
                <w:sz w:val="20"/>
                <w:szCs w:val="20"/>
              </w:rPr>
              <w:t> </w:t>
            </w:r>
            <w:r>
              <w:rPr>
                <w:rFonts w:ascii="宋体" w:hAnsi="宋体" w:cs="宋体" w:eastAsia="宋体" w:hint="default"/>
                <w:w w:val="99"/>
                <w:sz w:val="20"/>
                <w:szCs w:val="20"/>
              </w:rPr>
              <w:t>银</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6" w:right="191"/>
              <w:jc w:val="both"/>
              <w:rPr>
                <w:rFonts w:ascii="宋体" w:hAnsi="宋体" w:cs="宋体" w:eastAsia="宋体" w:hint="default"/>
                <w:sz w:val="20"/>
                <w:szCs w:val="20"/>
              </w:rPr>
            </w:pPr>
            <w:r>
              <w:rPr>
                <w:rFonts w:ascii="宋体" w:hAnsi="宋体" w:cs="宋体" w:eastAsia="宋体" w:hint="default"/>
                <w:sz w:val="20"/>
                <w:szCs w:val="20"/>
              </w:rPr>
              <w:t>交</w:t>
            </w:r>
            <w:r>
              <w:rPr>
                <w:rFonts w:ascii="宋体" w:hAnsi="宋体" w:cs="宋体" w:eastAsia="宋体" w:hint="default"/>
                <w:w w:val="99"/>
                <w:sz w:val="20"/>
                <w:szCs w:val="20"/>
              </w:rPr>
              <w:t> </w:t>
            </w:r>
            <w:r>
              <w:rPr>
                <w:rFonts w:ascii="宋体" w:hAnsi="宋体" w:cs="宋体" w:eastAsia="宋体" w:hint="default"/>
                <w:sz w:val="20"/>
                <w:szCs w:val="20"/>
              </w:rPr>
              <w:t>通</w:t>
            </w:r>
            <w:r>
              <w:rPr>
                <w:rFonts w:ascii="宋体" w:hAnsi="宋体" w:cs="宋体" w:eastAsia="宋体" w:hint="default"/>
                <w:w w:val="99"/>
                <w:sz w:val="20"/>
                <w:szCs w:val="20"/>
              </w:rPr>
              <w:t> </w:t>
            </w:r>
            <w:r>
              <w:rPr>
                <w:rFonts w:ascii="宋体" w:hAnsi="宋体" w:cs="宋体" w:eastAsia="宋体" w:hint="default"/>
                <w:sz w:val="20"/>
                <w:szCs w:val="20"/>
              </w:rPr>
              <w:t>银</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4" w:right="216"/>
              <w:jc w:val="both"/>
              <w:rPr>
                <w:rFonts w:ascii="宋体" w:hAnsi="宋体" w:cs="宋体" w:eastAsia="宋体" w:hint="default"/>
                <w:sz w:val="20"/>
                <w:szCs w:val="20"/>
              </w:rPr>
            </w:pPr>
            <w:r>
              <w:rPr>
                <w:rFonts w:ascii="宋体" w:hAnsi="宋体" w:cs="宋体" w:eastAsia="宋体" w:hint="default"/>
                <w:sz w:val="20"/>
                <w:szCs w:val="20"/>
              </w:rPr>
              <w:t>保本浮</w:t>
            </w:r>
            <w:r>
              <w:rPr>
                <w:rFonts w:ascii="宋体" w:hAnsi="宋体" w:cs="宋体" w:eastAsia="宋体" w:hint="default"/>
                <w:w w:val="99"/>
                <w:sz w:val="20"/>
                <w:szCs w:val="20"/>
              </w:rPr>
              <w:t> </w:t>
            </w:r>
            <w:r>
              <w:rPr>
                <w:rFonts w:ascii="宋体" w:hAnsi="宋体" w:cs="宋体" w:eastAsia="宋体" w:hint="default"/>
                <w:sz w:val="20"/>
                <w:szCs w:val="20"/>
              </w:rPr>
              <w:t>动收益</w:t>
            </w:r>
            <w:r>
              <w:rPr>
                <w:rFonts w:ascii="宋体" w:hAnsi="宋体" w:cs="宋体" w:eastAsia="宋体" w:hint="default"/>
                <w:w w:val="99"/>
                <w:sz w:val="20"/>
                <w:szCs w:val="20"/>
              </w:rPr>
              <w:t> </w:t>
            </w:r>
            <w:r>
              <w:rPr>
                <w:rFonts w:ascii="宋体" w:hAnsi="宋体" w:cs="宋体" w:eastAsia="宋体" w:hint="default"/>
                <w:sz w:val="20"/>
                <w:szCs w:val="20"/>
              </w:rPr>
              <w:t>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1,000</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85" w:lineRule="auto"/>
              <w:ind w:left="23" w:right="22"/>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32"/>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Times New Roman"/>
                <w:sz w:val="20"/>
              </w:rPr>
              <w:t>2018/12/28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23" w:right="0"/>
              <w:jc w:val="left"/>
              <w:rPr>
                <w:rFonts w:ascii="Times New Roman" w:hAnsi="Times New Roman" w:cs="Times New Roman" w:eastAsia="Times New Roman" w:hint="default"/>
                <w:sz w:val="20"/>
                <w:szCs w:val="20"/>
              </w:rPr>
            </w:pPr>
            <w:r>
              <w:rPr>
                <w:rFonts w:ascii="Times New Roman"/>
                <w:sz w:val="20"/>
              </w:rPr>
              <w:t>2019/2/1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4" w:right="24"/>
              <w:jc w:val="both"/>
              <w:rPr>
                <w:rFonts w:ascii="宋体" w:hAnsi="宋体" w:cs="宋体" w:eastAsia="宋体" w:hint="default"/>
                <w:sz w:val="20"/>
                <w:szCs w:val="20"/>
              </w:rPr>
            </w:pPr>
            <w:r>
              <w:rPr>
                <w:rFonts w:ascii="宋体" w:hAnsi="宋体" w:cs="宋体" w:eastAsia="宋体" w:hint="default"/>
                <w:spacing w:val="17"/>
                <w:sz w:val="20"/>
                <w:szCs w:val="20"/>
              </w:rPr>
              <w:t>货币市场</w:t>
            </w:r>
            <w:r>
              <w:rPr>
                <w:rFonts w:ascii="宋体" w:hAnsi="宋体" w:cs="宋体" w:eastAsia="宋体" w:hint="default"/>
                <w:spacing w:val="-76"/>
                <w:sz w:val="20"/>
                <w:szCs w:val="20"/>
              </w:rPr>
              <w:t> </w:t>
            </w:r>
            <w:r>
              <w:rPr>
                <w:rFonts w:ascii="宋体" w:hAnsi="宋体" w:cs="宋体" w:eastAsia="宋体" w:hint="default"/>
                <w:sz w:val="20"/>
                <w:szCs w:val="20"/>
              </w:rPr>
              <w:t>工</w:t>
            </w:r>
            <w:r>
              <w:rPr>
                <w:rFonts w:ascii="宋体" w:hAnsi="宋体" w:cs="宋体" w:eastAsia="宋体" w:hint="default"/>
                <w:w w:val="99"/>
                <w:sz w:val="20"/>
                <w:szCs w:val="20"/>
              </w:rPr>
              <w:t> </w:t>
            </w:r>
            <w:r>
              <w:rPr>
                <w:rFonts w:ascii="宋体" w:hAnsi="宋体" w:cs="宋体" w:eastAsia="宋体" w:hint="default"/>
                <w:spacing w:val="11"/>
                <w:sz w:val="20"/>
                <w:szCs w:val="20"/>
              </w:rPr>
              <w:t>具、</w:t>
            </w:r>
            <w:r>
              <w:rPr>
                <w:rFonts w:ascii="宋体" w:hAnsi="宋体" w:cs="宋体" w:eastAsia="宋体" w:hint="default"/>
                <w:spacing w:val="-78"/>
                <w:sz w:val="20"/>
                <w:szCs w:val="20"/>
              </w:rPr>
              <w:t> </w:t>
            </w:r>
            <w:r>
              <w:rPr>
                <w:rFonts w:ascii="宋体" w:hAnsi="宋体" w:cs="宋体" w:eastAsia="宋体" w:hint="default"/>
                <w:spacing w:val="11"/>
                <w:sz w:val="20"/>
                <w:szCs w:val="20"/>
              </w:rPr>
              <w:t>债券</w:t>
            </w:r>
            <w:r>
              <w:rPr>
                <w:rFonts w:ascii="宋体" w:hAnsi="宋体" w:cs="宋体" w:eastAsia="宋体" w:hint="default"/>
                <w:spacing w:val="-75"/>
                <w:sz w:val="20"/>
                <w:szCs w:val="20"/>
              </w:rPr>
              <w:t> </w:t>
            </w:r>
            <w:r>
              <w:rPr>
                <w:rFonts w:ascii="宋体" w:hAnsi="宋体" w:cs="宋体" w:eastAsia="宋体" w:hint="default"/>
                <w:sz w:val="20"/>
                <w:szCs w:val="20"/>
              </w:rPr>
              <w:t>等</w:t>
            </w:r>
            <w:r>
              <w:rPr>
                <w:rFonts w:ascii="宋体" w:hAnsi="宋体" w:cs="宋体" w:eastAsia="宋体" w:hint="default"/>
                <w:w w:val="99"/>
                <w:sz w:val="20"/>
                <w:szCs w:val="20"/>
              </w:rPr>
              <w:t> </w:t>
            </w:r>
            <w:r>
              <w:rPr>
                <w:rFonts w:ascii="宋体" w:hAnsi="宋体" w:cs="宋体" w:eastAsia="宋体" w:hint="default"/>
                <w:sz w:val="20"/>
                <w:szCs w:val="20"/>
              </w:rPr>
              <w:t>金融资产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4" w:right="23"/>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8"/>
                <w:sz w:val="20"/>
                <w:szCs w:val="20"/>
              </w:rPr>
              <w:t> </w:t>
            </w:r>
            <w:r>
              <w:rPr>
                <w:rFonts w:ascii="宋体" w:hAnsi="宋体" w:cs="宋体" w:eastAsia="宋体" w:hint="default"/>
                <w:sz w:val="20"/>
                <w:szCs w:val="20"/>
              </w:rPr>
              <w:t>同</w:t>
            </w:r>
            <w:r>
              <w:rPr>
                <w:rFonts w:ascii="宋体" w:hAnsi="宋体" w:cs="宋体" w:eastAsia="宋体" w:hint="default"/>
                <w:w w:val="99"/>
                <w:sz w:val="20"/>
                <w:szCs w:val="20"/>
              </w:rPr>
              <w:t> </w:t>
            </w:r>
            <w:r>
              <w:rPr>
                <w:rFonts w:ascii="宋体" w:hAnsi="宋体" w:cs="宋体" w:eastAsia="宋体" w:hint="default"/>
                <w:sz w:val="20"/>
                <w:szCs w:val="20"/>
              </w:rPr>
              <w:t>约定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2.80%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2.68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6" w:right="191"/>
              <w:jc w:val="both"/>
              <w:rPr>
                <w:rFonts w:ascii="宋体" w:hAnsi="宋体" w:cs="宋体" w:eastAsia="宋体" w:hint="default"/>
                <w:sz w:val="20"/>
                <w:szCs w:val="20"/>
              </w:rPr>
            </w:pPr>
            <w:r>
              <w:rPr>
                <w:rFonts w:ascii="宋体" w:hAnsi="宋体" w:cs="宋体" w:eastAsia="宋体" w:hint="default"/>
                <w:sz w:val="20"/>
                <w:szCs w:val="20"/>
              </w:rPr>
              <w:t>未</w:t>
            </w:r>
            <w:r>
              <w:rPr>
                <w:rFonts w:ascii="宋体" w:hAnsi="宋体" w:cs="宋体" w:eastAsia="宋体" w:hint="default"/>
                <w:w w:val="99"/>
                <w:sz w:val="20"/>
                <w:szCs w:val="20"/>
              </w:rPr>
              <w:t> </w:t>
            </w:r>
            <w:r>
              <w:rPr>
                <w:rFonts w:ascii="宋体" w:hAnsi="宋体" w:cs="宋体" w:eastAsia="宋体" w:hint="default"/>
                <w:sz w:val="20"/>
                <w:szCs w:val="20"/>
              </w:rPr>
              <w:t>到</w:t>
            </w:r>
            <w:r>
              <w:rPr>
                <w:rFonts w:ascii="宋体" w:hAnsi="宋体" w:cs="宋体" w:eastAsia="宋体" w:hint="default"/>
                <w:w w:val="99"/>
                <w:sz w:val="20"/>
                <w:szCs w:val="20"/>
              </w:rPr>
              <w:t> </w:t>
            </w:r>
            <w:r>
              <w:rPr>
                <w:rFonts w:ascii="宋体" w:hAnsi="宋体" w:cs="宋体" w:eastAsia="宋体" w:hint="default"/>
                <w:sz w:val="20"/>
                <w:szCs w:val="20"/>
              </w:rPr>
              <w:t>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10"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427"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850"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4" w:right="0"/>
              <w:jc w:val="left"/>
              <w:rPr>
                <w:rFonts w:ascii="Times New Roman" w:hAnsi="Times New Roman" w:cs="Times New Roman" w:eastAsia="Times New Roman" w:hint="default"/>
                <w:sz w:val="20"/>
                <w:szCs w:val="20"/>
              </w:rPr>
            </w:pPr>
            <w:r>
              <w:rPr>
                <w:rFonts w:ascii="Times New Roman"/>
                <w:sz w:val="20"/>
              </w:rPr>
              <w:t>185,000</w:t>
            </w:r>
          </w:p>
        </w:tc>
        <w:tc>
          <w:tcPr>
            <w:tcW w:w="591"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994"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850"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1152"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566"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711"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1,351.52</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4" w:right="0"/>
              <w:jc w:val="left"/>
              <w:rPr>
                <w:rFonts w:ascii="Times New Roman" w:hAnsi="Times New Roman" w:cs="Times New Roman" w:eastAsia="Times New Roman" w:hint="default"/>
                <w:sz w:val="20"/>
                <w:szCs w:val="20"/>
              </w:rPr>
            </w:pPr>
            <w:r>
              <w:rPr>
                <w:rFonts w:ascii="Times New Roman"/>
                <w:sz w:val="20"/>
              </w:rPr>
              <w:t>1,054.</w:t>
            </w:r>
          </w:p>
          <w:p>
            <w:pPr>
              <w:pStyle w:val="TableParagraph"/>
              <w:spacing w:line="240" w:lineRule="auto" w:before="82"/>
              <w:ind w:left="24" w:right="0"/>
              <w:jc w:val="left"/>
              <w:rPr>
                <w:rFonts w:ascii="Times New Roman" w:hAnsi="Times New Roman" w:cs="Times New Roman" w:eastAsia="Times New Roman" w:hint="default"/>
                <w:sz w:val="20"/>
                <w:szCs w:val="20"/>
              </w:rPr>
            </w:pPr>
            <w:r>
              <w:rPr>
                <w:rFonts w:ascii="Times New Roman"/>
                <w:sz w:val="20"/>
              </w:rPr>
              <w:t>95</w:t>
            </w:r>
          </w:p>
        </w:tc>
        <w:tc>
          <w:tcPr>
            <w:tcW w:w="427"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425"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566"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425"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425" w:type="dxa"/>
            <w:tcBorders>
              <w:top w:val="single" w:sz="4" w:space="0" w:color="000000"/>
              <w:left w:val="single" w:sz="4" w:space="0" w:color="000000"/>
              <w:bottom w:val="single" w:sz="4" w:space="0" w:color="000000"/>
              <w:right w:val="single" w:sz="4" w:space="0" w:color="000000"/>
            </w:tcBorders>
            <w:shd w:val="clear" w:color="auto" w:fill="E7E6E6"/>
          </w:tcPr>
          <w:p>
            <w:pPr/>
          </w:p>
        </w:tc>
      </w:tr>
    </w:tbl>
    <w:p>
      <w:pPr>
        <w:spacing w:before="28"/>
        <w:ind w:left="933" w:right="115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：本期实际损益金额为扣除税金后的金额。</w:t>
      </w:r>
    </w:p>
    <w:p>
      <w:pPr>
        <w:spacing w:before="59"/>
        <w:ind w:left="933" w:right="115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：报告期损益实际收回情况指截至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日回收情况。</w:t>
      </w:r>
    </w:p>
    <w:p>
      <w:pPr>
        <w:pStyle w:val="BodyText"/>
        <w:spacing w:line="240" w:lineRule="auto" w:before="114"/>
        <w:ind w:left="933" w:right="1153"/>
        <w:jc w:val="left"/>
      </w:pPr>
      <w:r>
        <w:rPr/>
        <w:t>委托理财出现预期无法收回本金或存在其他可能导致减值的情形</w:t>
      </w:r>
    </w:p>
    <w:p>
      <w:pPr>
        <w:pStyle w:val="BodyText"/>
        <w:spacing w:line="240" w:lineRule="auto" w:before="194"/>
        <w:ind w:left="9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4"/>
        <w:rPr>
          <w:rFonts w:ascii="宋体" w:hAnsi="宋体" w:cs="宋体" w:eastAsia="宋体" w:hint="default"/>
          <w:sz w:val="33"/>
          <w:szCs w:val="33"/>
        </w:rPr>
      </w:pPr>
    </w:p>
    <w:p>
      <w:pPr>
        <w:pStyle w:val="Heading2"/>
        <w:spacing w:line="240" w:lineRule="auto"/>
        <w:ind w:left="1353" w:right="115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141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933" w:right="115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33"/>
          <w:szCs w:val="33"/>
        </w:rPr>
      </w:pPr>
    </w:p>
    <w:p>
      <w:pPr>
        <w:pStyle w:val="BodyText"/>
        <w:spacing w:line="338" w:lineRule="auto" w:before="0"/>
        <w:ind w:left="1413" w:right="6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公司报告期不存在其他重大合同。</w:t>
      </w:r>
    </w:p>
    <w:p>
      <w:pPr>
        <w:spacing w:line="240" w:lineRule="auto" w:before="4"/>
        <w:rPr>
          <w:rFonts w:ascii="宋体" w:hAnsi="宋体" w:cs="宋体" w:eastAsia="宋体" w:hint="default"/>
          <w:sz w:val="21"/>
          <w:szCs w:val="21"/>
        </w:rPr>
      </w:pPr>
    </w:p>
    <w:p>
      <w:pPr>
        <w:pStyle w:val="Heading2"/>
        <w:spacing w:line="240" w:lineRule="auto"/>
        <w:ind w:left="933" w:right="1153"/>
        <w:jc w:val="left"/>
        <w:rPr>
          <w:b w:val="0"/>
          <w:bCs w:val="0"/>
        </w:rPr>
      </w:pPr>
      <w:r>
        <w:rPr/>
        <w:t>十七、社会责任情况</w:t>
      </w:r>
      <w:r>
        <w:rPr>
          <w:b w:val="0"/>
          <w:bCs w:val="0"/>
        </w:rPr>
      </w:r>
    </w:p>
    <w:p>
      <w:pPr>
        <w:spacing w:line="240" w:lineRule="auto" w:before="8"/>
        <w:rPr>
          <w:rFonts w:ascii="宋体" w:hAnsi="宋体" w:cs="宋体" w:eastAsia="宋体" w:hint="default"/>
          <w:b/>
          <w:bCs/>
          <w:sz w:val="28"/>
          <w:szCs w:val="28"/>
        </w:rPr>
      </w:pPr>
    </w:p>
    <w:p>
      <w:pPr>
        <w:pStyle w:val="BodyText"/>
        <w:spacing w:line="338" w:lineRule="auto" w:before="0"/>
        <w:ind w:left="1413" w:right="1153"/>
        <w:jc w:val="left"/>
      </w:pPr>
      <w:r>
        <w:rPr>
          <w:rFonts w:ascii="Times New Roman" w:hAnsi="Times New Roman" w:cs="Times New Roman" w:eastAsia="Times New Roman" w:hint="default"/>
        </w:rPr>
        <w:t>1</w:t>
      </w:r>
      <w:r>
        <w:rPr/>
        <w:t>、履行社会责任情况 公司在经营发展过程中切实履行社会职责和义务，主要包括安全生产、产品质量、环境</w:t>
      </w:r>
    </w:p>
    <w:p>
      <w:pPr>
        <w:spacing w:after="0" w:line="338" w:lineRule="auto"/>
        <w:jc w:val="left"/>
        <w:sectPr>
          <w:pgSz w:w="11910" w:h="16840"/>
          <w:pgMar w:header="877" w:footer="979" w:top="1100" w:bottom="1160" w:left="200" w:right="0"/>
        </w:sectPr>
      </w:pPr>
    </w:p>
    <w:p>
      <w:pPr>
        <w:spacing w:line="240" w:lineRule="auto" w:before="8"/>
        <w:rPr>
          <w:rFonts w:ascii="宋体" w:hAnsi="宋体" w:cs="宋体" w:eastAsia="宋体" w:hint="default"/>
          <w:sz w:val="25"/>
          <w:szCs w:val="25"/>
        </w:rPr>
      </w:pPr>
    </w:p>
    <w:p>
      <w:pPr>
        <w:pStyle w:val="BodyText"/>
        <w:spacing w:line="338" w:lineRule="auto" w:before="26"/>
        <w:ind w:right="1180"/>
        <w:jc w:val="left"/>
      </w:pPr>
      <w:r>
        <w:rPr/>
        <w:t>保护、资源节约、促进就业、员工权益保护等。同时，公司秉承</w:t>
      </w:r>
      <w:r>
        <w:rPr>
          <w:rFonts w:ascii="Times New Roman" w:hAnsi="Times New Roman" w:cs="Times New Roman" w:eastAsia="Times New Roman" w:hint="default"/>
        </w:rPr>
        <w:t>“</w:t>
      </w:r>
      <w:r>
        <w:rPr/>
        <w:t>诚信</w:t>
      </w:r>
      <w:r>
        <w:rPr>
          <w:rFonts w:ascii="Times New Roman" w:hAnsi="Times New Roman" w:cs="Times New Roman" w:eastAsia="Times New Roman" w:hint="default"/>
        </w:rPr>
        <w:t>”</w:t>
      </w:r>
      <w:r>
        <w:rPr/>
        <w:t>的经营之道，忠实履 行合同，恪守商业信用。</w:t>
      </w:r>
      <w:r>
        <w:rPr>
          <w:rFonts w:ascii="Times New Roman" w:hAnsi="Times New Roman" w:cs="Times New Roman" w:eastAsia="Times New Roman" w:hint="default"/>
        </w:rPr>
        <w:t>2018 </w:t>
      </w:r>
      <w:r>
        <w:rPr/>
        <w:t>年公司获得企业信用等级最高级别 </w:t>
      </w:r>
      <w:r>
        <w:rPr>
          <w:rFonts w:ascii="Times New Roman" w:hAnsi="Times New Roman" w:cs="Times New Roman" w:eastAsia="Times New Roman" w:hint="default"/>
        </w:rPr>
        <w:t>AAA</w:t>
      </w:r>
      <w:r>
        <w:rPr>
          <w:rFonts w:ascii="Times New Roman" w:hAnsi="Times New Roman" w:cs="Times New Roman" w:eastAsia="Times New Roman" w:hint="default"/>
          <w:spacing w:val="-3"/>
        </w:rPr>
        <w:t> </w:t>
      </w:r>
      <w:r>
        <w:rPr/>
        <w:t>级。</w:t>
      </w:r>
    </w:p>
    <w:p>
      <w:pPr>
        <w:pStyle w:val="BodyText"/>
        <w:spacing w:line="338" w:lineRule="auto" w:before="27"/>
        <w:ind w:right="1128" w:firstLine="480"/>
        <w:jc w:val="both"/>
      </w:pPr>
      <w:r>
        <w:rPr/>
        <w:t>此外，公司长期关注中国</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教育，积极携手相关机构和高校，多维度搭建针对</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人 才的创新培育环境，连续</w:t>
      </w:r>
      <w:r>
        <w:rPr>
          <w:spacing w:val="-6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年举办全国高校</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大赛，连续多年举办</w:t>
      </w:r>
      <w:r>
        <w:rPr>
          <w:rFonts w:ascii="Times New Roman" w:hAnsi="Times New Roman" w:cs="Times New Roman" w:eastAsia="Times New Roman" w:hint="default"/>
        </w:rPr>
        <w:t>“</w:t>
      </w:r>
      <w:r>
        <w:rPr/>
        <w:t>全国高校教师</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 术研讨班</w:t>
      </w:r>
      <w:r>
        <w:rPr>
          <w:rFonts w:ascii="Times New Roman" w:hAnsi="Times New Roman" w:cs="Times New Roman" w:eastAsia="Times New Roman" w:hint="default"/>
        </w:rPr>
        <w:t>”</w:t>
      </w:r>
      <w:r>
        <w:rPr/>
        <w:t>和全国高校</w:t>
      </w:r>
      <w:r>
        <w:rPr>
          <w:spacing w:val="-54"/>
        </w:rPr>
        <w:t> </w:t>
      </w:r>
      <w:r>
        <w:rPr>
          <w:rFonts w:ascii="Times New Roman" w:hAnsi="Times New Roman" w:cs="Times New Roman" w:eastAsia="Times New Roman" w:hint="default"/>
        </w:rPr>
        <w:t>GIS</w:t>
      </w:r>
      <w:r>
        <w:rPr>
          <w:rFonts w:ascii="Times New Roman" w:hAnsi="Times New Roman" w:cs="Times New Roman" w:eastAsia="Times New Roman" w:hint="default"/>
          <w:spacing w:val="7"/>
        </w:rPr>
        <w:t> </w:t>
      </w:r>
      <w:r>
        <w:rPr>
          <w:spacing w:val="-4"/>
        </w:rPr>
        <w:t>节活动，积极参与组织校园讲座、校园培训、青年教师培训、走进</w:t>
      </w:r>
      <w:r>
        <w:rPr/>
        <w:t> 超图等活动，创建高校</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云实验室，持续传递</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领域最新技术和理念，推动了我国</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产业人才培养和</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教育的发展。</w:t>
      </w:r>
    </w:p>
    <w:p>
      <w:pPr>
        <w:pStyle w:val="BodyText"/>
        <w:spacing w:line="345" w:lineRule="auto" w:before="27"/>
        <w:ind w:left="633" w:right="3313"/>
        <w:jc w:val="left"/>
      </w:pPr>
      <w:r>
        <w:rPr>
          <w:rFonts w:ascii="Times New Roman" w:hAnsi="Times New Roman" w:cs="Times New Roman" w:eastAsia="Times New Roman" w:hint="default"/>
        </w:rPr>
        <w:t>2</w:t>
      </w:r>
      <w:r>
        <w:rPr/>
        <w:t>、履行精准扶贫社会责任情况 公司报告年度暂未开展精准扶贫工作，也暂无后续精准扶贫计划。 </w:t>
      </w:r>
      <w:r>
        <w:rPr>
          <w:rFonts w:ascii="Times New Roman" w:hAnsi="Times New Roman" w:cs="Times New Roman" w:eastAsia="Times New Roman" w:hint="default"/>
        </w:rPr>
        <w:t>3</w:t>
      </w:r>
      <w:r>
        <w:rPr/>
        <w:t>、环境保护相关情况 上市公司及其子公司是否属于国家环境保护部门的重点排污企业</w:t>
      </w:r>
    </w:p>
    <w:p>
      <w:pPr>
        <w:pStyle w:val="BodyText"/>
        <w:spacing w:line="357" w:lineRule="auto" w:before="48"/>
        <w:ind w:left="633" w:right="3793"/>
        <w:jc w:val="left"/>
      </w:pPr>
      <w:r>
        <w:rPr/>
        <w:t>否 上市公司及其子公司不属于国家环境保护部门的重点排污企业</w:t>
      </w:r>
    </w:p>
    <w:p>
      <w:pPr>
        <w:spacing w:line="240" w:lineRule="auto" w:before="11"/>
        <w:rPr>
          <w:rFonts w:ascii="宋体" w:hAnsi="宋体" w:cs="宋体" w:eastAsia="宋体" w:hint="default"/>
          <w:sz w:val="19"/>
          <w:szCs w:val="19"/>
        </w:rPr>
      </w:pPr>
    </w:p>
    <w:p>
      <w:pPr>
        <w:pStyle w:val="Heading2"/>
        <w:spacing w:line="240" w:lineRule="auto"/>
        <w:ind w:right="1273"/>
        <w:jc w:val="left"/>
        <w:rPr>
          <w:b w:val="0"/>
          <w:bCs w:val="0"/>
        </w:rPr>
      </w:pPr>
      <w:r>
        <w:rPr/>
        <w:t>十八、其他重大事项的说明</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633" w:right="1116"/>
        <w:jc w:val="left"/>
      </w:pPr>
      <w:r>
        <w:rPr/>
        <w:t>公司于</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9 </w:t>
      </w:r>
      <w:r>
        <w:rPr/>
        <w:t>日参与成立了宁波超图道乐股权投资合伙企业（有限合伙）以及</w:t>
      </w:r>
    </w:p>
    <w:p>
      <w:pPr>
        <w:pStyle w:val="BodyText"/>
        <w:spacing w:line="240" w:lineRule="auto" w:before="133"/>
        <w:ind w:right="1273"/>
        <w:jc w:val="left"/>
      </w:pPr>
      <w:r>
        <w:rPr/>
        <w:t>于</w:t>
      </w:r>
      <w:r>
        <w:rPr>
          <w:spacing w:val="-60"/>
        </w:rPr>
        <w:t> </w:t>
      </w:r>
      <w:r>
        <w:rPr>
          <w:rFonts w:ascii="Times New Roman" w:hAnsi="Times New Roman" w:cs="Times New Roman" w:eastAsia="Times New Roman" w:hint="default"/>
        </w:rPr>
        <w:t>2016 </w:t>
      </w:r>
      <w:r>
        <w:rPr/>
        <w:t>年</w:t>
      </w:r>
      <w:r>
        <w:rPr>
          <w:spacing w:val="-61"/>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日参与成立了宁波卓超股权投资合伙企业（有限合伙</w:t>
      </w:r>
      <w:r>
        <w:rPr>
          <w:spacing w:val="-120"/>
        </w:rPr>
        <w:t>）</w:t>
      </w:r>
      <w:r>
        <w:rPr/>
        <w:t>。</w:t>
      </w:r>
    </w:p>
    <w:p>
      <w:pPr>
        <w:pStyle w:val="BodyText"/>
        <w:spacing w:line="348" w:lineRule="auto" w:before="176"/>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日，公司第四届董事会第十次会议审议通过了《关于拟注销产业并购基金 的议案》，根据两个产业并购基金的设立协议约定，前述产业并购基金均已进入退出期，且</w:t>
      </w:r>
      <w:r>
        <w:rPr>
          <w:spacing w:val="-91"/>
        </w:rPr>
        <w:t> </w:t>
      </w:r>
      <w:r>
        <w:rPr>
          <w:spacing w:val="-91"/>
        </w:rPr>
      </w:r>
      <w:r>
        <w:rPr/>
        <w:t>目前均未持有其他公司股权，也没有其他形式的对外投资。鉴于此，相关各方协商一致，拟</w:t>
      </w:r>
      <w:r>
        <w:rPr>
          <w:spacing w:val="-91"/>
        </w:rPr>
        <w:t> </w:t>
      </w:r>
      <w:r>
        <w:rPr>
          <w:spacing w:val="-91"/>
        </w:rPr>
      </w:r>
      <w:r>
        <w:rPr/>
        <w:t>注销两个产业并购基金。具体内容详见</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日披露于巨潮资讯网上的《第四届董 事会第十次会议决议公告》以及《关于拟注销产业并购基金的公告》</w:t>
      </w:r>
    </w:p>
    <w:p>
      <w:pPr>
        <w:spacing w:line="240" w:lineRule="auto" w:before="8"/>
        <w:rPr>
          <w:rFonts w:ascii="宋体" w:hAnsi="宋体" w:cs="宋体" w:eastAsia="宋体" w:hint="default"/>
          <w:sz w:val="20"/>
          <w:szCs w:val="20"/>
        </w:rPr>
      </w:pPr>
    </w:p>
    <w:p>
      <w:pPr>
        <w:pStyle w:val="Heading2"/>
        <w:spacing w:line="240" w:lineRule="auto"/>
        <w:ind w:right="1273"/>
        <w:jc w:val="left"/>
        <w:rPr>
          <w:b w:val="0"/>
          <w:bCs w:val="0"/>
        </w:rPr>
      </w:pPr>
      <w:r>
        <w:rPr/>
        <w:t>十九、公司子公司重大事项</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557" w:right="1273"/>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273"/>
        <w:jc w:val="left"/>
        <w:rPr>
          <w:b w:val="0"/>
          <w:bCs w:val="0"/>
        </w:rPr>
      </w:pPr>
      <w:r>
        <w:rPr/>
        <w:t>一、股份变动情况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27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218" w:type="dxa"/>
        <w:tblLayout w:type="fixed"/>
        <w:tblCellMar>
          <w:top w:w="0" w:type="dxa"/>
          <w:left w:w="0" w:type="dxa"/>
          <w:bottom w:w="0" w:type="dxa"/>
          <w:right w:w="0" w:type="dxa"/>
        </w:tblCellMar>
        <w:tblLook w:val="01E0"/>
      </w:tblPr>
      <w:tblGrid>
        <w:gridCol w:w="2134"/>
        <w:gridCol w:w="967"/>
        <w:gridCol w:w="701"/>
        <w:gridCol w:w="807"/>
        <w:gridCol w:w="487"/>
        <w:gridCol w:w="1135"/>
        <w:gridCol w:w="857"/>
        <w:gridCol w:w="857"/>
        <w:gridCol w:w="956"/>
        <w:gridCol w:w="612"/>
      </w:tblGrid>
      <w:tr>
        <w:trPr>
          <w:trHeight w:val="402" w:hRule="exact"/>
        </w:trPr>
        <w:tc>
          <w:tcPr>
            <w:tcW w:w="2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4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2" w:hRule="exact"/>
        </w:trPr>
        <w:tc>
          <w:tcPr>
            <w:tcW w:w="2134" w:type="dxa"/>
            <w:vMerge w:val="restart"/>
            <w:tcBorders>
              <w:top w:val="nil" w:sz="6" w:space="0" w:color="auto"/>
              <w:left w:val="single" w:sz="4" w:space="0" w:color="000000"/>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07"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292" w:right="77" w:hanging="209"/>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4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134"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7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3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07" w:type="dxa"/>
            <w:vMerge/>
            <w:tcBorders>
              <w:left w:val="single" w:sz="4" w:space="0" w:color="000000"/>
              <w:right w:val="single" w:sz="4" w:space="0" w:color="000000"/>
            </w:tcBorders>
            <w:shd w:val="clear" w:color="auto" w:fill="D2D2D2"/>
          </w:tcPr>
          <w:p>
            <w:pPr/>
          </w:p>
        </w:tc>
        <w:tc>
          <w:tcPr>
            <w:tcW w:w="487" w:type="dxa"/>
            <w:vMerge w:val="restart"/>
            <w:tcBorders>
              <w:top w:val="nil" w:sz="6" w:space="0" w:color="auto"/>
              <w:left w:val="single" w:sz="22" w:space="0" w:color="D2D2D2"/>
              <w:right w:val="single" w:sz="9" w:space="0" w:color="D2D2D2"/>
            </w:tcBorders>
          </w:tcPr>
          <w:p>
            <w:pPr>
              <w:pStyle w:val="TableParagraph"/>
              <w:spacing w:line="240" w:lineRule="auto" w:before="29"/>
              <w:ind w:left="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送股</w:t>
            </w:r>
            <w:r>
              <w:rPr>
                <w:rFonts w:ascii="宋体" w:hAnsi="宋体" w:cs="宋体" w:eastAsia="宋体" w:hint="default"/>
                <w:sz w:val="21"/>
                <w:szCs w:val="21"/>
              </w:rPr>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8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1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6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2134" w:type="dxa"/>
            <w:vMerge w:val="restart"/>
            <w:tcBorders>
              <w:top w:val="nil" w:sz="6" w:space="0" w:color="auto"/>
              <w:left w:val="single" w:sz="4" w:space="0" w:color="000000"/>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807" w:type="dxa"/>
            <w:vMerge/>
            <w:tcBorders>
              <w:left w:val="single" w:sz="4" w:space="0" w:color="000000"/>
              <w:right w:val="single" w:sz="4" w:space="0" w:color="000000"/>
            </w:tcBorders>
            <w:shd w:val="clear" w:color="auto" w:fill="D2D2D2"/>
          </w:tcPr>
          <w:p>
            <w:pPr/>
          </w:p>
        </w:tc>
        <w:tc>
          <w:tcPr>
            <w:tcW w:w="487" w:type="dxa"/>
            <w:vMerge/>
            <w:tcBorders>
              <w:left w:val="single" w:sz="22" w:space="0" w:color="D2D2D2"/>
              <w:bottom w:val="nil" w:sz="6" w:space="0" w:color="auto"/>
              <w:right w:val="single" w:sz="9" w:space="0" w:color="D2D2D2"/>
            </w:tcBorders>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857" w:type="dxa"/>
            <w:vMerge/>
            <w:tcBorders>
              <w:left w:val="single" w:sz="4" w:space="0" w:color="000000"/>
              <w:bottom w:val="nil" w:sz="6" w:space="0" w:color="auto"/>
              <w:right w:val="single" w:sz="4" w:space="0" w:color="000000"/>
            </w:tcBorders>
            <w:shd w:val="clear" w:color="auto" w:fill="D2D2D2"/>
          </w:tcPr>
          <w:p>
            <w:pPr/>
          </w:p>
        </w:tc>
        <w:tc>
          <w:tcPr>
            <w:tcW w:w="857"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34" w:type="dxa"/>
            <w:vMerge/>
            <w:tcBorders>
              <w:left w:val="single" w:sz="4" w:space="0" w:color="000000"/>
              <w:bottom w:val="single" w:sz="4" w:space="0" w:color="000000"/>
              <w:right w:val="single" w:sz="4" w:space="0" w:color="000000"/>
            </w:tcBorders>
            <w:shd w:val="clear" w:color="auto" w:fill="D2D2D2"/>
          </w:tcPr>
          <w:p>
            <w:pPr/>
          </w:p>
        </w:tc>
        <w:tc>
          <w:tcPr>
            <w:tcW w:w="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c>
          <w:tcPr>
            <w:tcW w:w="4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119,472,881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26.57%</w:t>
            </w: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-4,522,869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-4,522,869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114,950,012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25.57%</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67"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967"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119,472,881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2"/>
              <w:jc w:val="right"/>
              <w:rPr>
                <w:rFonts w:ascii="Times New Roman" w:hAnsi="Times New Roman" w:cs="Times New Roman" w:eastAsia="Times New Roman" w:hint="default"/>
                <w:sz w:val="18"/>
                <w:szCs w:val="18"/>
              </w:rPr>
            </w:pPr>
            <w:r>
              <w:rPr>
                <w:rFonts w:ascii="Times New Roman"/>
                <w:sz w:val="18"/>
              </w:rPr>
              <w:t>26.57%</w:t>
            </w: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-4,522,869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-4,522,869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114,950,012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25.57%</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30,747,120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6.84%</w:t>
            </w: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30,747,120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6.84%</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7"/>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88,725,761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2"/>
              <w:jc w:val="right"/>
              <w:rPr>
                <w:rFonts w:ascii="Times New Roman" w:hAnsi="Times New Roman" w:cs="Times New Roman" w:eastAsia="Times New Roman" w:hint="default"/>
                <w:sz w:val="18"/>
                <w:szCs w:val="18"/>
              </w:rPr>
            </w:pPr>
            <w:r>
              <w:rPr>
                <w:rFonts w:ascii="Times New Roman"/>
                <w:sz w:val="18"/>
              </w:rPr>
              <w:t>19.73%</w:t>
            </w: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-4,522,869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-4,522,869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84,202,892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18.73%</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967"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967"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967"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330,106,086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2"/>
              <w:jc w:val="right"/>
              <w:rPr>
                <w:rFonts w:ascii="Times New Roman" w:hAnsi="Times New Roman" w:cs="Times New Roman" w:eastAsia="Times New Roman" w:hint="default"/>
                <w:sz w:val="18"/>
                <w:szCs w:val="18"/>
              </w:rPr>
            </w:pPr>
            <w:r>
              <w:rPr>
                <w:rFonts w:ascii="Times New Roman"/>
                <w:sz w:val="18"/>
              </w:rPr>
              <w:t>73.43%</w:t>
            </w: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4,481,269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4,481,269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334,587,355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74.43%</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330,106,086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73.43%</w:t>
            </w: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4,481,269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4,481,269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334,587,355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74.43%</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967"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967"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67"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449,578,967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-41,600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449,537,367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39"/>
        <w:ind w:left="573" w:right="1273"/>
        <w:jc w:val="left"/>
      </w:pPr>
      <w:r>
        <w:rPr/>
        <w:t>股份变动的原因</w:t>
      </w:r>
    </w:p>
    <w:p>
      <w:pPr>
        <w:pStyle w:val="BodyText"/>
        <w:spacing w:line="240" w:lineRule="auto" w:before="154"/>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633" w:right="997"/>
        <w:jc w:val="left"/>
      </w:pPr>
      <w:r>
        <w:rPr>
          <w:rFonts w:ascii="Times New Roman" w:hAnsi="Times New Roman" w:cs="Times New Roman" w:eastAsia="Times New Roman" w:hint="default"/>
        </w:rPr>
        <w:t>1</w:t>
      </w:r>
      <w:r>
        <w:rPr>
          <w:spacing w:val="-120"/>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spacing w:val="-120"/>
        </w:rPr>
        <w:t>，</w:t>
      </w:r>
      <w:r>
        <w:rPr>
          <w:spacing w:val="2"/>
        </w:rPr>
        <w:t>公</w:t>
      </w:r>
      <w:r>
        <w:rPr/>
        <w:t>司股权激励计划预留部分限制性股票第四期解锁股份上市流通，</w:t>
      </w:r>
    </w:p>
    <w:p>
      <w:pPr>
        <w:pStyle w:val="BodyText"/>
        <w:spacing w:line="338" w:lineRule="auto" w:before="135"/>
        <w:ind w:right="1153"/>
        <w:jc w:val="left"/>
      </w:pPr>
      <w:r>
        <w:rPr/>
        <w:t>涉及数量为</w:t>
      </w:r>
      <w:r>
        <w:rPr>
          <w:spacing w:val="-61"/>
        </w:rPr>
        <w:t> </w:t>
      </w:r>
      <w:r>
        <w:rPr>
          <w:rFonts w:ascii="Times New Roman" w:hAnsi="Times New Roman" w:cs="Times New Roman" w:eastAsia="Times New Roman" w:hint="default"/>
        </w:rPr>
        <w:t>172,800 </w:t>
      </w:r>
      <w:r>
        <w:rPr/>
        <w:t>股。此外，首次授予部分第四期拟回购注销股份</w:t>
      </w:r>
      <w:r>
        <w:rPr>
          <w:spacing w:val="-59"/>
        </w:rPr>
        <w:t> </w:t>
      </w:r>
      <w:r>
        <w:rPr>
          <w:rFonts w:ascii="Times New Roman" w:hAnsi="Times New Roman" w:cs="Times New Roman" w:eastAsia="Times New Roman" w:hint="default"/>
        </w:rPr>
        <w:t>41,600 </w:t>
      </w:r>
      <w:r>
        <w:rPr/>
        <w:t>股已完成回购注 销。</w:t>
      </w:r>
    </w:p>
    <w:p>
      <w:pPr>
        <w:pStyle w:val="BodyText"/>
        <w:spacing w:line="338" w:lineRule="auto" w:before="55"/>
        <w:ind w:right="1134" w:firstLine="480"/>
        <w:jc w:val="left"/>
      </w:pPr>
      <w:r>
        <w:rPr>
          <w:rFonts w:ascii="Times New Roman" w:hAnsi="Times New Roman" w:cs="Times New Roman" w:eastAsia="Times New Roman" w:hint="default"/>
        </w:rPr>
        <w:t>2</w:t>
      </w:r>
      <w:r>
        <w:rPr/>
        <w:t>、报告期内，公司发行股份及支付现金购买南京国图</w:t>
      </w:r>
      <w:r>
        <w:rPr>
          <w:spacing w:val="-61"/>
        </w:rPr>
        <w:t> </w:t>
      </w:r>
      <w:r>
        <w:rPr>
          <w:rFonts w:ascii="Times New Roman" w:hAnsi="Times New Roman" w:cs="Times New Roman" w:eastAsia="Times New Roman" w:hint="default"/>
        </w:rPr>
        <w:t>100%</w:t>
      </w:r>
      <w:r>
        <w:rPr/>
        <w:t>股权中所涉及的交易对手方 所持的限售股的</w:t>
      </w:r>
      <w:r>
        <w:rPr>
          <w:spacing w:val="-62"/>
        </w:rPr>
        <w:t> </w:t>
      </w:r>
      <w:r>
        <w:rPr>
          <w:rFonts w:ascii="Times New Roman" w:hAnsi="Times New Roman" w:cs="Times New Roman" w:eastAsia="Times New Roman" w:hint="default"/>
        </w:rPr>
        <w:t>30%</w:t>
      </w:r>
      <w:r>
        <w:rPr/>
        <w:t>解除了限售。</w:t>
      </w:r>
    </w:p>
    <w:p>
      <w:pPr>
        <w:pStyle w:val="BodyText"/>
        <w:spacing w:line="240" w:lineRule="auto" w:before="26"/>
        <w:ind w:left="633" w:right="1116"/>
        <w:jc w:val="left"/>
      </w:pPr>
      <w:r>
        <w:rPr>
          <w:rFonts w:ascii="Times New Roman" w:hAnsi="Times New Roman" w:cs="Times New Roman" w:eastAsia="Times New Roman" w:hint="default"/>
        </w:rPr>
        <w:t>3</w:t>
      </w:r>
      <w:r>
        <w:rPr/>
        <w:t>、报告期内，公司董事、总经理宋关福先生增持公司股票</w:t>
      </w:r>
      <w:r>
        <w:rPr>
          <w:spacing w:val="-59"/>
        </w:rPr>
        <w:t> </w:t>
      </w:r>
      <w:r>
        <w:rPr>
          <w:rFonts w:ascii="Times New Roman" w:hAnsi="Times New Roman" w:cs="Times New Roman" w:eastAsia="Times New Roman" w:hint="default"/>
        </w:rPr>
        <w:t>10 </w:t>
      </w:r>
      <w:r>
        <w:rPr/>
        <w:t>万股，部分进入高管锁定</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1273"/>
        <w:jc w:val="left"/>
      </w:pPr>
      <w:r>
        <w:rPr/>
        <w:t>期。</w:t>
      </w:r>
    </w:p>
    <w:p>
      <w:pPr>
        <w:pStyle w:val="BodyText"/>
        <w:spacing w:line="240" w:lineRule="auto" w:before="154"/>
        <w:ind w:left="633" w:right="1273"/>
        <w:jc w:val="left"/>
      </w:pPr>
      <w:r>
        <w:rPr/>
        <w:t>股份变动的批准情况</w:t>
      </w:r>
    </w:p>
    <w:p>
      <w:pPr>
        <w:pStyle w:val="BodyText"/>
        <w:spacing w:line="338" w:lineRule="auto" w:before="154"/>
        <w:ind w:left="6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公司股权激励计划预留部分限制性股票第四期解锁股份根据股东大会的授权已经由公司</w:t>
      </w:r>
    </w:p>
    <w:p>
      <w:pPr>
        <w:pStyle w:val="BodyText"/>
        <w:spacing w:line="357" w:lineRule="auto" w:before="55"/>
        <w:ind w:left="633" w:right="8113" w:hanging="480"/>
        <w:jc w:val="left"/>
      </w:pPr>
      <w:r>
        <w:rPr/>
        <w:t>董事会审议通过。 股份变动的过户情况</w:t>
      </w:r>
    </w:p>
    <w:p>
      <w:pPr>
        <w:pStyle w:val="BodyText"/>
        <w:spacing w:line="348" w:lineRule="auto"/>
        <w:ind w:left="63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以上股份变动均已办理登记。 股份回购的实施进展情况</w:t>
      </w:r>
    </w:p>
    <w:p>
      <w:pPr>
        <w:pStyle w:val="BodyText"/>
        <w:spacing w:line="240" w:lineRule="auto" w:before="46"/>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50" w:lineRule="auto" w:before="135"/>
        <w:ind w:right="1132" w:firstLine="480"/>
        <w:jc w:val="both"/>
      </w:pPr>
      <w:r>
        <w:rPr/>
        <w:t>公司于</w:t>
      </w:r>
      <w:r>
        <w:rPr>
          <w:spacing w:val="-61"/>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3 </w:t>
      </w:r>
      <w:r>
        <w:rPr/>
        <w:t>日召开第四届董事会第三次会议，审议通过了《关于回购注销部 </w:t>
      </w:r>
      <w:r>
        <w:rPr>
          <w:spacing w:val="-5"/>
        </w:rPr>
        <w:t>分激励对象已获授但尚未解锁的限制性股票的议案》，根据《上市公司股权激励管理办法》相</w:t>
      </w:r>
      <w:r>
        <w:rPr/>
        <w:t> </w:t>
      </w:r>
      <w:r>
        <w:rPr>
          <w:spacing w:val="-5"/>
        </w:rPr>
        <w:t>关法律法规以及《公司限制性股票激励计划（草案修订稿）》等相关规定，决定对黄骞、林彬</w:t>
      </w:r>
      <w:r>
        <w:rPr/>
        <w:t> 和孙培基等</w:t>
      </w:r>
      <w:r>
        <w:rPr>
          <w:spacing w:val="-61"/>
        </w:rPr>
        <w:t> </w:t>
      </w:r>
      <w:r>
        <w:rPr>
          <w:rFonts w:ascii="Times New Roman" w:hAnsi="Times New Roman" w:cs="Times New Roman" w:eastAsia="Times New Roman" w:hint="default"/>
        </w:rPr>
        <w:t>3 </w:t>
      </w:r>
      <w:r>
        <w:rPr/>
        <w:t>人因离职不再具备激励资格的对象所持有的已获授但尚未解锁的全部限制性股</w:t>
      </w:r>
    </w:p>
    <w:p>
      <w:pPr>
        <w:pStyle w:val="BodyText"/>
        <w:spacing w:line="240" w:lineRule="auto" w:before="13"/>
        <w:ind w:right="1116"/>
        <w:jc w:val="left"/>
        <w:rPr>
          <w:rFonts w:ascii="Times New Roman" w:hAnsi="Times New Roman" w:cs="Times New Roman" w:eastAsia="Times New Roman" w:hint="default"/>
        </w:rPr>
      </w:pPr>
      <w:r>
        <w:rPr/>
        <w:t>票进行回购注销。上述人员所持已获授但尚未解锁的首次授予的全部限制性股票共计</w:t>
      </w:r>
      <w:r>
        <w:rPr>
          <w:spacing w:val="-59"/>
        </w:rPr>
        <w:t> </w:t>
      </w:r>
      <w:r>
        <w:rPr>
          <w:rFonts w:ascii="Times New Roman" w:hAnsi="Times New Roman" w:cs="Times New Roman" w:eastAsia="Times New Roman" w:hint="default"/>
        </w:rPr>
        <w:t>41,600</w:t>
      </w:r>
    </w:p>
    <w:p>
      <w:pPr>
        <w:pStyle w:val="BodyText"/>
        <w:spacing w:line="240" w:lineRule="auto" w:before="136"/>
        <w:ind w:right="1273"/>
        <w:jc w:val="left"/>
      </w:pPr>
      <w:r>
        <w:rPr/>
        <w:t>股。</w:t>
      </w:r>
    </w:p>
    <w:p>
      <w:pPr>
        <w:pStyle w:val="BodyText"/>
        <w:spacing w:line="240" w:lineRule="auto" w:before="154"/>
        <w:ind w:left="633" w:right="997"/>
        <w:jc w:val="left"/>
        <w:rPr>
          <w:rFonts w:ascii="Times New Roman" w:hAnsi="Times New Roman" w:cs="Times New Roman" w:eastAsia="Times New Roman" w:hint="default"/>
        </w:rPr>
      </w:pPr>
      <w:r>
        <w:rPr/>
        <w:t>公司于</w:t>
      </w:r>
      <w:r>
        <w:rPr>
          <w:spacing w:val="-6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日完成本次限制性股票回购注销手续，公司总股本由</w:t>
      </w:r>
      <w:r>
        <w:rPr>
          <w:spacing w:val="-63"/>
        </w:rPr>
        <w:t> </w:t>
      </w:r>
      <w:r>
        <w:rPr>
          <w:rFonts w:ascii="Times New Roman" w:hAnsi="Times New Roman" w:cs="Times New Roman" w:eastAsia="Times New Roman" w:hint="default"/>
        </w:rPr>
        <w:t>449,578,967</w:t>
      </w:r>
    </w:p>
    <w:p>
      <w:pPr>
        <w:pStyle w:val="BodyText"/>
        <w:spacing w:line="338" w:lineRule="auto" w:before="135"/>
        <w:ind w:right="1189"/>
        <w:jc w:val="left"/>
      </w:pPr>
      <w:r>
        <w:rPr/>
        <w:t>股变更为</w:t>
      </w:r>
      <w:r>
        <w:rPr>
          <w:spacing w:val="-61"/>
        </w:rPr>
        <w:t> </w:t>
      </w:r>
      <w:r>
        <w:rPr>
          <w:rFonts w:ascii="Times New Roman" w:hAnsi="Times New Roman" w:cs="Times New Roman" w:eastAsia="Times New Roman" w:hint="default"/>
        </w:rPr>
        <w:t>449,537,367 </w:t>
      </w:r>
      <w:r>
        <w:rPr/>
        <w:t>股。具体内容详见公司于</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12 </w:t>
      </w:r>
      <w:r>
        <w:rPr/>
        <w:t>日在中国证监会指定创业板 信息披露网站上的公告</w:t>
      </w:r>
    </w:p>
    <w:p>
      <w:pPr>
        <w:pStyle w:val="BodyText"/>
        <w:spacing w:line="240" w:lineRule="auto" w:before="55"/>
        <w:ind w:left="633" w:right="1273"/>
        <w:jc w:val="left"/>
      </w:pPr>
      <w:r>
        <w:rPr/>
        <w:t>采用集中竞价方式减持回购股份的实施进展情况</w:t>
      </w:r>
    </w:p>
    <w:p>
      <w:pPr>
        <w:pStyle w:val="BodyText"/>
        <w:spacing w:line="338" w:lineRule="auto" w:before="154"/>
        <w:ind w:left="6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股份变动对最近一年和最近一期基本每股收益和稀释每股收益、归属于公司普通股股东</w:t>
      </w:r>
    </w:p>
    <w:p>
      <w:pPr>
        <w:pStyle w:val="BodyText"/>
        <w:spacing w:line="240" w:lineRule="auto" w:before="55"/>
        <w:ind w:right="1273"/>
        <w:jc w:val="left"/>
      </w:pPr>
      <w:r>
        <w:rPr/>
        <w:t>的每股净资产等财务指标的影响</w:t>
      </w:r>
    </w:p>
    <w:p>
      <w:pPr>
        <w:pStyle w:val="BodyText"/>
        <w:spacing w:line="338" w:lineRule="auto" w:before="154"/>
        <w:ind w:left="63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公司认为必要或证券监管机构要求披露的其他内容</w:t>
      </w:r>
    </w:p>
    <w:p>
      <w:pPr>
        <w:pStyle w:val="BodyText"/>
        <w:spacing w:line="240" w:lineRule="auto" w:before="55"/>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27"/>
          <w:szCs w:val="27"/>
        </w:rPr>
      </w:pPr>
    </w:p>
    <w:p>
      <w:pPr>
        <w:pStyle w:val="Heading2"/>
        <w:spacing w:line="240" w:lineRule="auto"/>
        <w:ind w:right="127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77" w:footer="979" w:top="1100" w:bottom="1160" w:left="980" w:right="0"/>
        </w:sectPr>
      </w:pPr>
    </w:p>
    <w:p>
      <w:pPr>
        <w:pStyle w:val="BodyText"/>
        <w:spacing w:line="240" w:lineRule="auto" w:before="2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90" w:space="6839"/>
            <w:col w:w="2101"/>
          </w:cols>
        </w:sectPr>
      </w:pPr>
    </w:p>
    <w:p>
      <w:pPr>
        <w:spacing w:line="240" w:lineRule="auto" w:before="11"/>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1126"/>
        <w:gridCol w:w="1393"/>
        <w:gridCol w:w="1056"/>
        <w:gridCol w:w="1056"/>
        <w:gridCol w:w="1320"/>
        <w:gridCol w:w="1280"/>
        <w:gridCol w:w="2093"/>
      </w:tblGrid>
      <w:tr>
        <w:trPr>
          <w:trHeight w:val="634"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85" w:right="161" w:hanging="420"/>
              <w:jc w:val="left"/>
              <w:rPr>
                <w:rFonts w:ascii="宋体" w:hAnsi="宋体" w:cs="宋体" w:eastAsia="宋体" w:hint="default"/>
                <w:sz w:val="21"/>
                <w:szCs w:val="21"/>
              </w:rPr>
            </w:pPr>
            <w:r>
              <w:rPr>
                <w:rFonts w:ascii="宋体" w:hAnsi="宋体" w:cs="宋体" w:eastAsia="宋体" w:hint="default"/>
                <w:sz w:val="21"/>
                <w:szCs w:val="21"/>
              </w:rPr>
              <w:t>期初限售股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5" w:right="96"/>
              <w:jc w:val="left"/>
              <w:rPr>
                <w:rFonts w:ascii="宋体" w:hAnsi="宋体" w:cs="宋体" w:eastAsia="宋体" w:hint="default"/>
                <w:sz w:val="21"/>
                <w:szCs w:val="21"/>
              </w:rPr>
            </w:pPr>
            <w:r>
              <w:rPr>
                <w:rFonts w:ascii="宋体" w:hAnsi="宋体" w:cs="宋体" w:eastAsia="宋体" w:hint="default"/>
                <w:sz w:val="21"/>
                <w:szCs w:val="21"/>
              </w:rPr>
              <w:t>本期解除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5" w:right="96"/>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49" w:right="125" w:hanging="420"/>
              <w:jc w:val="left"/>
              <w:rPr>
                <w:rFonts w:ascii="宋体" w:hAnsi="宋体" w:cs="宋体" w:eastAsia="宋体" w:hint="default"/>
                <w:sz w:val="21"/>
                <w:szCs w:val="21"/>
              </w:rPr>
            </w:pPr>
            <w:r>
              <w:rPr>
                <w:rFonts w:ascii="宋体" w:hAnsi="宋体" w:cs="宋体" w:eastAsia="宋体" w:hint="default"/>
                <w:sz w:val="21"/>
                <w:szCs w:val="21"/>
              </w:rPr>
              <w:t>期末限售股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04" w:right="0"/>
              <w:jc w:val="left"/>
              <w:rPr>
                <w:rFonts w:ascii="宋体" w:hAnsi="宋体" w:cs="宋体" w:eastAsia="宋体" w:hint="default"/>
                <w:sz w:val="21"/>
                <w:szCs w:val="21"/>
              </w:rPr>
            </w:pPr>
            <w:r>
              <w:rPr>
                <w:rFonts w:ascii="宋体" w:hAnsi="宋体" w:cs="宋体" w:eastAsia="宋体" w:hint="default"/>
                <w:sz w:val="21"/>
                <w:szCs w:val="21"/>
              </w:rPr>
              <w:t>拟解除限售日期</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40,156,560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40,156,560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103" w:right="100"/>
              <w:jc w:val="both"/>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第</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个</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78"/>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解</w:t>
            </w:r>
            <w:r>
              <w:rPr>
                <w:rFonts w:ascii="宋体" w:hAnsi="宋体" w:cs="宋体" w:eastAsia="宋体" w:hint="default"/>
                <w:spacing w:val="-38"/>
                <w:sz w:val="21"/>
                <w:szCs w:val="21"/>
              </w:rPr>
              <w:t> </w:t>
            </w:r>
            <w:r>
              <w:rPr>
                <w:rFonts w:ascii="宋体" w:hAnsi="宋体" w:cs="宋体" w:eastAsia="宋体" w:hint="default"/>
                <w:sz w:val="21"/>
                <w:szCs w:val="21"/>
              </w:rPr>
              <w:t>锁</w:t>
            </w:r>
            <w:r>
              <w:rPr>
                <w:rFonts w:ascii="宋体" w:hAnsi="宋体" w:cs="宋体" w:eastAsia="宋体" w:hint="default"/>
                <w:spacing w:val="-38"/>
                <w:sz w:val="21"/>
                <w:szCs w:val="21"/>
              </w:rPr>
              <w:t> </w:t>
            </w:r>
            <w:r>
              <w:rPr>
                <w:rFonts w:ascii="宋体" w:hAnsi="宋体" w:cs="宋体" w:eastAsia="宋体" w:hint="default"/>
                <w:sz w:val="21"/>
                <w:szCs w:val="21"/>
              </w:rPr>
              <w:t>持</w:t>
            </w:r>
            <w:r>
              <w:rPr>
                <w:rFonts w:ascii="宋体" w:hAnsi="宋体" w:cs="宋体" w:eastAsia="宋体" w:hint="default"/>
                <w:spacing w:val="-38"/>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宋体" w:hAnsi="宋体" w:cs="宋体" w:eastAsia="宋体" w:hint="default"/>
                <w:sz w:val="21"/>
                <w:szCs w:val="21"/>
              </w:rPr>
              <w:t>总</w:t>
            </w:r>
            <w:r>
              <w:rPr>
                <w:rFonts w:ascii="宋体" w:hAnsi="宋体" w:cs="宋体" w:eastAsia="宋体" w:hint="default"/>
                <w:spacing w:val="-40"/>
                <w:sz w:val="21"/>
                <w:szCs w:val="21"/>
              </w:rPr>
              <w:t> </w:t>
            </w:r>
            <w:r>
              <w:rPr>
                <w:rFonts w:ascii="宋体" w:hAnsi="宋体" w:cs="宋体" w:eastAsia="宋体" w:hint="default"/>
                <w:sz w:val="21"/>
                <w:szCs w:val="21"/>
              </w:rPr>
              <w:t>数</w:t>
            </w:r>
            <w:r>
              <w:rPr>
                <w:rFonts w:ascii="宋体" w:hAnsi="宋体" w:cs="宋体" w:eastAsia="宋体" w:hint="default"/>
                <w:spacing w:val="-3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25%</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宋关福</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17,185,080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z w:val="21"/>
              </w:rPr>
              <w:t>75,000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17,260,080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103" w:right="100"/>
              <w:jc w:val="both"/>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第</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个</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78"/>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解</w:t>
            </w:r>
            <w:r>
              <w:rPr>
                <w:rFonts w:ascii="宋体" w:hAnsi="宋体" w:cs="宋体" w:eastAsia="宋体" w:hint="default"/>
                <w:spacing w:val="-38"/>
                <w:sz w:val="21"/>
                <w:szCs w:val="21"/>
              </w:rPr>
              <w:t> </w:t>
            </w:r>
            <w:r>
              <w:rPr>
                <w:rFonts w:ascii="宋体" w:hAnsi="宋体" w:cs="宋体" w:eastAsia="宋体" w:hint="default"/>
                <w:sz w:val="21"/>
                <w:szCs w:val="21"/>
              </w:rPr>
              <w:t>锁</w:t>
            </w:r>
            <w:r>
              <w:rPr>
                <w:rFonts w:ascii="宋体" w:hAnsi="宋体" w:cs="宋体" w:eastAsia="宋体" w:hint="default"/>
                <w:spacing w:val="-38"/>
                <w:sz w:val="21"/>
                <w:szCs w:val="21"/>
              </w:rPr>
              <w:t> </w:t>
            </w:r>
            <w:r>
              <w:rPr>
                <w:rFonts w:ascii="宋体" w:hAnsi="宋体" w:cs="宋体" w:eastAsia="宋体" w:hint="default"/>
                <w:sz w:val="21"/>
                <w:szCs w:val="21"/>
              </w:rPr>
              <w:t>持</w:t>
            </w:r>
            <w:r>
              <w:rPr>
                <w:rFonts w:ascii="宋体" w:hAnsi="宋体" w:cs="宋体" w:eastAsia="宋体" w:hint="default"/>
                <w:spacing w:val="-38"/>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宋体" w:hAnsi="宋体" w:cs="宋体" w:eastAsia="宋体" w:hint="default"/>
                <w:sz w:val="21"/>
                <w:szCs w:val="21"/>
              </w:rPr>
              <w:t>总</w:t>
            </w:r>
            <w:r>
              <w:rPr>
                <w:rFonts w:ascii="宋体" w:hAnsi="宋体" w:cs="宋体" w:eastAsia="宋体" w:hint="default"/>
                <w:spacing w:val="-40"/>
                <w:sz w:val="21"/>
                <w:szCs w:val="21"/>
              </w:rPr>
              <w:t> </w:t>
            </w:r>
            <w:r>
              <w:rPr>
                <w:rFonts w:ascii="宋体" w:hAnsi="宋体" w:cs="宋体" w:eastAsia="宋体" w:hint="default"/>
                <w:sz w:val="21"/>
                <w:szCs w:val="21"/>
              </w:rPr>
              <w:t>数</w:t>
            </w:r>
            <w:r>
              <w:rPr>
                <w:rFonts w:ascii="宋体" w:hAnsi="宋体" w:cs="宋体" w:eastAsia="宋体" w:hint="default"/>
                <w:spacing w:val="-3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25%</w:t>
            </w:r>
          </w:p>
        </w:tc>
      </w:tr>
      <w:tr>
        <w:trPr>
          <w:trHeight w:val="494" w:hRule="exact"/>
        </w:trPr>
        <w:tc>
          <w:tcPr>
            <w:tcW w:w="112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王康弘</w:t>
            </w:r>
          </w:p>
        </w:tc>
        <w:tc>
          <w:tcPr>
            <w:tcW w:w="139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21"/>
                <w:szCs w:val="21"/>
              </w:rPr>
            </w:pPr>
            <w:r>
              <w:rPr>
                <w:rFonts w:ascii="Times New Roman"/>
                <w:spacing w:val="-1"/>
                <w:sz w:val="21"/>
              </w:rPr>
              <w:t>6,862,198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w w:val="100"/>
                <w:sz w:val="21"/>
              </w:rPr>
              <w:t>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6,862,200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8"/>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董事离任</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个月后</w:t>
            </w:r>
          </w:p>
        </w:tc>
      </w:tr>
      <w:tr>
        <w:trPr>
          <w:trHeight w:val="973" w:hRule="exact"/>
        </w:trPr>
        <w:tc>
          <w:tcPr>
            <w:tcW w:w="112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39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4,671,000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2,100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4,673,100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
              <w:ind w:left="103" w:right="100"/>
              <w:jc w:val="both"/>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第</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个</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78"/>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解</w:t>
            </w:r>
            <w:r>
              <w:rPr>
                <w:rFonts w:ascii="宋体" w:hAnsi="宋体" w:cs="宋体" w:eastAsia="宋体" w:hint="default"/>
                <w:spacing w:val="-38"/>
                <w:sz w:val="21"/>
                <w:szCs w:val="21"/>
              </w:rPr>
              <w:t> </w:t>
            </w:r>
            <w:r>
              <w:rPr>
                <w:rFonts w:ascii="宋体" w:hAnsi="宋体" w:cs="宋体" w:eastAsia="宋体" w:hint="default"/>
                <w:sz w:val="21"/>
                <w:szCs w:val="21"/>
              </w:rPr>
              <w:t>锁</w:t>
            </w:r>
            <w:r>
              <w:rPr>
                <w:rFonts w:ascii="宋体" w:hAnsi="宋体" w:cs="宋体" w:eastAsia="宋体" w:hint="default"/>
                <w:spacing w:val="-38"/>
                <w:sz w:val="21"/>
                <w:szCs w:val="21"/>
              </w:rPr>
              <w:t> </w:t>
            </w:r>
            <w:r>
              <w:rPr>
                <w:rFonts w:ascii="宋体" w:hAnsi="宋体" w:cs="宋体" w:eastAsia="宋体" w:hint="default"/>
                <w:sz w:val="21"/>
                <w:szCs w:val="21"/>
              </w:rPr>
              <w:t>持</w:t>
            </w:r>
            <w:r>
              <w:rPr>
                <w:rFonts w:ascii="宋体" w:hAnsi="宋体" w:cs="宋体" w:eastAsia="宋体" w:hint="default"/>
                <w:spacing w:val="-38"/>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宋体" w:hAnsi="宋体" w:cs="宋体" w:eastAsia="宋体" w:hint="default"/>
                <w:sz w:val="21"/>
                <w:szCs w:val="21"/>
              </w:rPr>
              <w:t>总</w:t>
            </w:r>
            <w:r>
              <w:rPr>
                <w:rFonts w:ascii="宋体" w:hAnsi="宋体" w:cs="宋体" w:eastAsia="宋体" w:hint="default"/>
                <w:spacing w:val="-40"/>
                <w:sz w:val="21"/>
                <w:szCs w:val="21"/>
              </w:rPr>
              <w:t> </w:t>
            </w:r>
            <w:r>
              <w:rPr>
                <w:rFonts w:ascii="宋体" w:hAnsi="宋体" w:cs="宋体" w:eastAsia="宋体" w:hint="default"/>
                <w:sz w:val="21"/>
                <w:szCs w:val="21"/>
              </w:rPr>
              <w:t>数</w:t>
            </w:r>
            <w:r>
              <w:rPr>
                <w:rFonts w:ascii="宋体" w:hAnsi="宋体" w:cs="宋体" w:eastAsia="宋体" w:hint="default"/>
                <w:spacing w:val="-3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25%</w:t>
            </w:r>
          </w:p>
        </w:tc>
      </w:tr>
      <w:tr>
        <w:trPr>
          <w:trHeight w:val="145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徐旭</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95,675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z w:val="21"/>
              </w:rPr>
              <w:t>22,400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z w:val="21"/>
              </w:rPr>
              <w:t>8,400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81,675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56" w:lineRule="auto" w:before="165"/>
              <w:ind w:left="103" w:right="97"/>
              <w:jc w:val="left"/>
              <w:rPr>
                <w:rFonts w:ascii="宋体" w:hAnsi="宋体" w:cs="宋体" w:eastAsia="宋体" w:hint="default"/>
                <w:sz w:val="21"/>
                <w:szCs w:val="21"/>
              </w:rPr>
            </w:pPr>
            <w:r>
              <w:rPr>
                <w:rFonts w:ascii="宋体" w:hAnsi="宋体" w:cs="宋体" w:eastAsia="宋体" w:hint="default"/>
                <w:spacing w:val="29"/>
                <w:sz w:val="21"/>
                <w:szCs w:val="21"/>
              </w:rPr>
              <w:t>高管锁定</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限制性股票</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第</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个</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78"/>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解</w:t>
            </w:r>
            <w:r>
              <w:rPr>
                <w:rFonts w:ascii="宋体" w:hAnsi="宋体" w:cs="宋体" w:eastAsia="宋体" w:hint="default"/>
                <w:spacing w:val="-38"/>
                <w:sz w:val="21"/>
                <w:szCs w:val="21"/>
              </w:rPr>
              <w:t> </w:t>
            </w:r>
            <w:r>
              <w:rPr>
                <w:rFonts w:ascii="宋体" w:hAnsi="宋体" w:cs="宋体" w:eastAsia="宋体" w:hint="default"/>
                <w:sz w:val="21"/>
                <w:szCs w:val="21"/>
              </w:rPr>
              <w:t>锁</w:t>
            </w:r>
            <w:r>
              <w:rPr>
                <w:rFonts w:ascii="宋体" w:hAnsi="宋体" w:cs="宋体" w:eastAsia="宋体" w:hint="default"/>
                <w:spacing w:val="-38"/>
                <w:sz w:val="21"/>
                <w:szCs w:val="21"/>
              </w:rPr>
              <w:t> </w:t>
            </w:r>
            <w:r>
              <w:rPr>
                <w:rFonts w:ascii="宋体" w:hAnsi="宋体" w:cs="宋体" w:eastAsia="宋体" w:hint="default"/>
                <w:sz w:val="21"/>
                <w:szCs w:val="21"/>
              </w:rPr>
              <w:t>持</w:t>
            </w:r>
            <w:r>
              <w:rPr>
                <w:rFonts w:ascii="宋体" w:hAnsi="宋体" w:cs="宋体" w:eastAsia="宋体" w:hint="default"/>
                <w:spacing w:val="-38"/>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宋体" w:hAnsi="宋体" w:cs="宋体" w:eastAsia="宋体" w:hint="default"/>
                <w:sz w:val="21"/>
                <w:szCs w:val="21"/>
              </w:rPr>
              <w:t>总</w:t>
            </w:r>
            <w:r>
              <w:rPr>
                <w:rFonts w:ascii="宋体" w:hAnsi="宋体" w:cs="宋体" w:eastAsia="宋体" w:hint="default"/>
                <w:spacing w:val="-40"/>
                <w:sz w:val="21"/>
                <w:szCs w:val="21"/>
              </w:rPr>
              <w:t> </w:t>
            </w:r>
            <w:r>
              <w:rPr>
                <w:rFonts w:ascii="宋体" w:hAnsi="宋体" w:cs="宋体" w:eastAsia="宋体" w:hint="default"/>
                <w:sz w:val="21"/>
                <w:szCs w:val="21"/>
              </w:rPr>
              <w:t>数</w:t>
            </w:r>
            <w:r>
              <w:rPr>
                <w:rFonts w:ascii="宋体" w:hAnsi="宋体" w:cs="宋体" w:eastAsia="宋体" w:hint="default"/>
                <w:spacing w:val="-3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、分期解除限售</w:t>
            </w:r>
          </w:p>
        </w:tc>
      </w:tr>
      <w:tr>
        <w:trPr>
          <w:trHeight w:val="145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李绍俊</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63,850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z w:val="21"/>
              </w:rPr>
              <w:t>16,000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z w:val="21"/>
              </w:rPr>
              <w:t>6,000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53,850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56" w:lineRule="auto" w:before="165"/>
              <w:ind w:left="103" w:right="97"/>
              <w:jc w:val="left"/>
              <w:rPr>
                <w:rFonts w:ascii="宋体" w:hAnsi="宋体" w:cs="宋体" w:eastAsia="宋体" w:hint="default"/>
                <w:sz w:val="21"/>
                <w:szCs w:val="21"/>
              </w:rPr>
            </w:pPr>
            <w:r>
              <w:rPr>
                <w:rFonts w:ascii="宋体" w:hAnsi="宋体" w:cs="宋体" w:eastAsia="宋体" w:hint="default"/>
                <w:spacing w:val="29"/>
                <w:sz w:val="21"/>
                <w:szCs w:val="21"/>
              </w:rPr>
              <w:t>高管锁定</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限制性股票</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第</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个</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78"/>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解</w:t>
            </w:r>
            <w:r>
              <w:rPr>
                <w:rFonts w:ascii="宋体" w:hAnsi="宋体" w:cs="宋体" w:eastAsia="宋体" w:hint="default"/>
                <w:spacing w:val="-38"/>
                <w:sz w:val="21"/>
                <w:szCs w:val="21"/>
              </w:rPr>
              <w:t> </w:t>
            </w:r>
            <w:r>
              <w:rPr>
                <w:rFonts w:ascii="宋体" w:hAnsi="宋体" w:cs="宋体" w:eastAsia="宋体" w:hint="default"/>
                <w:sz w:val="21"/>
                <w:szCs w:val="21"/>
              </w:rPr>
              <w:t>锁</w:t>
            </w:r>
            <w:r>
              <w:rPr>
                <w:rFonts w:ascii="宋体" w:hAnsi="宋体" w:cs="宋体" w:eastAsia="宋体" w:hint="default"/>
                <w:spacing w:val="-38"/>
                <w:sz w:val="21"/>
                <w:szCs w:val="21"/>
              </w:rPr>
              <w:t> </w:t>
            </w:r>
            <w:r>
              <w:rPr>
                <w:rFonts w:ascii="宋体" w:hAnsi="宋体" w:cs="宋体" w:eastAsia="宋体" w:hint="default"/>
                <w:sz w:val="21"/>
                <w:szCs w:val="21"/>
              </w:rPr>
              <w:t>持</w:t>
            </w:r>
            <w:r>
              <w:rPr>
                <w:rFonts w:ascii="宋体" w:hAnsi="宋体" w:cs="宋体" w:eastAsia="宋体" w:hint="default"/>
                <w:spacing w:val="-38"/>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宋体" w:hAnsi="宋体" w:cs="宋体" w:eastAsia="宋体" w:hint="default"/>
                <w:sz w:val="21"/>
                <w:szCs w:val="21"/>
              </w:rPr>
              <w:t>总</w:t>
            </w:r>
            <w:r>
              <w:rPr>
                <w:rFonts w:ascii="宋体" w:hAnsi="宋体" w:cs="宋体" w:eastAsia="宋体" w:hint="default"/>
                <w:spacing w:val="-40"/>
                <w:sz w:val="21"/>
                <w:szCs w:val="21"/>
              </w:rPr>
              <w:t> </w:t>
            </w:r>
            <w:r>
              <w:rPr>
                <w:rFonts w:ascii="宋体" w:hAnsi="宋体" w:cs="宋体" w:eastAsia="宋体" w:hint="default"/>
                <w:sz w:val="21"/>
                <w:szCs w:val="21"/>
              </w:rPr>
              <w:t>数</w:t>
            </w:r>
            <w:r>
              <w:rPr>
                <w:rFonts w:ascii="宋体" w:hAnsi="宋体" w:cs="宋体" w:eastAsia="宋体" w:hint="default"/>
                <w:spacing w:val="-3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、分期解除限售</w:t>
            </w:r>
          </w:p>
        </w:tc>
      </w:tr>
      <w:tr>
        <w:trPr>
          <w:trHeight w:val="145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白杨建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42,000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z w:val="21"/>
              </w:rPr>
              <w:t>16,000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z w:val="21"/>
              </w:rPr>
              <w:t>16,000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42,000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56" w:lineRule="auto" w:before="166"/>
              <w:ind w:left="103" w:right="97"/>
              <w:jc w:val="left"/>
              <w:rPr>
                <w:rFonts w:ascii="宋体" w:hAnsi="宋体" w:cs="宋体" w:eastAsia="宋体" w:hint="default"/>
                <w:sz w:val="21"/>
                <w:szCs w:val="21"/>
              </w:rPr>
            </w:pPr>
            <w:r>
              <w:rPr>
                <w:rFonts w:ascii="宋体" w:hAnsi="宋体" w:cs="宋体" w:eastAsia="宋体" w:hint="default"/>
                <w:spacing w:val="29"/>
                <w:sz w:val="21"/>
                <w:szCs w:val="21"/>
              </w:rPr>
              <w:t>高管锁定</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限制性股票</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第</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个</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78"/>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解</w:t>
            </w:r>
            <w:r>
              <w:rPr>
                <w:rFonts w:ascii="宋体" w:hAnsi="宋体" w:cs="宋体" w:eastAsia="宋体" w:hint="default"/>
                <w:spacing w:val="-38"/>
                <w:sz w:val="21"/>
                <w:szCs w:val="21"/>
              </w:rPr>
              <w:t> </w:t>
            </w:r>
            <w:r>
              <w:rPr>
                <w:rFonts w:ascii="宋体" w:hAnsi="宋体" w:cs="宋体" w:eastAsia="宋体" w:hint="default"/>
                <w:sz w:val="21"/>
                <w:szCs w:val="21"/>
              </w:rPr>
              <w:t>锁</w:t>
            </w:r>
            <w:r>
              <w:rPr>
                <w:rFonts w:ascii="宋体" w:hAnsi="宋体" w:cs="宋体" w:eastAsia="宋体" w:hint="default"/>
                <w:spacing w:val="-38"/>
                <w:sz w:val="21"/>
                <w:szCs w:val="21"/>
              </w:rPr>
              <w:t> </w:t>
            </w:r>
            <w:r>
              <w:rPr>
                <w:rFonts w:ascii="宋体" w:hAnsi="宋体" w:cs="宋体" w:eastAsia="宋体" w:hint="default"/>
                <w:sz w:val="21"/>
                <w:szCs w:val="21"/>
              </w:rPr>
              <w:t>持</w:t>
            </w:r>
            <w:r>
              <w:rPr>
                <w:rFonts w:ascii="宋体" w:hAnsi="宋体" w:cs="宋体" w:eastAsia="宋体" w:hint="default"/>
                <w:spacing w:val="-38"/>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宋体" w:hAnsi="宋体" w:cs="宋体" w:eastAsia="宋体" w:hint="default"/>
                <w:sz w:val="21"/>
                <w:szCs w:val="21"/>
              </w:rPr>
              <w:t>总</w:t>
            </w:r>
            <w:r>
              <w:rPr>
                <w:rFonts w:ascii="宋体" w:hAnsi="宋体" w:cs="宋体" w:eastAsia="宋体" w:hint="default"/>
                <w:spacing w:val="-40"/>
                <w:sz w:val="21"/>
                <w:szCs w:val="21"/>
              </w:rPr>
              <w:t> </w:t>
            </w:r>
            <w:r>
              <w:rPr>
                <w:rFonts w:ascii="宋体" w:hAnsi="宋体" w:cs="宋体" w:eastAsia="宋体" w:hint="default"/>
                <w:sz w:val="21"/>
                <w:szCs w:val="21"/>
              </w:rPr>
              <w:t>数</w:t>
            </w:r>
            <w:r>
              <w:rPr>
                <w:rFonts w:ascii="宋体" w:hAnsi="宋体" w:cs="宋体" w:eastAsia="宋体" w:hint="default"/>
                <w:spacing w:val="-3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、分期解除限售</w:t>
            </w:r>
          </w:p>
        </w:tc>
      </w:tr>
      <w:tr>
        <w:trPr>
          <w:trHeight w:val="972"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526,980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526,980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
              <w:ind w:left="103" w:right="100"/>
              <w:jc w:val="both"/>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第</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个</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78"/>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解</w:t>
            </w:r>
            <w:r>
              <w:rPr>
                <w:rFonts w:ascii="宋体" w:hAnsi="宋体" w:cs="宋体" w:eastAsia="宋体" w:hint="default"/>
                <w:spacing w:val="-37"/>
                <w:sz w:val="21"/>
                <w:szCs w:val="21"/>
              </w:rPr>
              <w:t> </w:t>
            </w:r>
            <w:r>
              <w:rPr>
                <w:rFonts w:ascii="宋体" w:hAnsi="宋体" w:cs="宋体" w:eastAsia="宋体" w:hint="default"/>
                <w:sz w:val="21"/>
                <w:szCs w:val="21"/>
              </w:rPr>
              <w:t>锁</w:t>
            </w:r>
            <w:r>
              <w:rPr>
                <w:rFonts w:ascii="宋体" w:hAnsi="宋体" w:cs="宋体" w:eastAsia="宋体" w:hint="default"/>
                <w:spacing w:val="-38"/>
                <w:sz w:val="21"/>
                <w:szCs w:val="21"/>
              </w:rPr>
              <w:t> </w:t>
            </w:r>
            <w:r>
              <w:rPr>
                <w:rFonts w:ascii="宋体" w:hAnsi="宋体" w:cs="宋体" w:eastAsia="宋体" w:hint="default"/>
                <w:sz w:val="21"/>
                <w:szCs w:val="21"/>
              </w:rPr>
              <w:t>持</w:t>
            </w:r>
            <w:r>
              <w:rPr>
                <w:rFonts w:ascii="宋体" w:hAnsi="宋体" w:cs="宋体" w:eastAsia="宋体" w:hint="default"/>
                <w:spacing w:val="-38"/>
                <w:sz w:val="21"/>
                <w:szCs w:val="21"/>
              </w:rPr>
              <w:t> </w:t>
            </w:r>
            <w:r>
              <w:rPr>
                <w:rFonts w:ascii="宋体" w:hAnsi="宋体" w:cs="宋体" w:eastAsia="宋体" w:hint="default"/>
                <w:sz w:val="21"/>
                <w:szCs w:val="21"/>
              </w:rPr>
              <w:t>股</w:t>
            </w:r>
            <w:r>
              <w:rPr>
                <w:rFonts w:ascii="宋体" w:hAnsi="宋体" w:cs="宋体" w:eastAsia="宋体" w:hint="default"/>
                <w:spacing w:val="-38"/>
                <w:sz w:val="21"/>
                <w:szCs w:val="21"/>
              </w:rPr>
              <w:t> </w:t>
            </w:r>
            <w:r>
              <w:rPr>
                <w:rFonts w:ascii="宋体" w:hAnsi="宋体" w:cs="宋体" w:eastAsia="宋体" w:hint="default"/>
                <w:sz w:val="21"/>
                <w:szCs w:val="21"/>
              </w:rPr>
              <w:t>总</w:t>
            </w:r>
            <w:r>
              <w:rPr>
                <w:rFonts w:ascii="宋体" w:hAnsi="宋体" w:cs="宋体" w:eastAsia="宋体" w:hint="default"/>
                <w:spacing w:val="-40"/>
                <w:sz w:val="21"/>
                <w:szCs w:val="21"/>
              </w:rPr>
              <w:t> </w:t>
            </w:r>
            <w:r>
              <w:rPr>
                <w:rFonts w:ascii="宋体" w:hAnsi="宋体" w:cs="宋体" w:eastAsia="宋体" w:hint="default"/>
                <w:sz w:val="21"/>
                <w:szCs w:val="21"/>
              </w:rPr>
              <w:t>数</w:t>
            </w:r>
            <w:r>
              <w:rPr>
                <w:rFonts w:ascii="宋体" w:hAnsi="宋体" w:cs="宋体" w:eastAsia="宋体" w:hint="default"/>
                <w:spacing w:val="-3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25%</w:t>
            </w:r>
          </w:p>
        </w:tc>
      </w:tr>
      <w:tr>
        <w:trPr>
          <w:trHeight w:val="94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06" w:right="134" w:hanging="70"/>
              <w:jc w:val="both"/>
              <w:rPr>
                <w:rFonts w:ascii="宋体" w:hAnsi="宋体" w:cs="宋体" w:eastAsia="宋体" w:hint="default"/>
                <w:sz w:val="21"/>
                <w:szCs w:val="21"/>
              </w:rPr>
            </w:pPr>
            <w:r>
              <w:rPr>
                <w:rFonts w:ascii="宋体" w:hAnsi="宋体" w:cs="宋体" w:eastAsia="宋体" w:hint="default"/>
                <w:sz w:val="21"/>
                <w:szCs w:val="21"/>
              </w:rPr>
              <w:t>限制性股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r>
              <w:rPr>
                <w:rFonts w:ascii="宋体" w:hAnsi="宋体" w:cs="宋体" w:eastAsia="宋体" w:hint="default"/>
                <w:w w:val="100"/>
                <w:sz w:val="21"/>
                <w:szCs w:val="21"/>
              </w:rPr>
              <w:t> </w:t>
            </w:r>
            <w:r>
              <w:rPr>
                <w:rFonts w:ascii="宋体" w:hAnsi="宋体" w:cs="宋体" w:eastAsia="宋体" w:hint="default"/>
                <w:sz w:val="21"/>
                <w:szCs w:val="21"/>
              </w:rPr>
              <w:t>人员）</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160,000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160,000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w w:val="100"/>
                <w:sz w:val="21"/>
              </w:rPr>
              <w:t>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8"/>
              <w:jc w:val="left"/>
              <w:rPr>
                <w:rFonts w:ascii="宋体" w:hAnsi="宋体" w:cs="宋体" w:eastAsia="宋体" w:hint="default"/>
                <w:sz w:val="21"/>
                <w:szCs w:val="21"/>
              </w:rPr>
            </w:pPr>
            <w:r>
              <w:rPr>
                <w:rFonts w:ascii="宋体" w:hAnsi="宋体" w:cs="宋体" w:eastAsia="宋体" w:hint="default"/>
                <w:sz w:val="21"/>
                <w:szCs w:val="21"/>
              </w:rPr>
              <w:t>股权激励限</w:t>
            </w:r>
            <w:r>
              <w:rPr>
                <w:rFonts w:ascii="宋体" w:hAnsi="宋体" w:cs="宋体" w:eastAsia="宋体" w:hint="default"/>
                <w:spacing w:val="-90"/>
                <w:sz w:val="21"/>
                <w:szCs w:val="21"/>
              </w:rPr>
              <w:t> </w:t>
            </w:r>
            <w:r>
              <w:rPr>
                <w:rFonts w:ascii="宋体" w:hAnsi="宋体" w:cs="宋体" w:eastAsia="宋体" w:hint="default"/>
                <w:sz w:val="21"/>
                <w:szCs w:val="21"/>
              </w:rPr>
              <w:t>售股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分期解除限售</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孙在宏</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96"/>
              <w:jc w:val="right"/>
              <w:rPr>
                <w:rFonts w:ascii="Times New Roman" w:hAnsi="Times New Roman" w:cs="Times New Roman" w:eastAsia="Times New Roman" w:hint="default"/>
                <w:sz w:val="21"/>
                <w:szCs w:val="21"/>
              </w:rPr>
            </w:pPr>
            <w:r>
              <w:rPr>
                <w:rFonts w:ascii="Times New Roman"/>
                <w:spacing w:val="-1"/>
                <w:sz w:val="21"/>
              </w:rPr>
              <w:t>7,743,765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96"/>
              <w:jc w:val="right"/>
              <w:rPr>
                <w:rFonts w:ascii="Times New Roman" w:hAnsi="Times New Roman" w:cs="Times New Roman" w:eastAsia="Times New Roman" w:hint="default"/>
                <w:sz w:val="21"/>
                <w:szCs w:val="21"/>
              </w:rPr>
            </w:pPr>
            <w:r>
              <w:rPr>
                <w:rFonts w:ascii="Times New Roman"/>
                <w:spacing w:val="-1"/>
                <w:sz w:val="21"/>
              </w:rPr>
              <w:t>2,761,614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96"/>
              <w:jc w:val="right"/>
              <w:rPr>
                <w:rFonts w:ascii="Times New Roman" w:hAnsi="Times New Roman" w:cs="Times New Roman" w:eastAsia="Times New Roman" w:hint="default"/>
                <w:sz w:val="21"/>
                <w:szCs w:val="21"/>
              </w:rPr>
            </w:pPr>
            <w:r>
              <w:rPr>
                <w:rFonts w:ascii="Times New Roman"/>
                <w:spacing w:val="-1"/>
                <w:sz w:val="21"/>
              </w:rPr>
              <w:t>1,922,108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98"/>
              <w:jc w:val="right"/>
              <w:rPr>
                <w:rFonts w:ascii="Times New Roman" w:hAnsi="Times New Roman" w:cs="Times New Roman" w:eastAsia="Times New Roman" w:hint="default"/>
                <w:sz w:val="21"/>
                <w:szCs w:val="21"/>
              </w:rPr>
            </w:pPr>
            <w:r>
              <w:rPr>
                <w:rFonts w:ascii="Times New Roman"/>
                <w:spacing w:val="-1"/>
                <w:sz w:val="21"/>
              </w:rPr>
              <w:t>6,904,259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首发后限售</w:t>
            </w:r>
          </w:p>
          <w:p>
            <w:pPr>
              <w:pStyle w:val="TableParagraph"/>
              <w:spacing w:line="256" w:lineRule="auto" w:before="37"/>
              <w:ind w:left="103" w:right="58"/>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pacing w:val="29"/>
                <w:sz w:val="21"/>
                <w:szCs w:val="21"/>
              </w:rPr>
              <w:t>高管锁定</w:t>
            </w:r>
            <w:r>
              <w:rPr>
                <w:rFonts w:ascii="宋体" w:hAnsi="宋体" w:cs="宋体" w:eastAsia="宋体" w:hint="default"/>
                <w:spacing w:val="-10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承诺分期解除限售</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吴长彬</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2,259,502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968,358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1,291,144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承诺分期解除限售</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蒋斌</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1,265,321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542,281</w:t>
            </w: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723,040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承诺分期解除限售</w:t>
            </w:r>
          </w:p>
        </w:tc>
      </w:tr>
    </w:tbl>
    <w:p>
      <w:pPr>
        <w:spacing w:after="0" w:line="273"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1126"/>
        <w:gridCol w:w="1393"/>
        <w:gridCol w:w="1056"/>
        <w:gridCol w:w="1056"/>
        <w:gridCol w:w="1320"/>
        <w:gridCol w:w="1280"/>
        <w:gridCol w:w="2093"/>
      </w:tblGrid>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237"/>
              <w:jc w:val="right"/>
              <w:rPr>
                <w:rFonts w:ascii="宋体" w:hAnsi="宋体" w:cs="宋体" w:eastAsia="宋体" w:hint="default"/>
                <w:sz w:val="21"/>
                <w:szCs w:val="21"/>
              </w:rPr>
            </w:pPr>
            <w:r>
              <w:rPr>
                <w:rFonts w:ascii="宋体" w:hAnsi="宋体" w:cs="宋体" w:eastAsia="宋体" w:hint="default"/>
                <w:sz w:val="21"/>
                <w:szCs w:val="21"/>
              </w:rPr>
              <w:t>张伟良</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1,171,593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502,111</w:t>
            </w: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669,482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6"/>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6"/>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承诺分期解除限售</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237"/>
              <w:jc w:val="right"/>
              <w:rPr>
                <w:rFonts w:ascii="宋体" w:hAnsi="宋体" w:cs="宋体" w:eastAsia="宋体" w:hint="default"/>
                <w:sz w:val="21"/>
                <w:szCs w:val="21"/>
              </w:rPr>
            </w:pPr>
            <w:r>
              <w:rPr>
                <w:rFonts w:ascii="宋体" w:hAnsi="宋体" w:cs="宋体" w:eastAsia="宋体" w:hint="default"/>
                <w:sz w:val="21"/>
                <w:szCs w:val="21"/>
              </w:rPr>
              <w:t>刘新平</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903,800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387,343</w:t>
            </w: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516,457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承诺分期解除限售</w:t>
            </w:r>
          </w:p>
        </w:tc>
      </w:tr>
      <w:tr>
        <w:trPr>
          <w:trHeight w:val="972"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237"/>
              <w:jc w:val="right"/>
              <w:rPr>
                <w:rFonts w:ascii="宋体" w:hAnsi="宋体" w:cs="宋体" w:eastAsia="宋体" w:hint="default"/>
                <w:sz w:val="21"/>
                <w:szCs w:val="21"/>
              </w:rPr>
            </w:pPr>
            <w:r>
              <w:rPr>
                <w:rFonts w:ascii="宋体" w:hAnsi="宋体" w:cs="宋体" w:eastAsia="宋体" w:hint="default"/>
                <w:sz w:val="21"/>
                <w:szCs w:val="21"/>
              </w:rPr>
              <w:t>王亚华</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702,956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301,266</w:t>
            </w: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401,690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8"/>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8"/>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承诺分期解除限售</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237"/>
              <w:jc w:val="right"/>
              <w:rPr>
                <w:rFonts w:ascii="宋体" w:hAnsi="宋体" w:cs="宋体" w:eastAsia="宋体" w:hint="default"/>
                <w:sz w:val="21"/>
                <w:szCs w:val="21"/>
              </w:rPr>
            </w:pPr>
            <w:r>
              <w:rPr>
                <w:rFonts w:ascii="宋体" w:hAnsi="宋体" w:cs="宋体" w:eastAsia="宋体" w:hint="default"/>
                <w:sz w:val="21"/>
                <w:szCs w:val="21"/>
              </w:rPr>
              <w:t>王履华</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702,956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301,266</w:t>
            </w: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401,690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承诺分期解除限售</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吉波</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669,482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286,920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382,562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7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pacing w:val="13"/>
                <w:sz w:val="21"/>
                <w:szCs w:val="21"/>
              </w:rPr>
              <w:t>行时</w:t>
            </w:r>
            <w:r>
              <w:rPr>
                <w:rFonts w:ascii="宋体" w:hAnsi="宋体" w:cs="宋体" w:eastAsia="宋体" w:hint="default"/>
                <w:spacing w:val="-103"/>
                <w:sz w:val="21"/>
                <w:szCs w:val="21"/>
              </w:rPr>
              <w:t> </w:t>
            </w:r>
            <w:r>
              <w:rPr>
                <w:rFonts w:ascii="宋体" w:hAnsi="宋体" w:cs="宋体" w:eastAsia="宋体" w:hint="default"/>
                <w:sz w:val="21"/>
                <w:szCs w:val="21"/>
              </w:rPr>
              <w:t>承诺分期解除限售</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237"/>
              <w:jc w:val="right"/>
              <w:rPr>
                <w:rFonts w:ascii="宋体" w:hAnsi="宋体" w:cs="宋体" w:eastAsia="宋体" w:hint="default"/>
                <w:sz w:val="21"/>
                <w:szCs w:val="21"/>
              </w:rPr>
            </w:pPr>
            <w:r>
              <w:rPr>
                <w:rFonts w:ascii="宋体" w:hAnsi="宋体" w:cs="宋体" w:eastAsia="宋体" w:hint="default"/>
                <w:sz w:val="21"/>
                <w:szCs w:val="21"/>
              </w:rPr>
              <w:t>胡永珍</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669,482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286,920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382,562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承诺分期解除限售</w:t>
            </w:r>
          </w:p>
        </w:tc>
      </w:tr>
      <w:tr>
        <w:trPr>
          <w:trHeight w:val="125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4"/>
              <w:jc w:val="center"/>
              <w:rPr>
                <w:rFonts w:ascii="宋体" w:hAnsi="宋体" w:cs="宋体" w:eastAsia="宋体" w:hint="default"/>
                <w:sz w:val="21"/>
                <w:szCs w:val="21"/>
              </w:rPr>
            </w:pPr>
            <w:r>
              <w:rPr>
                <w:rFonts w:ascii="宋体" w:hAnsi="宋体" w:cs="宋体" w:eastAsia="宋体" w:hint="default"/>
                <w:sz w:val="21"/>
                <w:szCs w:val="21"/>
              </w:rPr>
              <w:t>中地信基</w:t>
            </w:r>
            <w:r>
              <w:rPr>
                <w:rFonts w:ascii="宋体" w:hAnsi="宋体" w:cs="宋体" w:eastAsia="宋体" w:hint="default"/>
                <w:w w:val="100"/>
                <w:sz w:val="21"/>
                <w:szCs w:val="21"/>
              </w:rPr>
              <w:t> </w:t>
            </w:r>
            <w:r>
              <w:rPr>
                <w:rFonts w:ascii="宋体" w:hAnsi="宋体" w:cs="宋体" w:eastAsia="宋体" w:hint="default"/>
                <w:sz w:val="21"/>
                <w:szCs w:val="21"/>
              </w:rPr>
              <w:t>金投资</w:t>
            </w:r>
          </w:p>
          <w:p>
            <w:pPr>
              <w:pStyle w:val="TableParagraph"/>
              <w:spacing w:line="273" w:lineRule="auto" w:before="7"/>
              <w:ind w:left="136" w:right="134"/>
              <w:jc w:val="center"/>
              <w:rPr>
                <w:rFonts w:ascii="宋体" w:hAnsi="宋体" w:cs="宋体" w:eastAsia="宋体" w:hint="default"/>
                <w:sz w:val="21"/>
                <w:szCs w:val="21"/>
              </w:rPr>
            </w:pPr>
            <w:r>
              <w:rPr>
                <w:rFonts w:ascii="宋体" w:hAnsi="宋体" w:cs="宋体" w:eastAsia="宋体" w:hint="default"/>
                <w:sz w:val="21"/>
                <w:szCs w:val="21"/>
              </w:rPr>
              <w:t>（三明）</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718,388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718,388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承诺期限解除限售</w:t>
            </w:r>
          </w:p>
        </w:tc>
      </w:tr>
      <w:tr>
        <w:trPr>
          <w:trHeight w:val="15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4"/>
              <w:jc w:val="both"/>
              <w:rPr>
                <w:rFonts w:ascii="宋体" w:hAnsi="宋体" w:cs="宋体" w:eastAsia="宋体" w:hint="default"/>
                <w:sz w:val="21"/>
                <w:szCs w:val="21"/>
              </w:rPr>
            </w:pPr>
            <w:r>
              <w:rPr>
                <w:rFonts w:ascii="宋体" w:hAnsi="宋体" w:cs="宋体" w:eastAsia="宋体" w:hint="default"/>
                <w:sz w:val="21"/>
                <w:szCs w:val="21"/>
              </w:rPr>
              <w:t>南京毅达</w:t>
            </w:r>
            <w:r>
              <w:rPr>
                <w:rFonts w:ascii="宋体" w:hAnsi="宋体" w:cs="宋体" w:eastAsia="宋体" w:hint="default"/>
                <w:w w:val="100"/>
                <w:sz w:val="21"/>
                <w:szCs w:val="21"/>
              </w:rPr>
              <w:t> </w:t>
            </w:r>
            <w:r>
              <w:rPr>
                <w:rFonts w:ascii="宋体" w:hAnsi="宋体" w:cs="宋体" w:eastAsia="宋体" w:hint="default"/>
                <w:sz w:val="21"/>
                <w:szCs w:val="21"/>
              </w:rPr>
              <w:t>汇聚股权</w:t>
            </w:r>
            <w:r>
              <w:rPr>
                <w:rFonts w:ascii="宋体" w:hAnsi="宋体" w:cs="宋体" w:eastAsia="宋体" w:hint="default"/>
                <w:w w:val="100"/>
                <w:sz w:val="21"/>
                <w:szCs w:val="21"/>
              </w:rPr>
              <w:t> </w:t>
            </w:r>
            <w:r>
              <w:rPr>
                <w:rFonts w:ascii="宋体" w:hAnsi="宋体" w:cs="宋体" w:eastAsia="宋体" w:hint="default"/>
                <w:sz w:val="21"/>
                <w:szCs w:val="21"/>
              </w:rPr>
              <w:t>投资企业</w:t>
            </w:r>
          </w:p>
          <w:p>
            <w:pPr>
              <w:pStyle w:val="TableParagraph"/>
              <w:spacing w:line="273" w:lineRule="auto" w:before="7"/>
              <w:ind w:left="348" w:right="134" w:hanging="212"/>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14,367,816</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14,367,816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承诺期限解除限售</w:t>
            </w:r>
          </w:p>
        </w:tc>
      </w:tr>
      <w:tr>
        <w:trPr>
          <w:trHeight w:val="1882"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4"/>
              <w:jc w:val="both"/>
              <w:rPr>
                <w:rFonts w:ascii="宋体" w:hAnsi="宋体" w:cs="宋体" w:eastAsia="宋体" w:hint="default"/>
                <w:sz w:val="21"/>
                <w:szCs w:val="21"/>
              </w:rPr>
            </w:pPr>
            <w:r>
              <w:rPr>
                <w:rFonts w:ascii="宋体" w:hAnsi="宋体" w:cs="宋体" w:eastAsia="宋体" w:hint="default"/>
                <w:sz w:val="21"/>
                <w:szCs w:val="21"/>
              </w:rPr>
              <w:t>北京超图</w:t>
            </w:r>
            <w:r>
              <w:rPr>
                <w:rFonts w:ascii="宋体" w:hAnsi="宋体" w:cs="宋体" w:eastAsia="宋体" w:hint="default"/>
                <w:w w:val="100"/>
                <w:sz w:val="21"/>
                <w:szCs w:val="21"/>
              </w:rPr>
              <w:t> </w:t>
            </w:r>
            <w:r>
              <w:rPr>
                <w:rFonts w:ascii="宋体" w:hAnsi="宋体" w:cs="宋体" w:eastAsia="宋体" w:hint="default"/>
                <w:sz w:val="21"/>
                <w:szCs w:val="21"/>
              </w:rPr>
              <w:t>软件股份</w:t>
            </w:r>
            <w:r>
              <w:rPr>
                <w:rFonts w:ascii="宋体" w:hAnsi="宋体" w:cs="宋体" w:eastAsia="宋体" w:hint="default"/>
                <w:w w:val="100"/>
                <w:sz w:val="21"/>
                <w:szCs w:val="21"/>
              </w:rPr>
              <w:t> </w:t>
            </w:r>
            <w:r>
              <w:rPr>
                <w:rFonts w:ascii="宋体" w:hAnsi="宋体" w:cs="宋体" w:eastAsia="宋体" w:hint="default"/>
                <w:sz w:val="21"/>
                <w:szCs w:val="21"/>
              </w:rPr>
              <w:t>有限公司</w:t>
            </w:r>
          </w:p>
          <w:p>
            <w:pPr>
              <w:pStyle w:val="TableParagraph"/>
              <w:spacing w:line="273" w:lineRule="auto" w:before="7"/>
              <w:ind w:left="136" w:right="134"/>
              <w:jc w:val="center"/>
              <w:rPr>
                <w:rFonts w:ascii="宋体" w:hAnsi="宋体" w:cs="宋体" w:eastAsia="宋体" w:hint="default"/>
                <w:sz w:val="21"/>
                <w:szCs w:val="21"/>
              </w:rPr>
            </w:pPr>
            <w:r>
              <w:rPr>
                <w:rFonts w:ascii="宋体" w:hAnsi="宋体" w:cs="宋体" w:eastAsia="宋体" w:hint="default"/>
                <w:sz w:val="21"/>
                <w:szCs w:val="21"/>
              </w:rPr>
              <w:t>－第一期</w:t>
            </w:r>
            <w:r>
              <w:rPr>
                <w:rFonts w:ascii="宋体" w:hAnsi="宋体" w:cs="宋体" w:eastAsia="宋体" w:hint="default"/>
                <w:w w:val="100"/>
                <w:sz w:val="21"/>
                <w:szCs w:val="21"/>
              </w:rPr>
              <w:t> </w:t>
            </w:r>
            <w:r>
              <w:rPr>
                <w:rFonts w:ascii="宋体" w:hAnsi="宋体" w:cs="宋体" w:eastAsia="宋体" w:hint="default"/>
                <w:sz w:val="21"/>
                <w:szCs w:val="21"/>
              </w:rPr>
              <w:t>员工持股</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6"/>
              <w:jc w:val="right"/>
              <w:rPr>
                <w:rFonts w:ascii="Times New Roman" w:hAnsi="Times New Roman" w:cs="Times New Roman" w:eastAsia="Times New Roman" w:hint="default"/>
                <w:sz w:val="21"/>
                <w:szCs w:val="21"/>
              </w:rPr>
            </w:pPr>
            <w:r>
              <w:rPr>
                <w:rFonts w:ascii="Times New Roman"/>
                <w:spacing w:val="-1"/>
                <w:sz w:val="21"/>
              </w:rPr>
              <w:t>13,505,746</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13,505,746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98"/>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90"/>
                <w:sz w:val="21"/>
                <w:szCs w:val="21"/>
              </w:rPr>
              <w:t> </w:t>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100"/>
              <w:jc w:val="left"/>
              <w:rPr>
                <w:rFonts w:ascii="宋体" w:hAnsi="宋体" w:cs="宋体" w:eastAsia="宋体" w:hint="default"/>
                <w:sz w:val="21"/>
                <w:szCs w:val="21"/>
              </w:rPr>
            </w:pPr>
            <w:r>
              <w:rPr>
                <w:rFonts w:ascii="宋体" w:hAnsi="宋体" w:cs="宋体" w:eastAsia="宋体" w:hint="default"/>
                <w:spacing w:val="12"/>
                <w:sz w:val="21"/>
                <w:szCs w:val="21"/>
              </w:rPr>
              <w:t>根据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承诺期限解除限售</w:t>
            </w:r>
          </w:p>
        </w:tc>
      </w:tr>
      <w:tr>
        <w:trPr>
          <w:trHeight w:val="219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98" w:firstLine="33"/>
              <w:jc w:val="both"/>
              <w:rPr>
                <w:rFonts w:ascii="宋体" w:hAnsi="宋体" w:cs="宋体" w:eastAsia="宋体" w:hint="default"/>
                <w:sz w:val="21"/>
                <w:szCs w:val="21"/>
              </w:rPr>
            </w:pPr>
            <w:r>
              <w:rPr>
                <w:rFonts w:ascii="宋体" w:hAnsi="宋体" w:cs="宋体" w:eastAsia="宋体" w:hint="default"/>
                <w:sz w:val="21"/>
                <w:szCs w:val="21"/>
              </w:rPr>
              <w:t>兴证证券</w:t>
            </w:r>
            <w:r>
              <w:rPr>
                <w:rFonts w:ascii="宋体" w:hAnsi="宋体" w:cs="宋体" w:eastAsia="宋体" w:hint="default"/>
                <w:w w:val="100"/>
                <w:sz w:val="21"/>
                <w:szCs w:val="21"/>
              </w:rPr>
              <w:t> </w:t>
            </w:r>
            <w:r>
              <w:rPr>
                <w:rFonts w:ascii="宋体" w:hAnsi="宋体" w:cs="宋体" w:eastAsia="宋体" w:hint="default"/>
                <w:sz w:val="21"/>
                <w:szCs w:val="21"/>
              </w:rPr>
              <w:t>资管－招</w:t>
            </w:r>
            <w:r>
              <w:rPr>
                <w:rFonts w:ascii="宋体" w:hAnsi="宋体" w:cs="宋体" w:eastAsia="宋体" w:hint="default"/>
                <w:w w:val="100"/>
                <w:sz w:val="21"/>
                <w:szCs w:val="21"/>
              </w:rPr>
              <w:t> </w:t>
            </w:r>
            <w:r>
              <w:rPr>
                <w:rFonts w:ascii="宋体" w:hAnsi="宋体" w:cs="宋体" w:eastAsia="宋体" w:hint="default"/>
                <w:sz w:val="21"/>
                <w:szCs w:val="21"/>
              </w:rPr>
              <w:t>商银行－</w:t>
            </w:r>
            <w:r>
              <w:rPr>
                <w:rFonts w:ascii="宋体" w:hAnsi="宋体" w:cs="宋体" w:eastAsia="宋体" w:hint="default"/>
                <w:w w:val="100"/>
                <w:sz w:val="21"/>
                <w:szCs w:val="21"/>
              </w:rPr>
              <w:t> </w:t>
            </w:r>
            <w:r>
              <w:rPr>
                <w:rFonts w:ascii="宋体" w:hAnsi="宋体" w:cs="宋体" w:eastAsia="宋体" w:hint="default"/>
                <w:sz w:val="21"/>
                <w:szCs w:val="21"/>
              </w:rPr>
              <w:t>兴证资管</w:t>
            </w:r>
            <w:r>
              <w:rPr>
                <w:rFonts w:ascii="宋体" w:hAnsi="宋体" w:cs="宋体" w:eastAsia="宋体" w:hint="default"/>
                <w:w w:val="100"/>
                <w:sz w:val="21"/>
                <w:szCs w:val="21"/>
              </w:rPr>
              <w:t> </w:t>
            </w:r>
            <w:r>
              <w:rPr>
                <w:rFonts w:ascii="宋体" w:hAnsi="宋体" w:cs="宋体" w:eastAsia="宋体" w:hint="default"/>
                <w:sz w:val="21"/>
                <w:szCs w:val="21"/>
              </w:rPr>
              <w:t>鑫众</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集合资产</w:t>
            </w:r>
            <w:r>
              <w:rPr>
                <w:rFonts w:ascii="宋体" w:hAnsi="宋体" w:cs="宋体" w:eastAsia="宋体" w:hint="default"/>
                <w:w w:val="100"/>
                <w:sz w:val="21"/>
                <w:szCs w:val="21"/>
              </w:rPr>
              <w:t> </w:t>
            </w:r>
            <w:r>
              <w:rPr>
                <w:rFonts w:ascii="宋体" w:hAnsi="宋体" w:cs="宋体" w:eastAsia="宋体" w:hint="default"/>
                <w:sz w:val="21"/>
                <w:szCs w:val="21"/>
              </w:rPr>
              <w:t>管理计划</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2,155,170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2,155,170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7"/>
                <w:szCs w:val="27"/>
              </w:rPr>
            </w:pPr>
          </w:p>
          <w:p>
            <w:pPr>
              <w:pStyle w:val="TableParagraph"/>
              <w:spacing w:line="273" w:lineRule="auto"/>
              <w:ind w:left="527" w:right="106" w:hanging="420"/>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7"/>
                <w:szCs w:val="27"/>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承诺期限解除限售</w:t>
            </w:r>
          </w:p>
        </w:tc>
      </w:tr>
      <w:tr>
        <w:trPr>
          <w:trHeight w:val="97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王继青</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2,873,561</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2,873,561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527" w:right="106" w:hanging="420"/>
              <w:jc w:val="left"/>
              <w:rPr>
                <w:rFonts w:ascii="宋体" w:hAnsi="宋体" w:cs="宋体" w:eastAsia="宋体" w:hint="default"/>
                <w:sz w:val="21"/>
                <w:szCs w:val="21"/>
              </w:rPr>
            </w:pPr>
            <w:r>
              <w:rPr>
                <w:rFonts w:ascii="宋体" w:hAnsi="宋体" w:cs="宋体" w:eastAsia="宋体" w:hint="default"/>
                <w:sz w:val="21"/>
                <w:szCs w:val="21"/>
              </w:rPr>
              <w:t>首发后限售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承诺期限解除限售</w:t>
            </w:r>
          </w:p>
        </w:tc>
      </w:tr>
    </w:tbl>
    <w:p>
      <w:pPr>
        <w:spacing w:after="0" w:line="273"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34" w:type="dxa"/>
        <w:tblLayout w:type="fixed"/>
        <w:tblCellMar>
          <w:top w:w="0" w:type="dxa"/>
          <w:left w:w="0" w:type="dxa"/>
          <w:bottom w:w="0" w:type="dxa"/>
          <w:right w:w="0" w:type="dxa"/>
        </w:tblCellMar>
        <w:tblLook w:val="01E0"/>
      </w:tblPr>
      <w:tblGrid>
        <w:gridCol w:w="1126"/>
        <w:gridCol w:w="1393"/>
        <w:gridCol w:w="1056"/>
        <w:gridCol w:w="1056"/>
        <w:gridCol w:w="1320"/>
        <w:gridCol w:w="1280"/>
        <w:gridCol w:w="2093"/>
      </w:tblGrid>
      <w:tr>
        <w:trPr>
          <w:trHeight w:val="322"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4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0" w:right="0"/>
              <w:jc w:val="left"/>
              <w:rPr>
                <w:rFonts w:ascii="Times New Roman" w:hAnsi="Times New Roman" w:cs="Times New Roman" w:eastAsia="Times New Roman" w:hint="default"/>
                <w:sz w:val="21"/>
                <w:szCs w:val="21"/>
              </w:rPr>
            </w:pPr>
            <w:r>
              <w:rPr>
                <w:rFonts w:ascii="Times New Roman"/>
                <w:sz w:val="21"/>
              </w:rPr>
              <w:t>119,472,881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6,552,479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2,029,610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5" w:right="0"/>
              <w:jc w:val="left"/>
              <w:rPr>
                <w:rFonts w:ascii="Times New Roman" w:hAnsi="Times New Roman" w:cs="Times New Roman" w:eastAsia="Times New Roman" w:hint="default"/>
                <w:sz w:val="21"/>
                <w:szCs w:val="21"/>
              </w:rPr>
            </w:pPr>
            <w:r>
              <w:rPr>
                <w:rFonts w:ascii="Times New Roman"/>
                <w:sz w:val="21"/>
              </w:rPr>
              <w:t>114,950,012</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5"/>
        <w:ind w:left="553"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553"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before="0"/>
        <w:ind w:left="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7"/>
        <w:rPr>
          <w:rFonts w:ascii="宋体" w:hAnsi="宋体" w:cs="宋体" w:eastAsia="宋体" w:hint="default"/>
          <w:sz w:val="21"/>
          <w:szCs w:val="21"/>
        </w:rPr>
      </w:pPr>
    </w:p>
    <w:p>
      <w:pPr>
        <w:pStyle w:val="Heading2"/>
        <w:spacing w:line="240" w:lineRule="auto"/>
        <w:ind w:left="553"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left="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6"/>
        <w:rPr>
          <w:rFonts w:ascii="宋体" w:hAnsi="宋体" w:cs="宋体" w:eastAsia="宋体" w:hint="default"/>
          <w:sz w:val="21"/>
          <w:szCs w:val="21"/>
        </w:rPr>
      </w:pPr>
    </w:p>
    <w:p>
      <w:pPr>
        <w:pStyle w:val="Heading2"/>
        <w:spacing w:line="240" w:lineRule="auto"/>
        <w:ind w:left="553"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1"/>
          <w:szCs w:val="21"/>
        </w:rPr>
      </w:pPr>
    </w:p>
    <w:p>
      <w:pPr>
        <w:spacing w:line="456" w:lineRule="auto" w:before="0"/>
        <w:ind w:left="553" w:right="774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、公司股东数量及持股情况</w:t>
      </w:r>
      <w:r>
        <w:rPr>
          <w:rFonts w:ascii="宋体" w:hAnsi="宋体" w:cs="宋体" w:eastAsia="宋体" w:hint="default"/>
          <w:sz w:val="24"/>
          <w:szCs w:val="24"/>
        </w:rPr>
      </w:r>
    </w:p>
    <w:p>
      <w:pPr>
        <w:spacing w:before="66"/>
        <w:ind w:left="0" w:right="1219"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332"/>
        <w:gridCol w:w="444"/>
        <w:gridCol w:w="362"/>
        <w:gridCol w:w="975"/>
        <w:gridCol w:w="464"/>
        <w:gridCol w:w="246"/>
        <w:gridCol w:w="1139"/>
        <w:gridCol w:w="988"/>
        <w:gridCol w:w="884"/>
        <w:gridCol w:w="249"/>
        <w:gridCol w:w="1141"/>
        <w:gridCol w:w="1406"/>
        <w:gridCol w:w="902"/>
      </w:tblGrid>
      <w:tr>
        <w:trPr>
          <w:trHeight w:val="317" w:hRule="exact"/>
        </w:trPr>
        <w:tc>
          <w:tcPr>
            <w:tcW w:w="1332" w:type="dxa"/>
            <w:vMerge w:val="restart"/>
            <w:tcBorders>
              <w:top w:val="single" w:sz="4" w:space="0" w:color="000000"/>
              <w:left w:val="single" w:sz="4" w:space="0" w:color="000000"/>
              <w:right w:val="single" w:sz="4" w:space="0" w:color="000000"/>
            </w:tcBorders>
            <w:shd w:val="clear" w:color="auto" w:fill="D2D2D2"/>
          </w:tcPr>
          <w:p>
            <w:pPr/>
          </w:p>
        </w:tc>
        <w:tc>
          <w:tcPr>
            <w:tcW w:w="80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78" w:right="0"/>
              <w:jc w:val="left"/>
              <w:rPr>
                <w:rFonts w:ascii="Times New Roman" w:hAnsi="Times New Roman" w:cs="Times New Roman" w:eastAsia="Times New Roman" w:hint="default"/>
                <w:sz w:val="21"/>
                <w:szCs w:val="21"/>
              </w:rPr>
            </w:pPr>
            <w:r>
              <w:rPr>
                <w:rFonts w:ascii="Times New Roman"/>
                <w:sz w:val="21"/>
              </w:rPr>
              <w:t>29,472</w:t>
            </w:r>
          </w:p>
        </w:tc>
        <w:tc>
          <w:tcPr>
            <w:tcW w:w="14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85"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62" w:right="0"/>
              <w:jc w:val="left"/>
              <w:rPr>
                <w:rFonts w:ascii="Times New Roman" w:hAnsi="Times New Roman" w:cs="Times New Roman" w:eastAsia="Times New Roman" w:hint="default"/>
                <w:sz w:val="21"/>
                <w:szCs w:val="21"/>
              </w:rPr>
            </w:pPr>
            <w:r>
              <w:rPr>
                <w:rFonts w:ascii="Times New Roman"/>
                <w:sz w:val="21"/>
              </w:rPr>
              <w:t>37,005</w:t>
            </w:r>
          </w:p>
        </w:tc>
        <w:tc>
          <w:tcPr>
            <w:tcW w:w="187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90"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7" w:right="8"/>
              <w:jc w:val="left"/>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表决权恢复的</w:t>
            </w:r>
            <w:r>
              <w:rPr>
                <w:rFonts w:ascii="宋体" w:hAnsi="宋体" w:cs="宋体" w:eastAsia="宋体" w:hint="default"/>
                <w:w w:val="100"/>
                <w:sz w:val="21"/>
                <w:szCs w:val="21"/>
              </w:rPr>
              <w:t> </w:t>
            </w:r>
            <w:r>
              <w:rPr>
                <w:rFonts w:ascii="宋体" w:hAnsi="宋体" w:cs="宋体" w:eastAsia="宋体" w:hint="default"/>
                <w:sz w:val="21"/>
                <w:szCs w:val="21"/>
              </w:rPr>
              <w:t>优先股股东总</w:t>
            </w:r>
            <w:r>
              <w:rPr>
                <w:rFonts w:ascii="宋体" w:hAnsi="宋体" w:cs="宋体" w:eastAsia="宋体" w:hint="default"/>
                <w:w w:val="100"/>
                <w:sz w:val="21"/>
                <w:szCs w:val="21"/>
              </w:rPr>
              <w:t> </w:t>
            </w:r>
            <w:r>
              <w:rPr>
                <w:rFonts w:ascii="宋体" w:hAnsi="宋体" w:cs="宋体" w:eastAsia="宋体" w:hint="default"/>
                <w:spacing w:val="-16"/>
                <w:w w:val="100"/>
                <w:sz w:val="21"/>
                <w:szCs w:val="21"/>
              </w:rPr>
              <w:t>数（如有）（参</w:t>
            </w:r>
            <w:r>
              <w:rPr>
                <w:rFonts w:ascii="宋体" w:hAnsi="宋体" w:cs="宋体" w:eastAsia="宋体" w:hint="default"/>
                <w:w w:val="100"/>
                <w:sz w:val="21"/>
                <w:szCs w:val="21"/>
              </w:rPr>
              <w:t> </w:t>
            </w:r>
            <w:r>
              <w:rPr>
                <w:rFonts w:ascii="宋体" w:hAnsi="宋体" w:cs="宋体" w:eastAsia="宋体" w:hint="default"/>
                <w:sz w:val="21"/>
                <w:szCs w:val="21"/>
              </w:rPr>
              <w:t>见注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90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312" w:hRule="exact"/>
        </w:trPr>
        <w:tc>
          <w:tcPr>
            <w:tcW w:w="1332" w:type="dxa"/>
            <w:vMerge/>
            <w:tcBorders>
              <w:left w:val="single" w:sz="4" w:space="0" w:color="000000"/>
              <w:bottom w:val="nil" w:sz="6" w:space="0" w:color="auto"/>
              <w:right w:val="single" w:sz="4" w:space="0" w:color="000000"/>
            </w:tcBorders>
            <w:shd w:val="clear" w:color="auto" w:fill="D2D2D2"/>
          </w:tcPr>
          <w:p>
            <w:pPr/>
          </w:p>
        </w:tc>
        <w:tc>
          <w:tcPr>
            <w:tcW w:w="806" w:type="dxa"/>
            <w:gridSpan w:val="2"/>
            <w:vMerge/>
            <w:tcBorders>
              <w:left w:val="single" w:sz="9" w:space="0" w:color="D2D2D2"/>
              <w:right w:val="single" w:sz="9"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 w:right="153"/>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普通股股东总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85" w:type="dxa"/>
            <w:gridSpan w:val="2"/>
            <w:vMerge/>
            <w:tcBorders>
              <w:left w:val="single" w:sz="10" w:space="0" w:color="D2D2D2"/>
              <w:right w:val="single" w:sz="9" w:space="0" w:color="D2D2D2"/>
            </w:tcBorders>
          </w:tcPr>
          <w:p>
            <w:pPr/>
          </w:p>
        </w:tc>
        <w:tc>
          <w:tcPr>
            <w:tcW w:w="187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7" w:right="54"/>
              <w:jc w:val="left"/>
              <w:rPr>
                <w:rFonts w:ascii="宋体" w:hAnsi="宋体" w:cs="宋体" w:eastAsia="宋体" w:hint="default"/>
                <w:sz w:val="21"/>
                <w:szCs w:val="21"/>
              </w:rPr>
            </w:pPr>
            <w:r>
              <w:rPr>
                <w:rFonts w:ascii="宋体" w:hAnsi="宋体" w:cs="宋体" w:eastAsia="宋体" w:hint="default"/>
                <w:sz w:val="21"/>
                <w:szCs w:val="21"/>
              </w:rPr>
              <w:t>报告期末表决权恢</w:t>
            </w:r>
            <w:r>
              <w:rPr>
                <w:rFonts w:ascii="宋体" w:hAnsi="宋体" w:cs="宋体" w:eastAsia="宋体" w:hint="default"/>
                <w:w w:val="100"/>
                <w:sz w:val="21"/>
                <w:szCs w:val="21"/>
              </w:rPr>
              <w:t> </w:t>
            </w:r>
            <w:r>
              <w:rPr>
                <w:rFonts w:ascii="宋体" w:hAnsi="宋体" w:cs="宋体" w:eastAsia="宋体" w:hint="default"/>
                <w:sz w:val="21"/>
                <w:szCs w:val="21"/>
              </w:rPr>
              <w:t>复的优先股股东总</w:t>
            </w:r>
            <w:r>
              <w:rPr>
                <w:rFonts w:ascii="宋体" w:hAnsi="宋体" w:cs="宋体" w:eastAsia="宋体" w:hint="default"/>
                <w:w w:val="100"/>
                <w:sz w:val="21"/>
                <w:szCs w:val="21"/>
              </w:rPr>
              <w:t> </w:t>
            </w:r>
            <w:r>
              <w:rPr>
                <w:rFonts w:ascii="宋体" w:hAnsi="宋体" w:cs="宋体" w:eastAsia="宋体" w:hint="default"/>
                <w:spacing w:val="-13"/>
                <w:w w:val="100"/>
                <w:sz w:val="21"/>
                <w:szCs w:val="21"/>
              </w:rPr>
              <w:t>数（如有）（参见注</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1390" w:type="dxa"/>
            <w:gridSpan w:val="2"/>
            <w:vMerge/>
            <w:tcBorders>
              <w:left w:val="single" w:sz="10" w:space="0" w:color="D2D2D2"/>
              <w:right w:val="single" w:sz="10" w:space="0" w:color="D2D2D2"/>
            </w:tcBorders>
          </w:tcPr>
          <w:p>
            <w:pPr/>
          </w:p>
        </w:tc>
        <w:tc>
          <w:tcPr>
            <w:tcW w:w="1406" w:type="dxa"/>
            <w:vMerge/>
            <w:tcBorders>
              <w:left w:val="single" w:sz="4" w:space="0" w:color="000000"/>
              <w:right w:val="single" w:sz="4" w:space="0" w:color="000000"/>
            </w:tcBorders>
            <w:shd w:val="clear" w:color="auto" w:fill="D2D2D2"/>
          </w:tcPr>
          <w:p>
            <w:pPr/>
          </w:p>
        </w:tc>
        <w:tc>
          <w:tcPr>
            <w:tcW w:w="902" w:type="dxa"/>
            <w:vMerge/>
            <w:tcBorders>
              <w:left w:val="single" w:sz="10" w:space="0" w:color="D2D2D2"/>
              <w:right w:val="single" w:sz="4" w:space="0" w:color="000000"/>
            </w:tcBorders>
          </w:tcPr>
          <w:p>
            <w:pPr/>
          </w:p>
        </w:tc>
      </w:tr>
      <w:tr>
        <w:trPr>
          <w:trHeight w:val="703" w:hRule="exact"/>
        </w:trPr>
        <w:tc>
          <w:tcPr>
            <w:tcW w:w="13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4" w:right="34"/>
              <w:jc w:val="left"/>
              <w:rPr>
                <w:rFonts w:ascii="宋体" w:hAnsi="宋体" w:cs="宋体" w:eastAsia="宋体" w:hint="default"/>
                <w:sz w:val="21"/>
                <w:szCs w:val="21"/>
              </w:rPr>
            </w:pPr>
            <w:r>
              <w:rPr>
                <w:rFonts w:ascii="宋体" w:hAnsi="宋体" w:cs="宋体" w:eastAsia="宋体" w:hint="default"/>
                <w:sz w:val="21"/>
                <w:szCs w:val="21"/>
              </w:rPr>
              <w:t>报告期末普通</w:t>
            </w:r>
            <w:r>
              <w:rPr>
                <w:rFonts w:ascii="宋体" w:hAnsi="宋体" w:cs="宋体" w:eastAsia="宋体" w:hint="default"/>
                <w:w w:val="100"/>
                <w:sz w:val="21"/>
                <w:szCs w:val="21"/>
              </w:rPr>
              <w:t> </w:t>
            </w:r>
            <w:r>
              <w:rPr>
                <w:rFonts w:ascii="宋体" w:hAnsi="宋体" w:cs="宋体" w:eastAsia="宋体" w:hint="default"/>
                <w:sz w:val="21"/>
                <w:szCs w:val="21"/>
              </w:rPr>
              <w:t>股股东总数</w:t>
            </w:r>
          </w:p>
        </w:tc>
        <w:tc>
          <w:tcPr>
            <w:tcW w:w="806"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385" w:type="dxa"/>
            <w:gridSpan w:val="2"/>
            <w:vMerge/>
            <w:tcBorders>
              <w:left w:val="single" w:sz="10" w:space="0" w:color="D2D2D2"/>
              <w:right w:val="single" w:sz="9" w:space="0" w:color="D2D2D2"/>
            </w:tcBorders>
          </w:tcPr>
          <w:p>
            <w:pPr/>
          </w:p>
        </w:tc>
        <w:tc>
          <w:tcPr>
            <w:tcW w:w="1872" w:type="dxa"/>
            <w:gridSpan w:val="2"/>
            <w:vMerge/>
            <w:tcBorders>
              <w:left w:val="single" w:sz="4" w:space="0" w:color="000000"/>
              <w:right w:val="single" w:sz="4" w:space="0" w:color="000000"/>
            </w:tcBorders>
            <w:shd w:val="clear" w:color="auto" w:fill="D2D2D2"/>
          </w:tcPr>
          <w:p>
            <w:pPr/>
          </w:p>
        </w:tc>
        <w:tc>
          <w:tcPr>
            <w:tcW w:w="1390" w:type="dxa"/>
            <w:gridSpan w:val="2"/>
            <w:vMerge/>
            <w:tcBorders>
              <w:left w:val="single" w:sz="10" w:space="0" w:color="D2D2D2"/>
              <w:right w:val="single" w:sz="10" w:space="0" w:color="D2D2D2"/>
            </w:tcBorders>
          </w:tcPr>
          <w:p>
            <w:pPr/>
          </w:p>
        </w:tc>
        <w:tc>
          <w:tcPr>
            <w:tcW w:w="1406" w:type="dxa"/>
            <w:vMerge/>
            <w:tcBorders>
              <w:left w:val="single" w:sz="4" w:space="0" w:color="000000"/>
              <w:right w:val="single" w:sz="4" w:space="0" w:color="000000"/>
            </w:tcBorders>
            <w:shd w:val="clear" w:color="auto" w:fill="D2D2D2"/>
          </w:tcPr>
          <w:p>
            <w:pPr/>
          </w:p>
        </w:tc>
        <w:tc>
          <w:tcPr>
            <w:tcW w:w="902" w:type="dxa"/>
            <w:vMerge/>
            <w:tcBorders>
              <w:left w:val="single" w:sz="10" w:space="0" w:color="D2D2D2"/>
              <w:right w:val="single" w:sz="4" w:space="0" w:color="000000"/>
            </w:tcBorders>
          </w:tcPr>
          <w:p>
            <w:pPr/>
          </w:p>
        </w:tc>
      </w:tr>
      <w:tr>
        <w:trPr>
          <w:trHeight w:val="312" w:hRule="exact"/>
        </w:trPr>
        <w:tc>
          <w:tcPr>
            <w:tcW w:w="1332" w:type="dxa"/>
            <w:vMerge w:val="restart"/>
            <w:tcBorders>
              <w:top w:val="nil" w:sz="6" w:space="0" w:color="auto"/>
              <w:left w:val="single" w:sz="4" w:space="0" w:color="000000"/>
              <w:right w:val="single" w:sz="4" w:space="0" w:color="000000"/>
            </w:tcBorders>
            <w:shd w:val="clear" w:color="auto" w:fill="D2D2D2"/>
          </w:tcPr>
          <w:p>
            <w:pPr/>
          </w:p>
        </w:tc>
        <w:tc>
          <w:tcPr>
            <w:tcW w:w="806" w:type="dxa"/>
            <w:gridSpan w:val="2"/>
            <w:vMerge/>
            <w:tcBorders>
              <w:left w:val="single" w:sz="9" w:space="0" w:color="D2D2D2"/>
              <w:right w:val="single" w:sz="9"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385" w:type="dxa"/>
            <w:gridSpan w:val="2"/>
            <w:vMerge/>
            <w:tcBorders>
              <w:left w:val="single" w:sz="10" w:space="0" w:color="D2D2D2"/>
              <w:right w:val="single" w:sz="9" w:space="0" w:color="D2D2D2"/>
            </w:tcBorders>
          </w:tcPr>
          <w:p>
            <w:pPr/>
          </w:p>
        </w:tc>
        <w:tc>
          <w:tcPr>
            <w:tcW w:w="1872" w:type="dxa"/>
            <w:gridSpan w:val="2"/>
            <w:vMerge/>
            <w:tcBorders>
              <w:left w:val="single" w:sz="4" w:space="0" w:color="000000"/>
              <w:bottom w:val="nil" w:sz="6" w:space="0" w:color="auto"/>
              <w:right w:val="single" w:sz="4" w:space="0" w:color="000000"/>
            </w:tcBorders>
            <w:shd w:val="clear" w:color="auto" w:fill="D2D2D2"/>
          </w:tcPr>
          <w:p>
            <w:pPr/>
          </w:p>
        </w:tc>
        <w:tc>
          <w:tcPr>
            <w:tcW w:w="1390" w:type="dxa"/>
            <w:gridSpan w:val="2"/>
            <w:vMerge/>
            <w:tcBorders>
              <w:left w:val="single" w:sz="10" w:space="0" w:color="D2D2D2"/>
              <w:right w:val="single" w:sz="10" w:space="0" w:color="D2D2D2"/>
            </w:tcBorders>
          </w:tcPr>
          <w:p>
            <w:pPr/>
          </w:p>
        </w:tc>
        <w:tc>
          <w:tcPr>
            <w:tcW w:w="1406" w:type="dxa"/>
            <w:vMerge/>
            <w:tcBorders>
              <w:left w:val="single" w:sz="4" w:space="0" w:color="000000"/>
              <w:right w:val="single" w:sz="4" w:space="0" w:color="000000"/>
            </w:tcBorders>
            <w:shd w:val="clear" w:color="auto" w:fill="D2D2D2"/>
          </w:tcPr>
          <w:p>
            <w:pPr/>
          </w:p>
        </w:tc>
        <w:tc>
          <w:tcPr>
            <w:tcW w:w="902" w:type="dxa"/>
            <w:vMerge/>
            <w:tcBorders>
              <w:left w:val="single" w:sz="10" w:space="0" w:color="D2D2D2"/>
              <w:right w:val="single" w:sz="4" w:space="0" w:color="000000"/>
            </w:tcBorders>
          </w:tcPr>
          <w:p>
            <w:pPr/>
          </w:p>
        </w:tc>
      </w:tr>
      <w:tr>
        <w:trPr>
          <w:trHeight w:val="324"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806" w:type="dxa"/>
            <w:gridSpan w:val="2"/>
            <w:vMerge/>
            <w:tcBorders>
              <w:left w:val="single" w:sz="9" w:space="0" w:color="D2D2D2"/>
              <w:bottom w:val="single" w:sz="4" w:space="0" w:color="000000"/>
              <w:right w:val="single" w:sz="9" w:space="0" w:color="D2D2D2"/>
            </w:tcBorders>
          </w:tcPr>
          <w:p>
            <w:pPr/>
          </w:p>
        </w:tc>
        <w:tc>
          <w:tcPr>
            <w:tcW w:w="14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85" w:type="dxa"/>
            <w:gridSpan w:val="2"/>
            <w:vMerge/>
            <w:tcBorders>
              <w:left w:val="single" w:sz="10" w:space="0" w:color="D2D2D2"/>
              <w:bottom w:val="single" w:sz="4" w:space="0" w:color="000000"/>
              <w:right w:val="single" w:sz="9" w:space="0" w:color="D2D2D2"/>
            </w:tcBorders>
          </w:tcPr>
          <w:p>
            <w:pPr/>
          </w:p>
        </w:tc>
        <w:tc>
          <w:tcPr>
            <w:tcW w:w="187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90" w:type="dxa"/>
            <w:gridSpan w:val="2"/>
            <w:vMerge/>
            <w:tcBorders>
              <w:left w:val="single" w:sz="10" w:space="0" w:color="D2D2D2"/>
              <w:bottom w:val="single" w:sz="4" w:space="0" w:color="000000"/>
              <w:right w:val="single" w:sz="10" w:space="0" w:color="D2D2D2"/>
            </w:tcBorders>
          </w:tcPr>
          <w:p>
            <w:pPr/>
          </w:p>
        </w:tc>
        <w:tc>
          <w:tcPr>
            <w:tcW w:w="1406" w:type="dxa"/>
            <w:vMerge/>
            <w:tcBorders>
              <w:left w:val="single" w:sz="4" w:space="0" w:color="000000"/>
              <w:bottom w:val="single" w:sz="4" w:space="0" w:color="000000"/>
              <w:right w:val="single" w:sz="4" w:space="0" w:color="000000"/>
            </w:tcBorders>
            <w:shd w:val="clear" w:color="auto" w:fill="D2D2D2"/>
          </w:tcPr>
          <w:p>
            <w:pPr/>
          </w:p>
        </w:tc>
        <w:tc>
          <w:tcPr>
            <w:tcW w:w="902" w:type="dxa"/>
            <w:vMerge/>
            <w:tcBorders>
              <w:left w:val="single" w:sz="10" w:space="0" w:color="D2D2D2"/>
              <w:bottom w:val="single" w:sz="4" w:space="0" w:color="000000"/>
              <w:right w:val="single" w:sz="4" w:space="0" w:color="000000"/>
            </w:tcBorders>
          </w:tcPr>
          <w:p>
            <w:pPr/>
          </w:p>
        </w:tc>
      </w:tr>
      <w:tr>
        <w:trPr>
          <w:trHeight w:val="391" w:hRule="exact"/>
        </w:trPr>
        <w:tc>
          <w:tcPr>
            <w:tcW w:w="1053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257"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66" w:hRule="exact"/>
        </w:trPr>
        <w:tc>
          <w:tcPr>
            <w:tcW w:w="1776" w:type="dxa"/>
            <w:gridSpan w:val="2"/>
            <w:vMerge w:val="restart"/>
            <w:tcBorders>
              <w:top w:val="single" w:sz="4" w:space="0" w:color="000000"/>
              <w:left w:val="single" w:sz="4" w:space="0" w:color="000000"/>
              <w:right w:val="single" w:sz="4" w:space="0" w:color="000000"/>
            </w:tcBorders>
            <w:shd w:val="clear" w:color="auto" w:fill="D2D2D2"/>
          </w:tcPr>
          <w:p>
            <w:pPr/>
          </w:p>
        </w:tc>
        <w:tc>
          <w:tcPr>
            <w:tcW w:w="1337" w:type="dxa"/>
            <w:gridSpan w:val="2"/>
            <w:vMerge w:val="restart"/>
            <w:tcBorders>
              <w:top w:val="single" w:sz="4" w:space="0" w:color="000000"/>
              <w:left w:val="single" w:sz="4" w:space="0" w:color="000000"/>
              <w:right w:val="single" w:sz="4" w:space="0" w:color="FFFFFF"/>
            </w:tcBorders>
            <w:shd w:val="clear" w:color="auto" w:fill="D2D2D2"/>
          </w:tcPr>
          <w:p>
            <w:pPr/>
          </w:p>
        </w:tc>
        <w:tc>
          <w:tcPr>
            <w:tcW w:w="710" w:type="dxa"/>
            <w:gridSpan w:val="2"/>
            <w:tcBorders>
              <w:top w:val="single" w:sz="4" w:space="0" w:color="000000"/>
              <w:left w:val="single" w:sz="4" w:space="0" w:color="FFFFFF"/>
              <w:bottom w:val="nil" w:sz="6" w:space="0" w:color="auto"/>
              <w:right w:val="single" w:sz="4" w:space="0" w:color="000000"/>
            </w:tcBorders>
            <w:shd w:val="clear" w:color="auto" w:fill="D2D2D2"/>
          </w:tcPr>
          <w:p>
            <w:pPr/>
          </w:p>
        </w:tc>
        <w:tc>
          <w:tcPr>
            <w:tcW w:w="1139" w:type="dxa"/>
            <w:tcBorders>
              <w:top w:val="single" w:sz="4" w:space="0" w:color="000000"/>
              <w:left w:val="single" w:sz="4" w:space="0" w:color="000000"/>
              <w:bottom w:val="nil" w:sz="6" w:space="0" w:color="auto"/>
              <w:right w:val="single" w:sz="4" w:space="0" w:color="000000"/>
            </w:tcBorders>
            <w:shd w:val="clear" w:color="auto" w:fill="D2D2D2"/>
          </w:tcPr>
          <w:p>
            <w:pPr/>
          </w:p>
        </w:tc>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65" w:right="67"/>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35" w:right="32"/>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14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35" w:right="39"/>
              <w:jc w:val="center"/>
              <w:rPr>
                <w:rFonts w:ascii="宋体" w:hAnsi="宋体" w:cs="宋体" w:eastAsia="宋体" w:hint="default"/>
                <w:sz w:val="21"/>
                <w:szCs w:val="21"/>
              </w:rPr>
            </w:pPr>
            <w:r>
              <w:rPr>
                <w:rFonts w:ascii="宋体" w:hAnsi="宋体" w:cs="宋体" w:eastAsia="宋体" w:hint="default"/>
                <w:sz w:val="21"/>
                <w:szCs w:val="21"/>
              </w:rPr>
              <w:t>持有无限售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3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1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6" w:hRule="exact"/>
        </w:trPr>
        <w:tc>
          <w:tcPr>
            <w:tcW w:w="1776" w:type="dxa"/>
            <w:gridSpan w:val="2"/>
            <w:vMerge/>
            <w:tcBorders>
              <w:left w:val="single" w:sz="4" w:space="0" w:color="000000"/>
              <w:bottom w:val="nil" w:sz="6" w:space="0" w:color="auto"/>
              <w:right w:val="single" w:sz="4" w:space="0" w:color="000000"/>
            </w:tcBorders>
            <w:shd w:val="clear" w:color="auto" w:fill="D2D2D2"/>
          </w:tcPr>
          <w:p>
            <w:pPr/>
          </w:p>
        </w:tc>
        <w:tc>
          <w:tcPr>
            <w:tcW w:w="1337" w:type="dxa"/>
            <w:gridSpan w:val="2"/>
            <w:vMerge/>
            <w:tcBorders>
              <w:left w:val="single" w:sz="4" w:space="0" w:color="000000"/>
              <w:bottom w:val="nil" w:sz="6" w:space="0" w:color="auto"/>
              <w:right w:val="single" w:sz="4" w:space="0" w:color="FFFFFF"/>
            </w:tcBorders>
            <w:shd w:val="clear" w:color="auto" w:fill="D2D2D2"/>
          </w:tcPr>
          <w:p>
            <w:pPr/>
          </w:p>
        </w:tc>
        <w:tc>
          <w:tcPr>
            <w:tcW w:w="710" w:type="dxa"/>
            <w:gridSpan w:val="2"/>
            <w:vMerge w:val="restart"/>
            <w:tcBorders>
              <w:top w:val="nil" w:sz="6" w:space="0" w:color="auto"/>
              <w:left w:val="single" w:sz="4" w:space="0" w:color="FFFFFF"/>
              <w:right w:val="single" w:sz="4" w:space="0" w:color="000000"/>
            </w:tcBorders>
            <w:shd w:val="clear" w:color="auto" w:fill="D2D2D2"/>
          </w:tcPr>
          <w:p>
            <w:pPr>
              <w:pStyle w:val="TableParagraph"/>
              <w:spacing w:line="273" w:lineRule="auto" w:before="28"/>
              <w:ind w:left="244" w:right="31" w:hanging="21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13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47" w:right="37" w:hanging="212"/>
              <w:jc w:val="left"/>
              <w:rPr>
                <w:rFonts w:ascii="宋体" w:hAnsi="宋体" w:cs="宋体" w:eastAsia="宋体" w:hint="default"/>
                <w:sz w:val="21"/>
                <w:szCs w:val="21"/>
              </w:rPr>
            </w:pPr>
            <w:r>
              <w:rPr>
                <w:rFonts w:ascii="宋体" w:hAnsi="宋体" w:cs="宋体" w:eastAsia="宋体" w:hint="default"/>
                <w:sz w:val="21"/>
                <w:szCs w:val="21"/>
              </w:rPr>
              <w:t>报告期末持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股数量</w:t>
            </w:r>
          </w:p>
        </w:tc>
        <w:tc>
          <w:tcPr>
            <w:tcW w:w="988"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2308" w:type="dxa"/>
            <w:gridSpan w:val="2"/>
            <w:vMerge/>
            <w:tcBorders>
              <w:left w:val="single" w:sz="4" w:space="0" w:color="000000"/>
              <w:right w:val="single" w:sz="4" w:space="0" w:color="000000"/>
            </w:tcBorders>
            <w:shd w:val="clear" w:color="auto" w:fill="D2D2D2"/>
          </w:tcPr>
          <w:p>
            <w:pPr/>
          </w:p>
        </w:tc>
      </w:tr>
      <w:tr>
        <w:trPr>
          <w:trHeight w:val="140" w:hRule="exact"/>
        </w:trPr>
        <w:tc>
          <w:tcPr>
            <w:tcW w:w="17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6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37"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28"/>
              <w:ind w:left="24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10" w:type="dxa"/>
            <w:gridSpan w:val="2"/>
            <w:vMerge/>
            <w:tcBorders>
              <w:left w:val="single" w:sz="4" w:space="0" w:color="FFFFFF"/>
              <w:right w:val="single" w:sz="4" w:space="0" w:color="000000"/>
            </w:tcBorders>
            <w:shd w:val="clear" w:color="auto" w:fill="D2D2D2"/>
          </w:tcPr>
          <w:p>
            <w:pPr/>
          </w:p>
        </w:tc>
        <w:tc>
          <w:tcPr>
            <w:tcW w:w="1139"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2308"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776" w:type="dxa"/>
            <w:gridSpan w:val="2"/>
            <w:vMerge/>
            <w:tcBorders>
              <w:left w:val="single" w:sz="4" w:space="0" w:color="000000"/>
              <w:bottom w:val="nil" w:sz="6" w:space="0" w:color="auto"/>
              <w:right w:val="single" w:sz="4" w:space="0" w:color="000000"/>
            </w:tcBorders>
            <w:shd w:val="clear" w:color="auto" w:fill="D2D2D2"/>
          </w:tcPr>
          <w:p>
            <w:pPr/>
          </w:p>
        </w:tc>
        <w:tc>
          <w:tcPr>
            <w:tcW w:w="1337" w:type="dxa"/>
            <w:gridSpan w:val="2"/>
            <w:vMerge/>
            <w:tcBorders>
              <w:left w:val="single" w:sz="4" w:space="0" w:color="000000"/>
              <w:bottom w:val="nil" w:sz="6" w:space="0" w:color="auto"/>
              <w:right w:val="single" w:sz="4" w:space="0" w:color="FFFFFF"/>
            </w:tcBorders>
            <w:shd w:val="clear" w:color="auto" w:fill="D2D2D2"/>
          </w:tcPr>
          <w:p>
            <w:pPr/>
          </w:p>
        </w:tc>
        <w:tc>
          <w:tcPr>
            <w:tcW w:w="710" w:type="dxa"/>
            <w:gridSpan w:val="2"/>
            <w:vMerge/>
            <w:tcBorders>
              <w:left w:val="single" w:sz="4" w:space="0" w:color="FFFFFF"/>
              <w:right w:val="single" w:sz="4" w:space="0" w:color="000000"/>
            </w:tcBorders>
            <w:shd w:val="clear" w:color="auto" w:fill="D2D2D2"/>
          </w:tcPr>
          <w:p>
            <w:pPr/>
          </w:p>
        </w:tc>
        <w:tc>
          <w:tcPr>
            <w:tcW w:w="1139"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left="272"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left="232"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56" w:hRule="exact"/>
        </w:trPr>
        <w:tc>
          <w:tcPr>
            <w:tcW w:w="1776" w:type="dxa"/>
            <w:gridSpan w:val="2"/>
            <w:vMerge w:val="restart"/>
            <w:tcBorders>
              <w:top w:val="nil" w:sz="6" w:space="0" w:color="auto"/>
              <w:left w:val="single" w:sz="4" w:space="0" w:color="000000"/>
              <w:right w:val="single" w:sz="4" w:space="0" w:color="000000"/>
            </w:tcBorders>
            <w:shd w:val="clear" w:color="auto" w:fill="D2D2D2"/>
          </w:tcPr>
          <w:p>
            <w:pPr/>
          </w:p>
        </w:tc>
        <w:tc>
          <w:tcPr>
            <w:tcW w:w="1337" w:type="dxa"/>
            <w:gridSpan w:val="2"/>
            <w:vMerge w:val="restart"/>
            <w:tcBorders>
              <w:top w:val="nil" w:sz="6" w:space="0" w:color="auto"/>
              <w:left w:val="single" w:sz="4" w:space="0" w:color="000000"/>
              <w:right w:val="single" w:sz="4" w:space="0" w:color="FFFFFF"/>
            </w:tcBorders>
            <w:shd w:val="clear" w:color="auto" w:fill="D2D2D2"/>
          </w:tcPr>
          <w:p>
            <w:pPr/>
          </w:p>
        </w:tc>
        <w:tc>
          <w:tcPr>
            <w:tcW w:w="710" w:type="dxa"/>
            <w:gridSpan w:val="2"/>
            <w:vMerge/>
            <w:tcBorders>
              <w:left w:val="single" w:sz="4" w:space="0" w:color="FFFFFF"/>
              <w:bottom w:val="nil" w:sz="6" w:space="0" w:color="auto"/>
              <w:right w:val="single" w:sz="4" w:space="0" w:color="000000"/>
            </w:tcBorders>
            <w:shd w:val="clear" w:color="auto" w:fill="D2D2D2"/>
          </w:tcPr>
          <w:p>
            <w:pPr/>
          </w:p>
        </w:tc>
        <w:tc>
          <w:tcPr>
            <w:tcW w:w="1139" w:type="dxa"/>
            <w:vMerge/>
            <w:tcBorders>
              <w:left w:val="single" w:sz="4" w:space="0" w:color="000000"/>
              <w:bottom w:val="nil" w:sz="6" w:space="0" w:color="auto"/>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r>
      <w:tr>
        <w:trPr>
          <w:trHeight w:val="161" w:hRule="exact"/>
        </w:trPr>
        <w:tc>
          <w:tcPr>
            <w:tcW w:w="1776" w:type="dxa"/>
            <w:gridSpan w:val="2"/>
            <w:vMerge/>
            <w:tcBorders>
              <w:left w:val="single" w:sz="4" w:space="0" w:color="000000"/>
              <w:bottom w:val="single" w:sz="4" w:space="0" w:color="000000"/>
              <w:right w:val="single" w:sz="4" w:space="0" w:color="000000"/>
            </w:tcBorders>
            <w:shd w:val="clear" w:color="auto" w:fill="D2D2D2"/>
          </w:tcPr>
          <w:p>
            <w:pPr/>
          </w:p>
        </w:tc>
        <w:tc>
          <w:tcPr>
            <w:tcW w:w="1337" w:type="dxa"/>
            <w:gridSpan w:val="2"/>
            <w:vMerge/>
            <w:tcBorders>
              <w:left w:val="single" w:sz="4" w:space="0" w:color="000000"/>
              <w:bottom w:val="single" w:sz="4" w:space="0" w:color="000000"/>
              <w:right w:val="single" w:sz="4" w:space="0" w:color="FFFFFF"/>
            </w:tcBorders>
            <w:shd w:val="clear" w:color="auto" w:fill="D2D2D2"/>
          </w:tcPr>
          <w:p>
            <w:pPr/>
          </w:p>
        </w:tc>
        <w:tc>
          <w:tcPr>
            <w:tcW w:w="710" w:type="dxa"/>
            <w:gridSpan w:val="2"/>
            <w:tcBorders>
              <w:top w:val="nil" w:sz="6" w:space="0" w:color="auto"/>
              <w:left w:val="single" w:sz="4" w:space="0" w:color="FFFFFF"/>
              <w:bottom w:val="single" w:sz="4" w:space="0" w:color="000000"/>
              <w:right w:val="single" w:sz="4" w:space="0" w:color="000000"/>
            </w:tcBorders>
            <w:shd w:val="clear" w:color="auto" w:fill="D2D2D2"/>
          </w:tcPr>
          <w:p>
            <w:pPr/>
          </w:p>
        </w:tc>
        <w:tc>
          <w:tcPr>
            <w:tcW w:w="1139" w:type="dxa"/>
            <w:tcBorders>
              <w:top w:val="nil" w:sz="6" w:space="0" w:color="auto"/>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1406" w:type="dxa"/>
            <w:vMerge/>
            <w:tcBorders>
              <w:left w:val="single" w:sz="4" w:space="0" w:color="000000"/>
              <w:bottom w:val="single" w:sz="4" w:space="0" w:color="000000"/>
              <w:right w:val="single" w:sz="4" w:space="0" w:color="000000"/>
            </w:tcBorders>
            <w:shd w:val="clear" w:color="auto" w:fill="D2D2D2"/>
          </w:tcPr>
          <w:p>
            <w:pPr/>
          </w:p>
        </w:tc>
        <w:tc>
          <w:tcPr>
            <w:tcW w:w="90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337"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21"/>
                <w:szCs w:val="21"/>
              </w:rPr>
            </w:pPr>
            <w:r>
              <w:rPr>
                <w:rFonts w:ascii="Times New Roman"/>
                <w:sz w:val="21"/>
              </w:rPr>
              <w:t>11.91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53,542,080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21"/>
                <w:szCs w:val="21"/>
              </w:rPr>
            </w:pPr>
            <w:r>
              <w:rPr>
                <w:rFonts w:ascii="Times New Roman"/>
                <w:sz w:val="21"/>
              </w:rPr>
              <w:t>40,156,560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21"/>
                <w:szCs w:val="21"/>
              </w:rPr>
            </w:pPr>
            <w:r>
              <w:rPr>
                <w:rFonts w:ascii="Times New Roman"/>
                <w:sz w:val="21"/>
              </w:rPr>
              <w:t>13,385,520</w:t>
            </w:r>
          </w:p>
        </w:tc>
        <w:tc>
          <w:tcPr>
            <w:tcW w:w="1406" w:type="dxa"/>
            <w:tcBorders>
              <w:top w:val="single" w:sz="48" w:space="0" w:color="D2D2D2"/>
              <w:left w:val="single" w:sz="4" w:space="0" w:color="000000"/>
              <w:bottom w:val="single" w:sz="4" w:space="0" w:color="000000"/>
              <w:right w:val="single" w:sz="4" w:space="0" w:color="000000"/>
            </w:tcBorders>
          </w:tcPr>
          <w:p>
            <w:pPr>
              <w:pStyle w:val="TableParagraph"/>
              <w:spacing w:line="250" w:lineRule="exact"/>
              <w:ind w:left="17"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0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22"/>
              <w:ind w:left="16" w:right="0"/>
              <w:jc w:val="left"/>
              <w:rPr>
                <w:rFonts w:ascii="Times New Roman" w:hAnsi="Times New Roman" w:cs="Times New Roman" w:eastAsia="Times New Roman" w:hint="default"/>
                <w:sz w:val="21"/>
                <w:szCs w:val="21"/>
              </w:rPr>
            </w:pPr>
            <w:r>
              <w:rPr>
                <w:rFonts w:ascii="Times New Roman"/>
                <w:sz w:val="21"/>
              </w:rPr>
              <w:t>3,600,000</w:t>
            </w:r>
          </w:p>
        </w:tc>
      </w:tr>
      <w:tr>
        <w:trPr>
          <w:trHeight w:val="713" w:hRule="exact"/>
        </w:trPr>
        <w:tc>
          <w:tcPr>
            <w:tcW w:w="1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337"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5.12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23,013,440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sz w:val="21"/>
              </w:rPr>
              <w:t>100,000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17,260,080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5,753,360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10,460,00</w:t>
            </w:r>
          </w:p>
          <w:p>
            <w:pPr>
              <w:pStyle w:val="TableParagraph"/>
              <w:spacing w:line="240" w:lineRule="auto" w:before="70"/>
              <w:ind w:left="16" w:right="0"/>
              <w:jc w:val="lef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1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
              <w:jc w:val="left"/>
              <w:rPr>
                <w:rFonts w:ascii="宋体" w:hAnsi="宋体" w:cs="宋体" w:eastAsia="宋体" w:hint="default"/>
                <w:sz w:val="21"/>
                <w:szCs w:val="21"/>
              </w:rPr>
            </w:pPr>
            <w:r>
              <w:rPr>
                <w:rFonts w:ascii="宋体" w:hAnsi="宋体" w:cs="宋体" w:eastAsia="宋体" w:hint="default"/>
                <w:spacing w:val="3"/>
                <w:sz w:val="21"/>
                <w:szCs w:val="21"/>
              </w:rPr>
              <w:t>中国科学院地理科</w:t>
            </w:r>
            <w:r>
              <w:rPr>
                <w:rFonts w:ascii="宋体" w:hAnsi="宋体" w:cs="宋体" w:eastAsia="宋体" w:hint="default"/>
                <w:spacing w:val="-88"/>
                <w:sz w:val="21"/>
                <w:szCs w:val="21"/>
              </w:rPr>
              <w:t> </w:t>
            </w:r>
            <w:r>
              <w:rPr>
                <w:rFonts w:ascii="宋体" w:hAnsi="宋体" w:cs="宋体" w:eastAsia="宋体" w:hint="default"/>
                <w:sz w:val="21"/>
                <w:szCs w:val="21"/>
              </w:rPr>
              <w:t>学与资源研究所</w:t>
            </w:r>
          </w:p>
        </w:tc>
        <w:tc>
          <w:tcPr>
            <w:tcW w:w="1337"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1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4.61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20,740,700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20,740,700</w:t>
            </w:r>
          </w:p>
        </w:tc>
        <w:tc>
          <w:tcPr>
            <w:tcW w:w="140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w w:val="100"/>
                <w:sz w:val="21"/>
              </w:rPr>
              <w:t>-</w:t>
            </w:r>
          </w:p>
        </w:tc>
      </w:tr>
      <w:tr>
        <w:trPr>
          <w:trHeight w:val="1025" w:hRule="exact"/>
        </w:trPr>
        <w:tc>
          <w:tcPr>
            <w:tcW w:w="1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
              <w:jc w:val="both"/>
              <w:rPr>
                <w:rFonts w:ascii="宋体" w:hAnsi="宋体" w:cs="宋体" w:eastAsia="宋体" w:hint="default"/>
                <w:sz w:val="21"/>
                <w:szCs w:val="21"/>
              </w:rPr>
            </w:pPr>
            <w:r>
              <w:rPr>
                <w:rFonts w:ascii="宋体" w:hAnsi="宋体" w:cs="宋体" w:eastAsia="宋体" w:hint="default"/>
                <w:spacing w:val="2"/>
                <w:sz w:val="21"/>
                <w:szCs w:val="21"/>
              </w:rPr>
              <w:t>南京毅达汇聚股权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投资企业（有限合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伙）</w:t>
            </w:r>
          </w:p>
        </w:tc>
        <w:tc>
          <w:tcPr>
            <w:tcW w:w="1337"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8"/>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w:t>
            </w:r>
          </w:p>
        </w:tc>
        <w:tc>
          <w:tcPr>
            <w:tcW w:w="71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3.20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14,367,816</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14,367,816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w w:val="100"/>
                <w:sz w:val="21"/>
              </w:rPr>
              <w:t>-</w:t>
            </w:r>
          </w:p>
        </w:tc>
      </w:tr>
      <w:tr>
        <w:trPr>
          <w:trHeight w:val="674" w:hRule="exact"/>
        </w:trPr>
        <w:tc>
          <w:tcPr>
            <w:tcW w:w="1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
              <w:jc w:val="left"/>
              <w:rPr>
                <w:rFonts w:ascii="宋体" w:hAnsi="宋体" w:cs="宋体" w:eastAsia="宋体" w:hint="default"/>
                <w:sz w:val="21"/>
                <w:szCs w:val="21"/>
              </w:rPr>
            </w:pPr>
            <w:r>
              <w:rPr>
                <w:rFonts w:ascii="宋体" w:hAnsi="宋体" w:cs="宋体" w:eastAsia="宋体" w:hint="default"/>
                <w:spacing w:val="3"/>
                <w:sz w:val="21"/>
                <w:szCs w:val="21"/>
              </w:rPr>
              <w:t>北京超图软件股份</w:t>
            </w:r>
            <w:r>
              <w:rPr>
                <w:rFonts w:ascii="宋体" w:hAnsi="宋体" w:cs="宋体" w:eastAsia="宋体" w:hint="default"/>
                <w:spacing w:val="-88"/>
                <w:sz w:val="21"/>
                <w:szCs w:val="21"/>
              </w:rPr>
              <w:t> </w:t>
            </w:r>
            <w:r>
              <w:rPr>
                <w:rFonts w:ascii="宋体" w:hAnsi="宋体" w:cs="宋体" w:eastAsia="宋体" w:hint="default"/>
                <w:spacing w:val="3"/>
                <w:sz w:val="21"/>
                <w:szCs w:val="21"/>
              </w:rPr>
              <w:t>有限公司－第一期</w:t>
            </w:r>
            <w:r>
              <w:rPr>
                <w:rFonts w:ascii="宋体" w:hAnsi="宋体" w:cs="宋体" w:eastAsia="宋体" w:hint="default"/>
                <w:sz w:val="21"/>
                <w:szCs w:val="21"/>
              </w:rPr>
            </w:r>
          </w:p>
        </w:tc>
        <w:tc>
          <w:tcPr>
            <w:tcW w:w="1337"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65"/>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0"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13,505,746</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13,505,746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580" w:right="0"/>
        </w:sectPr>
      </w:pPr>
    </w:p>
    <w:p>
      <w:pPr>
        <w:spacing w:line="240" w:lineRule="auto" w:before="11"/>
        <w:rPr>
          <w:rFonts w:ascii="Times New Roman" w:hAnsi="Times New Roman" w:cs="Times New Roman" w:eastAsia="Times New Roman" w:hint="default"/>
          <w:sz w:val="27"/>
          <w:szCs w:val="27"/>
        </w:rPr>
      </w:pPr>
      <w:r>
        <w:rPr/>
        <w:pict>
          <v:group style="position:absolute;margin-left:191.449997pt;margin-top:333.529968pt;width:373.4pt;height:15.6pt;mso-position-horizontal-relative:page;mso-position-vertical-relative:page;z-index:-1064776" coordorigin="3829,6671" coordsize="7468,312">
            <v:group style="position:absolute;left:3829;top:6671;width:7365;height:312" coordorigin="3829,6671" coordsize="7365,312">
              <v:shape style="position:absolute;left:3829;top:6671;width:7365;height:312" coordorigin="3829,6671" coordsize="7365,312" path="m3829,6983l11194,6983,11194,6671,3829,6671,3829,6983xe" filled="true" fillcolor="#ffffff" stroked="false">
                <v:path arrowok="t"/>
                <v:fill type="solid"/>
              </v:shape>
              <v:shape style="position:absolute;left:11086;top:6722;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1776"/>
        <w:gridCol w:w="1337"/>
        <w:gridCol w:w="710"/>
        <w:gridCol w:w="1133"/>
        <w:gridCol w:w="994"/>
        <w:gridCol w:w="1133"/>
        <w:gridCol w:w="1135"/>
        <w:gridCol w:w="1404"/>
        <w:gridCol w:w="910"/>
      </w:tblGrid>
      <w:tr>
        <w:trPr>
          <w:trHeight w:val="363" w:hRule="exact"/>
        </w:trPr>
        <w:tc>
          <w:tcPr>
            <w:tcW w:w="1776" w:type="dxa"/>
            <w:tcBorders>
              <w:top w:val="nil" w:sz="6" w:space="0" w:color="auto"/>
              <w:left w:val="nil" w:sz="6" w:space="0" w:color="auto"/>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员工持股计划</w:t>
            </w:r>
          </w:p>
        </w:tc>
        <w:tc>
          <w:tcPr>
            <w:tcW w:w="133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9,205,679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6,904,259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2,301,420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3,235,000</w:t>
            </w:r>
          </w:p>
        </w:tc>
      </w:tr>
      <w:tr>
        <w:trPr>
          <w:trHeight w:val="40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9,112,600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-37,000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6,862,200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2,250,400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2,490,000</w:t>
            </w:r>
          </w:p>
        </w:tc>
      </w:tr>
      <w:tr>
        <w:trPr>
          <w:trHeight w:val="40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梁军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8,827,400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-152,100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8,827,400</w:t>
            </w:r>
          </w:p>
        </w:tc>
        <w:tc>
          <w:tcPr>
            <w:tcW w:w="14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w w:val="100"/>
                <w:sz w:val="21"/>
              </w:rPr>
              <w:t>-</w:t>
            </w:r>
          </w:p>
        </w:tc>
      </w:tr>
      <w:tr>
        <w:trPr>
          <w:trHeight w:val="102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
              <w:jc w:val="both"/>
              <w:rPr>
                <w:rFonts w:ascii="宋体" w:hAnsi="宋体" w:cs="宋体" w:eastAsia="宋体" w:hint="default"/>
                <w:sz w:val="21"/>
                <w:szCs w:val="21"/>
              </w:rPr>
            </w:pPr>
            <w:r>
              <w:rPr>
                <w:rFonts w:ascii="宋体" w:hAnsi="宋体" w:cs="宋体" w:eastAsia="宋体" w:hint="default"/>
                <w:spacing w:val="3"/>
                <w:sz w:val="21"/>
                <w:szCs w:val="21"/>
              </w:rPr>
              <w:t>中国工商银行－嘉</w:t>
            </w:r>
            <w:r>
              <w:rPr>
                <w:rFonts w:ascii="宋体" w:hAnsi="宋体" w:cs="宋体" w:eastAsia="宋体" w:hint="default"/>
                <w:spacing w:val="-88"/>
                <w:sz w:val="21"/>
                <w:szCs w:val="21"/>
              </w:rPr>
              <w:t> </w:t>
            </w:r>
            <w:r>
              <w:rPr>
                <w:rFonts w:ascii="宋体" w:hAnsi="宋体" w:cs="宋体" w:eastAsia="宋体" w:hint="default"/>
                <w:spacing w:val="3"/>
                <w:sz w:val="21"/>
                <w:szCs w:val="21"/>
              </w:rPr>
              <w:t>实策略增长混合型</w:t>
            </w:r>
            <w:r>
              <w:rPr>
                <w:rFonts w:ascii="宋体" w:hAnsi="宋体" w:cs="宋体" w:eastAsia="宋体" w:hint="default"/>
                <w:spacing w:val="-88"/>
                <w:sz w:val="21"/>
                <w:szCs w:val="21"/>
              </w:rPr>
              <w:t> </w:t>
            </w:r>
            <w:r>
              <w:rPr>
                <w:rFonts w:ascii="宋体" w:hAnsi="宋体" w:cs="宋体" w:eastAsia="宋体" w:hint="default"/>
                <w:sz w:val="21"/>
                <w:szCs w:val="21"/>
              </w:rPr>
              <w:t>证券投资基金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3" w:right="0"/>
              <w:jc w:val="left"/>
              <w:rPr>
                <w:rFonts w:ascii="Times New Roman" w:hAnsi="Times New Roman" w:cs="Times New Roman" w:eastAsia="Times New Roman" w:hint="default"/>
                <w:sz w:val="21"/>
                <w:szCs w:val="21"/>
              </w:rPr>
            </w:pPr>
            <w:r>
              <w:rPr>
                <w:rFonts w:ascii="Times New Roman"/>
                <w:sz w:val="21"/>
              </w:rPr>
              <w:t>1.77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3" w:right="0"/>
              <w:jc w:val="left"/>
              <w:rPr>
                <w:rFonts w:ascii="Times New Roman" w:hAnsi="Times New Roman" w:cs="Times New Roman" w:eastAsia="Times New Roman" w:hint="default"/>
                <w:sz w:val="21"/>
                <w:szCs w:val="21"/>
              </w:rPr>
            </w:pPr>
            <w:r>
              <w:rPr>
                <w:rFonts w:ascii="Times New Roman"/>
                <w:sz w:val="21"/>
              </w:rPr>
              <w:t>7,941,310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3" w:right="0"/>
              <w:jc w:val="left"/>
              <w:rPr>
                <w:rFonts w:ascii="Times New Roman" w:hAnsi="Times New Roman" w:cs="Times New Roman" w:eastAsia="Times New Roman" w:hint="default"/>
                <w:sz w:val="21"/>
                <w:szCs w:val="21"/>
              </w:rPr>
            </w:pPr>
            <w:r>
              <w:rPr>
                <w:rFonts w:ascii="Times New Roman"/>
                <w:sz w:val="21"/>
              </w:rPr>
              <w:t>7,941,310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3" w:right="0"/>
              <w:jc w:val="left"/>
              <w:rPr>
                <w:rFonts w:ascii="Times New Roman" w:hAnsi="Times New Roman" w:cs="Times New Roman" w:eastAsia="Times New Roman" w:hint="default"/>
                <w:sz w:val="21"/>
                <w:szCs w:val="21"/>
              </w:rPr>
            </w:pPr>
            <w:r>
              <w:rPr>
                <w:rFonts w:ascii="Times New Roman"/>
                <w:sz w:val="21"/>
              </w:rPr>
              <w:t>7,941,310</w:t>
            </w:r>
          </w:p>
        </w:tc>
        <w:tc>
          <w:tcPr>
            <w:tcW w:w="14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
              <w:jc w:val="both"/>
              <w:rPr>
                <w:rFonts w:ascii="宋体" w:hAnsi="宋体" w:cs="宋体" w:eastAsia="宋体" w:hint="default"/>
                <w:sz w:val="21"/>
                <w:szCs w:val="21"/>
              </w:rPr>
            </w:pPr>
            <w:r>
              <w:rPr>
                <w:rFonts w:ascii="宋体" w:hAnsi="宋体" w:cs="宋体" w:eastAsia="宋体" w:hint="default"/>
                <w:spacing w:val="3"/>
                <w:sz w:val="21"/>
                <w:szCs w:val="21"/>
              </w:rPr>
              <w:t>中国工商银行股份</w:t>
            </w:r>
            <w:r>
              <w:rPr>
                <w:rFonts w:ascii="宋体" w:hAnsi="宋体" w:cs="宋体" w:eastAsia="宋体" w:hint="default"/>
                <w:spacing w:val="-88"/>
                <w:sz w:val="21"/>
                <w:szCs w:val="21"/>
              </w:rPr>
              <w:t> </w:t>
            </w:r>
            <w:r>
              <w:rPr>
                <w:rFonts w:ascii="宋体" w:hAnsi="宋体" w:cs="宋体" w:eastAsia="宋体" w:hint="default"/>
                <w:spacing w:val="3"/>
                <w:sz w:val="21"/>
                <w:szCs w:val="21"/>
              </w:rPr>
              <w:t>有限公司－易方达</w:t>
            </w:r>
            <w:r>
              <w:rPr>
                <w:rFonts w:ascii="宋体" w:hAnsi="宋体" w:cs="宋体" w:eastAsia="宋体" w:hint="default"/>
                <w:spacing w:val="-88"/>
                <w:sz w:val="21"/>
                <w:szCs w:val="21"/>
              </w:rPr>
              <w:t> </w:t>
            </w:r>
            <w:r>
              <w:rPr>
                <w:rFonts w:ascii="宋体" w:hAnsi="宋体" w:cs="宋体" w:eastAsia="宋体" w:hint="default"/>
                <w:spacing w:val="3"/>
                <w:sz w:val="21"/>
                <w:szCs w:val="21"/>
              </w:rPr>
              <w:t>创业板交易型开放</w:t>
            </w:r>
            <w:r>
              <w:rPr>
                <w:rFonts w:ascii="宋体" w:hAnsi="宋体" w:cs="宋体" w:eastAsia="宋体" w:hint="default"/>
                <w:spacing w:val="-88"/>
                <w:sz w:val="21"/>
                <w:szCs w:val="21"/>
              </w:rPr>
              <w:t> </w:t>
            </w:r>
            <w:r>
              <w:rPr>
                <w:rFonts w:ascii="宋体" w:hAnsi="宋体" w:cs="宋体" w:eastAsia="宋体" w:hint="default"/>
                <w:spacing w:val="3"/>
                <w:sz w:val="21"/>
                <w:szCs w:val="21"/>
              </w:rPr>
              <w:t>式指数证券投资基</w:t>
            </w:r>
            <w:r>
              <w:rPr>
                <w:rFonts w:ascii="宋体" w:hAnsi="宋体" w:cs="宋体" w:eastAsia="宋体" w:hint="default"/>
                <w:spacing w:val="-88"/>
                <w:sz w:val="21"/>
                <w:szCs w:val="21"/>
              </w:rPr>
              <w:t> </w:t>
            </w:r>
            <w:r>
              <w:rPr>
                <w:rFonts w:ascii="宋体" w:hAnsi="宋体" w:cs="宋体" w:eastAsia="宋体" w:hint="default"/>
                <w:sz w:val="21"/>
                <w:szCs w:val="21"/>
              </w:rPr>
              <w:t>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6,936,300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6,936,300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6,936,300</w:t>
            </w:r>
          </w:p>
        </w:tc>
        <w:tc>
          <w:tcPr>
            <w:tcW w:w="14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w w:val="100"/>
                <w:sz w:val="21"/>
              </w:rPr>
              <w:t>-</w:t>
            </w:r>
          </w:p>
        </w:tc>
      </w:tr>
      <w:tr>
        <w:trPr>
          <w:trHeight w:val="629" w:hRule="exact"/>
        </w:trPr>
        <w:tc>
          <w:tcPr>
            <w:tcW w:w="3114" w:type="dxa"/>
            <w:gridSpan w:val="2"/>
            <w:tcBorders>
              <w:top w:val="single" w:sz="4" w:space="0" w:color="000000"/>
              <w:left w:val="single" w:sz="4" w:space="0" w:color="000000"/>
              <w:bottom w:val="nil" w:sz="6" w:space="0" w:color="auto"/>
              <w:right w:val="single" w:sz="13" w:space="0" w:color="FFFFFF"/>
            </w:tcBorders>
            <w:shd w:val="clear" w:color="auto" w:fill="D2D2D2"/>
          </w:tcPr>
          <w:p>
            <w:pPr/>
          </w:p>
        </w:tc>
        <w:tc>
          <w:tcPr>
            <w:tcW w:w="7420" w:type="dxa"/>
            <w:gridSpan w:val="7"/>
            <w:vMerge w:val="restart"/>
            <w:tcBorders>
              <w:top w:val="single" w:sz="4" w:space="0" w:color="000000"/>
              <w:left w:val="single" w:sz="22" w:space="0" w:color="D2D2D2"/>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日，公司收到中国证监会</w:t>
            </w:r>
            <w:r>
              <w:rPr>
                <w:rFonts w:ascii="Times New Roman" w:hAnsi="Times New Roman" w:cs="Times New Roman" w:eastAsia="Times New Roman" w:hint="default"/>
                <w:sz w:val="21"/>
                <w:szCs w:val="21"/>
              </w:rPr>
              <w:t>“</w:t>
            </w: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[2016]824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批文，批准公司</w:t>
            </w:r>
          </w:p>
          <w:p>
            <w:pPr>
              <w:pStyle w:val="TableParagraph"/>
              <w:spacing w:line="261" w:lineRule="auto" w:before="21"/>
              <w:ind w:left="1" w:right="14"/>
              <w:jc w:val="left"/>
              <w:rPr>
                <w:rFonts w:ascii="宋体" w:hAnsi="宋体" w:cs="宋体" w:eastAsia="宋体" w:hint="default"/>
                <w:sz w:val="21"/>
                <w:szCs w:val="21"/>
              </w:rPr>
            </w:pPr>
            <w:r>
              <w:rPr>
                <w:rFonts w:ascii="宋体" w:hAnsi="宋体" w:cs="宋体" w:eastAsia="宋体" w:hint="default"/>
                <w:sz w:val="21"/>
                <w:szCs w:val="21"/>
              </w:rPr>
              <w:t>本次发行股份及支付现金购买资产并募集配套资金。</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日，该次非</w:t>
            </w:r>
            <w:r>
              <w:rPr>
                <w:rFonts w:ascii="宋体" w:hAnsi="宋体" w:cs="宋体" w:eastAsia="宋体" w:hint="default"/>
                <w:w w:val="100"/>
                <w:sz w:val="21"/>
                <w:szCs w:val="21"/>
              </w:rPr>
              <w:t> </w:t>
            </w:r>
            <w:r>
              <w:rPr>
                <w:rFonts w:ascii="宋体" w:hAnsi="宋体" w:cs="宋体" w:eastAsia="宋体" w:hint="default"/>
                <w:spacing w:val="-1"/>
                <w:sz w:val="21"/>
                <w:szCs w:val="21"/>
              </w:rPr>
              <w:t>公开发行新增股份上市；其中，公司向配套资金认购方南京毅达汇聚股权投资企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0"/>
                <w:sz w:val="21"/>
                <w:szCs w:val="21"/>
              </w:rPr>
              <w:t>业（有限合伙）发行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14,367,816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r>
              <w:rPr>
                <w:rFonts w:ascii="宋体" w:hAnsi="宋体" w:cs="宋体" w:eastAsia="宋体" w:hint="default"/>
                <w:sz w:val="21"/>
                <w:szCs w:val="21"/>
              </w:rPr>
              <w:t>占公司发行后总股本的</w:t>
            </w:r>
            <w:r>
              <w:rPr>
                <w:rFonts w:ascii="宋体" w:hAnsi="宋体" w:cs="宋体" w:eastAsia="宋体" w:hint="default"/>
                <w:spacing w:val="-48"/>
                <w:sz w:val="21"/>
                <w:szCs w:val="21"/>
              </w:rPr>
              <w:t> </w:t>
            </w:r>
            <w:r>
              <w:rPr>
                <w:rFonts w:ascii="Times New Roman" w:hAnsi="Times New Roman" w:cs="Times New Roman" w:eastAsia="Times New Roman" w:hint="default"/>
                <w:spacing w:val="-5"/>
                <w:sz w:val="21"/>
                <w:szCs w:val="21"/>
              </w:rPr>
              <w:t>3.20%</w:t>
            </w:r>
            <w:r>
              <w:rPr>
                <w:rFonts w:ascii="宋体" w:hAnsi="宋体" w:cs="宋体" w:eastAsia="宋体" w:hint="default"/>
                <w:spacing w:val="-5"/>
                <w:sz w:val="21"/>
                <w:szCs w:val="21"/>
              </w:rPr>
              <w:t>。根据相关协议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南京毅达所持公司股票自发行结束并完成股份登记之日起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个月内不得进行转</w:t>
            </w:r>
            <w:r>
              <w:rPr>
                <w:rFonts w:ascii="宋体" w:hAnsi="宋体" w:cs="宋体" w:eastAsia="宋体" w:hint="default"/>
                <w:w w:val="100"/>
                <w:sz w:val="21"/>
                <w:szCs w:val="21"/>
              </w:rPr>
              <w:t> </w:t>
            </w:r>
            <w:r>
              <w:rPr>
                <w:rFonts w:ascii="宋体" w:hAnsi="宋体" w:cs="宋体" w:eastAsia="宋体" w:hint="default"/>
                <w:sz w:val="21"/>
                <w:szCs w:val="21"/>
              </w:rPr>
              <w:t>让。</w:t>
            </w:r>
          </w:p>
        </w:tc>
      </w:tr>
      <w:tr>
        <w:trPr>
          <w:trHeight w:val="706" w:hRule="exact"/>
        </w:trPr>
        <w:tc>
          <w:tcPr>
            <w:tcW w:w="3114" w:type="dxa"/>
            <w:gridSpan w:val="2"/>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73" w:lineRule="auto" w:before="28"/>
              <w:ind w:left="24" w:right="-46"/>
              <w:jc w:val="left"/>
              <w:rPr>
                <w:rFonts w:ascii="宋体" w:hAnsi="宋体" w:cs="宋体" w:eastAsia="宋体" w:hint="default"/>
                <w:sz w:val="21"/>
                <w:szCs w:val="21"/>
              </w:rPr>
            </w:pPr>
            <w:r>
              <w:rPr>
                <w:rFonts w:ascii="宋体" w:hAnsi="宋体" w:cs="宋体" w:eastAsia="宋体" w:hint="default"/>
                <w:spacing w:val="5"/>
                <w:sz w:val="21"/>
                <w:szCs w:val="21"/>
              </w:rPr>
              <w:t>战略投资者或一般法人因配售新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
                <w:w w:val="100"/>
                <w:sz w:val="21"/>
                <w:szCs w:val="21"/>
              </w:rPr>
              <w:t>股成为前</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2"/>
                <w:w w:val="100"/>
                <w:sz w:val="21"/>
                <w:szCs w:val="21"/>
              </w:rPr>
              <w:t>10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6"/>
                <w:w w:val="100"/>
                <w:sz w:val="21"/>
                <w:szCs w:val="21"/>
              </w:rPr>
              <w:t>名股东的情况（如有）</w:t>
            </w:r>
            <w:r>
              <w:rPr>
                <w:rFonts w:ascii="宋体" w:hAnsi="宋体" w:cs="宋体" w:eastAsia="宋体" w:hint="default"/>
                <w:w w:val="100"/>
                <w:sz w:val="21"/>
                <w:szCs w:val="21"/>
              </w:rPr>
            </w:r>
          </w:p>
        </w:tc>
        <w:tc>
          <w:tcPr>
            <w:tcW w:w="7420" w:type="dxa"/>
            <w:gridSpan w:val="7"/>
            <w:vMerge/>
            <w:tcBorders>
              <w:left w:val="single" w:sz="22" w:space="0" w:color="D2D2D2"/>
              <w:right w:val="single" w:sz="4" w:space="0" w:color="000000"/>
            </w:tcBorders>
          </w:tcPr>
          <w:p>
            <w:pPr/>
          </w:p>
        </w:tc>
      </w:tr>
      <w:tr>
        <w:trPr>
          <w:trHeight w:val="629" w:hRule="exact"/>
        </w:trPr>
        <w:tc>
          <w:tcPr>
            <w:tcW w:w="3114" w:type="dxa"/>
            <w:gridSpan w:val="2"/>
            <w:tcBorders>
              <w:top w:val="nil" w:sz="6" w:space="0" w:color="auto"/>
              <w:left w:val="single" w:sz="4" w:space="0" w:color="000000"/>
              <w:bottom w:val="single" w:sz="4" w:space="0" w:color="000000"/>
              <w:right w:val="single" w:sz="13" w:space="0" w:color="FFFFFF"/>
            </w:tcBorders>
            <w:shd w:val="clear" w:color="auto" w:fill="D2D2D2"/>
          </w:tcPr>
          <w:p>
            <w:pPr/>
          </w:p>
        </w:tc>
        <w:tc>
          <w:tcPr>
            <w:tcW w:w="7420" w:type="dxa"/>
            <w:gridSpan w:val="7"/>
            <w:vMerge/>
            <w:tcBorders>
              <w:left w:val="single" w:sz="22" w:space="0" w:color="D2D2D2"/>
              <w:bottom w:val="nil" w:sz="6" w:space="0" w:color="auto"/>
              <w:right w:val="single" w:sz="4" w:space="0" w:color="000000"/>
            </w:tcBorders>
          </w:tcPr>
          <w:p>
            <w:pPr/>
          </w:p>
        </w:tc>
      </w:tr>
      <w:tr>
        <w:trPr>
          <w:trHeight w:val="713" w:hRule="exac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
              <w:jc w:val="left"/>
              <w:rPr>
                <w:rFonts w:ascii="宋体" w:hAnsi="宋体" w:cs="宋体" w:eastAsia="宋体" w:hint="default"/>
                <w:sz w:val="21"/>
                <w:szCs w:val="21"/>
              </w:rPr>
            </w:pPr>
            <w:r>
              <w:rPr>
                <w:rFonts w:ascii="宋体" w:hAnsi="宋体" w:cs="宋体" w:eastAsia="宋体" w:hint="default"/>
                <w:spacing w:val="5"/>
                <w:sz w:val="21"/>
                <w:szCs w:val="21"/>
              </w:rPr>
              <w:t>上述股东关联关系或一致行动的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说明</w:t>
            </w:r>
          </w:p>
        </w:tc>
        <w:tc>
          <w:tcPr>
            <w:tcW w:w="742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 w:right="-161"/>
              <w:jc w:val="left"/>
              <w:rPr>
                <w:rFonts w:ascii="宋体" w:hAnsi="宋体" w:cs="宋体" w:eastAsia="宋体" w:hint="default"/>
                <w:sz w:val="21"/>
                <w:szCs w:val="21"/>
              </w:rPr>
            </w:pPr>
            <w:r>
              <w:rPr>
                <w:rFonts w:ascii="宋体" w:hAnsi="宋体" w:cs="宋体" w:eastAsia="宋体" w:hint="default"/>
                <w:sz w:val="21"/>
                <w:szCs w:val="21"/>
              </w:rPr>
              <w:t>上述股东</w:t>
            </w: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59" w:right="0"/>
              <w:jc w:val="left"/>
              <w:rPr>
                <w:rFonts w:ascii="宋体" w:hAnsi="宋体" w:cs="宋体" w:eastAsia="宋体" w:hint="default"/>
                <w:sz w:val="21"/>
                <w:szCs w:val="21"/>
              </w:rPr>
            </w:pPr>
            <w:r>
              <w:rPr>
                <w:rFonts w:ascii="宋体" w:hAnsi="宋体" w:cs="宋体" w:eastAsia="宋体" w:hint="default"/>
                <w:sz w:val="21"/>
                <w:szCs w:val="21"/>
              </w:rPr>
              <w:t>不存在关联关系也不是一致行动人</w:t>
            </w:r>
          </w:p>
        </w:tc>
      </w:tr>
      <w:tr>
        <w:trPr>
          <w:trHeight w:val="404" w:hRule="exact"/>
        </w:trPr>
        <w:tc>
          <w:tcPr>
            <w:tcW w:w="1053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06" w:hRule="exact"/>
        </w:trPr>
        <w:tc>
          <w:tcPr>
            <w:tcW w:w="311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10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4" w:hRule="exact"/>
        </w:trPr>
        <w:tc>
          <w:tcPr>
            <w:tcW w:w="311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510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71"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314"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114" w:type="dxa"/>
            <w:gridSpan w:val="2"/>
            <w:vMerge/>
            <w:tcBorders>
              <w:left w:val="single" w:sz="4" w:space="0" w:color="000000"/>
              <w:bottom w:val="nil" w:sz="6" w:space="0" w:color="auto"/>
              <w:right w:val="single" w:sz="4" w:space="0" w:color="000000"/>
            </w:tcBorders>
            <w:shd w:val="clear" w:color="auto" w:fill="D2D2D2"/>
          </w:tcPr>
          <w:p>
            <w:pPr/>
          </w:p>
        </w:tc>
        <w:tc>
          <w:tcPr>
            <w:tcW w:w="5106" w:type="dxa"/>
            <w:gridSpan w:val="5"/>
            <w:vMerge/>
            <w:tcBorders>
              <w:left w:val="single" w:sz="4" w:space="0" w:color="000000"/>
              <w:bottom w:val="nil" w:sz="6" w:space="0" w:color="auto"/>
              <w:right w:val="single" w:sz="4" w:space="0" w:color="000000"/>
            </w:tcBorders>
            <w:shd w:val="clear" w:color="auto" w:fill="D2D2D2"/>
          </w:tcPr>
          <w:p>
            <w:pPr/>
          </w:p>
        </w:tc>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311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10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404"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447" w:right="75" w:hanging="1366"/>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中国科学院地理科学与资源研究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20,740,700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20,740,70</w:t>
            </w:r>
          </w:p>
          <w:p>
            <w:pPr>
              <w:pStyle w:val="TableParagraph"/>
              <w:spacing w:line="240" w:lineRule="auto" w:before="7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13,385,520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13,385,52</w:t>
            </w:r>
          </w:p>
          <w:p>
            <w:pPr>
              <w:pStyle w:val="TableParagraph"/>
              <w:spacing w:line="240" w:lineRule="auto" w:before="7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8,827,400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8,827,400</w:t>
            </w:r>
          </w:p>
        </w:tc>
      </w:tr>
      <w:tr>
        <w:trPr>
          <w:trHeight w:val="715"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713" w:right="75" w:hanging="632"/>
              <w:jc w:val="left"/>
              <w:rPr>
                <w:rFonts w:ascii="宋体" w:hAnsi="宋体" w:cs="宋体" w:eastAsia="宋体" w:hint="default"/>
                <w:sz w:val="21"/>
                <w:szCs w:val="21"/>
              </w:rPr>
            </w:pPr>
            <w:r>
              <w:rPr>
                <w:rFonts w:ascii="宋体" w:hAnsi="宋体" w:cs="宋体" w:eastAsia="宋体" w:hint="default"/>
                <w:spacing w:val="-2"/>
                <w:sz w:val="21"/>
                <w:szCs w:val="21"/>
              </w:rPr>
              <w:t>中国工商银行－嘉实策略增长混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合型证券投资基金</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7,941,310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7,941,310</w:t>
            </w:r>
          </w:p>
        </w:tc>
      </w:tr>
      <w:tr>
        <w:trPr>
          <w:trHeight w:val="1025"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81" w:right="75"/>
              <w:jc w:val="center"/>
              <w:rPr>
                <w:rFonts w:ascii="宋体" w:hAnsi="宋体" w:cs="宋体" w:eastAsia="宋体" w:hint="default"/>
                <w:sz w:val="21"/>
                <w:szCs w:val="21"/>
              </w:rPr>
            </w:pPr>
            <w:r>
              <w:rPr>
                <w:rFonts w:ascii="宋体" w:hAnsi="宋体" w:cs="宋体" w:eastAsia="宋体" w:hint="default"/>
                <w:spacing w:val="-2"/>
                <w:sz w:val="21"/>
                <w:szCs w:val="21"/>
              </w:rPr>
              <w:t>中国工商银行股份有限公司－易</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方达创业板交易型开放式指数证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券投资基金</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6,936,300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6,936,300</w:t>
            </w:r>
          </w:p>
        </w:tc>
      </w:tr>
      <w:tr>
        <w:trPr>
          <w:trHeight w:val="715"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33" w:right="75" w:hanging="1052"/>
              <w:jc w:val="left"/>
              <w:rPr>
                <w:rFonts w:ascii="宋体" w:hAnsi="宋体" w:cs="宋体" w:eastAsia="宋体" w:hint="default"/>
                <w:sz w:val="21"/>
                <w:szCs w:val="21"/>
              </w:rPr>
            </w:pPr>
            <w:r>
              <w:rPr>
                <w:rFonts w:ascii="宋体" w:hAnsi="宋体" w:cs="宋体" w:eastAsia="宋体" w:hint="default"/>
                <w:spacing w:val="-2"/>
                <w:sz w:val="21"/>
                <w:szCs w:val="21"/>
              </w:rPr>
              <w:t>中国银行－嘉实成长收益型证券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投资基金</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6,803,888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6,803,888</w:t>
            </w:r>
          </w:p>
        </w:tc>
      </w:tr>
      <w:tr>
        <w:trPr>
          <w:trHeight w:val="401"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2"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6,797,016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6,797,016</w:t>
            </w:r>
          </w:p>
        </w:tc>
      </w:tr>
      <w:tr>
        <w:trPr>
          <w:trHeight w:val="715"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81" w:right="75"/>
              <w:jc w:val="left"/>
              <w:rPr>
                <w:rFonts w:ascii="宋体" w:hAnsi="宋体" w:cs="宋体" w:eastAsia="宋体" w:hint="default"/>
                <w:sz w:val="21"/>
                <w:szCs w:val="21"/>
              </w:rPr>
            </w:pPr>
            <w:r>
              <w:rPr>
                <w:rFonts w:ascii="宋体" w:hAnsi="宋体" w:cs="宋体" w:eastAsia="宋体" w:hint="default"/>
                <w:spacing w:val="-2"/>
                <w:sz w:val="21"/>
                <w:szCs w:val="21"/>
              </w:rPr>
              <w:t>中国光大银行股份有限公司－泓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德优选成长混合型证券投资基金</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6,091,731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6,091,731</w:t>
            </w:r>
          </w:p>
        </w:tc>
      </w:tr>
      <w:tr>
        <w:trPr>
          <w:trHeight w:val="401"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宋关福</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5,753,360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5,753,360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5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114"/>
        <w:gridCol w:w="5106"/>
        <w:gridCol w:w="1404"/>
        <w:gridCol w:w="910"/>
      </w:tblGrid>
      <w:tr>
        <w:trPr>
          <w:trHeight w:val="71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96" w:right="75" w:hanging="315"/>
              <w:jc w:val="left"/>
              <w:rPr>
                <w:rFonts w:ascii="宋体" w:hAnsi="宋体" w:cs="宋体" w:eastAsia="宋体" w:hint="default"/>
                <w:sz w:val="21"/>
                <w:szCs w:val="21"/>
              </w:rPr>
            </w:pPr>
            <w:r>
              <w:rPr>
                <w:rFonts w:ascii="宋体" w:hAnsi="宋体" w:cs="宋体" w:eastAsia="宋体" w:hint="default"/>
                <w:spacing w:val="-2"/>
                <w:sz w:val="21"/>
                <w:szCs w:val="21"/>
              </w:rPr>
              <w:t>中国银行股份有限公司－海富通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股票混合型证券投资基金</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4,026,295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8" w:right="0"/>
              <w:jc w:val="left"/>
              <w:rPr>
                <w:rFonts w:ascii="Times New Roman" w:hAnsi="Times New Roman" w:cs="Times New Roman" w:eastAsia="Times New Roman" w:hint="default"/>
                <w:sz w:val="21"/>
                <w:szCs w:val="21"/>
              </w:rPr>
            </w:pPr>
            <w:r>
              <w:rPr>
                <w:rFonts w:ascii="Times New Roman"/>
                <w:sz w:val="21"/>
              </w:rPr>
              <w:t>4,026,295</w:t>
            </w:r>
          </w:p>
        </w:tc>
      </w:tr>
      <w:tr>
        <w:trPr>
          <w:trHeight w:val="1339" w:hRule="exact"/>
        </w:trPr>
        <w:tc>
          <w:tcPr>
            <w:tcW w:w="3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名无限售流通股股东之间，</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以及前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名无限售流通股股东和</w:t>
            </w:r>
          </w:p>
          <w:p>
            <w:pPr>
              <w:pStyle w:val="TableParagraph"/>
              <w:spacing w:line="256" w:lineRule="auto" w:before="21"/>
              <w:ind w:left="24" w:right="29"/>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名股东之间关联关系或一致</w:t>
            </w:r>
            <w:r>
              <w:rPr>
                <w:rFonts w:ascii="宋体" w:hAnsi="宋体" w:cs="宋体" w:eastAsia="宋体" w:hint="default"/>
                <w:w w:val="100"/>
                <w:sz w:val="21"/>
                <w:szCs w:val="21"/>
              </w:rPr>
              <w:t> </w:t>
            </w:r>
            <w:r>
              <w:rPr>
                <w:rFonts w:ascii="宋体" w:hAnsi="宋体" w:cs="宋体" w:eastAsia="宋体" w:hint="default"/>
                <w:sz w:val="21"/>
                <w:szCs w:val="21"/>
              </w:rPr>
              <w:t>行动的说明</w:t>
            </w:r>
          </w:p>
        </w:tc>
        <w:tc>
          <w:tcPr>
            <w:tcW w:w="74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上述股东不存在关联关系也不是一致行动人</w:t>
            </w:r>
          </w:p>
        </w:tc>
      </w:tr>
      <w:tr>
        <w:trPr>
          <w:trHeight w:val="715" w:hRule="exact"/>
        </w:trPr>
        <w:tc>
          <w:tcPr>
            <w:tcW w:w="3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参与融资融券业务股东情况说明</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74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79"/>
        <w:ind w:left="553" w:right="0"/>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74"/>
        <w:ind w:left="5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BodyText"/>
        <w:spacing w:line="240" w:lineRule="auto" w:before="177"/>
        <w:ind w:left="553" w:right="0"/>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3"/>
        <w:rPr>
          <w:rFonts w:ascii="宋体" w:hAnsi="宋体" w:cs="宋体" w:eastAsia="宋体" w:hint="default"/>
          <w:sz w:val="27"/>
          <w:szCs w:val="27"/>
        </w:rPr>
      </w:pPr>
    </w:p>
    <w:p>
      <w:pPr>
        <w:pStyle w:val="Heading2"/>
        <w:spacing w:line="240" w:lineRule="auto"/>
        <w:ind w:left="75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7"/>
          <w:szCs w:val="27"/>
        </w:rPr>
      </w:pPr>
    </w:p>
    <w:p>
      <w:pPr>
        <w:pStyle w:val="BodyText"/>
        <w:spacing w:line="388" w:lineRule="auto" w:before="0"/>
        <w:ind w:left="553" w:right="7873"/>
        <w:jc w:val="left"/>
      </w:pPr>
      <w:r>
        <w:rPr/>
        <w:t>控股股东性质：自然人控股 控股股东类型：自然人</w:t>
      </w:r>
    </w:p>
    <w:tbl>
      <w:tblPr>
        <w:tblW w:w="0" w:type="auto"/>
        <w:jc w:val="left"/>
        <w:tblInd w:w="549" w:type="dxa"/>
        <w:tblLayout w:type="fixed"/>
        <w:tblCellMar>
          <w:top w:w="0" w:type="dxa"/>
          <w:left w:w="0" w:type="dxa"/>
          <w:bottom w:w="0" w:type="dxa"/>
          <w:right w:w="0" w:type="dxa"/>
        </w:tblCellMar>
        <w:tblLook w:val="01E0"/>
      </w:tblPr>
      <w:tblGrid>
        <w:gridCol w:w="3417"/>
        <w:gridCol w:w="2031"/>
        <w:gridCol w:w="4119"/>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1"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8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pacing w:val="-2"/>
                <w:sz w:val="21"/>
                <w:szCs w:val="21"/>
              </w:rPr>
              <w:t>自公司成立以来一直就职于北京超图软件股份有限公司，现任董事</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长职务</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报告期内控股和参股的其他境内外上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市公司的股权情况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8"/>
        <w:rPr>
          <w:rFonts w:ascii="宋体" w:hAnsi="宋体" w:cs="宋体" w:eastAsia="宋体" w:hint="default"/>
          <w:sz w:val="4"/>
          <w:szCs w:val="4"/>
        </w:rPr>
      </w:pPr>
    </w:p>
    <w:p>
      <w:pPr>
        <w:pStyle w:val="BodyText"/>
        <w:spacing w:line="240" w:lineRule="auto" w:before="26"/>
        <w:ind w:left="553" w:right="0"/>
        <w:jc w:val="left"/>
      </w:pPr>
      <w:r>
        <w:rPr/>
        <w:t>控股股东报告期内变更</w:t>
      </w:r>
    </w:p>
    <w:p>
      <w:pPr>
        <w:pStyle w:val="BodyText"/>
        <w:spacing w:line="367" w:lineRule="auto" w:before="192"/>
        <w:ind w:left="55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公司报告期控股股东未发生变更。</w:t>
      </w:r>
    </w:p>
    <w:p>
      <w:pPr>
        <w:spacing w:line="240" w:lineRule="auto" w:before="13"/>
        <w:rPr>
          <w:rFonts w:ascii="宋体" w:hAnsi="宋体" w:cs="宋体" w:eastAsia="宋体" w:hint="default"/>
          <w:sz w:val="24"/>
          <w:szCs w:val="24"/>
        </w:rPr>
      </w:pPr>
    </w:p>
    <w:p>
      <w:pPr>
        <w:pStyle w:val="Heading2"/>
        <w:spacing w:line="240" w:lineRule="auto"/>
        <w:ind w:left="553"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33"/>
          <w:szCs w:val="33"/>
        </w:rPr>
      </w:pPr>
    </w:p>
    <w:p>
      <w:pPr>
        <w:pStyle w:val="BodyText"/>
        <w:spacing w:line="386" w:lineRule="auto" w:before="0"/>
        <w:ind w:left="553" w:right="7633"/>
        <w:jc w:val="left"/>
      </w:pPr>
      <w:r>
        <w:rPr/>
        <w:t>实际控制人性质：境内自然人 实际控制人类型：自然人</w:t>
      </w:r>
    </w:p>
    <w:tbl>
      <w:tblPr>
        <w:tblW w:w="0" w:type="auto"/>
        <w:jc w:val="left"/>
        <w:tblInd w:w="548" w:type="dxa"/>
        <w:tblLayout w:type="fixed"/>
        <w:tblCellMar>
          <w:top w:w="0" w:type="dxa"/>
          <w:left w:w="0" w:type="dxa"/>
          <w:bottom w:w="0" w:type="dxa"/>
          <w:right w:w="0" w:type="dxa"/>
        </w:tblCellMar>
        <w:tblLook w:val="01E0"/>
      </w:tblPr>
      <w:tblGrid>
        <w:gridCol w:w="3337"/>
        <w:gridCol w:w="2057"/>
        <w:gridCol w:w="2057"/>
        <w:gridCol w:w="2758"/>
      </w:tblGrid>
      <w:tr>
        <w:trPr>
          <w:trHeight w:val="71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26"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与实际控制人关系</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2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64" w:right="110" w:hanging="1052"/>
              <w:jc w:val="left"/>
              <w:rPr>
                <w:rFonts w:ascii="宋体" w:hAnsi="宋体" w:cs="宋体" w:eastAsia="宋体" w:hint="default"/>
                <w:sz w:val="21"/>
                <w:szCs w:val="21"/>
              </w:rPr>
            </w:pPr>
            <w:r>
              <w:rPr>
                <w:rFonts w:ascii="宋体" w:hAnsi="宋体" w:cs="宋体" w:eastAsia="宋体" w:hint="default"/>
                <w:spacing w:val="-2"/>
                <w:sz w:val="21"/>
                <w:szCs w:val="21"/>
              </w:rPr>
              <w:t>是否取得其他国家或地区居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本人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87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自公司成立以来一直就职于北京超图软件股份有限公司，现任董事长职务</w:t>
            </w:r>
          </w:p>
        </w:tc>
      </w:tr>
    </w:tbl>
    <w:p>
      <w:pPr>
        <w:spacing w:after="0" w:line="240" w:lineRule="auto"/>
        <w:jc w:val="left"/>
        <w:rPr>
          <w:rFonts w:ascii="宋体" w:hAnsi="宋体" w:cs="宋体" w:eastAsia="宋体" w:hint="default"/>
          <w:sz w:val="21"/>
          <w:szCs w:val="21"/>
        </w:rPr>
        <w:sectPr>
          <w:pgSz w:w="11910" w:h="16840"/>
          <w:pgMar w:header="877" w:footer="979" w:top="1100" w:bottom="1160" w:left="5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323"/>
        <w:gridCol w:w="6885"/>
      </w:tblGrid>
      <w:tr>
        <w:trPr>
          <w:trHeight w:val="334" w:hRule="exact"/>
        </w:trPr>
        <w:tc>
          <w:tcPr>
            <w:tcW w:w="3323" w:type="dxa"/>
            <w:tcBorders>
              <w:top w:val="single" w:sz="6" w:space="0" w:color="000000"/>
              <w:left w:val="nil" w:sz="6" w:space="0" w:color="auto"/>
              <w:bottom w:val="single" w:sz="4" w:space="0" w:color="000000"/>
              <w:right w:val="nil" w:sz="6" w:space="0" w:color="auto"/>
            </w:tcBorders>
          </w:tcPr>
          <w:p>
            <w:pPr/>
          </w:p>
        </w:tc>
        <w:tc>
          <w:tcPr>
            <w:tcW w:w="6885"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auto" w:before="28"/>
              <w:ind w:left="22" w:right="31"/>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88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79"/>
        <w:ind w:left="113" w:right="5473"/>
        <w:jc w:val="left"/>
      </w:pPr>
      <w:r>
        <w:rPr/>
        <w:t>实际控制人报告期内变更</w:t>
      </w:r>
    </w:p>
    <w:p>
      <w:pPr>
        <w:pStyle w:val="BodyText"/>
        <w:spacing w:line="348" w:lineRule="auto" w:before="192"/>
        <w:ind w:left="113" w:right="5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4"/>
          <w:szCs w:val="14"/>
        </w:rPr>
      </w:pPr>
    </w:p>
    <w:p>
      <w:pPr>
        <w:spacing w:line="2693" w:lineRule="exact"/>
        <w:ind w:left="2618"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3078428" cy="1710308"/>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3078428" cy="1710308"/>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3"/>
        <w:rPr>
          <w:rFonts w:ascii="宋体" w:hAnsi="宋体" w:cs="宋体" w:eastAsia="宋体" w:hint="default"/>
          <w:sz w:val="22"/>
          <w:szCs w:val="22"/>
        </w:rPr>
      </w:pPr>
    </w:p>
    <w:p>
      <w:pPr>
        <w:pStyle w:val="BodyText"/>
        <w:spacing w:line="240" w:lineRule="auto" w:before="0"/>
        <w:ind w:left="113" w:right="0"/>
        <w:jc w:val="left"/>
      </w:pPr>
      <w:r>
        <w:rPr/>
        <w:t>实际控制人通过信托或其他资产管理方式控制公司</w:t>
      </w:r>
    </w:p>
    <w:p>
      <w:pPr>
        <w:pStyle w:val="BodyText"/>
        <w:spacing w:line="240" w:lineRule="auto" w:before="194"/>
        <w:ind w:left="113" w:right="5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4"/>
        <w:rPr>
          <w:rFonts w:ascii="宋体" w:hAnsi="宋体" w:cs="宋体" w:eastAsia="宋体" w:hint="default"/>
          <w:sz w:val="27"/>
          <w:szCs w:val="27"/>
        </w:rPr>
      </w:pPr>
    </w:p>
    <w:p>
      <w:pPr>
        <w:pStyle w:val="Heading2"/>
        <w:spacing w:line="240" w:lineRule="auto"/>
        <w:ind w:left="312" w:right="5473"/>
        <w:jc w:val="left"/>
        <w:rPr>
          <w:b w:val="0"/>
          <w:bCs w:val="0"/>
        </w:rPr>
      </w:pPr>
      <w:r>
        <w:rPr>
          <w:rFonts w:ascii="Times New Roman" w:hAnsi="Times New Roman" w:cs="Times New Roman" w:eastAsia="Times New Roman" w:hint="default"/>
        </w:rPr>
        <w:t>4</w:t>
      </w:r>
      <w:r>
        <w:rPr/>
        <w:t>、其他持股在</w:t>
      </w:r>
      <w:r>
        <w:rPr>
          <w:spacing w:val="-64"/>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left="113" w:right="5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7"/>
        <w:rPr>
          <w:rFonts w:ascii="宋体" w:hAnsi="宋体" w:cs="宋体" w:eastAsia="宋体" w:hint="default"/>
          <w:sz w:val="21"/>
          <w:szCs w:val="21"/>
        </w:rPr>
      </w:pPr>
    </w:p>
    <w:p>
      <w:pPr>
        <w:pStyle w:val="Heading2"/>
        <w:spacing w:line="240" w:lineRule="auto"/>
        <w:ind w:left="312"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left="113" w:right="5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877" w:footer="979" w:top="1060" w:bottom="1160" w:left="1020" w:right="0"/>
        </w:sectPr>
      </w:pP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8"/>
        <w:ind w:left="3557" w:right="1273"/>
        <w:jc w:val="left"/>
        <w:rPr>
          <w:b w:val="0"/>
          <w:bCs w:val="0"/>
        </w:rPr>
      </w:pPr>
      <w:bookmarkStart w:name="_bookmark6" w:id="7"/>
      <w:bookmarkEnd w:id="7"/>
      <w:r>
        <w:rPr>
          <w:b w:val="0"/>
          <w:bCs w:val="0"/>
        </w:rPr>
      </w:r>
      <w:r>
        <w:rPr/>
        <w:t>第七节</w:t>
      </w:r>
      <w:r>
        <w:rPr>
          <w:spacing w:val="-5"/>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BodyText"/>
        <w:spacing w:line="338" w:lineRule="auto" w:before="26"/>
        <w:ind w:left="633" w:right="7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报告期公司不存在优先股。</w:t>
      </w:r>
    </w:p>
    <w:p>
      <w:pPr>
        <w:spacing w:after="0" w:line="338"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62"/>
        <w:ind w:left="2333" w:right="1113"/>
        <w:jc w:val="left"/>
        <w:rPr>
          <w:b w:val="0"/>
          <w:bCs w:val="0"/>
        </w:rPr>
      </w:pPr>
      <w:bookmarkStart w:name="_bookmark7" w:id="8"/>
      <w:bookmarkEnd w:id="8"/>
      <w:r>
        <w:rPr>
          <w:b w:val="0"/>
          <w:bCs w:val="0"/>
        </w:rPr>
      </w:r>
      <w:r>
        <w:rPr>
          <w:spacing w:val="4"/>
        </w:rPr>
        <w:t>第八节</w:t>
      </w:r>
      <w:r>
        <w:rPr>
          <w:spacing w:val="-28"/>
        </w:rPr>
        <w:t> </w:t>
      </w:r>
      <w:r>
        <w:rPr>
          <w:spacing w:val="5"/>
        </w:rPr>
        <w:t>董事、监事和高级管理人员和员工情况</w:t>
      </w:r>
      <w:r>
        <w:rPr>
          <w:b w:val="0"/>
          <w:bCs w:val="0"/>
          <w:spacing w:val="5"/>
        </w:rPr>
      </w:r>
    </w:p>
    <w:p>
      <w:pPr>
        <w:spacing w:line="240" w:lineRule="auto" w:before="11"/>
        <w:rPr>
          <w:rFonts w:ascii="宋体" w:hAnsi="宋体" w:cs="宋体" w:eastAsia="宋体" w:hint="default"/>
          <w:b/>
          <w:bCs/>
          <w:sz w:val="31"/>
          <w:szCs w:val="31"/>
        </w:rPr>
      </w:pPr>
    </w:p>
    <w:p>
      <w:pPr>
        <w:pStyle w:val="Heading2"/>
        <w:spacing w:line="240" w:lineRule="auto"/>
        <w:ind w:left="1073" w:right="1113"/>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852"/>
        <w:gridCol w:w="1296"/>
        <w:gridCol w:w="708"/>
        <w:gridCol w:w="500"/>
        <w:gridCol w:w="502"/>
        <w:gridCol w:w="1267"/>
        <w:gridCol w:w="1260"/>
        <w:gridCol w:w="1268"/>
        <w:gridCol w:w="934"/>
        <w:gridCol w:w="857"/>
        <w:gridCol w:w="850"/>
        <w:gridCol w:w="1265"/>
      </w:tblGrid>
      <w:tr>
        <w:trPr>
          <w:trHeight w:val="1258"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36" w:right="137" w:hanging="10"/>
              <w:jc w:val="left"/>
              <w:rPr>
                <w:rFonts w:ascii="宋体" w:hAnsi="宋体" w:cs="宋体" w:eastAsia="宋体" w:hint="default"/>
                <w:sz w:val="21"/>
                <w:szCs w:val="21"/>
              </w:rPr>
            </w:pPr>
            <w:r>
              <w:rPr>
                <w:rFonts w:ascii="宋体" w:hAnsi="宋体" w:cs="宋体" w:eastAsia="宋体" w:hint="default"/>
                <w:b/>
                <w:bCs/>
                <w:sz w:val="21"/>
                <w:szCs w:val="21"/>
              </w:rPr>
              <w:t>任期</w:t>
            </w:r>
            <w:r>
              <w:rPr>
                <w:rFonts w:ascii="宋体" w:hAnsi="宋体" w:cs="宋体" w:eastAsia="宋体" w:hint="default"/>
                <w:b/>
                <w:bCs/>
                <w:w w:val="100"/>
                <w:sz w:val="21"/>
                <w:szCs w:val="21"/>
              </w:rPr>
              <w:t> </w:t>
            </w:r>
            <w:r>
              <w:rPr>
                <w:rFonts w:ascii="宋体" w:hAnsi="宋体" w:cs="宋体" w:eastAsia="宋体" w:hint="default"/>
                <w:b/>
                <w:bCs/>
                <w:sz w:val="21"/>
                <w:szCs w:val="21"/>
              </w:rPr>
              <w:t>状态</w:t>
            </w:r>
            <w:r>
              <w:rPr>
                <w:rFonts w:ascii="宋体" w:hAnsi="宋体" w:cs="宋体" w:eastAsia="宋体" w:hint="default"/>
                <w:sz w:val="21"/>
                <w:szCs w:val="21"/>
              </w:rPr>
            </w:r>
          </w:p>
        </w:tc>
        <w:tc>
          <w:tcPr>
            <w:tcW w:w="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39" w:right="137" w:hanging="12"/>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100"/>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5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41" w:right="122" w:firstLine="14"/>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100"/>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417" w:right="191" w:hanging="197"/>
              <w:jc w:val="left"/>
              <w:rPr>
                <w:rFonts w:ascii="宋体" w:hAnsi="宋体" w:cs="宋体" w:eastAsia="宋体" w:hint="default"/>
                <w:sz w:val="21"/>
                <w:szCs w:val="21"/>
              </w:rPr>
            </w:pPr>
            <w:r>
              <w:rPr>
                <w:rFonts w:ascii="宋体" w:hAnsi="宋体" w:cs="宋体" w:eastAsia="宋体" w:hint="default"/>
                <w:b/>
                <w:bCs/>
                <w:sz w:val="21"/>
                <w:szCs w:val="21"/>
              </w:rPr>
              <w:t>任职起始</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413" w:right="185" w:hanging="195"/>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369" w:right="183" w:hanging="14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期初持股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43" w:right="131" w:firstLine="14"/>
              <w:jc w:val="both"/>
              <w:rPr>
                <w:rFonts w:ascii="宋体" w:hAnsi="宋体" w:cs="宋体" w:eastAsia="宋体" w:hint="default"/>
                <w:sz w:val="21"/>
                <w:szCs w:val="21"/>
              </w:rPr>
            </w:pPr>
            <w:r>
              <w:rPr>
                <w:rFonts w:ascii="宋体" w:hAnsi="宋体" w:cs="宋体" w:eastAsia="宋体" w:hint="default"/>
                <w:b/>
                <w:bCs/>
                <w:sz w:val="21"/>
                <w:szCs w:val="21"/>
              </w:rPr>
              <w:t>本期增</w:t>
            </w:r>
            <w:r>
              <w:rPr>
                <w:rFonts w:ascii="宋体" w:hAnsi="宋体" w:cs="宋体" w:eastAsia="宋体" w:hint="default"/>
                <w:b/>
                <w:bCs/>
                <w:w w:val="100"/>
                <w:sz w:val="21"/>
                <w:szCs w:val="21"/>
              </w:rPr>
              <w:t> </w:t>
            </w:r>
            <w:r>
              <w:rPr>
                <w:rFonts w:ascii="宋体" w:hAnsi="宋体" w:cs="宋体" w:eastAsia="宋体" w:hint="default"/>
                <w:b/>
                <w:bCs/>
                <w:sz w:val="21"/>
                <w:szCs w:val="21"/>
              </w:rPr>
              <w:t>持股份</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p>
            <w:pPr>
              <w:pStyle w:val="TableParagraph"/>
              <w:spacing w:line="240" w:lineRule="auto" w:before="7"/>
              <w:ind w:left="143" w:right="0"/>
              <w:jc w:val="both"/>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5" w:right="107" w:firstLine="28"/>
              <w:jc w:val="center"/>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w w:val="100"/>
                <w:sz w:val="21"/>
                <w:szCs w:val="21"/>
              </w:rPr>
              <w:t> </w:t>
            </w:r>
            <w:r>
              <w:rPr>
                <w:rFonts w:ascii="宋体" w:hAnsi="宋体" w:cs="宋体" w:eastAsia="宋体" w:hint="default"/>
                <w:b/>
                <w:bCs/>
                <w:sz w:val="21"/>
                <w:szCs w:val="21"/>
              </w:rPr>
              <w:t>减持股</w:t>
            </w:r>
            <w:r>
              <w:rPr>
                <w:rFonts w:ascii="宋体" w:hAnsi="宋体" w:cs="宋体" w:eastAsia="宋体" w:hint="default"/>
                <w:b/>
                <w:bCs/>
                <w:w w:val="100"/>
                <w:sz w:val="21"/>
                <w:szCs w:val="21"/>
              </w:rPr>
              <w:t> </w:t>
            </w:r>
            <w:r>
              <w:rPr>
                <w:rFonts w:ascii="宋体" w:hAnsi="宋体" w:cs="宋体" w:eastAsia="宋体" w:hint="default"/>
                <w:b/>
                <w:bCs/>
                <w:sz w:val="21"/>
                <w:szCs w:val="21"/>
              </w:rPr>
              <w:t>份数量</w:t>
            </w:r>
            <w:r>
              <w:rPr>
                <w:rFonts w:ascii="宋体" w:hAnsi="宋体" w:cs="宋体" w:eastAsia="宋体" w:hint="default"/>
                <w:sz w:val="21"/>
                <w:szCs w:val="21"/>
              </w:rPr>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103" w:right="-3" w:firstLine="12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1"/>
                <w:szCs w:val="21"/>
              </w:rPr>
              <w:t>增减变</w:t>
            </w:r>
            <w:r>
              <w:rPr>
                <w:rFonts w:ascii="宋体" w:hAnsi="宋体" w:cs="宋体" w:eastAsia="宋体" w:hint="default"/>
                <w:b/>
                <w:bCs/>
                <w:w w:val="100"/>
                <w:sz w:val="21"/>
                <w:szCs w:val="21"/>
              </w:rPr>
              <w:t> </w:t>
            </w:r>
            <w:r>
              <w:rPr>
                <w:rFonts w:ascii="宋体" w:hAnsi="宋体" w:cs="宋体" w:eastAsia="宋体" w:hint="default"/>
                <w:b/>
                <w:bCs/>
                <w:spacing w:val="-27"/>
                <w:w w:val="100"/>
                <w:sz w:val="21"/>
                <w:szCs w:val="21"/>
              </w:rPr>
              <w:t>动（股）</w:t>
            </w:r>
            <w:r>
              <w:rPr>
                <w:rFonts w:ascii="宋体" w:hAnsi="宋体" w:cs="宋体" w:eastAsia="宋体" w:hint="default"/>
                <w:spacing w:val="-27"/>
                <w:w w:val="100"/>
                <w:sz w:val="21"/>
                <w:szCs w:val="21"/>
              </w:rPr>
            </w:r>
          </w:p>
        </w:tc>
        <w:tc>
          <w:tcPr>
            <w:tcW w:w="12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523" w:right="187" w:hanging="303"/>
              <w:jc w:val="left"/>
              <w:rPr>
                <w:rFonts w:ascii="宋体" w:hAnsi="宋体" w:cs="宋体" w:eastAsia="宋体" w:hint="default"/>
                <w:sz w:val="21"/>
                <w:szCs w:val="21"/>
              </w:rPr>
            </w:pPr>
            <w:r>
              <w:rPr>
                <w:rFonts w:ascii="宋体" w:hAnsi="宋体" w:cs="宋体" w:eastAsia="宋体" w:hint="default"/>
                <w:b/>
                <w:bCs/>
                <w:sz w:val="21"/>
                <w:szCs w:val="21"/>
              </w:rPr>
              <w:t>期末持股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53,542,080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53,542,080</w:t>
            </w:r>
          </w:p>
        </w:tc>
      </w:tr>
      <w:tr>
        <w:trPr>
          <w:trHeight w:val="452"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49</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208" w:right="0"/>
              <w:jc w:val="left"/>
              <w:rPr>
                <w:rFonts w:ascii="Times New Roman" w:hAnsi="Times New Roman" w:cs="Times New Roman" w:eastAsia="Times New Roman" w:hint="default"/>
                <w:sz w:val="21"/>
                <w:szCs w:val="21"/>
              </w:rPr>
            </w:pPr>
            <w:r>
              <w:rPr>
                <w:rFonts w:ascii="Times New Roman"/>
                <w:sz w:val="21"/>
              </w:rPr>
              <w:t>22,913,440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100,000</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208" w:right="0"/>
              <w:jc w:val="left"/>
              <w:rPr>
                <w:rFonts w:ascii="Times New Roman" w:hAnsi="Times New Roman" w:cs="Times New Roman" w:eastAsia="Times New Roman" w:hint="default"/>
                <w:sz w:val="21"/>
                <w:szCs w:val="21"/>
              </w:rPr>
            </w:pPr>
            <w:r>
              <w:rPr>
                <w:rFonts w:ascii="Times New Roman"/>
                <w:sz w:val="21"/>
              </w:rPr>
              <w:t>23,013,440</w:t>
            </w:r>
          </w:p>
        </w:tc>
      </w:tr>
      <w:tr>
        <w:trPr>
          <w:trHeight w:val="454" w:hRule="exact"/>
        </w:trPr>
        <w:tc>
          <w:tcPr>
            <w:tcW w:w="852"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708"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634" w:hRule="exact"/>
        </w:trPr>
        <w:tc>
          <w:tcPr>
            <w:tcW w:w="852"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45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44</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6,228,000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53,000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6,175,000</w:t>
            </w:r>
          </w:p>
        </w:tc>
      </w:tr>
      <w:tr>
        <w:trPr>
          <w:trHeight w:val="451" w:hRule="exact"/>
        </w:trPr>
        <w:tc>
          <w:tcPr>
            <w:tcW w:w="852"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63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王康弘</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9,149,600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9,112,600</w:t>
            </w:r>
          </w:p>
        </w:tc>
      </w:tr>
      <w:tr>
        <w:trPr>
          <w:trHeight w:val="45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54</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9,205,379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506" w:right="0"/>
              <w:jc w:val="left"/>
              <w:rPr>
                <w:rFonts w:ascii="Times New Roman" w:hAnsi="Times New Roman" w:cs="Times New Roman" w:eastAsia="Times New Roman" w:hint="default"/>
                <w:sz w:val="21"/>
                <w:szCs w:val="21"/>
              </w:rPr>
            </w:pPr>
            <w:r>
              <w:rPr>
                <w:rFonts w:ascii="Times New Roman"/>
                <w:sz w:val="21"/>
              </w:rPr>
              <w:t>300</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9,205,679</w:t>
            </w:r>
          </w:p>
        </w:tc>
      </w:tr>
      <w:tr>
        <w:trPr>
          <w:trHeight w:val="452" w:hRule="exact"/>
        </w:trPr>
        <w:tc>
          <w:tcPr>
            <w:tcW w:w="852"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卫丽红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63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黄文力</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汤国安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郭仁忠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张军书</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刘英利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702,640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702,640</w:t>
            </w:r>
          </w:p>
        </w:tc>
      </w:tr>
      <w:tr>
        <w:trPr>
          <w:trHeight w:val="63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张智清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官丽莉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李煜</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48"/>
              <w:ind w:left="139"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148"/>
              <w:ind w:left="139"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39</w:t>
            </w:r>
          </w:p>
        </w:tc>
        <w:tc>
          <w:tcPr>
            <w:tcW w:w="1267" w:type="dxa"/>
            <w:vMerge w:val="restart"/>
            <w:tcBorders>
              <w:top w:val="single" w:sz="4" w:space="0" w:color="000000"/>
              <w:left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852"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708"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60" w:right="0"/>
        </w:sectPr>
      </w:pPr>
    </w:p>
    <w:p>
      <w:pPr>
        <w:spacing w:line="240" w:lineRule="auto" w:before="6"/>
        <w:rPr>
          <w:rFonts w:ascii="宋体" w:hAnsi="宋体" w:cs="宋体" w:eastAsia="宋体" w:hint="default"/>
          <w:b/>
          <w:bCs/>
          <w:sz w:val="28"/>
          <w:szCs w:val="28"/>
        </w:rPr>
      </w:pPr>
    </w:p>
    <w:tbl>
      <w:tblPr>
        <w:tblW w:w="0" w:type="auto"/>
        <w:jc w:val="left"/>
        <w:tblInd w:w="108" w:type="dxa"/>
        <w:tblLayout w:type="fixed"/>
        <w:tblCellMar>
          <w:top w:w="0" w:type="dxa"/>
          <w:left w:w="0" w:type="dxa"/>
          <w:bottom w:w="0" w:type="dxa"/>
          <w:right w:w="0" w:type="dxa"/>
        </w:tblCellMar>
        <w:tblLook w:val="01E0"/>
      </w:tblPr>
      <w:tblGrid>
        <w:gridCol w:w="852"/>
        <w:gridCol w:w="1296"/>
        <w:gridCol w:w="708"/>
        <w:gridCol w:w="500"/>
        <w:gridCol w:w="502"/>
        <w:gridCol w:w="1267"/>
        <w:gridCol w:w="1260"/>
        <w:gridCol w:w="1268"/>
        <w:gridCol w:w="934"/>
        <w:gridCol w:w="857"/>
        <w:gridCol w:w="850"/>
        <w:gridCol w:w="1265"/>
      </w:tblGrid>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李绍俊</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575" w:right="0"/>
              <w:jc w:val="left"/>
              <w:rPr>
                <w:rFonts w:ascii="Times New Roman" w:hAnsi="Times New Roman" w:cs="Times New Roman" w:eastAsia="Times New Roman" w:hint="default"/>
                <w:sz w:val="21"/>
                <w:szCs w:val="21"/>
              </w:rPr>
            </w:pPr>
            <w:r>
              <w:rPr>
                <w:rFonts w:ascii="Times New Roman"/>
                <w:sz w:val="21"/>
              </w:rPr>
              <w:t>71,800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576" w:right="0"/>
              <w:jc w:val="left"/>
              <w:rPr>
                <w:rFonts w:ascii="Times New Roman" w:hAnsi="Times New Roman" w:cs="Times New Roman" w:eastAsia="Times New Roman" w:hint="default"/>
                <w:sz w:val="21"/>
                <w:szCs w:val="21"/>
              </w:rPr>
            </w:pPr>
            <w:r>
              <w:rPr>
                <w:rFonts w:ascii="Times New Roman"/>
                <w:sz w:val="21"/>
              </w:rPr>
              <w:t>71,800</w:t>
            </w:r>
          </w:p>
        </w:tc>
      </w:tr>
      <w:tr>
        <w:trPr>
          <w:trHeight w:val="634" w:hRule="exact"/>
        </w:trPr>
        <w:tc>
          <w:tcPr>
            <w:tcW w:w="852"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324"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50"/>
              <w:ind w:left="105" w:right="0"/>
              <w:jc w:val="left"/>
              <w:rPr>
                <w:rFonts w:ascii="宋体" w:hAnsi="宋体" w:cs="宋体" w:eastAsia="宋体" w:hint="default"/>
                <w:sz w:val="21"/>
                <w:szCs w:val="21"/>
              </w:rPr>
            </w:pPr>
            <w:r>
              <w:rPr>
                <w:rFonts w:ascii="宋体" w:hAnsi="宋体" w:cs="宋体" w:eastAsia="宋体" w:hint="default"/>
                <w:sz w:val="21"/>
                <w:szCs w:val="21"/>
              </w:rPr>
              <w:t>翟利辉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40</w:t>
            </w:r>
          </w:p>
        </w:tc>
        <w:tc>
          <w:tcPr>
            <w:tcW w:w="1267" w:type="dxa"/>
            <w:vMerge w:val="restart"/>
            <w:tcBorders>
              <w:top w:val="single" w:sz="4" w:space="0" w:color="000000"/>
              <w:left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852"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708"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白杨建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56,000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56,000</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荆钺坤</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徐旭</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108,900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108,900</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元哲起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50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50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101,977,839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100,300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90,000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101,988,139</w:t>
            </w:r>
          </w:p>
        </w:tc>
      </w:tr>
    </w:tbl>
    <w:p>
      <w:pPr>
        <w:spacing w:line="240" w:lineRule="auto" w:before="1"/>
        <w:rPr>
          <w:rFonts w:ascii="宋体" w:hAnsi="宋体" w:cs="宋体" w:eastAsia="宋体" w:hint="default"/>
          <w:b/>
          <w:bCs/>
          <w:sz w:val="18"/>
          <w:szCs w:val="18"/>
        </w:rPr>
      </w:pPr>
    </w:p>
    <w:p>
      <w:pPr>
        <w:pStyle w:val="Heading2"/>
        <w:spacing w:line="240" w:lineRule="auto" w:before="26"/>
        <w:ind w:left="1073" w:right="1113"/>
        <w:jc w:val="left"/>
        <w:rPr>
          <w:b w:val="0"/>
          <w:bCs w:val="0"/>
        </w:rPr>
      </w:pP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960" w:type="dxa"/>
        <w:tblLayout w:type="fixed"/>
        <w:tblCellMar>
          <w:top w:w="0" w:type="dxa"/>
          <w:left w:w="0" w:type="dxa"/>
          <w:bottom w:w="0" w:type="dxa"/>
          <w:right w:w="0" w:type="dxa"/>
        </w:tblCellMar>
        <w:tblLook w:val="01E0"/>
      </w:tblPr>
      <w:tblGrid>
        <w:gridCol w:w="872"/>
        <w:gridCol w:w="2213"/>
        <w:gridCol w:w="900"/>
        <w:gridCol w:w="2292"/>
        <w:gridCol w:w="3767"/>
      </w:tblGrid>
      <w:tr>
        <w:trPr>
          <w:trHeight w:val="323"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575" w:right="0"/>
              <w:jc w:val="left"/>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3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63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center"/>
              <w:rPr>
                <w:rFonts w:ascii="宋体" w:hAnsi="宋体" w:cs="宋体" w:eastAsia="宋体" w:hint="default"/>
                <w:sz w:val="21"/>
                <w:szCs w:val="21"/>
              </w:rPr>
            </w:pPr>
            <w:r>
              <w:rPr>
                <w:rFonts w:ascii="宋体" w:hAnsi="宋体" w:cs="宋体" w:eastAsia="宋体" w:hint="default"/>
                <w:sz w:val="21"/>
                <w:szCs w:val="21"/>
              </w:rPr>
              <w:t>王康弘</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2018-3-27</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因个人原因申请辞去公司董事职务，辞</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职后仍在公司担任其他职务。</w:t>
            </w:r>
          </w:p>
        </w:tc>
      </w:tr>
      <w:tr>
        <w:trPr>
          <w:trHeight w:val="322" w:hRule="exact"/>
        </w:trPr>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李煜</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2018-5-8</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因工作需要不再兼任公司财务总监</w:t>
            </w:r>
          </w:p>
        </w:tc>
      </w:tr>
      <w:tr>
        <w:trPr>
          <w:trHeight w:val="634" w:hRule="exact"/>
        </w:trPr>
        <w:tc>
          <w:tcPr>
            <w:tcW w:w="872" w:type="dxa"/>
            <w:vMerge/>
            <w:tcBorders>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秘</w:t>
            </w:r>
            <w:r>
              <w:rPr>
                <w:rFonts w:ascii="宋体" w:hAnsi="宋体" w:cs="宋体" w:eastAsia="宋体" w:hint="default"/>
                <w:spacing w:val="-3"/>
                <w:w w:val="100"/>
                <w:sz w:val="21"/>
                <w:szCs w:val="21"/>
              </w:rPr>
              <w:t>书</w:t>
            </w:r>
            <w:r>
              <w:rPr>
                <w:rFonts w:ascii="宋体" w:hAnsi="宋体" w:cs="宋体" w:eastAsia="宋体" w:hint="default"/>
                <w:spacing w:val="-104"/>
                <w:w w:val="100"/>
                <w:sz w:val="21"/>
                <w:szCs w:val="21"/>
              </w:rPr>
              <w:t>、</w:t>
            </w:r>
            <w:r>
              <w:rPr>
                <w:rFonts w:ascii="宋体" w:hAnsi="宋体" w:cs="宋体" w:eastAsia="宋体" w:hint="default"/>
                <w:w w:val="100"/>
                <w:sz w:val="21"/>
                <w:szCs w:val="21"/>
              </w:rPr>
              <w:t>副</w:t>
            </w:r>
            <w:r>
              <w:rPr>
                <w:rFonts w:ascii="宋体" w:hAnsi="宋体" w:cs="宋体" w:eastAsia="宋体" w:hint="default"/>
                <w:spacing w:val="-3"/>
                <w:w w:val="100"/>
                <w:sz w:val="21"/>
                <w:szCs w:val="21"/>
              </w:rPr>
              <w:t>总</w:t>
            </w:r>
            <w:r>
              <w:rPr>
                <w:rFonts w:ascii="宋体" w:hAnsi="宋体" w:cs="宋体" w:eastAsia="宋体" w:hint="default"/>
                <w:w w:val="100"/>
                <w:sz w:val="21"/>
                <w:szCs w:val="21"/>
              </w:rPr>
              <w:t>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2018-6-25</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6"/>
              <w:jc w:val="left"/>
              <w:rPr>
                <w:rFonts w:ascii="宋体" w:hAnsi="宋体" w:cs="宋体" w:eastAsia="宋体" w:hint="default"/>
                <w:sz w:val="21"/>
                <w:szCs w:val="21"/>
              </w:rPr>
            </w:pPr>
            <w:r>
              <w:rPr>
                <w:rFonts w:ascii="宋体" w:hAnsi="宋体" w:cs="宋体" w:eastAsia="宋体" w:hint="default"/>
                <w:spacing w:val="-2"/>
                <w:sz w:val="21"/>
                <w:szCs w:val="21"/>
              </w:rPr>
              <w:t>因个人原因申请辞去公司副总经理以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及董事会秘书职务。</w:t>
            </w:r>
          </w:p>
        </w:tc>
      </w:tr>
      <w:tr>
        <w:trPr>
          <w:trHeight w:val="94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卫丽红</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2019-1-25</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因所在单位（公司股东中国科学院地理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科学与资源研究所）对其个人工作安排</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原因申请辞去公司董事职务。</w:t>
            </w:r>
          </w:p>
        </w:tc>
      </w:tr>
      <w:tr>
        <w:trPr>
          <w:trHeight w:val="94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官丽莉</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2019-1-25</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因所在单位（公司股东中国科学院地理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科学与资源研究所）对其个人工作安排</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原因申请辞去公司监事职务。</w:t>
            </w:r>
          </w:p>
        </w:tc>
      </w:tr>
      <w:tr>
        <w:trPr>
          <w:trHeight w:val="949"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宋关福</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2019-1-28</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因工作需要不再兼任公司财务总监职</w:t>
            </w:r>
            <w:r>
              <w:rPr>
                <w:rFonts w:ascii="宋体" w:hAnsi="宋体" w:cs="宋体" w:eastAsia="宋体" w:hint="default"/>
                <w:w w:val="100"/>
                <w:sz w:val="21"/>
                <w:szCs w:val="21"/>
              </w:rPr>
              <w:t> </w:t>
            </w:r>
            <w:r>
              <w:rPr>
                <w:rFonts w:ascii="宋体" w:hAnsi="宋体" w:cs="宋体" w:eastAsia="宋体" w:hint="default"/>
                <w:spacing w:val="-3"/>
                <w:sz w:val="21"/>
                <w:szCs w:val="21"/>
              </w:rPr>
              <w:t>务，辞去财务总监职务后，宋关福先生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仍在公司担任董事以及总经理职务。</w:t>
            </w:r>
          </w:p>
        </w:tc>
      </w:tr>
      <w:tr>
        <w:trPr>
          <w:trHeight w:val="63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center"/>
              <w:rPr>
                <w:rFonts w:ascii="宋体" w:hAnsi="宋体" w:cs="宋体" w:eastAsia="宋体" w:hint="default"/>
                <w:sz w:val="21"/>
                <w:szCs w:val="21"/>
              </w:rPr>
            </w:pPr>
            <w:r>
              <w:rPr>
                <w:rFonts w:ascii="宋体" w:hAnsi="宋体" w:cs="宋体" w:eastAsia="宋体" w:hint="default"/>
                <w:sz w:val="21"/>
                <w:szCs w:val="21"/>
              </w:rPr>
              <w:t>杜庆娥</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2019-1-28</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6"/>
              <w:jc w:val="left"/>
              <w:rPr>
                <w:rFonts w:ascii="宋体" w:hAnsi="宋体" w:cs="宋体" w:eastAsia="宋体" w:hint="default"/>
                <w:sz w:val="21"/>
                <w:szCs w:val="21"/>
              </w:rPr>
            </w:pPr>
            <w:r>
              <w:rPr>
                <w:rFonts w:ascii="宋体" w:hAnsi="宋体" w:cs="宋体" w:eastAsia="宋体" w:hint="default"/>
                <w:spacing w:val="-2"/>
                <w:sz w:val="21"/>
                <w:szCs w:val="21"/>
              </w:rPr>
              <w:t>因身体原因不再担任董事及副总经理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的职务</w:t>
            </w:r>
          </w:p>
        </w:tc>
      </w:tr>
    </w:tbl>
    <w:p>
      <w:pPr>
        <w:spacing w:line="240" w:lineRule="auto" w:before="1"/>
        <w:rPr>
          <w:rFonts w:ascii="宋体" w:hAnsi="宋体" w:cs="宋体" w:eastAsia="宋体" w:hint="default"/>
          <w:b/>
          <w:bCs/>
          <w:sz w:val="18"/>
          <w:szCs w:val="18"/>
        </w:rPr>
      </w:pPr>
    </w:p>
    <w:p>
      <w:pPr>
        <w:pStyle w:val="Heading2"/>
        <w:spacing w:line="240" w:lineRule="auto" w:before="26"/>
        <w:ind w:left="1073" w:right="1113"/>
        <w:jc w:val="left"/>
        <w:rPr>
          <w:b w:val="0"/>
          <w:bCs w:val="0"/>
        </w:rPr>
      </w:pPr>
      <w:r>
        <w:rPr/>
        <w:t>三、任职情况</w:t>
      </w:r>
      <w:r>
        <w:rPr>
          <w:b w:val="0"/>
          <w:bCs w:val="0"/>
        </w:rPr>
      </w:r>
    </w:p>
    <w:p>
      <w:pPr>
        <w:spacing w:line="240" w:lineRule="auto" w:before="8"/>
        <w:rPr>
          <w:rFonts w:ascii="宋体" w:hAnsi="宋体" w:cs="宋体" w:eastAsia="宋体" w:hint="default"/>
          <w:b/>
          <w:bCs/>
          <w:sz w:val="28"/>
          <w:szCs w:val="28"/>
        </w:rPr>
      </w:pPr>
    </w:p>
    <w:p>
      <w:pPr>
        <w:pStyle w:val="BodyText"/>
        <w:spacing w:line="338" w:lineRule="auto" w:before="0"/>
        <w:ind w:left="1073" w:right="1113" w:firstLine="480"/>
        <w:jc w:val="left"/>
      </w:pPr>
      <w:r>
        <w:rPr/>
        <w:t>董事长钟耳顺先生：中国国籍，无境外居留权，</w:t>
      </w:r>
      <w:r>
        <w:rPr>
          <w:rFonts w:ascii="Times New Roman" w:hAnsi="Times New Roman" w:cs="Times New Roman" w:eastAsia="Times New Roman" w:hint="default"/>
        </w:rPr>
        <w:t>63</w:t>
      </w:r>
      <w:r>
        <w:rPr>
          <w:rFonts w:ascii="Times New Roman" w:hAnsi="Times New Roman" w:cs="Times New Roman" w:eastAsia="Times New Roman" w:hint="default"/>
          <w:spacing w:val="-20"/>
        </w:rPr>
        <w:t> </w:t>
      </w:r>
      <w:r>
        <w:rPr/>
        <w:t>岁，博士，自公司成立一直在公司工 作。</w:t>
      </w:r>
    </w:p>
    <w:p>
      <w:pPr>
        <w:spacing w:after="0" w:line="338" w:lineRule="auto"/>
        <w:jc w:val="left"/>
        <w:sectPr>
          <w:pgSz w:w="11910" w:h="16840"/>
          <w:pgMar w:header="877" w:footer="979" w:top="1060" w:bottom="1160" w:left="60" w:right="0"/>
        </w:sectPr>
      </w:pPr>
    </w:p>
    <w:p>
      <w:pPr>
        <w:spacing w:line="240" w:lineRule="auto" w:before="7"/>
        <w:rPr>
          <w:rFonts w:ascii="宋体" w:hAnsi="宋体" w:cs="宋体" w:eastAsia="宋体" w:hint="default"/>
          <w:sz w:val="29"/>
          <w:szCs w:val="29"/>
        </w:rPr>
      </w:pPr>
    </w:p>
    <w:p>
      <w:pPr>
        <w:pStyle w:val="BodyText"/>
        <w:spacing w:line="345" w:lineRule="auto" w:before="26"/>
        <w:ind w:right="1128" w:firstLine="480"/>
        <w:jc w:val="right"/>
      </w:pPr>
      <w:r>
        <w:rPr>
          <w:spacing w:val="-8"/>
        </w:rPr>
        <w:t>董事宋关福先生：中国国籍，无境外居留权，</w:t>
      </w:r>
      <w:r>
        <w:rPr>
          <w:rFonts w:ascii="Times New Roman" w:hAnsi="Times New Roman" w:cs="Times New Roman" w:eastAsia="Times New Roman" w:hint="default"/>
          <w:spacing w:val="-8"/>
        </w:rPr>
        <w:t>49</w:t>
      </w:r>
      <w:r>
        <w:rPr>
          <w:rFonts w:ascii="Times New Roman" w:hAnsi="Times New Roman" w:cs="Times New Roman" w:eastAsia="Times New Roman" w:hint="default"/>
          <w:spacing w:val="20"/>
        </w:rPr>
        <w:t> </w:t>
      </w:r>
      <w:r>
        <w:rPr>
          <w:spacing w:val="-6"/>
        </w:rPr>
        <w:t>岁，博士，自公司成立一直在公司工作。</w:t>
      </w:r>
      <w:r>
        <w:rPr/>
        <w:t> 董事孙在宏先生：中国国籍，无境外居留权，</w:t>
      </w:r>
      <w:r>
        <w:rPr>
          <w:rFonts w:ascii="Times New Roman" w:hAnsi="Times New Roman" w:cs="Times New Roman" w:eastAsia="Times New Roman" w:hint="default"/>
        </w:rPr>
        <w:t>54 </w:t>
      </w:r>
      <w:r>
        <w:rPr/>
        <w:t>岁，博士。孙在宏先生自 </w:t>
      </w:r>
      <w:r>
        <w:rPr>
          <w:rFonts w:ascii="Times New Roman" w:hAnsi="Times New Roman" w:cs="Times New Roman" w:eastAsia="Times New Roman" w:hint="default"/>
        </w:rPr>
        <w:t>1991</w:t>
      </w:r>
      <w:r>
        <w:rPr>
          <w:rFonts w:ascii="Times New Roman" w:hAnsi="Times New Roman" w:cs="Times New Roman" w:eastAsia="Times New Roman" w:hint="default"/>
          <w:spacing w:val="-19"/>
        </w:rPr>
        <w:t> </w:t>
      </w:r>
      <w:r>
        <w:rPr/>
        <w:t>年起先 后担任南京师范大学地理系讲师、地理科学学院副教授、教授并担任江苏金陵资产评估有限</w:t>
      </w:r>
      <w:r>
        <w:rPr>
          <w:spacing w:val="-110"/>
        </w:rPr>
        <w:t> </w:t>
      </w:r>
      <w:r>
        <w:rPr>
          <w:spacing w:val="-110"/>
        </w:rPr>
      </w:r>
      <w:r>
        <w:rPr/>
        <w:t>责任公司总工程师、江苏国图信息产业园管理有限公司董事长兼总经理。自</w:t>
      </w:r>
      <w:r>
        <w:rPr>
          <w:spacing w:val="-8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7"/>
        </w:rPr>
        <w:t> </w:t>
      </w:r>
      <w:r>
        <w:rPr>
          <w:spacing w:val="-6"/>
        </w:rPr>
        <w:t>年起，孙在</w:t>
      </w:r>
      <w:r>
        <w:rPr/>
        <w:t> 宏先生担任南京国图信息工程有限公司执行董事兼经理、南京国图信息产业股份有限公司董</w:t>
      </w:r>
      <w:r>
        <w:rPr>
          <w:spacing w:val="-110"/>
        </w:rPr>
        <w:t> </w:t>
      </w:r>
      <w:r>
        <w:rPr>
          <w:spacing w:val="-110"/>
        </w:rPr>
      </w:r>
      <w:r>
        <w:rPr>
          <w:spacing w:val="-5"/>
        </w:rPr>
        <w:t>事长；</w:t>
      </w:r>
      <w:r>
        <w:rPr>
          <w:rFonts w:ascii="Times New Roman" w:hAnsi="Times New Roman" w:cs="Times New Roman" w:eastAsia="Times New Roman" w:hint="default"/>
          <w:spacing w:val="-5"/>
        </w:rPr>
        <w:t>2011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月至今任南京鼎图投资咨询有限公司董事长；</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月至今，担任上市公</w:t>
      </w:r>
    </w:p>
    <w:p>
      <w:pPr>
        <w:pStyle w:val="BodyText"/>
        <w:spacing w:line="357" w:lineRule="auto" w:before="19"/>
        <w:ind w:left="633" w:right="1118" w:hanging="480"/>
        <w:jc w:val="left"/>
      </w:pPr>
      <w:r>
        <w:rPr/>
        <w:t>司全资子公司南京国图信息产业有限公司董事兼总经理。 董事黄文力女士：中国国籍，无境外居留权，</w:t>
      </w:r>
      <w:r>
        <w:rPr>
          <w:rFonts w:ascii="Times New Roman" w:hAnsi="Times New Roman" w:cs="Times New Roman" w:eastAsia="Times New Roman" w:hint="default"/>
        </w:rPr>
        <w:t>33</w:t>
      </w:r>
      <w:r>
        <w:rPr>
          <w:rFonts w:ascii="Times New Roman" w:hAnsi="Times New Roman" w:cs="Times New Roman" w:eastAsia="Times New Roman" w:hint="default"/>
          <w:spacing w:val="-25"/>
        </w:rPr>
        <w:t> </w:t>
      </w:r>
      <w:r>
        <w:rPr/>
        <w:t>岁，学士。黄文力女士自毕业后一直工</w:t>
      </w:r>
    </w:p>
    <w:p>
      <w:pPr>
        <w:pStyle w:val="BodyText"/>
        <w:spacing w:line="357" w:lineRule="auto" w:before="6"/>
        <w:ind w:left="633" w:right="1116" w:hanging="480"/>
        <w:jc w:val="left"/>
      </w:pPr>
      <w:r>
        <w:rPr/>
        <w:t>作于中国科学院地理科学与资源研究所，任职于财务资产处。 </w:t>
      </w:r>
      <w:r>
        <w:rPr>
          <w:spacing w:val="-6"/>
        </w:rPr>
        <w:t>独立董事郭仁忠先生：中国国籍，无境外居留权，</w:t>
      </w:r>
      <w:r>
        <w:rPr>
          <w:rFonts w:ascii="Times New Roman" w:hAnsi="Times New Roman" w:cs="Times New Roman" w:eastAsia="Times New Roman" w:hint="default"/>
          <w:spacing w:val="-6"/>
        </w:rPr>
        <w:t>62</w:t>
      </w:r>
      <w:r>
        <w:rPr>
          <w:rFonts w:ascii="Times New Roman" w:hAnsi="Times New Roman" w:cs="Times New Roman" w:eastAsia="Times New Roman" w:hint="default"/>
          <w:spacing w:val="25"/>
        </w:rPr>
        <w:t> </w:t>
      </w:r>
      <w:r>
        <w:rPr>
          <w:spacing w:val="-9"/>
        </w:rPr>
        <w:t>岁，中国工程院院士，教授，博导，</w:t>
      </w:r>
    </w:p>
    <w:p>
      <w:pPr>
        <w:pStyle w:val="BodyText"/>
        <w:spacing w:line="240" w:lineRule="auto" w:before="5"/>
        <w:ind w:right="0"/>
        <w:jc w:val="both"/>
      </w:pPr>
      <w:r>
        <w:rPr/>
        <w:t>享有国务院政府津贴。郭仁忠先生于</w:t>
      </w:r>
      <w:r>
        <w:rPr>
          <w:spacing w:val="-56"/>
        </w:rPr>
        <w:t> </w:t>
      </w:r>
      <w:r>
        <w:rPr>
          <w:rFonts w:ascii="Times New Roman" w:hAnsi="Times New Roman" w:cs="Times New Roman" w:eastAsia="Times New Roman" w:hint="default"/>
        </w:rPr>
        <w:t>1984</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1996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月工作于武汉测绘科技大学，</w:t>
      </w:r>
    </w:p>
    <w:p>
      <w:pPr>
        <w:pStyle w:val="BodyText"/>
        <w:spacing w:line="338" w:lineRule="auto" w:before="135"/>
        <w:ind w:right="1131"/>
        <w:jc w:val="both"/>
      </w:pPr>
      <w:r>
        <w:rPr/>
        <w:t>历任助教、讲师、副教授、教授，</w:t>
      </w:r>
      <w:r>
        <w:rPr>
          <w:rFonts w:ascii="Times New Roman" w:hAnsi="Times New Roman" w:cs="Times New Roman" w:eastAsia="Times New Roman" w:hint="default"/>
        </w:rPr>
        <w:t>1996</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月工作于深圳市规划和国土资源 </w:t>
      </w:r>
      <w:r>
        <w:rPr>
          <w:spacing w:val="-5"/>
        </w:rPr>
        <w:t>委员会（规划国土局、国土房产局），历任信息中心主任，副局长（副主任），巡视员，</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年</w:t>
      </w:r>
      <w:r>
        <w:rPr>
          <w:spacing w:val="-60"/>
        </w:rPr>
        <w:t> </w:t>
      </w:r>
      <w:r>
        <w:rPr>
          <w:rFonts w:ascii="Times New Roman" w:hAnsi="Times New Roman" w:cs="Times New Roman" w:eastAsia="Times New Roman" w:hint="default"/>
        </w:rPr>
        <w:t>5 </w:t>
      </w:r>
      <w:r>
        <w:rPr/>
        <w:t>月起至今工作于深圳大学，为教授。</w:t>
      </w:r>
    </w:p>
    <w:p>
      <w:pPr>
        <w:pStyle w:val="BodyText"/>
        <w:spacing w:line="338" w:lineRule="auto" w:before="27"/>
        <w:ind w:right="1129" w:firstLine="480"/>
        <w:jc w:val="both"/>
        <w:rPr>
          <w:rFonts w:ascii="Times New Roman" w:hAnsi="Times New Roman" w:cs="Times New Roman" w:eastAsia="Times New Roman" w:hint="default"/>
        </w:rPr>
      </w:pPr>
      <w:r>
        <w:rPr/>
        <w:t>独立董事汤国安先生：中国国籍，无境外居留权，</w:t>
      </w:r>
      <w:r>
        <w:rPr>
          <w:rFonts w:ascii="Times New Roman" w:hAnsi="Times New Roman" w:cs="Times New Roman" w:eastAsia="Times New Roman" w:hint="default"/>
        </w:rPr>
        <w:t>57</w:t>
      </w:r>
      <w:r>
        <w:rPr>
          <w:rFonts w:ascii="Times New Roman" w:hAnsi="Times New Roman" w:cs="Times New Roman" w:eastAsia="Times New Roman" w:hint="default"/>
          <w:spacing w:val="-20"/>
        </w:rPr>
        <w:t> </w:t>
      </w:r>
      <w:r>
        <w:rPr/>
        <w:t>岁，博士，教授，博士生导师，江 苏省政协委员，民盟江苏省委员会常委，民盟南京师范大学委员会主委。汤国安先生于</w:t>
      </w:r>
      <w:r>
        <w:rPr>
          <w:spacing w:val="-83"/>
        </w:rPr>
        <w:t> </w:t>
      </w:r>
      <w:r>
        <w:rPr>
          <w:rFonts w:ascii="Times New Roman" w:hAnsi="Times New Roman" w:cs="Times New Roman" w:eastAsia="Times New Roman" w:hint="default"/>
        </w:rPr>
        <w:t>1982</w:t>
      </w:r>
    </w:p>
    <w:p>
      <w:pPr>
        <w:pStyle w:val="BodyText"/>
        <w:spacing w:line="352" w:lineRule="auto" w:before="27"/>
        <w:ind w:right="1128"/>
        <w:jc w:val="both"/>
      </w:pPr>
      <w:r>
        <w:rPr/>
        <w:t>年至</w:t>
      </w:r>
      <w:r>
        <w:rPr>
          <w:spacing w:val="-49"/>
        </w:rPr>
        <w:t> </w:t>
      </w:r>
      <w:r>
        <w:rPr>
          <w:rFonts w:ascii="Times New Roman" w:hAnsi="Times New Roman" w:cs="Times New Roman" w:eastAsia="Times New Roman" w:hint="default"/>
        </w:rPr>
        <w:t>1984</w:t>
      </w:r>
      <w:r>
        <w:rPr>
          <w:rFonts w:ascii="Times New Roman" w:hAnsi="Times New Roman" w:cs="Times New Roman" w:eastAsia="Times New Roman" w:hint="default"/>
          <w:spacing w:val="10"/>
        </w:rPr>
        <w:t> </w:t>
      </w:r>
      <w:r>
        <w:rPr/>
        <w:t>年工作于陕西省水土保持局，于</w:t>
      </w:r>
      <w:r>
        <w:rPr>
          <w:spacing w:val="-48"/>
        </w:rPr>
        <w:t> </w:t>
      </w:r>
      <w:r>
        <w:rPr>
          <w:rFonts w:ascii="Times New Roman" w:hAnsi="Times New Roman" w:cs="Times New Roman" w:eastAsia="Times New Roman" w:hint="default"/>
        </w:rPr>
        <w:t>1987</w:t>
      </w:r>
      <w:r>
        <w:rPr>
          <w:rFonts w:ascii="Times New Roman" w:hAnsi="Times New Roman" w:cs="Times New Roman" w:eastAsia="Times New Roman" w:hint="default"/>
          <w:spacing w:val="11"/>
        </w:rPr>
        <w:t> </w:t>
      </w:r>
      <w:r>
        <w:rPr/>
        <w:t>年至</w:t>
      </w:r>
      <w:r>
        <w:rPr>
          <w:spacing w:val="-4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年任教于西北大学，</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 至今工作于南京师范大学，历任南京师范大学地理科学学院院长、虚拟地理环境教育部重点</w:t>
      </w:r>
      <w:r>
        <w:rPr>
          <w:spacing w:val="-91"/>
        </w:rPr>
        <w:t> </w:t>
      </w:r>
      <w:r>
        <w:rPr>
          <w:spacing w:val="-91"/>
        </w:rPr>
      </w:r>
      <w:r>
        <w:rPr/>
        <w:t>实验室副主任。现为南京师范大学教授，江苏省地理信息科学重点实验室主任，兼任中国地</w:t>
      </w:r>
      <w:r>
        <w:rPr>
          <w:spacing w:val="-91"/>
        </w:rPr>
        <w:t> </w:t>
      </w:r>
      <w:r>
        <w:rPr>
          <w:spacing w:val="-91"/>
        </w:rPr>
      </w:r>
      <w:r>
        <w:rPr/>
        <w:t>理信息产业协会副秘书长，教育与科普工作委员会主任，中国地理学会地图学与地理信息系</w:t>
      </w:r>
      <w:r>
        <w:rPr>
          <w:spacing w:val="-91"/>
        </w:rPr>
        <w:t> </w:t>
      </w:r>
      <w:r>
        <w:rPr>
          <w:spacing w:val="-91"/>
        </w:rPr>
      </w:r>
      <w:r>
        <w:rPr/>
        <w:t>统专业委员会副主任委员等学术兼职。</w:t>
      </w:r>
    </w:p>
    <w:p>
      <w:pPr>
        <w:pStyle w:val="BodyText"/>
        <w:spacing w:line="350" w:lineRule="auto" w:before="41"/>
        <w:ind w:right="1128" w:firstLine="480"/>
        <w:jc w:val="both"/>
      </w:pPr>
      <w:r>
        <w:rPr>
          <w:spacing w:val="-3"/>
        </w:rPr>
        <w:t>独立董事张军书先生：中国国籍，无境外居留权，</w:t>
      </w:r>
      <w:r>
        <w:rPr>
          <w:rFonts w:ascii="Times New Roman" w:hAnsi="Times New Roman" w:cs="Times New Roman" w:eastAsia="Times New Roman" w:hint="default"/>
          <w:spacing w:val="-3"/>
        </w:rPr>
        <w:t>48 </w:t>
      </w:r>
      <w:r>
        <w:rPr>
          <w:spacing w:val="-3"/>
        </w:rPr>
        <w:t>岁，注册会计师，</w:t>
      </w:r>
      <w:r>
        <w:rPr/>
        <w:t> </w:t>
      </w:r>
      <w:r>
        <w:rPr>
          <w:rFonts w:ascii="Times New Roman" w:hAnsi="Times New Roman" w:cs="Times New Roman" w:eastAsia="Times New Roman" w:hint="default"/>
          <w:spacing w:val="-3"/>
        </w:rPr>
        <w:t>EMBA</w:t>
      </w:r>
      <w:r>
        <w:rPr>
          <w:spacing w:val="-3"/>
        </w:rPr>
        <w:t>。张军书</w:t>
      </w:r>
      <w:r>
        <w:rPr/>
        <w:t> 先生历任西北有色地质勘察局财务处主任科员，岳华会计师事务所、中蓝特会计师事务所、</w:t>
      </w:r>
      <w:r>
        <w:rPr>
          <w:spacing w:val="-91"/>
        </w:rPr>
        <w:t> </w:t>
      </w:r>
      <w:r>
        <w:rPr>
          <w:spacing w:val="-91"/>
        </w:rPr>
      </w:r>
      <w:r>
        <w:rPr/>
        <w:t>中喜会计师事务所审计员、部门经理，中瑞岳华会计师事务所、大信会计师事务所合伙人；</w:t>
      </w:r>
      <w:r>
        <w:rPr>
          <w:spacing w:val="-88"/>
        </w:rPr>
        <w:t> </w:t>
      </w:r>
      <w:r>
        <w:rPr>
          <w:spacing w:val="-88"/>
        </w:rPr>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月至今，就职于立信会计师事务所，任高级合伙人。最近五年内，张军书先生曾担 任广州海鸥卫浴用品股份有限公司独立董事、北京首都农业集团有限公司外部董事，现兼任</w:t>
      </w:r>
      <w:r>
        <w:rPr>
          <w:spacing w:val="-87"/>
        </w:rPr>
        <w:t> </w:t>
      </w:r>
      <w:r>
        <w:rPr>
          <w:spacing w:val="-87"/>
        </w:rPr>
      </w:r>
      <w:r>
        <w:rPr/>
        <w:t>北京宝兰德软件股份有限公司独立董事、广东新宝精密制造股份有限公司外部董事。</w:t>
      </w:r>
    </w:p>
    <w:p>
      <w:pPr>
        <w:pStyle w:val="BodyText"/>
        <w:spacing w:line="338" w:lineRule="auto" w:before="43"/>
        <w:ind w:right="1132" w:firstLine="480"/>
        <w:jc w:val="both"/>
      </w:pPr>
      <w:r>
        <w:rPr/>
        <w:t>监事会主席曾志明先生：中国国籍，无境外居留权，</w:t>
      </w:r>
      <w:r>
        <w:rPr>
          <w:rFonts w:ascii="Times New Roman" w:hAnsi="Times New Roman" w:cs="Times New Roman" w:eastAsia="Times New Roman" w:hint="default"/>
        </w:rPr>
        <w:t>40</w:t>
      </w:r>
      <w:r>
        <w:rPr>
          <w:rFonts w:ascii="Times New Roman" w:hAnsi="Times New Roman" w:cs="Times New Roman" w:eastAsia="Times New Roman" w:hint="default"/>
          <w:spacing w:val="-20"/>
        </w:rPr>
        <w:t> </w:t>
      </w:r>
      <w:r>
        <w:rPr/>
        <w:t>岁，博士，曾志明先生自毕业后 即加盟公司并工作至今，一直主持公司研发工作，现任公司基础研发中心研发总经理。</w:t>
      </w:r>
    </w:p>
    <w:p>
      <w:pPr>
        <w:spacing w:after="0" w:line="338"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right="1000" w:firstLine="480"/>
        <w:jc w:val="left"/>
      </w:pPr>
      <w:r>
        <w:rPr>
          <w:spacing w:val="-3"/>
        </w:rPr>
        <w:t>职工监事刘英利女士：中国国籍，无境外居留权，</w:t>
      </w:r>
      <w:r>
        <w:rPr>
          <w:rFonts w:ascii="Times New Roman" w:hAnsi="Times New Roman" w:cs="Times New Roman" w:eastAsia="Times New Roman" w:hint="default"/>
          <w:spacing w:val="-3"/>
        </w:rPr>
        <w:t>42 </w:t>
      </w:r>
      <w:r>
        <w:rPr>
          <w:spacing w:val="-4"/>
        </w:rPr>
        <w:t>岁，硕士，</w:t>
      </w:r>
      <w:r>
        <w:rPr>
          <w:rFonts w:ascii="Times New Roman" w:hAnsi="Times New Roman" w:cs="Times New Roman" w:eastAsia="Times New Roman" w:hint="default"/>
          <w:spacing w:val="-4"/>
        </w:rPr>
        <w:t>2000 </w:t>
      </w:r>
      <w:r>
        <w:rPr/>
        <w:t>年 </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2006 </w:t>
      </w:r>
      <w:r>
        <w:rPr/>
        <w:t>年</w:t>
      </w:r>
      <w:r>
        <w:rPr>
          <w:spacing w:val="-94"/>
        </w:rPr>
        <w:t> </w:t>
      </w:r>
      <w:r>
        <w:rPr>
          <w:rFonts w:ascii="Times New Roman" w:hAnsi="Times New Roman" w:cs="Times New Roman" w:eastAsia="Times New Roman" w:hint="default"/>
        </w:rPr>
        <w:t>1 </w:t>
      </w:r>
      <w:r>
        <w:rPr/>
        <w:t>月在百丽投资股份有限公司工作，任采购专员；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月在汉王科技股份 有限公司工作，任研发采购主管；</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月在北京金昶科技有限公司工作；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月至今在北京超图软件股份有限公司工作，任采购管理部总监。</w:t>
      </w:r>
    </w:p>
    <w:p>
      <w:pPr>
        <w:pStyle w:val="BodyText"/>
        <w:spacing w:line="338" w:lineRule="auto" w:before="27"/>
        <w:ind w:right="1131" w:firstLine="480"/>
        <w:jc w:val="both"/>
      </w:pPr>
      <w:r>
        <w:rPr>
          <w:spacing w:val="-11"/>
        </w:rPr>
        <w:t>监事张智清先生：中国国籍，无境外居留权，</w:t>
      </w:r>
      <w:r>
        <w:rPr>
          <w:rFonts w:ascii="Times New Roman" w:hAnsi="Times New Roman" w:cs="Times New Roman" w:eastAsia="Times New Roman" w:hint="default"/>
          <w:spacing w:val="-11"/>
        </w:rPr>
        <w:t>50 </w:t>
      </w:r>
      <w:r>
        <w:rPr>
          <w:spacing w:val="-14"/>
        </w:rPr>
        <w:t>岁，学士。张智清先生于 </w:t>
      </w:r>
      <w:r>
        <w:rPr>
          <w:rFonts w:ascii="Times New Roman" w:hAnsi="Times New Roman" w:cs="Times New Roman" w:eastAsia="Times New Roman" w:hint="default"/>
        </w:rPr>
        <w:t>1987 </w:t>
      </w:r>
      <w:r>
        <w:rPr/>
        <w:t>年至</w:t>
      </w:r>
      <w:r>
        <w:rPr>
          <w:spacing w:val="35"/>
        </w:rPr>
        <w:t> </w:t>
      </w:r>
      <w:r>
        <w:rPr>
          <w:rFonts w:ascii="Times New Roman" w:hAnsi="Times New Roman" w:cs="Times New Roman" w:eastAsia="Times New Roman" w:hint="default"/>
        </w:rPr>
        <w:t>1999 </w:t>
      </w:r>
      <w:r>
        <w:rPr>
          <w:spacing w:val="-3"/>
        </w:rPr>
        <w:t>年在中国科学院自然资源综合考察委员会从事财务工作；</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8"/>
        </w:rPr>
        <w:t> </w:t>
      </w:r>
      <w:r>
        <w:rPr/>
        <w:t>年至今在中国科学院地理科学 与资源研究所从事财务工作。</w:t>
      </w:r>
    </w:p>
    <w:p>
      <w:pPr>
        <w:pStyle w:val="BodyText"/>
        <w:spacing w:line="357" w:lineRule="auto" w:before="55"/>
        <w:ind w:left="633" w:right="5953"/>
        <w:jc w:val="left"/>
      </w:pPr>
      <w:r>
        <w:rPr/>
        <w:t>总经理宋关福先生：见前述董事介绍。 副总经理孙在宏先生：见前述董事介绍。</w:t>
      </w:r>
    </w:p>
    <w:p>
      <w:pPr>
        <w:pStyle w:val="BodyText"/>
        <w:spacing w:line="338" w:lineRule="auto"/>
        <w:ind w:right="1130" w:firstLine="480"/>
        <w:jc w:val="both"/>
      </w:pPr>
      <w:r>
        <w:rPr/>
        <w:t>董事会秘书、副总经理翟利辉先生：中国国籍，无境外居留权，</w:t>
      </w:r>
      <w:r>
        <w:rPr>
          <w:rFonts w:ascii="Times New Roman" w:hAnsi="Times New Roman" w:cs="Times New Roman" w:eastAsia="Times New Roman" w:hint="default"/>
        </w:rPr>
        <w:t>40</w:t>
      </w:r>
      <w:r>
        <w:rPr>
          <w:rFonts w:ascii="Times New Roman" w:hAnsi="Times New Roman" w:cs="Times New Roman" w:eastAsia="Times New Roman" w:hint="default"/>
          <w:spacing w:val="-20"/>
        </w:rPr>
        <w:t> </w:t>
      </w:r>
      <w:r>
        <w:rPr/>
        <w:t>岁，学士。翟利辉先 生于 </w:t>
      </w:r>
      <w:r>
        <w:rPr>
          <w:rFonts w:ascii="Times New Roman" w:hAnsi="Times New Roman" w:cs="Times New Roman" w:eastAsia="Times New Roman" w:hint="default"/>
        </w:rPr>
        <w:t>2001 </w:t>
      </w:r>
      <w:r>
        <w:rPr/>
        <w:t>年至 </w:t>
      </w:r>
      <w:r>
        <w:rPr>
          <w:rFonts w:ascii="Times New Roman" w:hAnsi="Times New Roman" w:cs="Times New Roman" w:eastAsia="Times New Roman" w:hint="default"/>
        </w:rPr>
        <w:t>2009 </w:t>
      </w:r>
      <w:r>
        <w:rPr/>
        <w:t>年任用友软件股份有限公司北方大区总监职务，</w:t>
      </w:r>
      <w:r>
        <w:rPr>
          <w:rFonts w:ascii="Times New Roman" w:hAnsi="Times New Roman" w:cs="Times New Roman" w:eastAsia="Times New Roman" w:hint="default"/>
        </w:rPr>
        <w:t>2009 </w:t>
      </w:r>
      <w:r>
        <w:rPr/>
        <w:t>年至 </w:t>
      </w:r>
      <w:r>
        <w:rPr>
          <w:rFonts w:ascii="Times New Roman" w:hAnsi="Times New Roman" w:cs="Times New Roman" w:eastAsia="Times New Roman" w:hint="default"/>
        </w:rPr>
        <w:t>2013</w:t>
      </w:r>
      <w:r>
        <w:rPr>
          <w:rFonts w:ascii="Times New Roman" w:hAnsi="Times New Roman" w:cs="Times New Roman" w:eastAsia="Times New Roman" w:hint="default"/>
          <w:spacing w:val="38"/>
        </w:rPr>
        <w:t> </w:t>
      </w:r>
      <w:r>
        <w:rPr/>
        <w:t>年任 </w:t>
      </w:r>
      <w:r>
        <w:rPr>
          <w:rFonts w:ascii="Times New Roman" w:hAnsi="Times New Roman" w:cs="Times New Roman" w:eastAsia="Times New Roman" w:hint="default"/>
        </w:rPr>
        <w:t>LGCNS Manager</w:t>
      </w:r>
      <w:r>
        <w:rPr/>
        <w:t>、金蝶国际北方大区总监，</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月至今任职公司，历任合作伙伴中心 总经理、助理总裁等职务，现任公司副总经理、董事会秘书。</w:t>
      </w:r>
    </w:p>
    <w:p>
      <w:pPr>
        <w:pStyle w:val="BodyText"/>
        <w:spacing w:line="338" w:lineRule="auto" w:before="55"/>
        <w:ind w:right="1128" w:firstLine="480"/>
        <w:jc w:val="both"/>
      </w:pPr>
      <w:r>
        <w:rPr/>
        <w:t>财务总监荆钺坤先生：中国国籍，无境外居留权，</w:t>
      </w:r>
      <w:r>
        <w:rPr>
          <w:rFonts w:ascii="Times New Roman" w:hAnsi="Times New Roman" w:cs="Times New Roman" w:eastAsia="Times New Roman" w:hint="default"/>
        </w:rPr>
        <w:t>31 </w:t>
      </w:r>
      <w:r>
        <w:rPr/>
        <w:t>岁，学士。荆钺坤先生于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 至 </w:t>
      </w:r>
      <w:r>
        <w:rPr>
          <w:rFonts w:ascii="Times New Roman" w:hAnsi="Times New Roman" w:cs="Times New Roman" w:eastAsia="Times New Roman" w:hint="default"/>
        </w:rPr>
        <w:t>2013 </w:t>
      </w:r>
      <w:r>
        <w:rPr/>
        <w:t>年工作于文思海辉技术有限公司，曾先后任会计、主管和财务经理职位。</w:t>
      </w:r>
      <w:r>
        <w:rPr>
          <w:rFonts w:ascii="Times New Roman" w:hAnsi="Times New Roman" w:cs="Times New Roman" w:eastAsia="Times New Roman" w:hint="default"/>
        </w:rPr>
        <w:t>2013</w:t>
      </w:r>
      <w:r>
        <w:rPr>
          <w:rFonts w:ascii="Times New Roman" w:hAnsi="Times New Roman" w:cs="Times New Roman" w:eastAsia="Times New Roman" w:hint="default"/>
          <w:spacing w:val="-22"/>
        </w:rPr>
        <w:t> </w:t>
      </w:r>
      <w:r>
        <w:rPr/>
        <w:t>年至 </w:t>
      </w:r>
      <w:r>
        <w:rPr>
          <w:rFonts w:ascii="Times New Roman" w:hAnsi="Times New Roman" w:cs="Times New Roman" w:eastAsia="Times New Roman" w:hint="default"/>
        </w:rPr>
        <w:t>2016 </w:t>
      </w:r>
      <w:r>
        <w:rPr/>
        <w:t>年工作于博彦科技股份有限公司，任财务经理职位。</w:t>
      </w:r>
      <w:r>
        <w:rPr>
          <w:rFonts w:ascii="Times New Roman" w:hAnsi="Times New Roman" w:cs="Times New Roman" w:eastAsia="Times New Roman" w:hint="default"/>
        </w:rPr>
        <w:t>2016 </w:t>
      </w:r>
      <w:r>
        <w:rPr/>
        <w:t>年至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年工作于上海嘉麟 杰益鸟文化传媒有限公司，任财务总监职位。</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月加入公司，先后任公司财务核算部 总监、财务中心总经职位，现任公司财务总监。</w:t>
      </w:r>
    </w:p>
    <w:p>
      <w:pPr>
        <w:pStyle w:val="BodyText"/>
        <w:spacing w:line="348" w:lineRule="auto" w:before="55"/>
        <w:ind w:right="1131" w:firstLine="480"/>
        <w:jc w:val="both"/>
      </w:pPr>
      <w:r>
        <w:rPr/>
        <w:t>副总经理李绍俊先生：中国国籍，无境外居留权，</w:t>
      </w:r>
      <w:r>
        <w:rPr>
          <w:rFonts w:ascii="Times New Roman" w:hAnsi="Times New Roman" w:cs="Times New Roman" w:eastAsia="Times New Roman" w:hint="default"/>
        </w:rPr>
        <w:t>40</w:t>
      </w:r>
      <w:r>
        <w:rPr>
          <w:rFonts w:ascii="Times New Roman" w:hAnsi="Times New Roman" w:cs="Times New Roman" w:eastAsia="Times New Roman" w:hint="default"/>
          <w:spacing w:val="-20"/>
        </w:rPr>
        <w:t> </w:t>
      </w:r>
      <w:r>
        <w:rPr/>
        <w:t>岁，中科院地理科学与资源研究所 博士。李绍俊先生毕业后加入北京超图软件工作，历任部门经理、研发中心总经理、研究院</w:t>
      </w:r>
      <w:r>
        <w:rPr>
          <w:spacing w:val="-91"/>
        </w:rPr>
        <w:t> </w:t>
      </w:r>
      <w:r>
        <w:rPr>
          <w:spacing w:val="-91"/>
        </w:rPr>
      </w:r>
      <w:r>
        <w:rPr/>
        <w:t>副院长、研究院院长。</w:t>
      </w:r>
    </w:p>
    <w:p>
      <w:pPr>
        <w:pStyle w:val="BodyText"/>
        <w:spacing w:line="338" w:lineRule="auto" w:before="46"/>
        <w:ind w:right="1131" w:firstLine="480"/>
        <w:jc w:val="both"/>
      </w:pPr>
      <w:r>
        <w:rPr/>
        <w:t>副总经理徐旭先生：中国国籍，无境外居留权，</w:t>
      </w:r>
      <w:r>
        <w:rPr>
          <w:rFonts w:ascii="Times New Roman" w:hAnsi="Times New Roman" w:cs="Times New Roman" w:eastAsia="Times New Roman" w:hint="default"/>
        </w:rPr>
        <w:t>43 </w:t>
      </w:r>
      <w:r>
        <w:rPr/>
        <w:t>岁。徐旭先生于 </w:t>
      </w:r>
      <w:r>
        <w:rPr>
          <w:rFonts w:ascii="Times New Roman" w:hAnsi="Times New Roman" w:cs="Times New Roman" w:eastAsia="Times New Roman" w:hint="default"/>
        </w:rPr>
        <w:t>2002</w:t>
      </w:r>
      <w:r>
        <w:rPr>
          <w:rFonts w:ascii="Times New Roman" w:hAnsi="Times New Roman" w:cs="Times New Roman" w:eastAsia="Times New Roman" w:hint="default"/>
          <w:spacing w:val="-23"/>
        </w:rPr>
        <w:t> </w:t>
      </w:r>
      <w:r>
        <w:rPr/>
        <w:t>年加入公司， </w:t>
      </w:r>
      <w:r>
        <w:rPr>
          <w:spacing w:val="-4"/>
        </w:rPr>
        <w:t>历任事业部总经理、助理总裁等职务。徐旭先生于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月至今担任南京国图信息产业有</w:t>
      </w:r>
    </w:p>
    <w:p>
      <w:pPr>
        <w:pStyle w:val="BodyText"/>
        <w:spacing w:line="338" w:lineRule="auto" w:before="27"/>
        <w:ind w:right="1118"/>
        <w:jc w:val="left"/>
      </w:pPr>
      <w:r>
        <w:rPr/>
        <w:t>限公司董事以及于</w:t>
      </w:r>
      <w:r>
        <w:rPr>
          <w:spacing w:val="-61"/>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9 </w:t>
      </w:r>
      <w:r>
        <w:rPr>
          <w:spacing w:val="-3"/>
        </w:rPr>
        <w:t>月至今担任北京世纪安图数码科技发展有限责任公司董事，除此</w:t>
      </w:r>
      <w:r>
        <w:rPr/>
        <w:t> 以外，最近五年内未在其他公司或机构担任董事、监事和高级管理人员。</w:t>
      </w:r>
    </w:p>
    <w:p>
      <w:pPr>
        <w:pStyle w:val="BodyText"/>
        <w:spacing w:line="348" w:lineRule="auto" w:before="55"/>
        <w:ind w:right="1132" w:firstLine="480"/>
        <w:jc w:val="both"/>
      </w:pPr>
      <w:r>
        <w:rPr/>
        <w:t>副总经理白杨建先生：中国国籍，无境外居留权，</w:t>
      </w:r>
      <w:r>
        <w:rPr>
          <w:rFonts w:ascii="Times New Roman" w:hAnsi="Times New Roman" w:cs="Times New Roman" w:eastAsia="Times New Roman" w:hint="default"/>
        </w:rPr>
        <w:t>40</w:t>
      </w:r>
      <w:r>
        <w:rPr>
          <w:rFonts w:ascii="Times New Roman" w:hAnsi="Times New Roman" w:cs="Times New Roman" w:eastAsia="Times New Roman" w:hint="default"/>
          <w:spacing w:val="-21"/>
        </w:rPr>
        <w:t> </w:t>
      </w:r>
      <w:r>
        <w:rPr/>
        <w:t>岁，西南大学地理科学学院（原西 </w:t>
      </w:r>
      <w:r>
        <w:rPr>
          <w:spacing w:val="-5"/>
        </w:rPr>
        <w:t>南师范大学资环学院）学士。白杨建先生毕业后加入超图软件，历任开发工程师、项目经理、</w:t>
      </w:r>
      <w:r>
        <w:rPr/>
        <w:t> 部门经理、技术总监、分公司负责人等职务。</w:t>
      </w:r>
    </w:p>
    <w:p>
      <w:pPr>
        <w:pStyle w:val="BodyText"/>
        <w:spacing w:line="240" w:lineRule="auto" w:before="46"/>
        <w:ind w:left="633" w:right="997"/>
        <w:jc w:val="left"/>
        <w:rPr>
          <w:rFonts w:ascii="Times New Roman" w:hAnsi="Times New Roman" w:cs="Times New Roman" w:eastAsia="Times New Roman" w:hint="default"/>
        </w:rPr>
      </w:pPr>
      <w:r>
        <w:rPr/>
        <w:t>副总经理元哲起先生：中国国籍，无境外居留权，</w:t>
      </w:r>
      <w:r>
        <w:rPr>
          <w:rFonts w:ascii="Times New Roman" w:hAnsi="Times New Roman" w:cs="Times New Roman" w:eastAsia="Times New Roman" w:hint="default"/>
        </w:rPr>
        <w:t>54  </w:t>
      </w:r>
      <w:r>
        <w:rPr/>
        <w:t>岁，</w:t>
      </w:r>
      <w:r>
        <w:rPr>
          <w:rFonts w:ascii="Times New Roman" w:hAnsi="Times New Roman" w:cs="Times New Roman" w:eastAsia="Times New Roman" w:hint="default"/>
        </w:rPr>
        <w:t>EMBA</w:t>
      </w:r>
      <w:r>
        <w:rPr/>
        <w:t>。元哲起先生于</w:t>
      </w:r>
      <w:r>
        <w:rPr>
          <w:spacing w:val="56"/>
        </w:rPr>
        <w:t> </w:t>
      </w:r>
      <w:r>
        <w:rPr>
          <w:rFonts w:ascii="Times New Roman" w:hAnsi="Times New Roman" w:cs="Times New Roman" w:eastAsia="Times New Roman" w:hint="default"/>
        </w:rPr>
        <w:t>1986</w:t>
      </w:r>
    </w:p>
    <w:p>
      <w:pPr>
        <w:spacing w:after="0" w:line="240" w:lineRule="auto"/>
        <w:jc w:val="left"/>
        <w:rPr>
          <w:rFonts w:ascii="Times New Roman" w:hAnsi="Times New Roman" w:cs="Times New Roman" w:eastAsia="Times New Roman" w:hint="default"/>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338" w:lineRule="auto" w:before="182"/>
        <w:ind w:left="213" w:right="1131"/>
        <w:jc w:val="both"/>
      </w:pPr>
      <w:r>
        <w:rPr/>
        <w:t>年至</w:t>
      </w:r>
      <w:r>
        <w:rPr>
          <w:spacing w:val="-52"/>
        </w:rPr>
        <w:t> </w:t>
      </w:r>
      <w:r>
        <w:rPr>
          <w:rFonts w:ascii="Times New Roman" w:hAnsi="Times New Roman" w:cs="Times New Roman" w:eastAsia="Times New Roman" w:hint="default"/>
        </w:rPr>
        <w:t>1993</w:t>
      </w:r>
      <w:r>
        <w:rPr>
          <w:rFonts w:ascii="Times New Roman" w:hAnsi="Times New Roman" w:cs="Times New Roman" w:eastAsia="Times New Roman" w:hint="default"/>
          <w:spacing w:val="8"/>
        </w:rPr>
        <w:t> </w:t>
      </w:r>
      <w:r>
        <w:rPr/>
        <w:t>年，在国家海洋局信息中心任职；</w:t>
      </w:r>
      <w:r>
        <w:rPr>
          <w:rFonts w:ascii="Times New Roman" w:hAnsi="Times New Roman" w:cs="Times New Roman" w:eastAsia="Times New Roman" w:hint="default"/>
        </w:rPr>
        <w:t>1994</w:t>
      </w:r>
      <w:r>
        <w:rPr>
          <w:rFonts w:ascii="Times New Roman" w:hAnsi="Times New Roman" w:cs="Times New Roman" w:eastAsia="Times New Roman" w:hint="default"/>
          <w:spacing w:val="8"/>
        </w:rPr>
        <w:t> </w:t>
      </w:r>
      <w:r>
        <w:rPr/>
        <w:t>年至</w:t>
      </w:r>
      <w:r>
        <w:rPr>
          <w:spacing w:val="-5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年，担任</w:t>
      </w:r>
      <w:r>
        <w:rPr>
          <w:spacing w:val="-51"/>
        </w:rPr>
        <w:t> </w:t>
      </w:r>
      <w:r>
        <w:rPr>
          <w:rFonts w:ascii="Times New Roman" w:hAnsi="Times New Roman" w:cs="Times New Roman" w:eastAsia="Times New Roman" w:hint="default"/>
        </w:rPr>
        <w:t>ESRI</w:t>
      </w:r>
      <w:r>
        <w:rPr>
          <w:rFonts w:ascii="Times New Roman" w:hAnsi="Times New Roman" w:cs="Times New Roman" w:eastAsia="Times New Roman" w:hint="default"/>
          <w:spacing w:val="5"/>
        </w:rPr>
        <w:t> </w:t>
      </w:r>
      <w:r>
        <w:rPr/>
        <w:t>中国（北京）有 限公司（富融科技有限公司）销售经理、副总经理、总经理；</w:t>
      </w:r>
      <w:r>
        <w:rPr>
          <w:rFonts w:ascii="Times New Roman" w:hAnsi="Times New Roman" w:cs="Times New Roman" w:eastAsia="Times New Roman" w:hint="default"/>
        </w:rPr>
        <w:t>2004 </w:t>
      </w:r>
      <w:r>
        <w:rPr/>
        <w:t>年至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年任上海数慧 系统技术有限公司董事长、董事。现任上海数慧董事。</w:t>
      </w:r>
    </w:p>
    <w:p>
      <w:pPr>
        <w:pStyle w:val="BodyText"/>
        <w:spacing w:line="240" w:lineRule="auto" w:before="55"/>
        <w:ind w:left="693" w:right="994"/>
        <w:jc w:val="left"/>
      </w:pPr>
      <w:r>
        <w:rPr/>
        <w:t>在股东单位任职情况</w:t>
      </w:r>
    </w:p>
    <w:p>
      <w:pPr>
        <w:pStyle w:val="BodyText"/>
        <w:spacing w:line="240" w:lineRule="auto" w:before="154"/>
        <w:ind w:left="693"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145"/>
        <w:gridCol w:w="2552"/>
        <w:gridCol w:w="1764"/>
        <w:gridCol w:w="1561"/>
        <w:gridCol w:w="1320"/>
        <w:gridCol w:w="1380"/>
      </w:tblGrid>
      <w:tr>
        <w:trPr>
          <w:trHeight w:val="974" w:hRule="exact"/>
        </w:trPr>
        <w:tc>
          <w:tcPr>
            <w:tcW w:w="1145"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73" w:lineRule="auto" w:before="155"/>
              <w:ind w:left="352" w:right="144" w:hanging="212"/>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2552"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764"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55"/>
              <w:ind w:left="561" w:right="137" w:hanging="420"/>
              <w:jc w:val="left"/>
              <w:rPr>
                <w:rFonts w:ascii="宋体" w:hAnsi="宋体" w:cs="宋体" w:eastAsia="宋体" w:hint="default"/>
                <w:sz w:val="21"/>
                <w:szCs w:val="21"/>
              </w:rPr>
            </w:pPr>
            <w:r>
              <w:rPr>
                <w:rFonts w:ascii="宋体" w:hAnsi="宋体" w:cs="宋体" w:eastAsia="宋体" w:hint="default"/>
                <w:sz w:val="21"/>
                <w:szCs w:val="21"/>
              </w:rPr>
              <w:t>在股东单位担任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的职务</w:t>
            </w:r>
          </w:p>
        </w:tc>
        <w:tc>
          <w:tcPr>
            <w:tcW w:w="1561"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320"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55"/>
              <w:ind w:left="549" w:right="125"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80" w:type="dxa"/>
            <w:tcBorders>
              <w:top w:val="single" w:sz="8" w:space="0" w:color="000000"/>
              <w:left w:val="single" w:sz="4" w:space="0" w:color="000000"/>
              <w:bottom w:val="single" w:sz="4" w:space="0" w:color="000000"/>
              <w:right w:val="single" w:sz="8" w:space="0" w:color="000000"/>
            </w:tcBorders>
            <w:shd w:val="clear" w:color="auto" w:fill="D2D2D2"/>
          </w:tcPr>
          <w:p>
            <w:pPr>
              <w:pStyle w:val="TableParagraph"/>
              <w:spacing w:line="273" w:lineRule="auto"/>
              <w:ind w:left="158" w:right="151"/>
              <w:jc w:val="center"/>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w w:val="100"/>
                <w:sz w:val="21"/>
                <w:szCs w:val="21"/>
              </w:rPr>
              <w:t> </w:t>
            </w:r>
            <w:r>
              <w:rPr>
                <w:rFonts w:ascii="宋体" w:hAnsi="宋体" w:cs="宋体" w:eastAsia="宋体" w:hint="default"/>
                <w:sz w:val="21"/>
                <w:szCs w:val="21"/>
              </w:rPr>
              <w:t>是否领取报</w:t>
            </w:r>
            <w:r>
              <w:rPr>
                <w:rFonts w:ascii="宋体" w:hAnsi="宋体" w:cs="宋体" w:eastAsia="宋体" w:hint="default"/>
                <w:w w:val="100"/>
                <w:sz w:val="21"/>
                <w:szCs w:val="21"/>
              </w:rPr>
              <w:t> </w:t>
            </w:r>
            <w:r>
              <w:rPr>
                <w:rFonts w:ascii="宋体" w:hAnsi="宋体" w:cs="宋体" w:eastAsia="宋体" w:hint="default"/>
                <w:sz w:val="21"/>
                <w:szCs w:val="21"/>
              </w:rPr>
              <w:t>酬津贴</w:t>
            </w:r>
          </w:p>
        </w:tc>
      </w:tr>
      <w:tr>
        <w:trPr>
          <w:trHeight w:val="701" w:hRule="exact"/>
        </w:trPr>
        <w:tc>
          <w:tcPr>
            <w:tcW w:w="11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卫丽红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75"/>
              <w:jc w:val="left"/>
              <w:rPr>
                <w:rFonts w:ascii="宋体" w:hAnsi="宋体" w:cs="宋体" w:eastAsia="宋体" w:hint="default"/>
                <w:sz w:val="21"/>
                <w:szCs w:val="21"/>
              </w:rPr>
            </w:pPr>
            <w:r>
              <w:rPr>
                <w:rFonts w:ascii="宋体" w:hAnsi="宋体" w:cs="宋体" w:eastAsia="宋体" w:hint="default"/>
                <w:sz w:val="21"/>
                <w:szCs w:val="21"/>
              </w:rPr>
              <w:t>基建资产处资产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与知识产权职员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01" w:hRule="exact"/>
        </w:trPr>
        <w:tc>
          <w:tcPr>
            <w:tcW w:w="11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官丽莉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75"/>
              <w:jc w:val="left"/>
              <w:rPr>
                <w:rFonts w:ascii="宋体" w:hAnsi="宋体" w:cs="宋体" w:eastAsia="宋体" w:hint="default"/>
                <w:sz w:val="21"/>
                <w:szCs w:val="21"/>
              </w:rPr>
            </w:pPr>
            <w:r>
              <w:rPr>
                <w:rFonts w:ascii="宋体" w:hAnsi="宋体" w:cs="宋体" w:eastAsia="宋体" w:hint="default"/>
                <w:sz w:val="21"/>
                <w:szCs w:val="21"/>
              </w:rPr>
              <w:t>基建资产处资产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与知识产权主管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98" w:hRule="exact"/>
        </w:trPr>
        <w:tc>
          <w:tcPr>
            <w:tcW w:w="11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黄文力</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72"/>
              <w:jc w:val="center"/>
              <w:rPr>
                <w:rFonts w:ascii="宋体" w:hAnsi="宋体" w:cs="宋体" w:eastAsia="宋体" w:hint="default"/>
                <w:sz w:val="21"/>
                <w:szCs w:val="21"/>
              </w:rPr>
            </w:pPr>
            <w:r>
              <w:rPr>
                <w:rFonts w:ascii="宋体" w:hAnsi="宋体" w:cs="宋体" w:eastAsia="宋体" w:hint="default"/>
                <w:sz w:val="21"/>
                <w:szCs w:val="21"/>
              </w:rPr>
              <w:t>财务资产处职员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01" w:hRule="exact"/>
        </w:trPr>
        <w:tc>
          <w:tcPr>
            <w:tcW w:w="11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张智清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72"/>
              <w:jc w:val="center"/>
              <w:rPr>
                <w:rFonts w:ascii="宋体" w:hAnsi="宋体" w:cs="宋体" w:eastAsia="宋体" w:hint="default"/>
                <w:sz w:val="21"/>
                <w:szCs w:val="21"/>
              </w:rPr>
            </w:pPr>
            <w:r>
              <w:rPr>
                <w:rFonts w:ascii="宋体" w:hAnsi="宋体" w:cs="宋体" w:eastAsia="宋体" w:hint="default"/>
                <w:sz w:val="21"/>
                <w:szCs w:val="21"/>
              </w:rPr>
              <w:t>财务资产处职员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50" w:hRule="exact"/>
        </w:trPr>
        <w:tc>
          <w:tcPr>
            <w:tcW w:w="1145"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73" w:lineRule="auto"/>
              <w:ind w:left="98" w:right="187"/>
              <w:jc w:val="both"/>
              <w:rPr>
                <w:rFonts w:ascii="宋体" w:hAnsi="宋体" w:cs="宋体" w:eastAsia="宋体" w:hint="default"/>
                <w:sz w:val="21"/>
                <w:szCs w:val="21"/>
              </w:rPr>
            </w:pPr>
            <w:r>
              <w:rPr>
                <w:rFonts w:ascii="宋体" w:hAnsi="宋体" w:cs="宋体" w:eastAsia="宋体" w:hint="default"/>
                <w:sz w:val="21"/>
                <w:szCs w:val="21"/>
              </w:rPr>
              <w:t>在股东单</w:t>
            </w:r>
            <w:r>
              <w:rPr>
                <w:rFonts w:ascii="宋体" w:hAnsi="宋体" w:cs="宋体" w:eastAsia="宋体" w:hint="default"/>
                <w:w w:val="100"/>
                <w:sz w:val="21"/>
                <w:szCs w:val="21"/>
              </w:rPr>
              <w:t> </w:t>
            </w:r>
            <w:r>
              <w:rPr>
                <w:rFonts w:ascii="宋体" w:hAnsi="宋体" w:cs="宋体" w:eastAsia="宋体" w:hint="default"/>
                <w:sz w:val="21"/>
                <w:szCs w:val="21"/>
              </w:rPr>
              <w:t>位任职情</w:t>
            </w:r>
            <w:r>
              <w:rPr>
                <w:rFonts w:ascii="宋体" w:hAnsi="宋体" w:cs="宋体" w:eastAsia="宋体" w:hint="default"/>
                <w:w w:val="100"/>
                <w:sz w:val="21"/>
                <w:szCs w:val="21"/>
              </w:rPr>
              <w:t> </w:t>
            </w:r>
            <w:r>
              <w:rPr>
                <w:rFonts w:ascii="宋体" w:hAnsi="宋体" w:cs="宋体" w:eastAsia="宋体" w:hint="default"/>
                <w:sz w:val="21"/>
                <w:szCs w:val="21"/>
              </w:rPr>
              <w:t>况的说明</w:t>
            </w:r>
          </w:p>
        </w:tc>
        <w:tc>
          <w:tcPr>
            <w:tcW w:w="8577" w:type="dxa"/>
            <w:gridSpan w:val="5"/>
            <w:tcBorders>
              <w:top w:val="single" w:sz="4" w:space="0" w:color="000000"/>
              <w:left w:val="single" w:sz="4"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以上历任及现任董监事均在公司股东中国科学院地理科学与资源研究所任职。</w:t>
            </w:r>
          </w:p>
        </w:tc>
      </w:tr>
    </w:tbl>
    <w:p>
      <w:pPr>
        <w:spacing w:line="240" w:lineRule="auto" w:before="1"/>
        <w:rPr>
          <w:rFonts w:ascii="宋体" w:hAnsi="宋体" w:cs="宋体" w:eastAsia="宋体" w:hint="default"/>
          <w:sz w:val="25"/>
          <w:szCs w:val="25"/>
        </w:rPr>
      </w:pPr>
    </w:p>
    <w:p>
      <w:pPr>
        <w:pStyle w:val="BodyText"/>
        <w:spacing w:line="240" w:lineRule="auto" w:before="26"/>
        <w:ind w:left="213" w:right="994"/>
        <w:jc w:val="left"/>
      </w:pPr>
      <w:r>
        <w:rPr/>
        <w:t>在其他单位任职情况</w:t>
      </w:r>
    </w:p>
    <w:p>
      <w:pPr>
        <w:pStyle w:val="BodyText"/>
        <w:spacing w:line="240" w:lineRule="auto"/>
        <w:ind w:left="213"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9"/>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956"/>
        <w:gridCol w:w="2981"/>
        <w:gridCol w:w="1409"/>
        <w:gridCol w:w="1133"/>
        <w:gridCol w:w="1407"/>
        <w:gridCol w:w="1925"/>
      </w:tblGrid>
      <w:tr>
        <w:trPr>
          <w:trHeight w:val="634" w:hRule="exact"/>
        </w:trPr>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z w:val="21"/>
                <w:szCs w:val="21"/>
              </w:rPr>
              <w:t>任职人</w:t>
            </w:r>
            <w:r>
              <w:rPr>
                <w:rFonts w:ascii="宋体" w:hAnsi="宋体" w:cs="宋体" w:eastAsia="宋体" w:hint="default"/>
                <w:spacing w:val="-102"/>
                <w:sz w:val="21"/>
                <w:szCs w:val="21"/>
              </w:rPr>
              <w:t> </w:t>
            </w:r>
            <w:r>
              <w:rPr>
                <w:rFonts w:ascii="宋体" w:hAnsi="宋体" w:cs="宋体" w:eastAsia="宋体" w:hint="default"/>
                <w:sz w:val="21"/>
                <w:szCs w:val="21"/>
              </w:rPr>
              <w:t>员姓名</w:t>
            </w:r>
          </w:p>
        </w:tc>
        <w:tc>
          <w:tcPr>
            <w:tcW w:w="2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72" w:right="171"/>
              <w:jc w:val="left"/>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593" w:right="168" w:hanging="421"/>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431" w:right="113" w:hanging="315"/>
              <w:jc w:val="left"/>
              <w:rPr>
                <w:rFonts w:ascii="宋体" w:hAnsi="宋体" w:cs="宋体" w:eastAsia="宋体" w:hint="default"/>
                <w:sz w:val="21"/>
                <w:szCs w:val="21"/>
              </w:rPr>
            </w:pPr>
            <w:r>
              <w:rPr>
                <w:rFonts w:ascii="宋体" w:hAnsi="宋体" w:cs="宋体" w:eastAsia="宋体" w:hint="default"/>
                <w:sz w:val="21"/>
                <w:szCs w:val="21"/>
              </w:rPr>
              <w:t>在其他单位是否领</w:t>
            </w:r>
            <w:r>
              <w:rPr>
                <w:rFonts w:ascii="宋体" w:hAnsi="宋体" w:cs="宋体" w:eastAsia="宋体" w:hint="default"/>
                <w:w w:val="100"/>
                <w:sz w:val="21"/>
                <w:szCs w:val="21"/>
              </w:rPr>
              <w:t> </w:t>
            </w:r>
            <w:r>
              <w:rPr>
                <w:rFonts w:ascii="宋体" w:hAnsi="宋体" w:cs="宋体" w:eastAsia="宋体" w:hint="default"/>
                <w:sz w:val="21"/>
                <w:szCs w:val="21"/>
              </w:rPr>
              <w:t>取报酬津贴</w:t>
            </w:r>
          </w:p>
        </w:tc>
      </w:tr>
      <w:tr>
        <w:trPr>
          <w:trHeight w:val="63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钟耳顺</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浙江中科数城软件有限公司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2"/>
                <w:szCs w:val="22"/>
              </w:rPr>
            </w:pPr>
            <w:r>
              <w:rPr>
                <w:rFonts w:ascii="宋体" w:hAnsi="宋体" w:cs="宋体" w:eastAsia="宋体" w:hint="default"/>
                <w:sz w:val="22"/>
                <w:szCs w:val="22"/>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2001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5</w:t>
            </w:r>
          </w:p>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w w:val="100"/>
                <w:sz w:val="22"/>
                <w:szCs w:val="22"/>
              </w:rPr>
              <w:t>月</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 w:right="0"/>
              <w:jc w:val="center"/>
              <w:rPr>
                <w:rFonts w:ascii="Times New Roman" w:hAnsi="Times New Roman" w:cs="Times New Roman" w:eastAsia="Times New Roman" w:hint="default"/>
                <w:sz w:val="22"/>
                <w:szCs w:val="22"/>
              </w:rPr>
            </w:pPr>
            <w:r>
              <w:rPr>
                <w:rFonts w:ascii="Times New Roman"/>
                <w:w w:val="100"/>
                <w:sz w:val="22"/>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45"/>
              <w:jc w:val="righ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6"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2"/>
                <w:szCs w:val="22"/>
              </w:rPr>
            </w:pPr>
            <w:r>
              <w:rPr>
                <w:rFonts w:ascii="宋体" w:hAnsi="宋体" w:cs="宋体" w:eastAsia="宋体" w:hint="default"/>
                <w:sz w:val="22"/>
                <w:szCs w:val="22"/>
              </w:rPr>
              <w:t>郭仁忠</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2"/>
                <w:szCs w:val="22"/>
              </w:rPr>
            </w:pPr>
            <w:r>
              <w:rPr>
                <w:rFonts w:ascii="宋体" w:hAnsi="宋体" w:cs="宋体" w:eastAsia="宋体" w:hint="default"/>
                <w:sz w:val="22"/>
                <w:szCs w:val="22"/>
              </w:rPr>
              <w:t>深圳大学</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5</w:t>
            </w:r>
          </w:p>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w w:val="100"/>
                <w:sz w:val="22"/>
                <w:szCs w:val="22"/>
              </w:rPr>
              <w:t>月</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 w:right="0"/>
              <w:jc w:val="center"/>
              <w:rPr>
                <w:rFonts w:ascii="Times New Roman" w:hAnsi="Times New Roman" w:cs="Times New Roman" w:eastAsia="Times New Roman" w:hint="default"/>
                <w:sz w:val="22"/>
                <w:szCs w:val="22"/>
              </w:rPr>
            </w:pPr>
            <w:r>
              <w:rPr>
                <w:rFonts w:ascii="Times New Roman"/>
                <w:w w:val="100"/>
                <w:sz w:val="22"/>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45"/>
              <w:jc w:val="right"/>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汤国安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2"/>
                <w:szCs w:val="22"/>
              </w:rPr>
            </w:pPr>
            <w:r>
              <w:rPr>
                <w:rFonts w:ascii="宋体" w:hAnsi="宋体" w:cs="宋体" w:eastAsia="宋体" w:hint="default"/>
                <w:sz w:val="22"/>
                <w:szCs w:val="22"/>
              </w:rPr>
              <w:t>南京师范大学</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2004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p>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w w:val="100"/>
                <w:sz w:val="22"/>
                <w:szCs w:val="22"/>
              </w:rPr>
              <w:t>月</w:t>
            </w:r>
          </w:p>
        </w:tc>
        <w:tc>
          <w:tcPr>
            <w:tcW w:w="140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45"/>
              <w:jc w:val="right"/>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4"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2"/>
              <w:ind w:left="103" w:right="0"/>
              <w:jc w:val="left"/>
              <w:rPr>
                <w:rFonts w:ascii="宋体" w:hAnsi="宋体" w:cs="宋体" w:eastAsia="宋体" w:hint="default"/>
                <w:sz w:val="22"/>
                <w:szCs w:val="22"/>
              </w:rPr>
            </w:pPr>
            <w:r>
              <w:rPr>
                <w:rFonts w:ascii="宋体" w:hAnsi="宋体" w:cs="宋体" w:eastAsia="宋体" w:hint="default"/>
                <w:sz w:val="22"/>
                <w:szCs w:val="22"/>
              </w:rPr>
              <w:t>张军书</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22"/>
                <w:szCs w:val="22"/>
              </w:rPr>
            </w:pPr>
            <w:r>
              <w:rPr>
                <w:rFonts w:ascii="宋体" w:hAnsi="宋体" w:cs="宋体" w:eastAsia="宋体" w:hint="default"/>
                <w:sz w:val="22"/>
                <w:szCs w:val="22"/>
              </w:rPr>
              <w:t>立信会计师事务所</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22"/>
                <w:szCs w:val="22"/>
              </w:rPr>
            </w:pPr>
            <w:r>
              <w:rPr>
                <w:rFonts w:ascii="宋体" w:hAnsi="宋体" w:cs="宋体" w:eastAsia="宋体" w:hint="default"/>
                <w:sz w:val="22"/>
                <w:szCs w:val="22"/>
              </w:rPr>
              <w:t>高级合伙人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2014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p>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w w:val="100"/>
                <w:sz w:val="22"/>
                <w:szCs w:val="22"/>
              </w:rPr>
              <w:t>月</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Times New Roman" w:hAnsi="Times New Roman" w:cs="Times New Roman" w:eastAsia="Times New Roman" w:hint="default"/>
                <w:sz w:val="22"/>
                <w:szCs w:val="22"/>
              </w:rPr>
            </w:pPr>
            <w:r>
              <w:rPr>
                <w:rFonts w:ascii="Times New Roman"/>
                <w:w w:val="100"/>
                <w:sz w:val="22"/>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45"/>
              <w:jc w:val="right"/>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4" w:hRule="exact"/>
        </w:trPr>
        <w:tc>
          <w:tcPr>
            <w:tcW w:w="956" w:type="dxa"/>
            <w:vMerge/>
            <w:tcBorders>
              <w:left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广东新宝精密制造股份有限</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p>
            <w:pPr>
              <w:pStyle w:val="TableParagraph"/>
              <w:spacing w:line="240" w:lineRule="auto" w:before="7"/>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 w:right="0"/>
              <w:jc w:val="center"/>
              <w:rPr>
                <w:rFonts w:ascii="Times New Roman" w:hAnsi="Times New Roman" w:cs="Times New Roman" w:eastAsia="Times New Roman" w:hint="default"/>
                <w:sz w:val="22"/>
                <w:szCs w:val="22"/>
              </w:rPr>
            </w:pPr>
            <w:r>
              <w:rPr>
                <w:rFonts w:ascii="Times New Roman"/>
                <w:w w:val="100"/>
                <w:sz w:val="22"/>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45"/>
              <w:jc w:val="right"/>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4" w:hRule="exact"/>
        </w:trPr>
        <w:tc>
          <w:tcPr>
            <w:tcW w:w="956" w:type="dxa"/>
            <w:vMerge/>
            <w:tcBorders>
              <w:left w:val="single" w:sz="4" w:space="0" w:color="000000"/>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2"/>
                <w:szCs w:val="22"/>
              </w:rPr>
            </w:pPr>
            <w:r>
              <w:rPr>
                <w:rFonts w:ascii="宋体" w:hAnsi="宋体" w:cs="宋体" w:eastAsia="宋体" w:hint="default"/>
                <w:sz w:val="22"/>
                <w:szCs w:val="22"/>
              </w:rPr>
              <w:t>北京宝兰德股份有限公司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2016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p>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w w:val="100"/>
                <w:sz w:val="22"/>
                <w:szCs w:val="22"/>
              </w:rPr>
              <w:t>月</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 w:right="0"/>
              <w:jc w:val="center"/>
              <w:rPr>
                <w:rFonts w:ascii="Times New Roman" w:hAnsi="Times New Roman" w:cs="Times New Roman" w:eastAsia="Times New Roman" w:hint="default"/>
                <w:sz w:val="22"/>
                <w:szCs w:val="22"/>
              </w:rPr>
            </w:pPr>
            <w:r>
              <w:rPr>
                <w:rFonts w:ascii="Times New Roman"/>
                <w:w w:val="100"/>
                <w:sz w:val="22"/>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45"/>
              <w:jc w:val="right"/>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4"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5"/>
              <w:ind w:left="142" w:right="0"/>
              <w:jc w:val="left"/>
              <w:rPr>
                <w:rFonts w:ascii="宋体" w:hAnsi="宋体" w:cs="宋体" w:eastAsia="宋体" w:hint="default"/>
                <w:sz w:val="22"/>
                <w:szCs w:val="22"/>
              </w:rPr>
            </w:pPr>
            <w:r>
              <w:rPr>
                <w:rFonts w:ascii="宋体" w:hAnsi="宋体" w:cs="宋体" w:eastAsia="宋体" w:hint="default"/>
                <w:sz w:val="22"/>
                <w:szCs w:val="22"/>
              </w:rPr>
              <w:t>孙在宏</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2"/>
                <w:szCs w:val="22"/>
              </w:rPr>
            </w:pPr>
            <w:r>
              <w:rPr>
                <w:rFonts w:ascii="宋体" w:hAnsi="宋体" w:cs="宋体" w:eastAsia="宋体" w:hint="default"/>
                <w:sz w:val="22"/>
                <w:szCs w:val="22"/>
              </w:rPr>
              <w:t>南京师范大学</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2013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6</w:t>
            </w:r>
          </w:p>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w w:val="100"/>
                <w:sz w:val="22"/>
                <w:szCs w:val="22"/>
              </w:rPr>
              <w:t>月</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 w:right="0"/>
              <w:jc w:val="center"/>
              <w:rPr>
                <w:rFonts w:ascii="Times New Roman" w:hAnsi="Times New Roman" w:cs="Times New Roman" w:eastAsia="Times New Roman" w:hint="default"/>
                <w:sz w:val="22"/>
                <w:szCs w:val="22"/>
              </w:rPr>
            </w:pPr>
            <w:r>
              <w:rPr>
                <w:rFonts w:ascii="Times New Roman"/>
                <w:w w:val="100"/>
                <w:sz w:val="22"/>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45"/>
              <w:jc w:val="right"/>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6" w:hRule="exact"/>
        </w:trPr>
        <w:tc>
          <w:tcPr>
            <w:tcW w:w="956" w:type="dxa"/>
            <w:vMerge/>
            <w:tcBorders>
              <w:left w:val="single" w:sz="4" w:space="0" w:color="000000"/>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2"/>
                <w:szCs w:val="22"/>
              </w:rPr>
            </w:pPr>
            <w:r>
              <w:rPr>
                <w:rFonts w:ascii="宋体" w:hAnsi="宋体" w:cs="宋体" w:eastAsia="宋体" w:hint="default"/>
                <w:sz w:val="22"/>
                <w:szCs w:val="22"/>
              </w:rPr>
              <w:t>南京鼎图投资咨询有限公司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宋体" w:hAnsi="宋体" w:cs="宋体" w:eastAsia="宋体" w:hint="default"/>
                <w:sz w:val="22"/>
                <w:szCs w:val="22"/>
              </w:rPr>
            </w:pPr>
            <w:r>
              <w:rPr>
                <w:rFonts w:ascii="宋体" w:hAnsi="宋体" w:cs="宋体" w:eastAsia="宋体" w:hint="default"/>
                <w:sz w:val="22"/>
                <w:szCs w:val="22"/>
              </w:rPr>
              <w:t>董事长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2011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w:t>
            </w:r>
          </w:p>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w w:val="100"/>
                <w:sz w:val="22"/>
                <w:szCs w:val="22"/>
              </w:rPr>
              <w:t>月</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 w:right="0"/>
              <w:jc w:val="center"/>
              <w:rPr>
                <w:rFonts w:ascii="Times New Roman" w:hAnsi="Times New Roman" w:cs="Times New Roman" w:eastAsia="Times New Roman" w:hint="default"/>
                <w:sz w:val="22"/>
                <w:szCs w:val="22"/>
              </w:rPr>
            </w:pPr>
            <w:r>
              <w:rPr>
                <w:rFonts w:ascii="Times New Roman"/>
                <w:w w:val="100"/>
                <w:sz w:val="22"/>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45"/>
              <w:jc w:val="right"/>
              <w:rPr>
                <w:rFonts w:ascii="宋体" w:hAnsi="宋体" w:cs="宋体" w:eastAsia="宋体" w:hint="default"/>
                <w:sz w:val="22"/>
                <w:szCs w:val="22"/>
              </w:rPr>
            </w:pPr>
            <w:r>
              <w:rPr>
                <w:rFonts w:ascii="宋体" w:hAnsi="宋体" w:cs="宋体" w:eastAsia="宋体" w:hint="default"/>
                <w:w w:val="100"/>
                <w:sz w:val="22"/>
                <w:szCs w:val="22"/>
              </w:rPr>
              <w:t>是</w:t>
            </w:r>
          </w:p>
        </w:tc>
      </w:tr>
    </w:tbl>
    <w:p>
      <w:pPr>
        <w:spacing w:after="0" w:line="240" w:lineRule="auto"/>
        <w:jc w:val="right"/>
        <w:rPr>
          <w:rFonts w:ascii="宋体" w:hAnsi="宋体" w:cs="宋体" w:eastAsia="宋体" w:hint="default"/>
          <w:sz w:val="22"/>
          <w:szCs w:val="22"/>
        </w:rPr>
        <w:sectPr>
          <w:pgSz w:w="11910" w:h="16840"/>
          <w:pgMar w:header="87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956"/>
        <w:gridCol w:w="8856"/>
      </w:tblGrid>
      <w:tr>
        <w:trPr>
          <w:trHeight w:val="125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both"/>
              <w:rPr>
                <w:rFonts w:ascii="宋体" w:hAnsi="宋体" w:cs="宋体" w:eastAsia="宋体" w:hint="default"/>
                <w:sz w:val="22"/>
                <w:szCs w:val="22"/>
              </w:rPr>
            </w:pPr>
            <w:r>
              <w:rPr>
                <w:rFonts w:ascii="宋体" w:hAnsi="宋体" w:cs="宋体" w:eastAsia="宋体" w:hint="default"/>
                <w:sz w:val="22"/>
                <w:szCs w:val="22"/>
              </w:rPr>
              <w:t>在其他</w:t>
            </w:r>
          </w:p>
          <w:p>
            <w:pPr>
              <w:pStyle w:val="TableParagraph"/>
              <w:spacing w:line="259" w:lineRule="auto" w:before="24"/>
              <w:ind w:left="103" w:right="179"/>
              <w:jc w:val="both"/>
              <w:rPr>
                <w:rFonts w:ascii="宋体" w:hAnsi="宋体" w:cs="宋体" w:eastAsia="宋体" w:hint="default"/>
                <w:sz w:val="22"/>
                <w:szCs w:val="22"/>
              </w:rPr>
            </w:pPr>
            <w:r>
              <w:rPr>
                <w:rFonts w:ascii="宋体" w:hAnsi="宋体" w:cs="宋体" w:eastAsia="宋体" w:hint="default"/>
                <w:sz w:val="22"/>
                <w:szCs w:val="22"/>
              </w:rPr>
              <w:t>单位任</w:t>
            </w:r>
            <w:r>
              <w:rPr>
                <w:rFonts w:ascii="宋体" w:hAnsi="宋体" w:cs="宋体" w:eastAsia="宋体" w:hint="default"/>
                <w:spacing w:val="-108"/>
                <w:sz w:val="22"/>
                <w:szCs w:val="22"/>
              </w:rPr>
              <w:t> </w:t>
            </w:r>
            <w:r>
              <w:rPr>
                <w:rFonts w:ascii="宋体" w:hAnsi="宋体" w:cs="宋体" w:eastAsia="宋体" w:hint="default"/>
                <w:sz w:val="22"/>
                <w:szCs w:val="22"/>
              </w:rPr>
              <w:t>职情况</w:t>
            </w:r>
            <w:r>
              <w:rPr>
                <w:rFonts w:ascii="宋体" w:hAnsi="宋体" w:cs="宋体" w:eastAsia="宋体" w:hint="default"/>
                <w:spacing w:val="-108"/>
                <w:sz w:val="22"/>
                <w:szCs w:val="22"/>
              </w:rPr>
              <w:t> </w:t>
            </w:r>
            <w:r>
              <w:rPr>
                <w:rFonts w:ascii="宋体" w:hAnsi="宋体" w:cs="宋体" w:eastAsia="宋体" w:hint="default"/>
                <w:sz w:val="22"/>
                <w:szCs w:val="22"/>
              </w:rPr>
              <w:t>的说明</w:t>
            </w:r>
          </w:p>
        </w:tc>
        <w:tc>
          <w:tcPr>
            <w:tcW w:w="8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bl>
    <w:p>
      <w:pPr>
        <w:spacing w:before="28"/>
        <w:ind w:left="213" w:right="994" w:firstLine="0"/>
        <w:jc w:val="left"/>
        <w:rPr>
          <w:rFonts w:ascii="宋体" w:hAnsi="宋体" w:cs="宋体" w:eastAsia="宋体" w:hint="default"/>
          <w:sz w:val="21"/>
          <w:szCs w:val="21"/>
        </w:rPr>
      </w:pPr>
      <w:r>
        <w:rPr>
          <w:rFonts w:ascii="宋体" w:hAnsi="宋体" w:cs="宋体" w:eastAsia="宋体" w:hint="default"/>
          <w:sz w:val="21"/>
          <w:szCs w:val="21"/>
        </w:rPr>
        <w:t>注：本处的其他单位是指公司全资或控股子公司以外的单位。</w:t>
      </w:r>
    </w:p>
    <w:p>
      <w:pPr>
        <w:pStyle w:val="BodyText"/>
        <w:spacing w:line="240" w:lineRule="auto" w:before="129"/>
        <w:ind w:left="213" w:right="994"/>
        <w:jc w:val="left"/>
      </w:pPr>
      <w:r>
        <w:rPr/>
        <w:t>公司现任及报告期内离任董事、监事和高级管理人员近三年证券监管机构处罚的情况</w:t>
      </w:r>
    </w:p>
    <w:p>
      <w:pPr>
        <w:spacing w:line="499" w:lineRule="auto" w:before="192"/>
        <w:ind w:left="213" w:right="641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四、董事、监事、高级管理人员报酬情况</w:t>
      </w:r>
      <w:r>
        <w:rPr>
          <w:rFonts w:ascii="宋体" w:hAnsi="宋体" w:cs="宋体" w:eastAsia="宋体" w:hint="default"/>
          <w:sz w:val="24"/>
          <w:szCs w:val="24"/>
        </w:rPr>
      </w:r>
    </w:p>
    <w:p>
      <w:pPr>
        <w:pStyle w:val="BodyText"/>
        <w:spacing w:line="240" w:lineRule="auto" w:before="38"/>
        <w:ind w:left="213" w:right="994"/>
        <w:jc w:val="left"/>
      </w:pPr>
      <w:r>
        <w:rPr/>
        <w:t>董事、监事、高级管理人员报酬的决策程序、确定依据、实际支付情况</w:t>
      </w:r>
    </w:p>
    <w:p>
      <w:pPr>
        <w:spacing w:line="240" w:lineRule="auto" w:before="1"/>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19"/>
        <w:gridCol w:w="6450"/>
      </w:tblGrid>
      <w:tr>
        <w:trPr>
          <w:trHeight w:val="1025"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162"/>
              <w:ind w:left="817" w:right="293" w:hanging="526"/>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报酬的决策程序</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08"/>
              <w:jc w:val="both"/>
              <w:rPr>
                <w:rFonts w:ascii="宋体" w:hAnsi="宋体" w:cs="宋体" w:eastAsia="宋体" w:hint="default"/>
                <w:sz w:val="21"/>
                <w:szCs w:val="21"/>
              </w:rPr>
            </w:pPr>
            <w:r>
              <w:rPr>
                <w:rFonts w:ascii="宋体" w:hAnsi="宋体" w:cs="宋体" w:eastAsia="宋体" w:hint="default"/>
                <w:spacing w:val="-2"/>
                <w:sz w:val="21"/>
                <w:szCs w:val="21"/>
              </w:rPr>
              <w:t>董事、监事津贴按照公司《董事、监事薪酬管理制度》执行；高管人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员报酬根据公司《高级管理人员薪酬管理制度》执行，由薪酬与考核</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委员会进行考核。</w:t>
            </w:r>
          </w:p>
        </w:tc>
      </w:tr>
      <w:tr>
        <w:trPr>
          <w:trHeight w:val="75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922" w:right="293" w:hanging="632"/>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报酬确定依据</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按年初制定的业绩考核目标进行确定</w:t>
            </w:r>
          </w:p>
        </w:tc>
      </w:tr>
      <w:tr>
        <w:trPr>
          <w:trHeight w:val="756"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608" w:right="293" w:hanging="317"/>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报酬的实际支付情况</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董事、监事和高管薪酬实际支付情况请见下表</w:t>
            </w: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79" w:top="1060" w:bottom="1160" w:left="920" w:right="0"/>
        </w:sectPr>
      </w:pPr>
    </w:p>
    <w:p>
      <w:pPr>
        <w:pStyle w:val="BodyText"/>
        <w:spacing w:line="240" w:lineRule="auto" w:before="26"/>
        <w:ind w:left="213" w:right="-20"/>
        <w:jc w:val="left"/>
      </w:pPr>
      <w:r>
        <w:rPr/>
        <w:t>公司报告期内董事、监事和高级管理人员报酬情况</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21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60" w:left="920" w:right="0"/>
          <w:cols w:num="2" w:equalWidth="0">
            <w:col w:w="5494" w:space="3095"/>
            <w:col w:w="2401"/>
          </w:cols>
        </w:sectPr>
      </w:pPr>
    </w:p>
    <w:p>
      <w:pPr>
        <w:spacing w:line="240" w:lineRule="auto" w:before="10"/>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541"/>
        <w:gridCol w:w="1544"/>
        <w:gridCol w:w="802"/>
        <w:gridCol w:w="960"/>
        <w:gridCol w:w="1358"/>
        <w:gridCol w:w="1844"/>
        <w:gridCol w:w="1587"/>
      </w:tblGrid>
      <w:tr>
        <w:trPr>
          <w:trHeight w:val="715"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b/>
                <w:bCs/>
                <w:sz w:val="21"/>
                <w:szCs w:val="21"/>
              </w:rPr>
              <w:t>任职状态</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388" w:right="176" w:hanging="212"/>
              <w:jc w:val="left"/>
              <w:rPr>
                <w:rFonts w:ascii="宋体" w:hAnsi="宋体" w:cs="宋体" w:eastAsia="宋体" w:hint="default"/>
                <w:sz w:val="21"/>
                <w:szCs w:val="21"/>
              </w:rPr>
            </w:pPr>
            <w:r>
              <w:rPr>
                <w:rFonts w:ascii="宋体" w:hAnsi="宋体" w:cs="宋体" w:eastAsia="宋体" w:hint="default"/>
                <w:b/>
                <w:bCs/>
                <w:sz w:val="21"/>
                <w:szCs w:val="21"/>
              </w:rPr>
              <w:t>从公司获得的税</w:t>
            </w:r>
            <w:r>
              <w:rPr>
                <w:rFonts w:ascii="宋体" w:hAnsi="宋体" w:cs="宋体" w:eastAsia="宋体" w:hint="default"/>
                <w:b/>
                <w:bCs/>
                <w:spacing w:val="-104"/>
                <w:sz w:val="21"/>
                <w:szCs w:val="21"/>
              </w:rPr>
              <w:t> </w:t>
            </w:r>
            <w:r>
              <w:rPr>
                <w:rFonts w:ascii="宋体" w:hAnsi="宋体" w:cs="宋体" w:eastAsia="宋体" w:hint="default"/>
                <w:b/>
                <w:bCs/>
                <w:sz w:val="21"/>
                <w:szCs w:val="21"/>
              </w:rPr>
              <w:t>前报酬总额</w:t>
            </w:r>
            <w:r>
              <w:rPr>
                <w:rFonts w:ascii="宋体" w:hAnsi="宋体" w:cs="宋体" w:eastAsia="宋体" w:hint="default"/>
                <w:sz w:val="21"/>
                <w:szCs w:val="21"/>
              </w:rPr>
            </w:r>
          </w:p>
        </w:tc>
        <w:tc>
          <w:tcPr>
            <w:tcW w:w="1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55" w:right="153"/>
              <w:jc w:val="left"/>
              <w:rPr>
                <w:rFonts w:ascii="宋体" w:hAnsi="宋体" w:cs="宋体" w:eastAsia="宋体" w:hint="default"/>
                <w:sz w:val="21"/>
                <w:szCs w:val="21"/>
              </w:rPr>
            </w:pPr>
            <w:r>
              <w:rPr>
                <w:rFonts w:ascii="宋体" w:hAnsi="宋体" w:cs="宋体" w:eastAsia="宋体" w:hint="default"/>
                <w:b/>
                <w:bCs/>
                <w:sz w:val="21"/>
                <w:szCs w:val="21"/>
              </w:rPr>
              <w:t>是否在公司关</w:t>
            </w:r>
            <w:r>
              <w:rPr>
                <w:rFonts w:ascii="宋体" w:hAnsi="宋体" w:cs="宋体" w:eastAsia="宋体" w:hint="default"/>
                <w:b/>
                <w:bCs/>
                <w:spacing w:val="-104"/>
                <w:sz w:val="21"/>
                <w:szCs w:val="21"/>
              </w:rPr>
              <w:t> </w:t>
            </w:r>
            <w:r>
              <w:rPr>
                <w:rFonts w:ascii="宋体" w:hAnsi="宋体" w:cs="宋体" w:eastAsia="宋体" w:hint="default"/>
                <w:b/>
                <w:bCs/>
                <w:sz w:val="21"/>
                <w:szCs w:val="21"/>
              </w:rPr>
              <w:t>联方获取报酬</w:t>
            </w:r>
            <w:r>
              <w:rPr>
                <w:rFonts w:ascii="宋体" w:hAnsi="宋体" w:cs="宋体" w:eastAsia="宋体" w:hint="default"/>
                <w:sz w:val="21"/>
                <w:szCs w:val="21"/>
              </w:rPr>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72.00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81.57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66"/>
              <w:jc w:val="left"/>
              <w:rPr>
                <w:rFonts w:ascii="宋体" w:hAnsi="宋体" w:cs="宋体" w:eastAsia="宋体" w:hint="default"/>
                <w:sz w:val="21"/>
                <w:szCs w:val="21"/>
              </w:rPr>
            </w:pPr>
            <w:r>
              <w:rPr>
                <w:rFonts w:ascii="宋体" w:hAnsi="宋体" w:cs="宋体" w:eastAsia="宋体" w:hint="default"/>
                <w:sz w:val="21"/>
                <w:szCs w:val="21"/>
              </w:rPr>
              <w:t>董事、副总经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72.19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5.30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35.34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卫丽红</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汤国安</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7.14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郭仁忠</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7.14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张军书</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7.14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刘英利</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19.08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曾志明</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49.12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官丽莉</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李煜</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副总经理、董</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22.62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541"/>
        <w:gridCol w:w="1544"/>
        <w:gridCol w:w="802"/>
        <w:gridCol w:w="960"/>
        <w:gridCol w:w="1358"/>
        <w:gridCol w:w="1844"/>
        <w:gridCol w:w="1587"/>
      </w:tblGrid>
      <w:tr>
        <w:trPr>
          <w:trHeight w:val="675" w:hRule="exact"/>
        </w:trPr>
        <w:tc>
          <w:tcPr>
            <w:tcW w:w="1541"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z w:val="21"/>
                <w:szCs w:val="21"/>
              </w:rPr>
              <w:t>事会秘书、财</w:t>
            </w:r>
            <w:r>
              <w:rPr>
                <w:rFonts w:ascii="宋体" w:hAnsi="宋体" w:cs="宋体" w:eastAsia="宋体" w:hint="default"/>
                <w:w w:val="100"/>
                <w:sz w:val="21"/>
                <w:szCs w:val="21"/>
              </w:rPr>
              <w:t> </w:t>
            </w:r>
            <w:r>
              <w:rPr>
                <w:rFonts w:ascii="宋体" w:hAnsi="宋体" w:cs="宋体" w:eastAsia="宋体" w:hint="default"/>
                <w:sz w:val="21"/>
                <w:szCs w:val="21"/>
              </w:rPr>
              <w:t>务总监</w:t>
            </w:r>
          </w:p>
        </w:tc>
        <w:tc>
          <w:tcPr>
            <w:tcW w:w="80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翟利辉</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66"/>
              <w:jc w:val="left"/>
              <w:rPr>
                <w:rFonts w:ascii="宋体" w:hAnsi="宋体" w:cs="宋体" w:eastAsia="宋体" w:hint="default"/>
                <w:sz w:val="21"/>
                <w:szCs w:val="21"/>
              </w:rPr>
            </w:pPr>
            <w:r>
              <w:rPr>
                <w:rFonts w:ascii="宋体" w:hAnsi="宋体" w:cs="宋体" w:eastAsia="宋体" w:hint="default"/>
                <w:sz w:val="21"/>
                <w:szCs w:val="21"/>
              </w:rPr>
              <w:t>副总经理、董</w:t>
            </w:r>
            <w:r>
              <w:rPr>
                <w:rFonts w:ascii="宋体" w:hAnsi="宋体" w:cs="宋体" w:eastAsia="宋体" w:hint="default"/>
                <w:w w:val="100"/>
                <w:sz w:val="21"/>
                <w:szCs w:val="21"/>
              </w:rPr>
              <w:t> </w:t>
            </w:r>
            <w:r>
              <w:rPr>
                <w:rFonts w:ascii="宋体" w:hAnsi="宋体" w:cs="宋体" w:eastAsia="宋体" w:hint="default"/>
                <w:sz w:val="21"/>
                <w:szCs w:val="21"/>
              </w:rPr>
              <w:t>事会秘书</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9"/>
              <w:jc w:val="right"/>
              <w:rPr>
                <w:rFonts w:ascii="Times New Roman" w:hAnsi="Times New Roman" w:cs="Times New Roman" w:eastAsia="Times New Roman" w:hint="default"/>
                <w:sz w:val="21"/>
                <w:szCs w:val="21"/>
              </w:rPr>
            </w:pPr>
            <w:r>
              <w:rPr>
                <w:rFonts w:ascii="Times New Roman"/>
                <w:sz w:val="21"/>
              </w:rPr>
              <w:t>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52.38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李绍俊</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9"/>
              <w:jc w:val="right"/>
              <w:rPr>
                <w:rFonts w:ascii="Times New Roman" w:hAnsi="Times New Roman" w:cs="Times New Roman" w:eastAsia="Times New Roman" w:hint="default"/>
                <w:sz w:val="21"/>
                <w:szCs w:val="21"/>
              </w:rPr>
            </w:pPr>
            <w:r>
              <w:rPr>
                <w:rFonts w:ascii="Times New Roman"/>
                <w:sz w:val="21"/>
              </w:rPr>
              <w:t>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70.44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白杨建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9"/>
              <w:jc w:val="right"/>
              <w:rPr>
                <w:rFonts w:ascii="Times New Roman" w:hAnsi="Times New Roman" w:cs="Times New Roman" w:eastAsia="Times New Roman" w:hint="default"/>
                <w:sz w:val="21"/>
                <w:szCs w:val="21"/>
              </w:rPr>
            </w:pPr>
            <w:r>
              <w:rPr>
                <w:rFonts w:ascii="Times New Roman"/>
                <w:sz w:val="21"/>
              </w:rPr>
              <w:t>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64.49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徐旭</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9"/>
              <w:jc w:val="right"/>
              <w:rPr>
                <w:rFonts w:ascii="Times New Roman" w:hAnsi="Times New Roman" w:cs="Times New Roman" w:eastAsia="Times New Roman" w:hint="default"/>
                <w:sz w:val="21"/>
                <w:szCs w:val="21"/>
              </w:rPr>
            </w:pPr>
            <w:r>
              <w:rPr>
                <w:rFonts w:ascii="Times New Roman"/>
                <w:sz w:val="21"/>
              </w:rPr>
              <w:t>43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73.82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元哲起</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9"/>
              <w:jc w:val="right"/>
              <w:rPr>
                <w:rFonts w:ascii="Times New Roman" w:hAnsi="Times New Roman" w:cs="Times New Roman" w:eastAsia="Times New Roman" w:hint="default"/>
                <w:sz w:val="21"/>
                <w:szCs w:val="21"/>
              </w:rPr>
            </w:pPr>
            <w:r>
              <w:rPr>
                <w:rFonts w:ascii="Times New Roman"/>
                <w:sz w:val="21"/>
              </w:rPr>
              <w:t>54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36.29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6205"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43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676.06</w:t>
            </w:r>
          </w:p>
        </w:tc>
      </w:tr>
    </w:tbl>
    <w:p>
      <w:pPr>
        <w:pStyle w:val="BodyText"/>
        <w:spacing w:line="240" w:lineRule="auto" w:before="79"/>
        <w:ind w:left="213" w:right="994"/>
        <w:jc w:val="left"/>
      </w:pPr>
      <w:r>
        <w:rPr/>
        <w:t>公司董事、高级管理人员报告期内被授予的股权激励情况</w:t>
      </w:r>
    </w:p>
    <w:p>
      <w:pPr>
        <w:pStyle w:val="BodyText"/>
        <w:tabs>
          <w:tab w:pos="1065" w:val="left" w:leader="none"/>
        </w:tabs>
        <w:spacing w:line="240" w:lineRule="auto" w:before="193"/>
        <w:ind w:left="213" w:right="994"/>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12"/>
          <w:szCs w:val="12"/>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864"/>
        <w:gridCol w:w="1027"/>
        <w:gridCol w:w="814"/>
        <w:gridCol w:w="895"/>
        <w:gridCol w:w="896"/>
        <w:gridCol w:w="893"/>
        <w:gridCol w:w="895"/>
        <w:gridCol w:w="896"/>
        <w:gridCol w:w="895"/>
        <w:gridCol w:w="896"/>
        <w:gridCol w:w="886"/>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8"/>
              <w:ind w:left="103" w:right="278"/>
              <w:jc w:val="both"/>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3"/>
                <w:sz w:val="21"/>
                <w:szCs w:val="21"/>
              </w:rPr>
              <w:t> </w:t>
            </w:r>
            <w:r>
              <w:rPr>
                <w:rFonts w:ascii="宋体" w:hAnsi="宋体" w:cs="宋体" w:eastAsia="宋体" w:hint="default"/>
                <w:sz w:val="21"/>
                <w:szCs w:val="21"/>
              </w:rPr>
              <w:t>期内</w:t>
            </w:r>
            <w:r>
              <w:rPr>
                <w:rFonts w:ascii="宋体" w:hAnsi="宋体" w:cs="宋体" w:eastAsia="宋体" w:hint="default"/>
                <w:spacing w:val="-103"/>
                <w:sz w:val="21"/>
                <w:szCs w:val="21"/>
              </w:rPr>
              <w:t> </w:t>
            </w: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权股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8"/>
              <w:ind w:left="103" w:right="146"/>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内已行</w:t>
            </w:r>
            <w:r>
              <w:rPr>
                <w:rFonts w:ascii="宋体" w:hAnsi="宋体" w:cs="宋体" w:eastAsia="宋体" w:hint="default"/>
                <w:spacing w:val="-102"/>
                <w:sz w:val="21"/>
                <w:szCs w:val="21"/>
              </w:rPr>
              <w:t> </w:t>
            </w:r>
            <w:r>
              <w:rPr>
                <w:rFonts w:ascii="宋体" w:hAnsi="宋体" w:cs="宋体" w:eastAsia="宋体" w:hint="default"/>
                <w:sz w:val="21"/>
                <w:szCs w:val="21"/>
              </w:rPr>
              <w:t>权股数</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8" w:lineRule="auto" w:before="28"/>
              <w:ind w:left="103" w:right="98"/>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内已行</w:t>
            </w:r>
            <w:r>
              <w:rPr>
                <w:rFonts w:ascii="宋体" w:hAnsi="宋体" w:cs="宋体" w:eastAsia="宋体" w:hint="default"/>
                <w:spacing w:val="-102"/>
                <w:sz w:val="21"/>
                <w:szCs w:val="21"/>
              </w:rPr>
              <w:t> </w:t>
            </w:r>
            <w:r>
              <w:rPr>
                <w:rFonts w:ascii="宋体" w:hAnsi="宋体" w:cs="宋体" w:eastAsia="宋体" w:hint="default"/>
                <w:sz w:val="21"/>
                <w:szCs w:val="21"/>
              </w:rPr>
              <w:t>权股数</w:t>
            </w:r>
            <w:r>
              <w:rPr>
                <w:rFonts w:ascii="宋体" w:hAnsi="宋体" w:cs="宋体" w:eastAsia="宋体" w:hint="default"/>
                <w:spacing w:val="-102"/>
                <w:sz w:val="21"/>
                <w:szCs w:val="21"/>
              </w:rPr>
              <w:t> </w:t>
            </w:r>
            <w:r>
              <w:rPr>
                <w:rFonts w:ascii="宋体" w:hAnsi="宋体" w:cs="宋体" w:eastAsia="宋体" w:hint="default"/>
                <w:sz w:val="21"/>
                <w:szCs w:val="21"/>
              </w:rPr>
              <w:t>行权价</w:t>
            </w:r>
            <w:r>
              <w:rPr>
                <w:rFonts w:ascii="宋体" w:hAnsi="宋体" w:cs="宋体" w:eastAsia="宋体" w:hint="default"/>
                <w:spacing w:val="-102"/>
                <w:sz w:val="21"/>
                <w:szCs w:val="21"/>
              </w:rPr>
              <w:t> </w:t>
            </w:r>
            <w:r>
              <w:rPr>
                <w:rFonts w:ascii="宋体" w:hAnsi="宋体" w:cs="宋体" w:eastAsia="宋体" w:hint="default"/>
                <w:spacing w:val="-3"/>
                <w:sz w:val="21"/>
                <w:szCs w:val="21"/>
              </w:rPr>
              <w:t>格（元</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股）</w:t>
            </w:r>
          </w:p>
        </w:tc>
        <w:tc>
          <w:tcPr>
            <w:tcW w:w="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8"/>
              <w:ind w:left="103" w:right="144"/>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末市价</w:t>
            </w:r>
          </w:p>
          <w:p>
            <w:pPr>
              <w:pStyle w:val="TableParagraph"/>
              <w:spacing w:line="256" w:lineRule="auto" w:before="10"/>
              <w:ind w:left="103" w:right="296"/>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股）</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8"/>
              <w:ind w:left="105" w:right="144"/>
              <w:jc w:val="both"/>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8"/>
              <w:ind w:left="105" w:right="146"/>
              <w:jc w:val="both"/>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spacing w:val="-102"/>
                <w:sz w:val="21"/>
                <w:szCs w:val="21"/>
              </w:rPr>
              <w:t> </w:t>
            </w:r>
            <w:r>
              <w:rPr>
                <w:rFonts w:ascii="宋体" w:hAnsi="宋体" w:cs="宋体" w:eastAsia="宋体" w:hint="default"/>
                <w:sz w:val="21"/>
                <w:szCs w:val="21"/>
              </w:rPr>
              <w:t>解锁股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8"/>
              <w:ind w:left="105" w:right="144"/>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新授予</w:t>
            </w:r>
            <w:r>
              <w:rPr>
                <w:rFonts w:ascii="宋体" w:hAnsi="宋体" w:cs="宋体" w:eastAsia="宋体" w:hint="default"/>
                <w:spacing w:val="-102"/>
                <w:sz w:val="21"/>
                <w:szCs w:val="21"/>
              </w:rPr>
              <w:t> </w:t>
            </w:r>
            <w:r>
              <w:rPr>
                <w:rFonts w:ascii="宋体" w:hAnsi="宋体" w:cs="宋体" w:eastAsia="宋体" w:hint="default"/>
                <w:sz w:val="21"/>
                <w:szCs w:val="21"/>
              </w:rPr>
              <w:t>限制性</w:t>
            </w:r>
            <w:r>
              <w:rPr>
                <w:rFonts w:ascii="宋体" w:hAnsi="宋体" w:cs="宋体" w:eastAsia="宋体" w:hint="default"/>
                <w:spacing w:val="-102"/>
                <w:sz w:val="21"/>
                <w:szCs w:val="21"/>
              </w:rPr>
              <w:t> </w:t>
            </w:r>
            <w:r>
              <w:rPr>
                <w:rFonts w:ascii="宋体" w:hAnsi="宋体" w:cs="宋体" w:eastAsia="宋体" w:hint="default"/>
                <w:sz w:val="21"/>
                <w:szCs w:val="21"/>
              </w:rPr>
              <w:t>股票数</w:t>
            </w:r>
            <w:r>
              <w:rPr>
                <w:rFonts w:ascii="宋体" w:hAnsi="宋体" w:cs="宋体" w:eastAsia="宋体" w:hint="default"/>
                <w:spacing w:val="-102"/>
                <w:sz w:val="21"/>
                <w:szCs w:val="21"/>
              </w:rPr>
              <w:t> </w:t>
            </w:r>
            <w:r>
              <w:rPr>
                <w:rFonts w:ascii="宋体" w:hAnsi="宋体" w:cs="宋体" w:eastAsia="宋体" w:hint="default"/>
                <w:sz w:val="21"/>
                <w:szCs w:val="21"/>
              </w:rPr>
              <w:t>量</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8" w:lineRule="auto" w:before="28"/>
              <w:ind w:left="105" w:right="95"/>
              <w:jc w:val="both"/>
              <w:rPr>
                <w:rFonts w:ascii="宋体" w:hAnsi="宋体" w:cs="宋体" w:eastAsia="宋体" w:hint="default"/>
                <w:sz w:val="21"/>
                <w:szCs w:val="21"/>
              </w:rPr>
            </w:pPr>
            <w:r>
              <w:rPr>
                <w:rFonts w:ascii="宋体" w:hAnsi="宋体" w:cs="宋体" w:eastAsia="宋体" w:hint="default"/>
                <w:sz w:val="21"/>
                <w:szCs w:val="21"/>
              </w:rPr>
              <w:t>限制性</w:t>
            </w:r>
            <w:r>
              <w:rPr>
                <w:rFonts w:ascii="宋体" w:hAnsi="宋体" w:cs="宋体" w:eastAsia="宋体" w:hint="default"/>
                <w:spacing w:val="-102"/>
                <w:sz w:val="21"/>
                <w:szCs w:val="21"/>
              </w:rPr>
              <w:t> </w:t>
            </w:r>
            <w:r>
              <w:rPr>
                <w:rFonts w:ascii="宋体" w:hAnsi="宋体" w:cs="宋体" w:eastAsia="宋体" w:hint="default"/>
                <w:sz w:val="21"/>
                <w:szCs w:val="21"/>
              </w:rPr>
              <w:t>股票的</w:t>
            </w:r>
            <w:r>
              <w:rPr>
                <w:rFonts w:ascii="宋体" w:hAnsi="宋体" w:cs="宋体" w:eastAsia="宋体" w:hint="default"/>
                <w:spacing w:val="-102"/>
                <w:sz w:val="21"/>
                <w:szCs w:val="21"/>
              </w:rPr>
              <w:t> </w:t>
            </w:r>
            <w:r>
              <w:rPr>
                <w:rFonts w:ascii="宋体" w:hAnsi="宋体" w:cs="宋体" w:eastAsia="宋体" w:hint="default"/>
                <w:sz w:val="21"/>
                <w:szCs w:val="21"/>
              </w:rPr>
              <w:t>授予价</w:t>
            </w:r>
            <w:r>
              <w:rPr>
                <w:rFonts w:ascii="宋体" w:hAnsi="宋体" w:cs="宋体" w:eastAsia="宋体" w:hint="default"/>
                <w:spacing w:val="-102"/>
                <w:sz w:val="21"/>
                <w:szCs w:val="21"/>
              </w:rPr>
              <w:t> </w:t>
            </w:r>
            <w:r>
              <w:rPr>
                <w:rFonts w:ascii="宋体" w:hAnsi="宋体" w:cs="宋体" w:eastAsia="宋体" w:hint="default"/>
                <w:spacing w:val="-3"/>
                <w:sz w:val="21"/>
                <w:szCs w:val="21"/>
              </w:rPr>
              <w:t>格（元</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股）</w:t>
            </w:r>
          </w:p>
        </w:tc>
        <w:tc>
          <w:tcPr>
            <w:tcW w:w="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8"/>
              <w:ind w:left="105" w:right="134"/>
              <w:jc w:val="both"/>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李绍俊</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8"/>
              <w:jc w:val="left"/>
              <w:rPr>
                <w:rFonts w:ascii="宋体" w:hAnsi="宋体" w:cs="宋体" w:eastAsia="宋体" w:hint="default"/>
                <w:sz w:val="21"/>
                <w:szCs w:val="21"/>
              </w:rPr>
            </w:pPr>
            <w:r>
              <w:rPr>
                <w:rFonts w:ascii="宋体" w:hAnsi="宋体" w:cs="宋体" w:eastAsia="宋体" w:hint="default"/>
                <w:spacing w:val="-8"/>
                <w:sz w:val="21"/>
                <w:szCs w:val="21"/>
              </w:rPr>
              <w:t>董事、副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总经理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center"/>
              <w:rPr>
                <w:rFonts w:ascii="Times New Roman" w:hAnsi="Times New Roman" w:cs="Times New Roman" w:eastAsia="Times New Roman" w:hint="default"/>
                <w:sz w:val="21"/>
                <w:szCs w:val="21"/>
              </w:rPr>
            </w:pPr>
            <w:r>
              <w:rPr>
                <w:rFonts w:ascii="Times New Roman"/>
                <w:sz w:val="21"/>
              </w:rPr>
              <w:t>16,000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16,000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2.73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徐旭</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3" w:right="278"/>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center"/>
              <w:rPr>
                <w:rFonts w:ascii="Times New Roman" w:hAnsi="Times New Roman" w:cs="Times New Roman" w:eastAsia="Times New Roman" w:hint="default"/>
                <w:sz w:val="21"/>
                <w:szCs w:val="21"/>
              </w:rPr>
            </w:pPr>
            <w:r>
              <w:rPr>
                <w:rFonts w:ascii="Times New Roman"/>
                <w:sz w:val="21"/>
              </w:rPr>
              <w:t>22,400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22,400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2.73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白杨建</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278"/>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center"/>
              <w:rPr>
                <w:rFonts w:ascii="Times New Roman" w:hAnsi="Times New Roman" w:cs="Times New Roman" w:eastAsia="Times New Roman" w:hint="default"/>
                <w:sz w:val="21"/>
                <w:szCs w:val="21"/>
              </w:rPr>
            </w:pPr>
            <w:r>
              <w:rPr>
                <w:rFonts w:ascii="Times New Roman"/>
                <w:sz w:val="21"/>
              </w:rPr>
              <w:t>16,000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16,000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2.73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189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91"/>
              <w:jc w:val="center"/>
              <w:rPr>
                <w:rFonts w:ascii="Times New Roman" w:hAnsi="Times New Roman" w:cs="Times New Roman" w:eastAsia="Times New Roman" w:hint="default"/>
                <w:sz w:val="21"/>
                <w:szCs w:val="21"/>
              </w:rPr>
            </w:pPr>
            <w:r>
              <w:rPr>
                <w:rFonts w:ascii="Times New Roman"/>
                <w:sz w:val="21"/>
              </w:rPr>
              <w:t>54,400</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54,400</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2"/>
        <w:spacing w:line="240" w:lineRule="auto" w:before="26"/>
        <w:ind w:left="213" w:right="994"/>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213" w:right="9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6144"/>
        <w:gridCol w:w="3711"/>
      </w:tblGrid>
      <w:tr>
        <w:trPr>
          <w:trHeight w:val="493" w:hRule="exact"/>
        </w:trPr>
        <w:tc>
          <w:tcPr>
            <w:tcW w:w="6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2"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479"/>
              <w:jc w:val="right"/>
              <w:rPr>
                <w:rFonts w:ascii="Times New Roman" w:hAnsi="Times New Roman" w:cs="Times New Roman" w:eastAsia="Times New Roman" w:hint="default"/>
                <w:sz w:val="21"/>
                <w:szCs w:val="21"/>
              </w:rPr>
            </w:pPr>
            <w:r>
              <w:rPr>
                <w:rFonts w:ascii="Times New Roman"/>
                <w:sz w:val="21"/>
              </w:rPr>
              <w:t>691</w:t>
            </w:r>
          </w:p>
        </w:tc>
      </w:tr>
      <w:tr>
        <w:trPr>
          <w:trHeight w:val="502" w:hRule="exact"/>
        </w:trPr>
        <w:tc>
          <w:tcPr>
            <w:tcW w:w="6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522"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426"/>
              <w:jc w:val="right"/>
              <w:rPr>
                <w:rFonts w:ascii="Times New Roman" w:hAnsi="Times New Roman" w:cs="Times New Roman" w:eastAsia="Times New Roman" w:hint="default"/>
                <w:sz w:val="21"/>
                <w:szCs w:val="21"/>
              </w:rPr>
            </w:pPr>
            <w:r>
              <w:rPr>
                <w:rFonts w:ascii="Times New Roman"/>
                <w:sz w:val="21"/>
              </w:rPr>
              <w:t>2864</w:t>
            </w:r>
          </w:p>
        </w:tc>
      </w:tr>
      <w:tr>
        <w:trPr>
          <w:trHeight w:val="499" w:hRule="exact"/>
        </w:trPr>
        <w:tc>
          <w:tcPr>
            <w:tcW w:w="6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522"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426"/>
              <w:jc w:val="right"/>
              <w:rPr>
                <w:rFonts w:ascii="Times New Roman" w:hAnsi="Times New Roman" w:cs="Times New Roman" w:eastAsia="Times New Roman" w:hint="default"/>
                <w:sz w:val="21"/>
                <w:szCs w:val="21"/>
              </w:rPr>
            </w:pPr>
            <w:r>
              <w:rPr>
                <w:rFonts w:ascii="Times New Roman"/>
                <w:sz w:val="21"/>
              </w:rPr>
              <w:t>3555</w:t>
            </w:r>
          </w:p>
        </w:tc>
      </w:tr>
      <w:tr>
        <w:trPr>
          <w:trHeight w:val="496" w:hRule="exact"/>
        </w:trPr>
        <w:tc>
          <w:tcPr>
            <w:tcW w:w="6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522"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426"/>
              <w:jc w:val="right"/>
              <w:rPr>
                <w:rFonts w:ascii="Times New Roman" w:hAnsi="Times New Roman" w:cs="Times New Roman" w:eastAsia="Times New Roman" w:hint="default"/>
                <w:sz w:val="21"/>
                <w:szCs w:val="21"/>
              </w:rPr>
            </w:pPr>
            <w:r>
              <w:rPr>
                <w:rFonts w:ascii="Times New Roman"/>
                <w:sz w:val="21"/>
              </w:rPr>
              <w:t>4055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6145"/>
        <w:gridCol w:w="3711"/>
      </w:tblGrid>
      <w:tr>
        <w:trPr>
          <w:trHeight w:val="741"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22"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478" w:hRule="exact"/>
        </w:trPr>
        <w:tc>
          <w:tcPr>
            <w:tcW w:w="9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20"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79"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23"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116"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center"/>
              <w:rPr>
                <w:rFonts w:ascii="Times New Roman" w:hAnsi="Times New Roman" w:cs="Times New Roman" w:eastAsia="Times New Roman" w:hint="default"/>
                <w:sz w:val="24"/>
                <w:szCs w:val="24"/>
              </w:rPr>
            </w:pPr>
            <w:r>
              <w:rPr>
                <w:rFonts w:ascii="Times New Roman"/>
                <w:sz w:val="24"/>
              </w:rPr>
              <w:t>0</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436</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2733</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40</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2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214</w:t>
            </w:r>
          </w:p>
        </w:tc>
      </w:tr>
      <w:tr>
        <w:trPr>
          <w:trHeight w:val="480"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22" w:right="0"/>
              <w:jc w:val="center"/>
              <w:rPr>
                <w:rFonts w:ascii="Times New Roman" w:hAnsi="Times New Roman" w:cs="Times New Roman" w:eastAsia="Times New Roman" w:hint="default"/>
                <w:sz w:val="21"/>
                <w:szCs w:val="21"/>
              </w:rPr>
            </w:pPr>
            <w:r>
              <w:rPr>
                <w:rFonts w:ascii="Times New Roman"/>
                <w:sz w:val="21"/>
              </w:rPr>
              <w:t>132</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3555</w:t>
            </w:r>
          </w:p>
        </w:tc>
      </w:tr>
      <w:tr>
        <w:trPr>
          <w:trHeight w:val="478" w:hRule="exact"/>
        </w:trPr>
        <w:tc>
          <w:tcPr>
            <w:tcW w:w="9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20"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3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5"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22</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380</w:t>
            </w:r>
          </w:p>
        </w:tc>
      </w:tr>
      <w:tr>
        <w:trPr>
          <w:trHeight w:val="480"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22" w:right="0"/>
              <w:jc w:val="center"/>
              <w:rPr>
                <w:rFonts w:ascii="Times New Roman" w:hAnsi="Times New Roman" w:cs="Times New Roman" w:eastAsia="Times New Roman" w:hint="default"/>
                <w:sz w:val="21"/>
                <w:szCs w:val="21"/>
              </w:rPr>
            </w:pPr>
            <w:r>
              <w:rPr>
                <w:rFonts w:ascii="Times New Roman"/>
                <w:sz w:val="21"/>
              </w:rPr>
              <w:t>2465</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569</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119</w:t>
            </w:r>
          </w:p>
        </w:tc>
      </w:tr>
      <w:tr>
        <w:trPr>
          <w:trHeight w:val="478" w:hRule="exact"/>
        </w:trPr>
        <w:tc>
          <w:tcPr>
            <w:tcW w:w="61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2" w:right="0"/>
              <w:jc w:val="center"/>
              <w:rPr>
                <w:rFonts w:ascii="Times New Roman" w:hAnsi="Times New Roman" w:cs="Times New Roman" w:eastAsia="Times New Roman" w:hint="default"/>
                <w:sz w:val="21"/>
                <w:szCs w:val="21"/>
              </w:rPr>
            </w:pPr>
            <w:r>
              <w:rPr>
                <w:rFonts w:ascii="Times New Roman"/>
                <w:sz w:val="21"/>
              </w:rPr>
              <w:t>3555</w:t>
            </w:r>
          </w:p>
        </w:tc>
      </w:tr>
    </w:tbl>
    <w:p>
      <w:pPr>
        <w:spacing w:line="240" w:lineRule="auto" w:before="1"/>
        <w:rPr>
          <w:rFonts w:ascii="宋体" w:hAnsi="宋体" w:cs="宋体" w:eastAsia="宋体" w:hint="default"/>
          <w:b/>
          <w:bCs/>
          <w:sz w:val="18"/>
          <w:szCs w:val="18"/>
        </w:rPr>
      </w:pPr>
    </w:p>
    <w:p>
      <w:pPr>
        <w:pStyle w:val="Heading2"/>
        <w:spacing w:line="240" w:lineRule="auto" w:before="26"/>
        <w:ind w:left="213" w:right="9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left="213" w:right="1138" w:firstLine="480"/>
        <w:jc w:val="both"/>
      </w:pPr>
      <w:r>
        <w:rPr/>
        <w:t>公司的薪酬政策即通过建立公平、公正的薪酬管理体系，发挥薪酬的激励作用，调动员 工的工作积极性，体现公司价值导向和企业文化，使薪酬与岗位价值、员工绩效、公司发展</w:t>
      </w:r>
      <w:r>
        <w:rPr>
          <w:spacing w:val="-91"/>
        </w:rPr>
        <w:t> </w:t>
      </w:r>
      <w:r>
        <w:rPr>
          <w:spacing w:val="-91"/>
        </w:rPr>
      </w:r>
      <w:r>
        <w:rPr/>
        <w:t>的短期收益、中期收益以及长期收益结合起来。根据员工贡献、能力、责任及行业薪酬水平</w:t>
      </w:r>
      <w:r>
        <w:rPr>
          <w:spacing w:val="-91"/>
        </w:rPr>
        <w:t> </w:t>
      </w:r>
      <w:r>
        <w:rPr>
          <w:spacing w:val="-91"/>
        </w:rPr>
      </w:r>
      <w:r>
        <w:rPr/>
        <w:t>来作为定薪的依据，员工月收入由岗位工资、绩效工资构成。员工年度总收入由基本工资、</w:t>
      </w:r>
      <w:r>
        <w:rPr>
          <w:spacing w:val="-91"/>
        </w:rPr>
        <w:t> </w:t>
      </w:r>
      <w:r>
        <w:rPr>
          <w:spacing w:val="-91"/>
        </w:rPr>
      </w:r>
      <w:r>
        <w:rPr/>
        <w:t>绩效工资、福利、奖金等构成。</w:t>
      </w:r>
    </w:p>
    <w:p>
      <w:pPr>
        <w:pStyle w:val="BodyText"/>
        <w:spacing w:line="338" w:lineRule="auto"/>
        <w:ind w:left="213" w:right="1136" w:firstLine="480"/>
        <w:jc w:val="both"/>
      </w:pPr>
      <w:r>
        <w:rPr/>
        <w:t>公司需遵守《深圳证券交易所行业信息披露指引第</w:t>
      </w:r>
      <w:r>
        <w:rPr>
          <w:rFonts w:ascii="Times New Roman" w:hAnsi="Times New Roman" w:cs="Times New Roman" w:eastAsia="Times New Roman" w:hint="default"/>
        </w:rPr>
        <w:t>12</w:t>
      </w:r>
      <w:r>
        <w:rPr/>
        <w:t>号——上市公司从事软件与信息技 术服务业务》的披露要求</w:t>
      </w:r>
    </w:p>
    <w:p>
      <w:pPr>
        <w:pStyle w:val="BodyText"/>
        <w:spacing w:line="338" w:lineRule="auto" w:before="55"/>
        <w:ind w:left="213" w:right="1134" w:firstLine="480"/>
        <w:jc w:val="both"/>
      </w:pPr>
      <w:r>
        <w:rPr/>
        <w:t>报告期内，公司职工薪酬总额（计入营业总成本部分）为</w:t>
      </w:r>
      <w:r>
        <w:rPr>
          <w:rFonts w:ascii="Times New Roman" w:hAnsi="Times New Roman" w:cs="Times New Roman" w:eastAsia="Times New Roman" w:hint="default"/>
        </w:rPr>
        <w:t>67,316.40</w:t>
      </w:r>
      <w:r>
        <w:rPr/>
        <w:t>万元，占公司营业总 成本的</w:t>
      </w:r>
      <w:r>
        <w:rPr>
          <w:rFonts w:ascii="Times New Roman" w:hAnsi="Times New Roman" w:cs="Times New Roman" w:eastAsia="Times New Roman" w:hint="default"/>
        </w:rPr>
        <w:t>48.23%</w:t>
      </w:r>
      <w:r>
        <w:rPr/>
        <w:t>。职工薪酬是成本主要项目，公司利润对职工薪酬变化较为敏感。</w:t>
      </w:r>
    </w:p>
    <w:p>
      <w:pPr>
        <w:spacing w:after="0" w:line="338" w:lineRule="auto"/>
        <w:jc w:val="both"/>
        <w:sectPr>
          <w:pgSz w:w="11910" w:h="16840"/>
          <w:pgMar w:header="877" w:footer="979" w:top="1060" w:bottom="1160" w:left="920" w:right="0"/>
        </w:sectPr>
      </w:pPr>
    </w:p>
    <w:p>
      <w:pPr>
        <w:spacing w:line="240" w:lineRule="auto" w:before="7"/>
        <w:rPr>
          <w:rFonts w:ascii="宋体" w:hAnsi="宋体" w:cs="宋体" w:eastAsia="宋体" w:hint="default"/>
          <w:sz w:val="29"/>
          <w:szCs w:val="29"/>
        </w:rPr>
      </w:pPr>
    </w:p>
    <w:p>
      <w:pPr>
        <w:pStyle w:val="BodyText"/>
        <w:spacing w:line="338" w:lineRule="auto" w:before="26"/>
        <w:ind w:right="1153" w:firstLine="480"/>
        <w:jc w:val="left"/>
      </w:pPr>
      <w:r>
        <w:rPr/>
        <w:t>报告期内，公司核心技术人员共计</w:t>
      </w:r>
      <w:r>
        <w:rPr>
          <w:rFonts w:ascii="Times New Roman" w:hAnsi="Times New Roman" w:cs="Times New Roman" w:eastAsia="Times New Roman" w:hint="default"/>
        </w:rPr>
        <w:t>1096 </w:t>
      </w:r>
      <w:r>
        <w:rPr/>
        <w:t>人，占公司员工人数的</w:t>
      </w:r>
      <w:r>
        <w:rPr>
          <w:spacing w:val="14"/>
        </w:rPr>
        <w:t> </w:t>
      </w:r>
      <w:r>
        <w:rPr>
          <w:rFonts w:ascii="Times New Roman" w:hAnsi="Times New Roman" w:cs="Times New Roman" w:eastAsia="Times New Roman" w:hint="default"/>
        </w:rPr>
        <w:t>30.82%</w:t>
      </w:r>
      <w:r>
        <w:rPr/>
        <w:t>，较去年同期增 加</w:t>
      </w:r>
      <w:r>
        <w:rPr>
          <w:rFonts w:ascii="Times New Roman" w:hAnsi="Times New Roman" w:cs="Times New Roman" w:eastAsia="Times New Roman" w:hint="default"/>
        </w:rPr>
        <w:t>24.4%</w:t>
      </w:r>
      <w:r>
        <w:rPr/>
        <w:t>，核心技术人员薪酬占比为</w:t>
      </w:r>
      <w:r>
        <w:rPr>
          <w:rFonts w:ascii="Times New Roman" w:hAnsi="Times New Roman" w:cs="Times New Roman" w:eastAsia="Times New Roman" w:hint="default"/>
        </w:rPr>
        <w:t>30.34%</w:t>
      </w:r>
      <w:r>
        <w:rPr/>
        <w:t>，较去年同期增加</w:t>
      </w:r>
      <w:r>
        <w:rPr>
          <w:rFonts w:ascii="Times New Roman" w:hAnsi="Times New Roman" w:cs="Times New Roman" w:eastAsia="Times New Roman" w:hint="default"/>
        </w:rPr>
        <w:t>42.27%</w:t>
      </w:r>
      <w:r>
        <w:rPr/>
        <w:t>。</w:t>
      </w:r>
    </w:p>
    <w:p>
      <w:pPr>
        <w:spacing w:line="240" w:lineRule="auto" w:before="1"/>
        <w:rPr>
          <w:rFonts w:ascii="宋体" w:hAnsi="宋体" w:cs="宋体" w:eastAsia="宋体" w:hint="default"/>
          <w:sz w:val="19"/>
          <w:szCs w:val="19"/>
        </w:rPr>
      </w:pPr>
    </w:p>
    <w:p>
      <w:pPr>
        <w:pStyle w:val="Heading2"/>
        <w:spacing w:line="240" w:lineRule="auto"/>
        <w:ind w:right="127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7"/>
          <w:szCs w:val="27"/>
        </w:rPr>
      </w:pPr>
    </w:p>
    <w:p>
      <w:pPr>
        <w:pStyle w:val="BodyText"/>
        <w:spacing w:line="338" w:lineRule="auto" w:before="0"/>
        <w:ind w:right="997" w:firstLine="480"/>
        <w:jc w:val="left"/>
      </w:pPr>
      <w:r>
        <w:rPr/>
        <w:t>公司通过超图</w:t>
      </w:r>
      <w:r>
        <w:rPr>
          <w:rFonts w:ascii="Times New Roman" w:hAnsi="Times New Roman" w:cs="Times New Roman" w:eastAsia="Times New Roman" w:hint="default"/>
        </w:rPr>
        <w:t>917</w:t>
      </w:r>
      <w:r>
        <w:rPr/>
        <w:t>大学建立了由课程体系、内训师体系、制度管理体系组成的培训体系， 致力于支持公司的战略实施、业务发展和人力资本增值；其中：</w:t>
      </w:r>
    </w:p>
    <w:p>
      <w:pPr>
        <w:pStyle w:val="BodyText"/>
        <w:spacing w:line="338" w:lineRule="auto" w:before="55"/>
        <w:ind w:right="1116" w:firstLine="480"/>
        <w:jc w:val="left"/>
      </w:pPr>
      <w:r>
        <w:rPr>
          <w:rFonts w:ascii="Times New Roman" w:hAnsi="Times New Roman" w:cs="Times New Roman" w:eastAsia="Times New Roman" w:hint="default"/>
          <w:spacing w:val="-3"/>
        </w:rPr>
        <w:t>1</w:t>
      </w:r>
      <w:r>
        <w:rPr>
          <w:spacing w:val="-3"/>
        </w:rPr>
        <w:t>）梳理了重点岗位的岗位胜任力模型，从态度、知识、技能三方面设计了岗位进阶学习</w:t>
      </w:r>
      <w:r>
        <w:rPr/>
        <w:t> 地图，形成了较为完整的课程体系，确保培训工作得以系统化开展。</w:t>
      </w:r>
    </w:p>
    <w:p>
      <w:pPr>
        <w:pStyle w:val="BodyText"/>
        <w:spacing w:line="338" w:lineRule="auto" w:before="56"/>
        <w:ind w:right="1116" w:firstLine="480"/>
        <w:jc w:val="left"/>
      </w:pPr>
      <w:r>
        <w:rPr>
          <w:rFonts w:ascii="Times New Roman" w:hAnsi="Times New Roman" w:cs="Times New Roman" w:eastAsia="Times New Roman" w:hint="default"/>
          <w:spacing w:val="-3"/>
        </w:rPr>
        <w:t>2</w:t>
      </w:r>
      <w:r>
        <w:rPr>
          <w:spacing w:val="-3"/>
        </w:rPr>
        <w:t>）建立了内训师体系，设计并规范了内训师及课程认证流程、内训师晋级标准、内训师</w:t>
      </w:r>
      <w:r>
        <w:rPr/>
        <w:t> 激励等方面内容，有效促进了组织经验的萃取和传递。</w:t>
      </w:r>
    </w:p>
    <w:p>
      <w:pPr>
        <w:pStyle w:val="BodyText"/>
        <w:spacing w:line="338" w:lineRule="auto" w:before="55"/>
        <w:ind w:left="633" w:right="997"/>
        <w:jc w:val="left"/>
      </w:pPr>
      <w:r>
        <w:rPr>
          <w:rFonts w:ascii="Times New Roman" w:hAnsi="Times New Roman" w:cs="Times New Roman" w:eastAsia="Times New Roman" w:hint="default"/>
          <w:spacing w:val="-6"/>
        </w:rPr>
        <w:t>3</w:t>
      </w:r>
      <w:r>
        <w:rPr>
          <w:spacing w:val="-6"/>
        </w:rPr>
        <w:t>）制定发布了培训管理的相关制度和系列卓越模板，对培训工作的标准化做了有效改进。</w:t>
      </w:r>
      <w:r>
        <w:rPr>
          <w:spacing w:val="-82"/>
        </w:rPr>
        <w:t> </w:t>
      </w:r>
      <w:r>
        <w:rPr>
          <w:spacing w:val="-82"/>
        </w:rPr>
      </w:r>
      <w:r>
        <w:rPr/>
        <w:t>报告期内，超图</w:t>
      </w:r>
      <w:r>
        <w:rPr>
          <w:rFonts w:ascii="Times New Roman" w:hAnsi="Times New Roman" w:cs="Times New Roman" w:eastAsia="Times New Roman" w:hint="default"/>
        </w:rPr>
        <w:t>917</w:t>
      </w:r>
      <w:r>
        <w:rPr/>
        <w:t>大学共计开展了</w:t>
      </w:r>
      <w:r>
        <w:rPr>
          <w:rFonts w:ascii="Times New Roman" w:hAnsi="Times New Roman" w:cs="Times New Roman" w:eastAsia="Times New Roman" w:hint="default"/>
        </w:rPr>
        <w:t>354</w:t>
      </w:r>
      <w:r>
        <w:rPr/>
        <w:t>课时的培训，为促进公司业务发展，提升人力资</w:t>
      </w:r>
    </w:p>
    <w:p>
      <w:pPr>
        <w:pStyle w:val="BodyText"/>
        <w:spacing w:line="240" w:lineRule="auto" w:before="27"/>
        <w:ind w:right="1273"/>
        <w:jc w:val="left"/>
      </w:pPr>
      <w:r>
        <w:rPr/>
        <w:t>源的能力素质提供了有力支撑。</w:t>
      </w:r>
    </w:p>
    <w:p>
      <w:pPr>
        <w:spacing w:line="240" w:lineRule="auto" w:before="9"/>
        <w:rPr>
          <w:rFonts w:ascii="宋体" w:hAnsi="宋体" w:cs="宋体" w:eastAsia="宋体" w:hint="default"/>
          <w:sz w:val="34"/>
          <w:szCs w:val="34"/>
        </w:rPr>
      </w:pPr>
    </w:p>
    <w:p>
      <w:pPr>
        <w:pStyle w:val="Heading2"/>
        <w:spacing w:line="240" w:lineRule="auto"/>
        <w:ind w:right="127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181" w:right="3965"/>
        <w:jc w:val="center"/>
        <w:rPr>
          <w:b w:val="0"/>
          <w:bCs w:val="0"/>
        </w:rPr>
      </w:pPr>
      <w:bookmarkStart w:name="_bookmark8" w:id="9"/>
      <w:bookmarkEnd w:id="9"/>
      <w:r>
        <w:rPr>
          <w:b w:val="0"/>
          <w:bCs w:val="0"/>
        </w:rPr>
      </w:r>
      <w:r>
        <w:rPr>
          <w:spacing w:val="4"/>
        </w:rPr>
        <w:t>第九节</w:t>
      </w:r>
      <w:r>
        <w:rPr>
          <w:spacing w:val="-1"/>
        </w:rPr>
        <w:t> </w:t>
      </w:r>
      <w:r>
        <w:rPr>
          <w:spacing w:val="3"/>
        </w:rPr>
        <w:t>公司治理</w:t>
      </w:r>
      <w:r>
        <w:rPr>
          <w:b w:val="0"/>
          <w:bCs w:val="0"/>
          <w:spacing w:val="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273"/>
        <w:jc w:val="left"/>
        <w:rPr>
          <w:b w:val="0"/>
          <w:bCs w:val="0"/>
        </w:rPr>
      </w:pPr>
      <w:r>
        <w:rPr/>
        <w:t>一、公司治理的基本状况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32" w:firstLine="480"/>
        <w:jc w:val="both"/>
      </w:pPr>
      <w:r>
        <w:rPr/>
        <w:t>报告期内，公司严格按照《公司法》、《证券法》、《上市公司治理准则》、《深圳证 </w:t>
      </w:r>
      <w:r>
        <w:rPr>
          <w:spacing w:val="-5"/>
        </w:rPr>
        <w:t>券交易所创业板股票上市规则》、《深圳证券交易所创业板上市公司规范运作指引》等法律、</w:t>
      </w:r>
      <w:r>
        <w:rPr>
          <w:spacing w:val="-118"/>
        </w:rPr>
        <w:t> </w:t>
      </w:r>
      <w:r>
        <w:rPr>
          <w:spacing w:val="-118"/>
        </w:rPr>
      </w:r>
      <w:r>
        <w:rPr/>
        <w:t>法规和中国证监会有关法律法规等的要求，不断完善公司的法人治理结构，建立健全公司内</w:t>
      </w:r>
      <w:r>
        <w:rPr>
          <w:spacing w:val="-87"/>
        </w:rPr>
        <w:t> </w:t>
      </w:r>
      <w:r>
        <w:rPr>
          <w:spacing w:val="-87"/>
        </w:rPr>
      </w:r>
      <w:r>
        <w:rPr/>
        <w:t>部管理和控制制度，持续深入开展公司治理活动，促进了公司规范运作，提高了公司治理水</w:t>
      </w:r>
      <w:r>
        <w:rPr>
          <w:spacing w:val="-91"/>
        </w:rPr>
        <w:t> </w:t>
      </w:r>
      <w:r>
        <w:rPr>
          <w:spacing w:val="-91"/>
        </w:rPr>
      </w:r>
      <w:r>
        <w:rPr/>
        <w:t>平。截至报告期末，公司治理的实际状况符合《上市公司治理准则》和《深圳证券交易所创</w:t>
      </w:r>
      <w:r>
        <w:rPr>
          <w:spacing w:val="-91"/>
        </w:rPr>
        <w:t> </w:t>
      </w:r>
      <w:r>
        <w:rPr>
          <w:spacing w:val="-91"/>
        </w:rPr>
      </w:r>
      <w:r>
        <w:rPr/>
        <w:t>业板上市公司规范运作指引》的要求。</w:t>
      </w:r>
    </w:p>
    <w:p>
      <w:pPr>
        <w:spacing w:line="240" w:lineRule="auto" w:before="11"/>
        <w:rPr>
          <w:rFonts w:ascii="宋体" w:hAnsi="宋体" w:cs="宋体" w:eastAsia="宋体" w:hint="default"/>
          <w:sz w:val="19"/>
          <w:szCs w:val="19"/>
        </w:rPr>
      </w:pPr>
    </w:p>
    <w:p>
      <w:pPr>
        <w:pStyle w:val="Heading2"/>
        <w:spacing w:line="240" w:lineRule="auto"/>
        <w:ind w:right="1273"/>
        <w:jc w:val="left"/>
        <w:rPr>
          <w:b w:val="0"/>
          <w:bCs w:val="0"/>
        </w:rPr>
      </w:pPr>
      <w:r>
        <w:rPr>
          <w:rFonts w:ascii="Times New Roman" w:hAnsi="Times New Roman" w:cs="Times New Roman" w:eastAsia="Times New Roman" w:hint="default"/>
        </w:rPr>
        <w:t>1</w:t>
      </w:r>
      <w:r>
        <w:rPr/>
        <w:t>、关于股东与股东大会</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right="1138" w:firstLine="480"/>
        <w:jc w:val="both"/>
      </w:pPr>
      <w:r>
        <w:rPr/>
        <w:t>报告期内，严格遵守《上市公司股东大会规则》、《公司章程》、《北京超图软件股份 有限公司股东大会议事规则》的规定，规范的召集召开股东大会，公平对待所有股东，并尽</w:t>
      </w:r>
      <w:r>
        <w:rPr>
          <w:spacing w:val="-91"/>
        </w:rPr>
        <w:t> </w:t>
      </w:r>
      <w:r>
        <w:rPr>
          <w:spacing w:val="-91"/>
        </w:rPr>
      </w:r>
      <w:r>
        <w:rPr/>
        <w:t>可能为股东参加股东大会提供便利条件，确保股东充分行使权利。</w:t>
      </w:r>
    </w:p>
    <w:p>
      <w:pPr>
        <w:spacing w:line="240" w:lineRule="auto" w:before="11"/>
        <w:rPr>
          <w:rFonts w:ascii="宋体" w:hAnsi="宋体" w:cs="宋体" w:eastAsia="宋体" w:hint="default"/>
          <w:sz w:val="19"/>
          <w:szCs w:val="19"/>
        </w:rPr>
      </w:pPr>
    </w:p>
    <w:p>
      <w:pPr>
        <w:pStyle w:val="Heading2"/>
        <w:spacing w:line="240" w:lineRule="auto"/>
        <w:ind w:right="1273"/>
        <w:jc w:val="left"/>
        <w:rPr>
          <w:b w:val="0"/>
          <w:bCs w:val="0"/>
        </w:rPr>
      </w:pPr>
      <w:r>
        <w:rPr>
          <w:rFonts w:ascii="Times New Roman" w:hAnsi="Times New Roman" w:cs="Times New Roman" w:eastAsia="Times New Roman" w:hint="default"/>
        </w:rPr>
        <w:t>2</w:t>
      </w:r>
      <w:r>
        <w:rPr/>
        <w:t>、关于公司与控股股东</w:t>
      </w:r>
      <w:r>
        <w:rPr>
          <w:b w:val="0"/>
          <w:bCs w:val="0"/>
        </w:rPr>
      </w:r>
    </w:p>
    <w:p>
      <w:pPr>
        <w:spacing w:line="240" w:lineRule="auto" w:before="3"/>
        <w:rPr>
          <w:rFonts w:ascii="宋体" w:hAnsi="宋体" w:cs="宋体" w:eastAsia="宋体" w:hint="default"/>
          <w:b/>
          <w:bCs/>
          <w:sz w:val="27"/>
          <w:szCs w:val="27"/>
        </w:rPr>
      </w:pPr>
    </w:p>
    <w:p>
      <w:pPr>
        <w:pStyle w:val="BodyText"/>
        <w:spacing w:line="357" w:lineRule="auto" w:before="0"/>
        <w:ind w:right="1138" w:firstLine="480"/>
        <w:jc w:val="both"/>
      </w:pPr>
      <w:r>
        <w:rPr/>
        <w:t>控股股东严格依法行使其股东权利，没有超越股东大会或董事会直接或间接干预公司的 决策及依法开展的生产经营活动，未损害公司及其他股东的权益。公司拥有独立的人员、资</w:t>
      </w:r>
      <w:r>
        <w:rPr>
          <w:spacing w:val="-91"/>
        </w:rPr>
        <w:t> </w:t>
      </w:r>
      <w:r>
        <w:rPr>
          <w:spacing w:val="-91"/>
        </w:rPr>
      </w:r>
      <w:r>
        <w:rPr/>
        <w:t>产、财务、业务、机构，公司的董事会、监事会及其他内部机构独立运作。此外，控股股东</w:t>
      </w:r>
      <w:r>
        <w:rPr>
          <w:spacing w:val="-91"/>
        </w:rPr>
        <w:t> </w:t>
      </w:r>
      <w:r>
        <w:rPr>
          <w:spacing w:val="-91"/>
        </w:rPr>
      </w:r>
      <w:r>
        <w:rPr/>
        <w:t>已签署《避免同业竞争承诺函》，不从事与公司相同、相近或形成竞争的业务。</w:t>
      </w:r>
    </w:p>
    <w:p>
      <w:pPr>
        <w:spacing w:line="240" w:lineRule="auto" w:before="11"/>
        <w:rPr>
          <w:rFonts w:ascii="宋体" w:hAnsi="宋体" w:cs="宋体" w:eastAsia="宋体" w:hint="default"/>
          <w:sz w:val="19"/>
          <w:szCs w:val="19"/>
        </w:rPr>
      </w:pPr>
    </w:p>
    <w:p>
      <w:pPr>
        <w:pStyle w:val="Heading2"/>
        <w:spacing w:line="240" w:lineRule="auto"/>
        <w:ind w:right="1273"/>
        <w:jc w:val="left"/>
        <w:rPr>
          <w:b w:val="0"/>
          <w:bCs w:val="0"/>
        </w:rPr>
      </w:pPr>
      <w:r>
        <w:rPr>
          <w:rFonts w:ascii="Times New Roman" w:hAnsi="Times New Roman" w:cs="Times New Roman" w:eastAsia="Times New Roman" w:hint="default"/>
        </w:rPr>
        <w:t>3</w:t>
      </w:r>
      <w:r>
        <w:rPr/>
        <w:t>、关于董事和董事会</w:t>
      </w:r>
      <w:r>
        <w:rPr>
          <w:b w:val="0"/>
          <w:bCs w:val="0"/>
        </w:rPr>
      </w:r>
    </w:p>
    <w:p>
      <w:pPr>
        <w:spacing w:line="240" w:lineRule="auto" w:before="6"/>
        <w:rPr>
          <w:rFonts w:ascii="宋体" w:hAnsi="宋体" w:cs="宋体" w:eastAsia="宋体" w:hint="default"/>
          <w:b/>
          <w:bCs/>
          <w:sz w:val="27"/>
          <w:szCs w:val="27"/>
        </w:rPr>
      </w:pPr>
    </w:p>
    <w:p>
      <w:pPr>
        <w:pStyle w:val="BodyText"/>
        <w:spacing w:line="338" w:lineRule="auto" w:before="0"/>
        <w:ind w:right="1138" w:firstLine="480"/>
        <w:jc w:val="both"/>
      </w:pPr>
      <w:r>
        <w:rPr/>
        <w:t>公司董事会成员</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名，董事会的人数、人员资格、人员构成均符合有 关法律、法规以及《公司章程》的要求。</w:t>
      </w:r>
    </w:p>
    <w:p>
      <w:pPr>
        <w:pStyle w:val="BodyText"/>
        <w:spacing w:line="357" w:lineRule="auto" w:before="55"/>
        <w:ind w:right="1138" w:firstLine="480"/>
        <w:jc w:val="both"/>
      </w:pPr>
      <w:r>
        <w:rPr/>
        <w:t>各位董事能够按照《董事会议事规则》、《北京超图软件股份有限公司独立董事工作制 度》、《深圳证券交易所创业板上市公司规范运作指引》以及《公司章程》等有关规定，认</w:t>
      </w:r>
      <w:r>
        <w:rPr>
          <w:spacing w:val="-90"/>
        </w:rPr>
        <w:t> </w:t>
      </w:r>
      <w:r>
        <w:rPr>
          <w:spacing w:val="-90"/>
        </w:rPr>
      </w:r>
      <w:r>
        <w:rPr/>
        <w:t>真出席董事会，积极参与有关培训，熟悉有关法律法规，忠实、诚信、勤勉的履行了职责。</w:t>
      </w:r>
    </w:p>
    <w:p>
      <w:pPr>
        <w:spacing w:after="0" w:line="357" w:lineRule="auto"/>
        <w:jc w:val="both"/>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273"/>
        <w:jc w:val="left"/>
        <w:rPr>
          <w:b w:val="0"/>
          <w:bCs w:val="0"/>
        </w:rPr>
      </w:pPr>
      <w:r>
        <w:rPr>
          <w:rFonts w:ascii="Times New Roman" w:hAnsi="Times New Roman" w:cs="Times New Roman" w:eastAsia="Times New Roman" w:hint="default"/>
        </w:rPr>
        <w:t>4</w:t>
      </w:r>
      <w:r>
        <w:rPr/>
        <w:t>、关于监事和监事会</w:t>
      </w:r>
      <w:r>
        <w:rPr>
          <w:b w:val="0"/>
          <w:bCs w:val="0"/>
        </w:rPr>
      </w:r>
    </w:p>
    <w:p>
      <w:pPr>
        <w:spacing w:line="240" w:lineRule="auto" w:before="6"/>
        <w:rPr>
          <w:rFonts w:ascii="宋体" w:hAnsi="宋体" w:cs="宋体" w:eastAsia="宋体" w:hint="default"/>
          <w:b/>
          <w:bCs/>
          <w:sz w:val="27"/>
          <w:szCs w:val="27"/>
        </w:rPr>
      </w:pPr>
    </w:p>
    <w:p>
      <w:pPr>
        <w:pStyle w:val="BodyText"/>
        <w:spacing w:line="352" w:lineRule="auto" w:before="0"/>
        <w:ind w:right="1138" w:firstLine="480"/>
        <w:jc w:val="both"/>
      </w:pPr>
      <w:r>
        <w:rPr/>
        <w:t>公司监事会成员</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名，监事会的人数、人员资格以及人员构成符合法 律、法规和《公司章程》的要求。各位监事能够按照《北京超图软件股份有限公司监事会议</w:t>
      </w:r>
      <w:r>
        <w:rPr>
          <w:spacing w:val="-91"/>
        </w:rPr>
        <w:t> </w:t>
      </w:r>
      <w:r>
        <w:rPr>
          <w:spacing w:val="-91"/>
        </w:rPr>
      </w:r>
      <w:r>
        <w:rPr/>
        <w:t>事规则》等相关制度的要求，按照规定的程序召开监事会，对公司依法运行、定期报告、审</w:t>
      </w:r>
      <w:r>
        <w:rPr>
          <w:spacing w:val="-91"/>
        </w:rPr>
        <w:t> </w:t>
      </w:r>
      <w:r>
        <w:rPr>
          <w:spacing w:val="-91"/>
        </w:rPr>
      </w:r>
      <w:r>
        <w:rPr/>
        <w:t>计报告等重大事项发表意见，对公司财务以及公司董事、经理和其他高级管理人员履行职责</w:t>
      </w:r>
      <w:r>
        <w:rPr>
          <w:spacing w:val="-91"/>
        </w:rPr>
        <w:t> </w:t>
      </w:r>
      <w:r>
        <w:rPr>
          <w:spacing w:val="-91"/>
        </w:rPr>
      </w:r>
      <w:r>
        <w:rPr/>
        <w:t>的合法合规性进行了监督。</w:t>
      </w:r>
    </w:p>
    <w:p>
      <w:pPr>
        <w:spacing w:line="240" w:lineRule="auto" w:before="3"/>
        <w:rPr>
          <w:rFonts w:ascii="宋体" w:hAnsi="宋体" w:cs="宋体" w:eastAsia="宋体" w:hint="default"/>
          <w:sz w:val="20"/>
          <w:szCs w:val="20"/>
        </w:rPr>
      </w:pPr>
    </w:p>
    <w:p>
      <w:pPr>
        <w:pStyle w:val="Heading2"/>
        <w:spacing w:line="240" w:lineRule="auto"/>
        <w:ind w:right="1273"/>
        <w:jc w:val="left"/>
        <w:rPr>
          <w:b w:val="0"/>
          <w:bCs w:val="0"/>
        </w:rPr>
      </w:pPr>
      <w:r>
        <w:rPr>
          <w:rFonts w:ascii="Times New Roman" w:hAnsi="Times New Roman" w:cs="Times New Roman" w:eastAsia="Times New Roman" w:hint="default"/>
        </w:rPr>
        <w:t>5</w:t>
      </w:r>
      <w:r>
        <w:rPr/>
        <w:t>、关于绩效评价和激励约束机制</w:t>
      </w:r>
      <w:r>
        <w:rPr>
          <w:b w:val="0"/>
          <w:bCs w:val="0"/>
        </w:rPr>
      </w:r>
    </w:p>
    <w:p>
      <w:pPr>
        <w:spacing w:line="240" w:lineRule="auto" w:before="4"/>
        <w:rPr>
          <w:rFonts w:ascii="宋体" w:hAnsi="宋体" w:cs="宋体" w:eastAsia="宋体" w:hint="default"/>
          <w:b/>
          <w:bCs/>
          <w:sz w:val="27"/>
          <w:szCs w:val="27"/>
        </w:rPr>
      </w:pPr>
    </w:p>
    <w:p>
      <w:pPr>
        <w:pStyle w:val="BodyText"/>
        <w:spacing w:line="357" w:lineRule="auto" w:before="0"/>
        <w:ind w:right="1140" w:firstLine="480"/>
        <w:jc w:val="both"/>
      </w:pPr>
      <w:r>
        <w:rPr/>
        <w:t>公司进一步健全了有效的绩效评价与激励体系，经营者的收入与公司经营业绩挂钩，高 级管理人员的聘任公开、透明、依法进行。</w:t>
      </w:r>
    </w:p>
    <w:p>
      <w:pPr>
        <w:spacing w:line="240" w:lineRule="auto" w:before="11"/>
        <w:rPr>
          <w:rFonts w:ascii="宋体" w:hAnsi="宋体" w:cs="宋体" w:eastAsia="宋体" w:hint="default"/>
          <w:sz w:val="19"/>
          <w:szCs w:val="19"/>
        </w:rPr>
      </w:pPr>
    </w:p>
    <w:p>
      <w:pPr>
        <w:pStyle w:val="Heading2"/>
        <w:spacing w:line="240" w:lineRule="auto"/>
        <w:ind w:right="1273"/>
        <w:jc w:val="left"/>
        <w:rPr>
          <w:b w:val="0"/>
          <w:bCs w:val="0"/>
        </w:rPr>
      </w:pPr>
      <w:r>
        <w:rPr>
          <w:rFonts w:ascii="Times New Roman" w:hAnsi="Times New Roman" w:cs="Times New Roman" w:eastAsia="Times New Roman" w:hint="default"/>
        </w:rPr>
        <w:t>6</w:t>
      </w:r>
      <w:r>
        <w:rPr/>
        <w:t>、关于信息披露与透明度</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right="1136" w:firstLine="480"/>
        <w:jc w:val="both"/>
      </w:pPr>
      <w:r>
        <w:rPr/>
        <w:t>公司严格按照《北京超图软件股份有限公司信息披露管理办法》、《深圳证券交易所创 业板上市规则》等有关规定真实、准确、完整、及时地披露信息。指定公司董事会秘书为公</w:t>
      </w:r>
      <w:r>
        <w:rPr>
          <w:spacing w:val="-91"/>
        </w:rPr>
        <w:t> </w:t>
      </w:r>
      <w:r>
        <w:rPr>
          <w:spacing w:val="-91"/>
        </w:rPr>
      </w:r>
      <w:r>
        <w:rPr/>
        <w:t>司信息披露与投资者关系活动的负责人，协调公司与投资者的关系，接待股东来访，回答咨</w:t>
      </w:r>
      <w:r>
        <w:rPr>
          <w:spacing w:val="-91"/>
        </w:rPr>
        <w:t> </w:t>
      </w:r>
      <w:r>
        <w:rPr>
          <w:spacing w:val="-91"/>
        </w:rPr>
      </w:r>
      <w:r>
        <w:rPr>
          <w:spacing w:val="31"/>
        </w:rPr>
        <w:t>询，联系股东，向</w:t>
      </w:r>
      <w:r>
        <w:rPr>
          <w:spacing w:val="-79"/>
        </w:rPr>
        <w:t> </w:t>
      </w:r>
      <w:r>
        <w:rPr>
          <w:spacing w:val="31"/>
        </w:rPr>
        <w:t>投资者提供公司公</w:t>
      </w:r>
      <w:r>
        <w:rPr>
          <w:spacing w:val="-79"/>
        </w:rPr>
        <w:t> </w:t>
      </w:r>
      <w:r>
        <w:rPr>
          <w:spacing w:val="31"/>
        </w:rPr>
        <w:t>开披露的资料；并</w:t>
      </w:r>
      <w:r>
        <w:rPr>
          <w:spacing w:val="-79"/>
        </w:rPr>
        <w:t> </w:t>
      </w:r>
      <w:r>
        <w:rPr>
          <w:spacing w:val="31"/>
        </w:rPr>
        <w:t>将《证券时报》、</w:t>
      </w:r>
      <w:r>
        <w:rPr>
          <w:spacing w:val="-79"/>
        </w:rPr>
        <w:t> </w:t>
      </w:r>
      <w:r>
        <w:rPr>
          <w:spacing w:val="18"/>
        </w:rPr>
        <w:t>巨潮</w:t>
      </w:r>
      <w:r>
        <w:rPr>
          <w:spacing w:val="-79"/>
        </w:rPr>
        <w:t> </w:t>
      </w:r>
      <w:r>
        <w:rPr/>
        <w:t>网</w:t>
      </w:r>
    </w:p>
    <w:p>
      <w:pPr>
        <w:pStyle w:val="BodyText"/>
        <w:spacing w:line="338" w:lineRule="auto"/>
        <w:ind w:right="1120"/>
        <w:jc w:val="left"/>
      </w:pPr>
      <w:r>
        <w:rPr/>
        <w:t>（</w:t>
      </w:r>
      <w:hyperlink r:id="rId11">
        <w:r>
          <w:rPr>
            <w:rFonts w:ascii="Times New Roman" w:hAnsi="Times New Roman" w:cs="Times New Roman" w:eastAsia="Times New Roman" w:hint="default"/>
          </w:rPr>
          <w:t>www.cninfo.com.cn</w:t>
        </w:r>
      </w:hyperlink>
      <w:r>
        <w:rPr/>
        <w:t>）以及公司官方网站作为公司信息披露平台，确保所有股东有平等的机</w:t>
      </w:r>
      <w:r>
        <w:rPr>
          <w:spacing w:val="-118"/>
        </w:rPr>
        <w:t> </w:t>
      </w:r>
      <w:r>
        <w:rPr>
          <w:spacing w:val="-118"/>
        </w:rPr>
      </w:r>
      <w:r>
        <w:rPr/>
        <w:t>会获得信息。</w:t>
      </w:r>
    </w:p>
    <w:p>
      <w:pPr>
        <w:spacing w:line="688" w:lineRule="exact" w:before="8"/>
        <w:ind w:left="633" w:right="1116"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、关于利益相关者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公司充分尊重和维护利益相关者的合法权利，并与利益相关者积极合作，共同推动公司</w:t>
      </w:r>
    </w:p>
    <w:p>
      <w:pPr>
        <w:pStyle w:val="BodyText"/>
        <w:spacing w:line="357" w:lineRule="auto" w:before="50"/>
        <w:ind w:left="633" w:right="1116" w:hanging="480"/>
        <w:jc w:val="left"/>
      </w:pPr>
      <w:r>
        <w:rPr/>
        <w:t>持续、健康地发展。 公司治理的实际状况与中国证监会发布的有关上市公司治理的规范性文件是否存在重大</w:t>
      </w:r>
    </w:p>
    <w:p>
      <w:pPr>
        <w:pStyle w:val="BodyText"/>
        <w:spacing w:line="240" w:lineRule="auto" w:before="37"/>
        <w:ind w:right="1273"/>
        <w:jc w:val="left"/>
      </w:pPr>
      <w:r>
        <w:rPr/>
        <w:t>差异</w:t>
      </w:r>
    </w:p>
    <w:p>
      <w:pPr>
        <w:pStyle w:val="BodyText"/>
        <w:spacing w:line="338" w:lineRule="auto" w:before="154"/>
        <w:ind w:left="633"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公司治理的实际状况与中国证监会发布的有关上市公司治理的规范性文件不存在重大差</w:t>
      </w:r>
    </w:p>
    <w:p>
      <w:pPr>
        <w:pStyle w:val="BodyText"/>
        <w:spacing w:line="240" w:lineRule="auto" w:before="55"/>
        <w:ind w:right="1273"/>
        <w:jc w:val="left"/>
      </w:pPr>
      <w:r>
        <w:rPr/>
        <w:t>异。</w:t>
      </w:r>
    </w:p>
    <w:p>
      <w:pPr>
        <w:spacing w:after="0" w:line="240" w:lineRule="auto"/>
        <w:jc w:val="left"/>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453" w:right="0"/>
        <w:jc w:val="left"/>
        <w:rPr>
          <w:b w:val="0"/>
          <w:bCs w:val="0"/>
        </w:rPr>
      </w:pPr>
      <w:r>
        <w:rPr/>
        <w:t>二、公司相对于控股股东在业务、人员、资产、机构、财务等方面的独立情况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453" w:right="0" w:firstLine="480"/>
        <w:jc w:val="left"/>
      </w:pPr>
      <w:r>
        <w:rPr/>
        <w:t>公司控股股东、实际控制人为自然人，公司与控股股东在业务、人员、资产、机构、财 务方面均保持独立。</w:t>
      </w:r>
    </w:p>
    <w:p>
      <w:pPr>
        <w:spacing w:line="240" w:lineRule="auto" w:before="11"/>
        <w:rPr>
          <w:rFonts w:ascii="宋体" w:hAnsi="宋体" w:cs="宋体" w:eastAsia="宋体" w:hint="default"/>
          <w:sz w:val="19"/>
          <w:szCs w:val="19"/>
        </w:rPr>
      </w:pPr>
    </w:p>
    <w:p>
      <w:pPr>
        <w:pStyle w:val="Heading2"/>
        <w:spacing w:line="240" w:lineRule="auto"/>
        <w:ind w:left="453" w:right="0"/>
        <w:jc w:val="left"/>
        <w:rPr>
          <w:b w:val="0"/>
          <w:bCs w:val="0"/>
        </w:rPr>
      </w:pPr>
      <w:r>
        <w:rPr/>
        <w:t>三、同业竞争情况</w:t>
      </w:r>
      <w:r>
        <w:rPr>
          <w:b w:val="0"/>
          <w:bCs w:val="0"/>
        </w:rPr>
      </w:r>
    </w:p>
    <w:p>
      <w:pPr>
        <w:spacing w:line="240" w:lineRule="auto" w:before="8"/>
        <w:rPr>
          <w:rFonts w:ascii="宋体" w:hAnsi="宋体" w:cs="宋体" w:eastAsia="宋体" w:hint="default"/>
          <w:b/>
          <w:bCs/>
          <w:sz w:val="22"/>
          <w:szCs w:val="22"/>
        </w:rPr>
      </w:pPr>
    </w:p>
    <w:p>
      <w:pPr>
        <w:spacing w:line="456" w:lineRule="auto" w:before="0"/>
        <w:ind w:left="453" w:right="424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、本报告期股东大会情况</w:t>
      </w:r>
      <w:r>
        <w:rPr>
          <w:rFonts w:ascii="宋体" w:hAnsi="宋体" w:cs="宋体" w:eastAsia="宋体" w:hint="default"/>
          <w:sz w:val="24"/>
          <w:szCs w:val="24"/>
        </w:rPr>
      </w:r>
    </w:p>
    <w:p>
      <w:pPr>
        <w:spacing w:line="240" w:lineRule="auto" w:before="13"/>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1978"/>
        <w:gridCol w:w="1597"/>
        <w:gridCol w:w="1099"/>
        <w:gridCol w:w="1702"/>
        <w:gridCol w:w="1755"/>
        <w:gridCol w:w="2201"/>
      </w:tblGrid>
      <w:tr>
        <w:trPr>
          <w:trHeight w:val="715"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0" w:right="120" w:hanging="106"/>
              <w:jc w:val="left"/>
              <w:rPr>
                <w:rFonts w:ascii="宋体" w:hAnsi="宋体" w:cs="宋体" w:eastAsia="宋体" w:hint="default"/>
                <w:sz w:val="21"/>
                <w:szCs w:val="21"/>
              </w:rPr>
            </w:pPr>
            <w:r>
              <w:rPr>
                <w:rFonts w:ascii="宋体" w:hAnsi="宋体" w:cs="宋体" w:eastAsia="宋体" w:hint="default"/>
                <w:sz w:val="21"/>
                <w:szCs w:val="21"/>
              </w:rPr>
              <w:t>投资者参</w:t>
            </w:r>
            <w:r>
              <w:rPr>
                <w:rFonts w:ascii="宋体" w:hAnsi="宋体" w:cs="宋体" w:eastAsia="宋体" w:hint="default"/>
                <w:w w:val="100"/>
                <w:sz w:val="21"/>
                <w:szCs w:val="21"/>
              </w:rPr>
              <w:t> </w:t>
            </w:r>
            <w:r>
              <w:rPr>
                <w:rFonts w:ascii="宋体" w:hAnsi="宋体" w:cs="宋体" w:eastAsia="宋体" w:hint="default"/>
                <w:sz w:val="21"/>
                <w:szCs w:val="21"/>
              </w:rPr>
              <w:t>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年年度股东大会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7" w:right="0"/>
              <w:jc w:val="left"/>
              <w:rPr>
                <w:rFonts w:ascii="Times New Roman" w:hAnsi="Times New Roman" w:cs="Times New Roman" w:eastAsia="Times New Roman" w:hint="default"/>
                <w:sz w:val="21"/>
                <w:szCs w:val="21"/>
              </w:rPr>
            </w:pPr>
            <w:r>
              <w:rPr>
                <w:rFonts w:ascii="Times New Roman"/>
                <w:color w:val="333333"/>
                <w:sz w:val="21"/>
              </w:rPr>
              <w:t>12.5458%</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
        <w:rPr>
          <w:rFonts w:ascii="宋体" w:hAnsi="宋体" w:cs="宋体" w:eastAsia="宋体" w:hint="default"/>
          <w:b/>
          <w:bCs/>
          <w:sz w:val="18"/>
          <w:szCs w:val="18"/>
        </w:rPr>
      </w:pPr>
    </w:p>
    <w:p>
      <w:pPr>
        <w:pStyle w:val="Heading2"/>
        <w:spacing w:line="240" w:lineRule="auto" w:before="26"/>
        <w:ind w:left="453"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1"/>
          <w:szCs w:val="21"/>
        </w:rPr>
      </w:pPr>
    </w:p>
    <w:p>
      <w:pPr>
        <w:spacing w:line="456" w:lineRule="auto" w:before="0"/>
        <w:ind w:left="453" w:right="629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、独立董事出席董事会及股东大会的情况</w:t>
      </w:r>
      <w:r>
        <w:rPr>
          <w:rFonts w:ascii="宋体" w:hAnsi="宋体" w:cs="宋体" w:eastAsia="宋体" w:hint="default"/>
          <w:sz w:val="24"/>
          <w:szCs w:val="24"/>
        </w:rPr>
      </w:r>
    </w:p>
    <w:p>
      <w:pPr>
        <w:spacing w:line="240" w:lineRule="auto" w:before="2"/>
        <w:rPr>
          <w:rFonts w:ascii="宋体" w:hAnsi="宋体" w:cs="宋体" w:eastAsia="宋体" w:hint="default"/>
          <w:b/>
          <w:bCs/>
          <w:sz w:val="6"/>
          <w:szCs w:val="6"/>
        </w:rPr>
      </w:pPr>
    </w:p>
    <w:tbl>
      <w:tblPr>
        <w:tblW w:w="0" w:type="auto"/>
        <w:jc w:val="left"/>
        <w:tblInd w:w="419" w:type="dxa"/>
        <w:tblLayout w:type="fixed"/>
        <w:tblCellMar>
          <w:top w:w="0" w:type="dxa"/>
          <w:left w:w="0" w:type="dxa"/>
          <w:bottom w:w="0" w:type="dxa"/>
          <w:right w:w="0" w:type="dxa"/>
        </w:tblCellMar>
        <w:tblLook w:val="01E0"/>
      </w:tblPr>
      <w:tblGrid>
        <w:gridCol w:w="1812"/>
        <w:gridCol w:w="1037"/>
        <w:gridCol w:w="1104"/>
        <w:gridCol w:w="1104"/>
        <w:gridCol w:w="948"/>
        <w:gridCol w:w="1107"/>
        <w:gridCol w:w="1104"/>
        <w:gridCol w:w="1481"/>
      </w:tblGrid>
      <w:tr>
        <w:trPr>
          <w:trHeight w:val="402" w:hRule="exact"/>
        </w:trPr>
        <w:tc>
          <w:tcPr>
            <w:tcW w:w="96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338"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93" w:right="89"/>
              <w:jc w:val="both"/>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应参加董</w:t>
            </w:r>
            <w:r>
              <w:rPr>
                <w:rFonts w:ascii="宋体" w:hAnsi="宋体" w:cs="宋体" w:eastAsia="宋体" w:hint="default"/>
                <w:w w:val="100"/>
                <w:sz w:val="21"/>
                <w:szCs w:val="21"/>
              </w:rPr>
              <w:t> </w:t>
            </w:r>
            <w:r>
              <w:rPr>
                <w:rFonts w:ascii="宋体" w:hAnsi="宋体" w:cs="宋体" w:eastAsia="宋体" w:hint="default"/>
                <w:sz w:val="21"/>
                <w:szCs w:val="21"/>
              </w:rPr>
              <w:t>事会次数</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127" w:right="122"/>
              <w:jc w:val="center"/>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董事会次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127" w:right="123"/>
              <w:jc w:val="both"/>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w w:val="100"/>
                <w:sz w:val="21"/>
                <w:szCs w:val="21"/>
              </w:rPr>
              <w:t> </w:t>
            </w:r>
            <w:r>
              <w:rPr>
                <w:rFonts w:ascii="宋体" w:hAnsi="宋体" w:cs="宋体" w:eastAsia="宋体" w:hint="default"/>
                <w:sz w:val="21"/>
                <w:szCs w:val="21"/>
              </w:rPr>
              <w:t>式参加董</w:t>
            </w:r>
            <w:r>
              <w:rPr>
                <w:rFonts w:ascii="宋体" w:hAnsi="宋体" w:cs="宋体" w:eastAsia="宋体" w:hint="default"/>
                <w:w w:val="100"/>
                <w:sz w:val="21"/>
                <w:szCs w:val="21"/>
              </w:rPr>
              <w:t> </w:t>
            </w:r>
            <w:r>
              <w:rPr>
                <w:rFonts w:ascii="宋体" w:hAnsi="宋体" w:cs="宋体" w:eastAsia="宋体" w:hint="default"/>
                <w:sz w:val="21"/>
                <w:szCs w:val="21"/>
              </w:rPr>
              <w:t>事会次数</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52" w:right="41"/>
              <w:jc w:val="center"/>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董事会次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235" w:right="123" w:hanging="106"/>
              <w:jc w:val="left"/>
              <w:rPr>
                <w:rFonts w:ascii="宋体" w:hAnsi="宋体" w:cs="宋体" w:eastAsia="宋体" w:hint="default"/>
                <w:sz w:val="21"/>
                <w:szCs w:val="21"/>
              </w:rPr>
            </w:pPr>
            <w:r>
              <w:rPr>
                <w:rFonts w:ascii="宋体" w:hAnsi="宋体" w:cs="宋体" w:eastAsia="宋体" w:hint="default"/>
                <w:sz w:val="21"/>
                <w:szCs w:val="21"/>
              </w:rPr>
              <w:t>缺席董事</w:t>
            </w:r>
            <w:r>
              <w:rPr>
                <w:rFonts w:ascii="宋体" w:hAnsi="宋体" w:cs="宋体" w:eastAsia="宋体" w:hint="default"/>
                <w:w w:val="100"/>
                <w:sz w:val="21"/>
                <w:szCs w:val="21"/>
              </w:rPr>
              <w:t> </w:t>
            </w:r>
            <w:r>
              <w:rPr>
                <w:rFonts w:ascii="宋体" w:hAnsi="宋体" w:cs="宋体" w:eastAsia="宋体" w:hint="default"/>
                <w:sz w:val="21"/>
                <w:szCs w:val="21"/>
              </w:rPr>
              <w:t>会次数</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7" w:right="122"/>
              <w:jc w:val="both"/>
              <w:rPr>
                <w:rFonts w:ascii="宋体" w:hAnsi="宋体" w:cs="宋体" w:eastAsia="宋体" w:hint="default"/>
                <w:sz w:val="21"/>
                <w:szCs w:val="21"/>
              </w:rPr>
            </w:pPr>
            <w:r>
              <w:rPr>
                <w:rFonts w:ascii="宋体" w:hAnsi="宋体" w:cs="宋体" w:eastAsia="宋体" w:hint="default"/>
                <w:sz w:val="21"/>
                <w:szCs w:val="21"/>
              </w:rPr>
              <w:t>是否连续</w:t>
            </w:r>
            <w:r>
              <w:rPr>
                <w:rFonts w:ascii="宋体" w:hAnsi="宋体" w:cs="宋体" w:eastAsia="宋体" w:hint="default"/>
                <w:w w:val="100"/>
                <w:sz w:val="21"/>
                <w:szCs w:val="21"/>
              </w:rPr>
              <w:t> </w:t>
            </w:r>
            <w:r>
              <w:rPr>
                <w:rFonts w:ascii="宋体" w:hAnsi="宋体" w:cs="宋体" w:eastAsia="宋体" w:hint="default"/>
                <w:sz w:val="21"/>
                <w:szCs w:val="21"/>
              </w:rPr>
              <w:t>两次未亲</w:t>
            </w:r>
            <w:r>
              <w:rPr>
                <w:rFonts w:ascii="宋体" w:hAnsi="宋体" w:cs="宋体" w:eastAsia="宋体" w:hint="default"/>
                <w:w w:val="100"/>
                <w:sz w:val="21"/>
                <w:szCs w:val="21"/>
              </w:rPr>
              <w:t> </w:t>
            </w:r>
            <w:r>
              <w:rPr>
                <w:rFonts w:ascii="宋体" w:hAnsi="宋体" w:cs="宋体" w:eastAsia="宋体" w:hint="default"/>
                <w:sz w:val="21"/>
                <w:szCs w:val="21"/>
              </w:rPr>
              <w:t>自参加董</w:t>
            </w:r>
            <w:r>
              <w:rPr>
                <w:rFonts w:ascii="宋体" w:hAnsi="宋体" w:cs="宋体" w:eastAsia="宋体" w:hint="default"/>
                <w:w w:val="100"/>
                <w:sz w:val="21"/>
                <w:szCs w:val="21"/>
              </w:rPr>
              <w:t> </w:t>
            </w:r>
            <w:r>
              <w:rPr>
                <w:rFonts w:ascii="宋体" w:hAnsi="宋体" w:cs="宋体" w:eastAsia="宋体" w:hint="default"/>
                <w:sz w:val="21"/>
                <w:szCs w:val="21"/>
              </w:rPr>
              <w:t>事会会议</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525" w:right="101" w:hanging="420"/>
              <w:jc w:val="left"/>
              <w:rPr>
                <w:rFonts w:ascii="宋体" w:hAnsi="宋体" w:cs="宋体" w:eastAsia="宋体" w:hint="default"/>
                <w:sz w:val="21"/>
                <w:szCs w:val="21"/>
              </w:rPr>
            </w:pPr>
            <w:r>
              <w:rPr>
                <w:rFonts w:ascii="宋体" w:hAnsi="宋体" w:cs="宋体" w:eastAsia="宋体" w:hint="default"/>
                <w:sz w:val="21"/>
                <w:szCs w:val="21"/>
              </w:rPr>
              <w:t>出席股东大会</w:t>
            </w:r>
            <w:r>
              <w:rPr>
                <w:rFonts w:ascii="宋体" w:hAnsi="宋体" w:cs="宋体" w:eastAsia="宋体" w:hint="default"/>
                <w:w w:val="100"/>
                <w:sz w:val="21"/>
                <w:szCs w:val="21"/>
              </w:rPr>
              <w:t> </w:t>
            </w:r>
            <w:r>
              <w:rPr>
                <w:rFonts w:ascii="宋体" w:hAnsi="宋体" w:cs="宋体" w:eastAsia="宋体" w:hint="default"/>
                <w:sz w:val="21"/>
                <w:szCs w:val="21"/>
              </w:rPr>
              <w:t>次数</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郭仁忠</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58"/>
              <w:jc w:val="right"/>
              <w:rPr>
                <w:rFonts w:ascii="Times New Roman" w:hAnsi="Times New Roman" w:cs="Times New Roman" w:eastAsia="Times New Roman" w:hint="default"/>
                <w:sz w:val="21"/>
                <w:szCs w:val="21"/>
              </w:rPr>
            </w:pPr>
            <w:r>
              <w:rPr>
                <w:rFonts w:ascii="Times New Roman"/>
                <w:w w:val="100"/>
                <w:sz w:val="21"/>
              </w:rPr>
              <w:t>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92"/>
              <w:jc w:val="right"/>
              <w:rPr>
                <w:rFonts w:ascii="Times New Roman" w:hAnsi="Times New Roman" w:cs="Times New Roman" w:eastAsia="Times New Roman" w:hint="default"/>
                <w:sz w:val="21"/>
                <w:szCs w:val="21"/>
              </w:rPr>
            </w:pPr>
            <w:r>
              <w:rPr>
                <w:rFonts w:ascii="Times New Roman"/>
                <w:w w:val="100"/>
                <w:sz w:val="21"/>
              </w:rPr>
              <w:t>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2" w:right="0"/>
              <w:jc w:val="left"/>
              <w:rPr>
                <w:rFonts w:ascii="Times New Roman" w:hAnsi="Times New Roman" w:cs="Times New Roman" w:eastAsia="Times New Roman" w:hint="default"/>
                <w:sz w:val="21"/>
                <w:szCs w:val="21"/>
              </w:rPr>
            </w:pPr>
            <w:r>
              <w:rPr>
                <w:rFonts w:ascii="Times New Roman"/>
                <w:w w:val="100"/>
                <w:sz w:val="21"/>
              </w:rPr>
              <w:t>1</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汤国安</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58"/>
              <w:jc w:val="right"/>
              <w:rPr>
                <w:rFonts w:ascii="Times New Roman" w:hAnsi="Times New Roman" w:cs="Times New Roman" w:eastAsia="Times New Roman" w:hint="default"/>
                <w:sz w:val="21"/>
                <w:szCs w:val="21"/>
              </w:rPr>
            </w:pPr>
            <w:r>
              <w:rPr>
                <w:rFonts w:ascii="Times New Roman"/>
                <w:w w:val="100"/>
                <w:sz w:val="21"/>
              </w:rPr>
              <w:t>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92"/>
              <w:jc w:val="right"/>
              <w:rPr>
                <w:rFonts w:ascii="Times New Roman" w:hAnsi="Times New Roman" w:cs="Times New Roman" w:eastAsia="Times New Roman" w:hint="default"/>
                <w:sz w:val="21"/>
                <w:szCs w:val="21"/>
              </w:rPr>
            </w:pPr>
            <w:r>
              <w:rPr>
                <w:rFonts w:ascii="Times New Roman"/>
                <w:w w:val="100"/>
                <w:sz w:val="21"/>
              </w:rPr>
              <w:t>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4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82" w:right="0"/>
              <w:jc w:val="left"/>
              <w:rPr>
                <w:rFonts w:ascii="Times New Roman" w:hAnsi="Times New Roman" w:cs="Times New Roman" w:eastAsia="Times New Roman" w:hint="default"/>
                <w:sz w:val="21"/>
                <w:szCs w:val="21"/>
              </w:rPr>
            </w:pPr>
            <w:r>
              <w:rPr>
                <w:rFonts w:ascii="Times New Roman"/>
                <w:w w:val="100"/>
                <w:sz w:val="21"/>
              </w:rPr>
              <w:t>1</w:t>
            </w:r>
          </w:p>
        </w:tc>
      </w:tr>
      <w:tr>
        <w:trPr>
          <w:trHeight w:val="40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张军书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58"/>
              <w:jc w:val="right"/>
              <w:rPr>
                <w:rFonts w:ascii="Times New Roman" w:hAnsi="Times New Roman" w:cs="Times New Roman" w:eastAsia="Times New Roman" w:hint="default"/>
                <w:sz w:val="21"/>
                <w:szCs w:val="21"/>
              </w:rPr>
            </w:pPr>
            <w:r>
              <w:rPr>
                <w:rFonts w:ascii="Times New Roman"/>
                <w:w w:val="100"/>
                <w:sz w:val="21"/>
              </w:rPr>
              <w:t>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92"/>
              <w:jc w:val="right"/>
              <w:rPr>
                <w:rFonts w:ascii="Times New Roman" w:hAnsi="Times New Roman" w:cs="Times New Roman" w:eastAsia="Times New Roman" w:hint="default"/>
                <w:sz w:val="21"/>
                <w:szCs w:val="21"/>
              </w:rPr>
            </w:pPr>
            <w:r>
              <w:rPr>
                <w:rFonts w:ascii="Times New Roman"/>
                <w:w w:val="100"/>
                <w:sz w:val="21"/>
              </w:rPr>
              <w:t>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4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2" w:right="0"/>
              <w:jc w:val="left"/>
              <w:rPr>
                <w:rFonts w:ascii="Times New Roman" w:hAnsi="Times New Roman" w:cs="Times New Roman" w:eastAsia="Times New Roman" w:hint="default"/>
                <w:sz w:val="21"/>
                <w:szCs w:val="21"/>
              </w:rPr>
            </w:pPr>
            <w:r>
              <w:rPr>
                <w:rFonts w:ascii="Times New Roman"/>
                <w:w w:val="100"/>
                <w:sz w:val="21"/>
              </w:rPr>
              <w:t>1</w:t>
            </w:r>
          </w:p>
        </w:tc>
      </w:tr>
    </w:tbl>
    <w:p>
      <w:pPr>
        <w:pStyle w:val="BodyText"/>
        <w:spacing w:line="386" w:lineRule="auto" w:before="79"/>
        <w:ind w:left="453" w:right="5233"/>
        <w:jc w:val="left"/>
      </w:pPr>
      <w:r>
        <w:rPr/>
        <w:t>连续两次未亲自出席董事会的说明 不存在独立董事联系两次未亲自出席董事会的情况。</w:t>
      </w:r>
    </w:p>
    <w:p>
      <w:pPr>
        <w:spacing w:line="240" w:lineRule="auto" w:before="9"/>
        <w:rPr>
          <w:rFonts w:ascii="宋体" w:hAnsi="宋体" w:cs="宋体" w:eastAsia="宋体" w:hint="default"/>
          <w:sz w:val="23"/>
          <w:szCs w:val="23"/>
        </w:rPr>
      </w:pPr>
    </w:p>
    <w:p>
      <w:pPr>
        <w:spacing w:line="552" w:lineRule="auto" w:before="0"/>
        <w:ind w:left="453" w:right="605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独立董事对公司有关事项是否提出异议</w:t>
      </w:r>
    </w:p>
    <w:p>
      <w:pPr>
        <w:spacing w:after="0" w:line="552" w:lineRule="auto"/>
        <w:jc w:val="left"/>
        <w:rPr>
          <w:rFonts w:ascii="宋体" w:hAnsi="宋体" w:cs="宋体" w:eastAsia="宋体" w:hint="default"/>
          <w:sz w:val="24"/>
          <w:szCs w:val="24"/>
        </w:rPr>
        <w:sectPr>
          <w:pgSz w:w="11910" w:h="16840"/>
          <w:pgMar w:header="877" w:footer="979" w:top="1060" w:bottom="1160" w:left="680" w:right="0"/>
        </w:sectPr>
      </w:pPr>
    </w:p>
    <w:p>
      <w:pPr>
        <w:spacing w:line="240" w:lineRule="auto" w:before="7"/>
        <w:rPr>
          <w:rFonts w:ascii="宋体" w:hAnsi="宋体" w:cs="宋体" w:eastAsia="宋体" w:hint="default"/>
          <w:sz w:val="29"/>
          <w:szCs w:val="29"/>
        </w:rPr>
      </w:pPr>
    </w:p>
    <w:p>
      <w:pPr>
        <w:pStyle w:val="BodyText"/>
        <w:spacing w:line="367" w:lineRule="auto" w:before="26"/>
        <w:ind w:right="57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报告期内独立董事对公司有关事项未提出异议。</w:t>
      </w:r>
    </w:p>
    <w:p>
      <w:pPr>
        <w:spacing w:line="240" w:lineRule="auto" w:before="13"/>
        <w:rPr>
          <w:rFonts w:ascii="宋体" w:hAnsi="宋体" w:cs="宋体" w:eastAsia="宋体" w:hint="default"/>
          <w:sz w:val="24"/>
          <w:szCs w:val="24"/>
        </w:rPr>
      </w:pPr>
    </w:p>
    <w:p>
      <w:pPr>
        <w:pStyle w:val="Heading2"/>
        <w:spacing w:line="240" w:lineRule="auto"/>
        <w:ind w:right="127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right="1273"/>
        <w:jc w:val="left"/>
      </w:pPr>
      <w:r>
        <w:rPr/>
        <w:t>独立董事对公司有关建议是否被采纳</w:t>
      </w:r>
    </w:p>
    <w:p>
      <w:pPr>
        <w:pStyle w:val="BodyText"/>
        <w:spacing w:line="240" w:lineRule="auto" w:before="192"/>
        <w:ind w:right="1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48" w:lineRule="auto" w:before="176"/>
        <w:ind w:right="1132"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日第四届董事会第十次会议，就</w:t>
      </w:r>
      <w:r>
        <w:rPr>
          <w:rFonts w:ascii="Times New Roman" w:hAnsi="Times New Roman" w:cs="Times New Roman" w:eastAsia="Times New Roman" w:hint="default"/>
        </w:rPr>
        <w:t>2018</w:t>
      </w:r>
      <w:r>
        <w:rPr>
          <w:rFonts w:ascii="Times New Roman" w:hAnsi="Times New Roman" w:cs="Times New Roman" w:eastAsia="Times New Roman" w:hint="default"/>
          <w:spacing w:val="-47"/>
        </w:rPr>
        <w:t> </w:t>
      </w:r>
      <w:r>
        <w:rPr/>
        <w:t>年</w:t>
      </w:r>
      <w:r>
        <w:rPr>
          <w:spacing w:val="-95"/>
        </w:rPr>
        <w:t> </w:t>
      </w:r>
      <w:r>
        <w:rPr/>
        <w:t>半年度控股股东及其他关联方占</w:t>
      </w:r>
      <w:r>
        <w:rPr/>
        <w:t> 用公司资金、公司对外担保情况、募集资金的存放和使用情况以及拟注销产业并购基金等事 项进行审议并发表了独立意见；</w:t>
      </w:r>
    </w:p>
    <w:p>
      <w:pPr>
        <w:pStyle w:val="BodyText"/>
        <w:spacing w:line="338" w:lineRule="auto" w:before="86"/>
        <w:ind w:right="1132" w:firstLine="48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43"/>
        </w:rPr>
        <w:t> </w:t>
      </w:r>
      <w:r>
        <w:rPr/>
        <w:t>年</w:t>
      </w:r>
      <w:r>
        <w:rPr>
          <w:spacing w:val="-90"/>
        </w:rPr>
        <w:t> </w:t>
      </w:r>
      <w:r>
        <w:rPr>
          <w:rFonts w:ascii="Times New Roman" w:hAnsi="Times New Roman" w:cs="Times New Roman" w:eastAsia="Times New Roman" w:hint="default"/>
        </w:rPr>
        <w:t>8</w:t>
      </w:r>
      <w:r>
        <w:rPr>
          <w:rFonts w:ascii="Times New Roman" w:hAnsi="Times New Roman" w:cs="Times New Roman" w:eastAsia="Times New Roman" w:hint="default"/>
          <w:spacing w:val="-43"/>
        </w:rPr>
        <w:t> </w:t>
      </w:r>
      <w:r>
        <w:rPr/>
        <w:t>月</w:t>
      </w:r>
      <w:r>
        <w:rPr>
          <w:spacing w:val="-90"/>
        </w:rPr>
        <w:t> </w:t>
      </w: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日</w:t>
      </w:r>
      <w:r>
        <w:rPr>
          <w:spacing w:val="-90"/>
        </w:rPr>
        <w:t> </w:t>
      </w:r>
      <w:r>
        <w:rPr/>
        <w:t>第四届董事会第九次会议，就公司继续使用暂时闲置募集资金进行现</w:t>
      </w:r>
      <w:r>
        <w:rPr/>
        <w:t> 金管理进行审议并发表了独立意见；</w:t>
      </w:r>
    </w:p>
    <w:p>
      <w:pPr>
        <w:pStyle w:val="BodyText"/>
        <w:spacing w:line="338" w:lineRule="auto" w:before="94"/>
        <w:ind w:right="1151" w:firstLine="480"/>
        <w:jc w:val="both"/>
      </w:pPr>
      <w:r>
        <w:rPr>
          <w:rFonts w:ascii="Times New Roman" w:hAnsi="Times New Roman" w:cs="Times New Roman" w:eastAsia="Times New Roman" w:hint="default"/>
          <w:spacing w:val="11"/>
        </w:rPr>
        <w:t>3</w:t>
      </w:r>
      <w:r>
        <w:rPr>
          <w:spacing w:val="11"/>
        </w:rPr>
        <w:t>、</w:t>
      </w:r>
      <w:r>
        <w:rPr>
          <w:rFonts w:ascii="Times New Roman" w:hAnsi="Times New Roman" w:cs="Times New Roman" w:eastAsia="Times New Roman" w:hint="default"/>
          <w:spacing w:val="11"/>
        </w:rPr>
        <w:t>2018</w:t>
      </w:r>
      <w:r>
        <w:rPr>
          <w:spacing w:val="11"/>
        </w:rPr>
        <w:t>年</w:t>
      </w:r>
      <w:r>
        <w:rPr>
          <w:spacing w:val="-81"/>
        </w:rPr>
        <w:t> </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t>月</w:t>
      </w:r>
      <w:r>
        <w:rPr>
          <w:spacing w:val="-81"/>
        </w:rPr>
        <w:t> </w:t>
      </w:r>
      <w:r>
        <w:rPr>
          <w:rFonts w:ascii="Times New Roman" w:hAnsi="Times New Roman" w:cs="Times New Roman" w:eastAsia="Times New Roman" w:hint="default"/>
          <w:spacing w:val="13"/>
        </w:rPr>
        <w:t>25</w:t>
      </w:r>
      <w:r>
        <w:rPr>
          <w:spacing w:val="13"/>
        </w:rPr>
        <w:t>日</w:t>
      </w:r>
      <w:r>
        <w:rPr>
          <w:spacing w:val="-81"/>
        </w:rPr>
        <w:t> </w:t>
      </w:r>
      <w:r>
        <w:rPr/>
        <w:t>公司第四届董事会第八次会议，就公司聘任高级管理人员暨变更董</w:t>
      </w:r>
      <w:r>
        <w:rPr/>
        <w:t> 事会秘书事项进行审议并发表了独立意见。</w:t>
      </w:r>
    </w:p>
    <w:p>
      <w:pPr>
        <w:pStyle w:val="BodyText"/>
        <w:spacing w:line="338" w:lineRule="auto" w:before="96"/>
        <w:ind w:right="1171"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日公司第四届董事会第七次会议，就公司股权激励计划预留部分限制性 股票第四个解锁期条件成就可解锁事项进行审议并发表了独立意见。</w:t>
      </w:r>
    </w:p>
    <w:p>
      <w:pPr>
        <w:pStyle w:val="BodyText"/>
        <w:spacing w:line="338" w:lineRule="auto" w:before="96"/>
        <w:ind w:right="1132" w:firstLine="480"/>
        <w:jc w:val="both"/>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8</w:t>
      </w:r>
      <w:r>
        <w:rPr>
          <w:spacing w:val="-3"/>
        </w:rPr>
        <w:t>日，公司第四届董事会第六次会议，就变更公司财务总监事项进行了审议</w:t>
      </w:r>
      <w:r>
        <w:rPr/>
        <w:t> 并发表了独立意见。</w:t>
      </w:r>
    </w:p>
    <w:p>
      <w:pPr>
        <w:pStyle w:val="BodyText"/>
        <w:spacing w:line="343" w:lineRule="auto" w:before="94"/>
        <w:ind w:right="1128" w:firstLine="48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日，公司第四届董事会第四次会议，就</w:t>
      </w:r>
      <w:r>
        <w:rPr>
          <w:rFonts w:ascii="Times New Roman" w:hAnsi="Times New Roman" w:cs="Times New Roman" w:eastAsia="Times New Roman" w:hint="default"/>
        </w:rPr>
        <w:t>2017</w:t>
      </w:r>
      <w:r>
        <w:rPr>
          <w:rFonts w:ascii="Times New Roman" w:hAnsi="Times New Roman" w:cs="Times New Roman" w:eastAsia="Times New Roman" w:hint="default"/>
          <w:spacing w:val="-46"/>
        </w:rPr>
        <w:t> </w:t>
      </w:r>
      <w:r>
        <w:rPr/>
        <w:t>年</w:t>
      </w:r>
      <w:r>
        <w:rPr>
          <w:spacing w:val="-95"/>
        </w:rPr>
        <w:t> </w:t>
      </w:r>
      <w:r>
        <w:rPr/>
        <w:t>度募集资金存放与使用情</w:t>
      </w:r>
      <w:r>
        <w:rPr/>
        <w:t> </w:t>
      </w:r>
      <w:r>
        <w:rPr>
          <w:spacing w:val="11"/>
        </w:rPr>
        <w:t>况、</w:t>
      </w:r>
      <w:r>
        <w:rPr>
          <w:rFonts w:ascii="Times New Roman" w:hAnsi="Times New Roman" w:cs="Times New Roman" w:eastAsia="Times New Roman" w:hint="default"/>
          <w:spacing w:val="11"/>
        </w:rPr>
        <w:t>2017</w:t>
      </w:r>
      <w:r>
        <w:rPr>
          <w:spacing w:val="11"/>
        </w:rPr>
        <w:t>年</w:t>
      </w:r>
      <w:r>
        <w:rPr>
          <w:spacing w:val="-80"/>
        </w:rPr>
        <w:t> </w:t>
      </w:r>
      <w:r>
        <w:rPr>
          <w:spacing w:val="4"/>
        </w:rPr>
        <w:t>度公司内部控制自我评价报告、</w:t>
      </w:r>
      <w:r>
        <w:rPr>
          <w:rFonts w:ascii="Times New Roman" w:hAnsi="Times New Roman" w:cs="Times New Roman" w:eastAsia="Times New Roman" w:hint="default"/>
          <w:spacing w:val="4"/>
        </w:rPr>
        <w:t>2017</w:t>
      </w:r>
      <w:r>
        <w:rPr>
          <w:spacing w:val="4"/>
        </w:rPr>
        <w:t>年</w:t>
      </w:r>
      <w:r>
        <w:rPr>
          <w:spacing w:val="-80"/>
        </w:rPr>
        <w:t> </w:t>
      </w:r>
      <w:r>
        <w:rPr/>
        <w:t>度关联交易、公司与控股股东及关联方</w:t>
      </w:r>
      <w:r>
        <w:rPr>
          <w:spacing w:val="-117"/>
        </w:rPr>
        <w:t> </w:t>
      </w:r>
      <w:r>
        <w:rPr>
          <w:spacing w:val="-117"/>
        </w:rPr>
      </w:r>
      <w:r>
        <w:rPr/>
        <w:t>资金往来情况和对外担保情况、</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52"/>
        </w:rPr>
        <w:t> </w:t>
      </w:r>
      <w:r>
        <w:rPr>
          <w:spacing w:val="-3"/>
        </w:rPr>
        <w:t>度董事、高级管理人员薪酬、公司</w:t>
      </w:r>
      <w:r>
        <w:rPr>
          <w:rFonts w:ascii="Times New Roman" w:hAnsi="Times New Roman" w:cs="Times New Roman" w:eastAsia="Times New Roman" w:hint="default"/>
          <w:spacing w:val="-3"/>
        </w:rPr>
        <w:t>2017</w:t>
      </w:r>
      <w:r>
        <w:rPr>
          <w:spacing w:val="-3"/>
        </w:rPr>
        <w:t>年度利润分配</w:t>
      </w:r>
      <w:r>
        <w:rPr>
          <w:spacing w:val="-113"/>
        </w:rPr>
        <w:t> </w:t>
      </w:r>
      <w:r>
        <w:rPr/>
        <w:t>预案、关于使用暂时闲置自有资金进行现金管理、变更公司董事以及会计政策变更等事项进</w:t>
      </w:r>
      <w:r>
        <w:rPr/>
        <w:t> 行了认真审议并发表独立意见。</w:t>
      </w:r>
    </w:p>
    <w:p>
      <w:pPr>
        <w:spacing w:line="766" w:lineRule="exact" w:before="21"/>
        <w:ind w:left="573" w:right="1116" w:hanging="420"/>
        <w:jc w:val="left"/>
        <w:rPr>
          <w:rFonts w:ascii="宋体" w:hAnsi="宋体" w:cs="宋体" w:eastAsia="宋体" w:hint="default"/>
          <w:sz w:val="24"/>
          <w:szCs w:val="24"/>
        </w:rPr>
      </w:pP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公司董事会下设四个专业委员会：审计委员会、薪酬与考核委员会、提名委员会以及战</w:t>
      </w:r>
      <w:r>
        <w:rPr>
          <w:rFonts w:ascii="宋体" w:hAnsi="宋体" w:cs="宋体" w:eastAsia="宋体" w:hint="default"/>
          <w:sz w:val="24"/>
          <w:szCs w:val="24"/>
        </w:rPr>
      </w:r>
    </w:p>
    <w:p>
      <w:pPr>
        <w:pStyle w:val="BodyText"/>
        <w:spacing w:line="240" w:lineRule="auto" w:before="34"/>
        <w:ind w:right="1273"/>
        <w:jc w:val="left"/>
      </w:pPr>
      <w:r>
        <w:rPr/>
        <w:t>略与发展委员会。</w:t>
      </w:r>
    </w:p>
    <w:p>
      <w:pPr>
        <w:pStyle w:val="BodyText"/>
        <w:spacing w:line="240" w:lineRule="auto" w:before="194"/>
        <w:ind w:left="633" w:right="1273"/>
        <w:jc w:val="left"/>
      </w:pPr>
      <w:r>
        <w:rPr/>
        <w:t>（一）审计委员会</w:t>
      </w:r>
    </w:p>
    <w:p>
      <w:pPr>
        <w:pStyle w:val="BodyText"/>
        <w:spacing w:line="240" w:lineRule="auto" w:before="194"/>
        <w:ind w:left="573" w:right="997"/>
        <w:jc w:val="left"/>
      </w:pPr>
      <w:r>
        <w:rPr/>
        <w:t>公司董事会审计委员会由 </w:t>
      </w:r>
      <w:r>
        <w:rPr>
          <w:rFonts w:ascii="Times New Roman" w:hAnsi="Times New Roman" w:cs="Times New Roman" w:eastAsia="Times New Roman" w:hint="default"/>
        </w:rPr>
        <w:t>3 </w:t>
      </w:r>
      <w:r>
        <w:rPr/>
        <w:t>名成员组成，其中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名为独立董事，并由会计专业的独立董</w:t>
      </w:r>
    </w:p>
    <w:p>
      <w:pPr>
        <w:spacing w:after="0" w:line="240"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2" w:lineRule="auto" w:before="26"/>
        <w:ind w:right="1131"/>
        <w:jc w:val="both"/>
      </w:pPr>
      <w:r>
        <w:rPr/>
        <w:t>事担任召集人。审计委员会定期召开会议，审议了定期报告相关事项及内部审计部门提交的</w:t>
      </w:r>
      <w:r>
        <w:rPr>
          <w:spacing w:val="-91"/>
        </w:rPr>
        <w:t> </w:t>
      </w:r>
      <w:r>
        <w:rPr>
          <w:spacing w:val="-91"/>
        </w:rPr>
      </w:r>
      <w:r>
        <w:rPr/>
        <w:t>工作计划和报告等事项。审计委员会与年审注册会计师进行沟通，督促其按计划进行审计工</w:t>
      </w:r>
      <w:r>
        <w:rPr>
          <w:spacing w:val="-91"/>
        </w:rPr>
        <w:t> </w:t>
      </w:r>
      <w:r>
        <w:rPr>
          <w:spacing w:val="-91"/>
        </w:rPr>
      </w:r>
      <w:r>
        <w:rPr/>
        <w:t>作，就年度审计事宜与公司管理层和年审机构进行沟通，并对年度审计机构的年报审计工作</w:t>
      </w:r>
      <w:r>
        <w:rPr>
          <w:spacing w:val="-90"/>
        </w:rPr>
        <w:t> </w:t>
      </w:r>
      <w:r>
        <w:rPr>
          <w:spacing w:val="-90"/>
        </w:rPr>
      </w:r>
      <w:r>
        <w:rPr/>
        <w:t>进行总结和评价。报告期内，审计委员会共召开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次会议，对公司内控情况、募集资金存放 与使用情况、控股股东及关联方资金占用等事项进行审议。</w:t>
      </w:r>
    </w:p>
    <w:p>
      <w:pPr>
        <w:pStyle w:val="BodyText"/>
        <w:spacing w:line="240" w:lineRule="auto" w:before="82"/>
        <w:ind w:left="578" w:right="1273"/>
        <w:jc w:val="left"/>
      </w:pPr>
      <w:r>
        <w:rPr/>
        <w:t>（二）薪酬与考核委员会</w:t>
      </w:r>
    </w:p>
    <w:p>
      <w:pPr>
        <w:pStyle w:val="BodyText"/>
        <w:spacing w:line="345" w:lineRule="auto" w:before="192"/>
        <w:ind w:right="1130" w:firstLine="420"/>
        <w:jc w:val="both"/>
      </w:pPr>
      <w:r>
        <w:rPr/>
        <w:t>公司薪酬与考核委员会由 </w:t>
      </w:r>
      <w:r>
        <w:rPr>
          <w:rFonts w:ascii="Times New Roman" w:hAnsi="Times New Roman" w:cs="Times New Roman" w:eastAsia="Times New Roman" w:hint="default"/>
        </w:rPr>
        <w:t>3 </w:t>
      </w:r>
      <w:r>
        <w:rPr/>
        <w:t>名成员组成，其中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名为独立董事，并由独立董事担任召集 人。报告期内，薪酬与考核委员会对董事和高级管理人员的履职情况进行了审核并对其进行</w:t>
      </w:r>
      <w:r>
        <w:rPr>
          <w:spacing w:val="-91"/>
        </w:rPr>
        <w:t> </w:t>
      </w:r>
      <w:r>
        <w:rPr>
          <w:spacing w:val="-91"/>
        </w:rPr>
      </w:r>
      <w:r>
        <w:rPr/>
        <w:t>年度绩效考评，监督公司薪酬制度的执行情况。报告期内，薪酬与考核委员会共召开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次会 议，对董事和高级管理人员的薪酬以及公司股权激励计划限制性股票解锁等事项进行审议。</w:t>
      </w:r>
    </w:p>
    <w:p>
      <w:pPr>
        <w:pStyle w:val="BodyText"/>
        <w:spacing w:line="240" w:lineRule="auto" w:before="89"/>
        <w:ind w:left="633" w:right="1273"/>
        <w:jc w:val="left"/>
      </w:pPr>
      <w:r>
        <w:rPr/>
        <w:t>（三）提名委员会</w:t>
      </w:r>
    </w:p>
    <w:p>
      <w:pPr>
        <w:pStyle w:val="BodyText"/>
        <w:spacing w:line="240" w:lineRule="auto" w:before="194"/>
        <w:ind w:left="633" w:right="997"/>
        <w:jc w:val="left"/>
      </w:pPr>
      <w:r>
        <w:rPr/>
        <w:t>公司提名委员会由</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名成员组成，其中</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名为独立董事，并由独立董事担任召集人。报</w:t>
      </w:r>
    </w:p>
    <w:p>
      <w:pPr>
        <w:pStyle w:val="BodyText"/>
        <w:spacing w:line="348" w:lineRule="auto" w:before="135"/>
        <w:ind w:right="1132"/>
        <w:jc w:val="both"/>
      </w:pPr>
      <w:r>
        <w:rPr/>
        <w:t>告期内，提名委员会共召开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9"/>
        </w:rPr>
        <w:t>次会议，其根据公司《章程》、《董事会提名委员会工作细则》</w:t>
      </w:r>
      <w:r>
        <w:rPr/>
        <w:t> 等有关规定，积极履行职责，对变更财务总监、聘任高级管理人员暨董事会秘书变更事项进</w:t>
      </w:r>
      <w:r>
        <w:rPr>
          <w:spacing w:val="-91"/>
        </w:rPr>
        <w:t> </w:t>
      </w:r>
      <w:r>
        <w:rPr>
          <w:spacing w:val="-91"/>
        </w:rPr>
      </w:r>
      <w:r>
        <w:rPr/>
        <w:t>行审议。</w:t>
      </w:r>
    </w:p>
    <w:p>
      <w:pPr>
        <w:pStyle w:val="BodyText"/>
        <w:spacing w:line="240" w:lineRule="auto" w:before="84"/>
        <w:ind w:left="578" w:right="1273"/>
        <w:jc w:val="left"/>
      </w:pPr>
      <w:r>
        <w:rPr/>
        <w:t>（四）战略与发展委员会</w:t>
      </w:r>
    </w:p>
    <w:p>
      <w:pPr>
        <w:pStyle w:val="BodyText"/>
        <w:spacing w:line="350" w:lineRule="auto" w:before="194"/>
        <w:ind w:right="1132" w:firstLine="420"/>
        <w:jc w:val="both"/>
      </w:pPr>
      <w:r>
        <w:rPr/>
        <w:t>公司战略与发展委员会共有委员 </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名，由独立董事担任召集人，人员数目以及人员结构 符合《公司章程》以及《公司战略与发展委员会实施细则》的要求。报告期内，战略与发展</w:t>
      </w:r>
      <w:r>
        <w:rPr>
          <w:spacing w:val="-91"/>
        </w:rPr>
        <w:t> </w:t>
      </w:r>
      <w:r>
        <w:rPr>
          <w:spacing w:val="-91"/>
        </w:rPr>
      </w:r>
      <w:r>
        <w:rPr/>
        <w:t>委员会根据公司中长期发展战略，对公司重大投资事项进行了研究和分析，并结合行业趋势</w:t>
      </w:r>
      <w:r>
        <w:rPr>
          <w:spacing w:val="-88"/>
        </w:rPr>
        <w:t> </w:t>
      </w:r>
      <w:r>
        <w:rPr>
          <w:spacing w:val="-88"/>
        </w:rPr>
      </w:r>
      <w:r>
        <w:rPr/>
        <w:t>针对未来业务整合提出了建议。报告期内，公司战略与发展委员会共召开</w:t>
      </w:r>
      <w:r>
        <w:rPr>
          <w:spacing w:val="-59"/>
        </w:rPr>
        <w:t> </w:t>
      </w:r>
      <w:r>
        <w:rPr>
          <w:rFonts w:ascii="Times New Roman" w:hAnsi="Times New Roman" w:cs="Times New Roman" w:eastAsia="Times New Roman" w:hint="default"/>
        </w:rPr>
        <w:t>0 </w:t>
      </w:r>
      <w:r>
        <w:rPr/>
        <w:t>次会议。</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34"/>
          <w:szCs w:val="34"/>
        </w:rPr>
      </w:pPr>
    </w:p>
    <w:p>
      <w:pPr>
        <w:pStyle w:val="BodyText"/>
        <w:spacing w:line="240" w:lineRule="auto" w:before="0"/>
        <w:ind w:right="0"/>
        <w:jc w:val="both"/>
      </w:pPr>
      <w:r>
        <w:rPr/>
        <w:t>监事会在报告期内的监督活动中发现公司是否存在风险</w:t>
      </w:r>
    </w:p>
    <w:p>
      <w:pPr>
        <w:pStyle w:val="BodyText"/>
        <w:spacing w:line="364" w:lineRule="auto" w:before="194"/>
        <w:ind w:right="6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公司监事会对报告期内的监督事项无异议。</w:t>
      </w:r>
    </w:p>
    <w:p>
      <w:pPr>
        <w:spacing w:line="240" w:lineRule="auto" w:before="4"/>
        <w:rPr>
          <w:rFonts w:ascii="宋体" w:hAnsi="宋体" w:cs="宋体" w:eastAsia="宋体" w:hint="default"/>
          <w:sz w:val="25"/>
          <w:szCs w:val="25"/>
        </w:rPr>
      </w:pPr>
    </w:p>
    <w:p>
      <w:pPr>
        <w:spacing w:line="585" w:lineRule="auto" w:before="0"/>
        <w:ind w:left="633" w:right="1116" w:hanging="480"/>
        <w:jc w:val="left"/>
        <w:rPr>
          <w:rFonts w:ascii="宋体" w:hAnsi="宋体" w:cs="宋体" w:eastAsia="宋体" w:hint="default"/>
          <w:sz w:val="24"/>
          <w:szCs w:val="24"/>
        </w:rPr>
      </w:pP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公司高级管理人员的薪酬分配与考核以公司规模与经济效益为基础，根据公司年度经营</w:t>
      </w:r>
    </w:p>
    <w:p>
      <w:pPr>
        <w:spacing w:after="0" w:line="585" w:lineRule="auto"/>
        <w:jc w:val="left"/>
        <w:rPr>
          <w:rFonts w:ascii="宋体" w:hAnsi="宋体" w:cs="宋体" w:eastAsia="宋体" w:hint="default"/>
          <w:sz w:val="24"/>
          <w:szCs w:val="24"/>
        </w:rPr>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995"/>
        <w:jc w:val="left"/>
      </w:pPr>
      <w:r>
        <w:rPr/>
        <w:t>目标和岗位分管工作的年度工作目标，进行综合考核，根据考核结果确定高级管理人员年度</w:t>
      </w:r>
      <w:r>
        <w:rPr>
          <w:spacing w:val="-91"/>
        </w:rPr>
        <w:t> </w:t>
      </w:r>
      <w:r>
        <w:rPr>
          <w:spacing w:val="-91"/>
        </w:rPr>
      </w:r>
      <w:r>
        <w:rPr>
          <w:spacing w:val="-2"/>
        </w:rPr>
        <w:t>薪酬。公司董事会薪酬与考核委员会是对高级管理人员进行薪酬方案制定和考核管理的机构。</w:t>
      </w:r>
    </w:p>
    <w:p>
      <w:pPr>
        <w:pStyle w:val="BodyText"/>
        <w:spacing w:line="357" w:lineRule="auto" w:before="77"/>
        <w:ind w:right="1138" w:firstLine="480"/>
        <w:jc w:val="both"/>
      </w:pPr>
      <w:r>
        <w:rPr/>
        <w:t>经营年度开始前，公司与全体高管人员分别签署绩效考核任务书，高级管理人员签订的 绩效考核任务书将作为高级管理人员年度薪酬考核的依据。在经营年度结束后，人力资源中</w:t>
      </w:r>
      <w:r>
        <w:rPr>
          <w:spacing w:val="-91"/>
        </w:rPr>
        <w:t> </w:t>
      </w:r>
      <w:r>
        <w:rPr>
          <w:spacing w:val="-91"/>
        </w:rPr>
      </w:r>
      <w:r>
        <w:rPr/>
        <w:t>心比照工作计划和目标完成情况，对高级管理人员进行绩效考核评价，并依据考核结果公司</w:t>
      </w:r>
      <w:r>
        <w:rPr>
          <w:spacing w:val="-91"/>
        </w:rPr>
        <w:t> </w:t>
      </w:r>
      <w:r>
        <w:rPr>
          <w:spacing w:val="-91"/>
        </w:rPr>
      </w:r>
      <w:r>
        <w:rPr/>
        <w:t>确定绩效年薪。</w:t>
      </w:r>
    </w:p>
    <w:p>
      <w:pPr>
        <w:pStyle w:val="BodyText"/>
        <w:spacing w:line="357" w:lineRule="auto" w:before="74"/>
        <w:ind w:right="1140" w:firstLine="480"/>
        <w:jc w:val="both"/>
      </w:pPr>
      <w:r>
        <w:rPr/>
        <w:t>根据公司整体业绩完成情况和高级管理人员绩效评价结果，人力资源中心提出高级管理 人员的业绩奖金分配方案，报薪酬与考核委员会审核。</w:t>
      </w:r>
    </w:p>
    <w:p>
      <w:pPr>
        <w:spacing w:line="240" w:lineRule="auto" w:before="12"/>
        <w:rPr>
          <w:rFonts w:ascii="宋体" w:hAnsi="宋体" w:cs="宋体" w:eastAsia="宋体" w:hint="default"/>
          <w:sz w:val="25"/>
          <w:szCs w:val="25"/>
        </w:rPr>
      </w:pPr>
    </w:p>
    <w:p>
      <w:pPr>
        <w:pStyle w:val="Heading2"/>
        <w:spacing w:line="240" w:lineRule="auto"/>
        <w:ind w:right="1273"/>
        <w:jc w:val="left"/>
        <w:rPr>
          <w:b w:val="0"/>
          <w:bCs w:val="0"/>
        </w:rPr>
      </w:pPr>
      <w:r>
        <w:rPr/>
        <w:t>九、内部控制评价报告</w:t>
      </w:r>
      <w:r>
        <w:rPr>
          <w:b w:val="0"/>
          <w:bCs w:val="0"/>
        </w:rPr>
      </w:r>
    </w:p>
    <w:p>
      <w:pPr>
        <w:spacing w:line="240" w:lineRule="auto" w:before="7"/>
        <w:rPr>
          <w:rFonts w:ascii="宋体" w:hAnsi="宋体" w:cs="宋体" w:eastAsia="宋体" w:hint="default"/>
          <w:b/>
          <w:bCs/>
          <w:sz w:val="34"/>
          <w:szCs w:val="34"/>
        </w:rPr>
      </w:pPr>
    </w:p>
    <w:p>
      <w:pPr>
        <w:pStyle w:val="Heading2"/>
        <w:spacing w:line="240" w:lineRule="auto"/>
        <w:ind w:right="127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right="1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6"/>
        <w:rPr>
          <w:rFonts w:ascii="宋体" w:hAnsi="宋体" w:cs="宋体" w:eastAsia="宋体" w:hint="default"/>
          <w:sz w:val="27"/>
          <w:szCs w:val="27"/>
        </w:rPr>
      </w:pPr>
    </w:p>
    <w:p>
      <w:pPr>
        <w:pStyle w:val="Heading2"/>
        <w:spacing w:line="240" w:lineRule="auto"/>
        <w:ind w:right="127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15"/>
        <w:gridCol w:w="3266"/>
        <w:gridCol w:w="3260"/>
      </w:tblGrid>
      <w:tr>
        <w:trPr>
          <w:trHeight w:val="401" w:hRule="exact"/>
        </w:trPr>
        <w:tc>
          <w:tcPr>
            <w:tcW w:w="31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526"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3" w:hRule="exact"/>
        </w:trPr>
        <w:tc>
          <w:tcPr>
            <w:tcW w:w="3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5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13" w:hRule="exact"/>
        </w:trPr>
        <w:tc>
          <w:tcPr>
            <w:tcW w:w="3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33"/>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5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r>
      <w:tr>
        <w:trPr>
          <w:trHeight w:val="715" w:hRule="exact"/>
        </w:trPr>
        <w:tc>
          <w:tcPr>
            <w:tcW w:w="3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33"/>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5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r>
      <w:tr>
        <w:trPr>
          <w:trHeight w:val="402" w:hRule="exact"/>
        </w:trPr>
        <w:tc>
          <w:tcPr>
            <w:tcW w:w="96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2" w:hRule="exact"/>
        </w:trPr>
        <w:tc>
          <w:tcPr>
            <w:tcW w:w="3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1666" w:hRule="exact"/>
        </w:trPr>
        <w:tc>
          <w:tcPr>
            <w:tcW w:w="3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6" w:type="dxa"/>
            <w:vMerge w:val="restart"/>
            <w:tcBorders>
              <w:top w:val="single" w:sz="4" w:space="0" w:color="000000"/>
              <w:left w:val="single" w:sz="10" w:space="0" w:color="D2D2D2"/>
              <w:right w:val="single" w:sz="4" w:space="0" w:color="000000"/>
            </w:tcBorders>
          </w:tcPr>
          <w:p>
            <w:pPr>
              <w:pStyle w:val="TableParagraph"/>
              <w:spacing w:line="240" w:lineRule="auto" w:before="28"/>
              <w:ind w:left="22" w:right="0"/>
              <w:jc w:val="both"/>
              <w:rPr>
                <w:rFonts w:ascii="宋体" w:hAnsi="宋体" w:cs="宋体" w:eastAsia="宋体" w:hint="default"/>
                <w:sz w:val="21"/>
                <w:szCs w:val="21"/>
              </w:rPr>
            </w:pPr>
            <w:r>
              <w:rPr>
                <w:rFonts w:ascii="宋体" w:hAnsi="宋体" w:cs="宋体" w:eastAsia="宋体" w:hint="default"/>
                <w:sz w:val="21"/>
                <w:szCs w:val="21"/>
              </w:rPr>
              <w:t>财务报告重大缺陷的迹象包括：</w:t>
            </w:r>
          </w:p>
          <w:p>
            <w:pPr>
              <w:pStyle w:val="TableParagraph"/>
              <w:spacing w:line="259" w:lineRule="auto" w:before="75"/>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）公司已经上报或披露的财务报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告出现的重大差错进行错报更正；</w:t>
            </w:r>
          </w:p>
          <w:p>
            <w:pPr>
              <w:pStyle w:val="TableParagraph"/>
              <w:spacing w:line="264" w:lineRule="auto" w:before="61"/>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）公司的审计机构发现当期财务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报告存在重大错报，而公司内部控</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制运行过程中未能发现；</w:t>
            </w:r>
          </w:p>
          <w:p>
            <w:pPr>
              <w:pStyle w:val="TableParagraph"/>
              <w:spacing w:line="256" w:lineRule="auto" w:before="57"/>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）公司审计委员会以及内部审计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部门对内部控制监督无效；</w:t>
            </w:r>
          </w:p>
          <w:p>
            <w:pPr>
              <w:pStyle w:val="TableParagraph"/>
              <w:spacing w:line="256" w:lineRule="auto" w:before="61"/>
              <w:ind w:left="22"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）董事、监事或高级管理层中出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现重大舞弊行为；</w:t>
            </w:r>
          </w:p>
          <w:p>
            <w:pPr>
              <w:pStyle w:val="TableParagraph"/>
              <w:spacing w:line="240" w:lineRule="auto" w:before="63"/>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财务报告重要缺陷的迹象包括</w:t>
            </w:r>
            <w:r>
              <w:rPr>
                <w:rFonts w:ascii="Times New Roman" w:hAnsi="Times New Roman" w:cs="Times New Roman" w:eastAsia="Times New Roman" w:hint="default"/>
                <w:sz w:val="21"/>
                <w:szCs w:val="21"/>
              </w:rPr>
              <w:t>:</w:t>
            </w:r>
          </w:p>
        </w:tc>
        <w:tc>
          <w:tcPr>
            <w:tcW w:w="3260" w:type="dxa"/>
            <w:vMerge w:val="restart"/>
            <w:tcBorders>
              <w:top w:val="single" w:sz="4" w:space="0" w:color="000000"/>
              <w:left w:val="single" w:sz="4" w:space="0" w:color="000000"/>
              <w:right w:val="single" w:sz="4" w:space="0" w:color="000000"/>
            </w:tcBorders>
          </w:tcPr>
          <w:p>
            <w:pPr>
              <w:pStyle w:val="TableParagraph"/>
              <w:spacing w:line="271" w:lineRule="auto" w:before="69"/>
              <w:ind w:left="23" w:right="21"/>
              <w:jc w:val="both"/>
              <w:rPr>
                <w:rFonts w:ascii="宋体" w:hAnsi="宋体" w:cs="宋体" w:eastAsia="宋体" w:hint="default"/>
                <w:sz w:val="21"/>
                <w:szCs w:val="21"/>
              </w:rPr>
            </w:pPr>
            <w:r>
              <w:rPr>
                <w:rFonts w:ascii="宋体" w:hAnsi="宋体" w:cs="宋体" w:eastAsia="宋体" w:hint="default"/>
                <w:sz w:val="21"/>
                <w:szCs w:val="21"/>
              </w:rPr>
              <w:t>出现以下情形的，可认定为重大缺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陷：</w:t>
            </w:r>
          </w:p>
          <w:p>
            <w:pPr>
              <w:pStyle w:val="TableParagraph"/>
              <w:spacing w:line="266" w:lineRule="auto" w:before="5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）公司重大事项决策违反国家有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关法律法规，决策程序缺乏集体民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主决策程序，或集体民主决策程序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不规范；</w:t>
            </w:r>
          </w:p>
          <w:p>
            <w:pPr>
              <w:pStyle w:val="TableParagraph"/>
              <w:spacing w:line="256" w:lineRule="auto" w:before="55"/>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）公司决策程序不科学，或决策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出现重大失误；</w:t>
            </w:r>
          </w:p>
          <w:p>
            <w:pPr>
              <w:pStyle w:val="TableParagraph"/>
              <w:spacing w:line="256" w:lineRule="auto" w:before="6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）公司经营或决策严重违反国家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法律法规；</w:t>
            </w:r>
          </w:p>
          <w:p>
            <w:pPr>
              <w:pStyle w:val="TableParagraph"/>
              <w:spacing w:line="240" w:lineRule="auto" w:before="63"/>
              <w:ind w:left="23" w:right="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）公司出现重大环境污染或其他</w:t>
            </w:r>
          </w:p>
        </w:tc>
      </w:tr>
      <w:tr>
        <w:trPr>
          <w:trHeight w:val="391" w:hRule="exact"/>
        </w:trPr>
        <w:tc>
          <w:tcPr>
            <w:tcW w:w="31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266" w:type="dxa"/>
            <w:vMerge/>
            <w:tcBorders>
              <w:left w:val="single" w:sz="10" w:space="0" w:color="D2D2D2"/>
              <w:right w:val="single" w:sz="4" w:space="0" w:color="000000"/>
            </w:tcBorders>
          </w:tcPr>
          <w:p>
            <w:pPr/>
          </w:p>
        </w:tc>
        <w:tc>
          <w:tcPr>
            <w:tcW w:w="3260" w:type="dxa"/>
            <w:vMerge/>
            <w:tcBorders>
              <w:left w:val="single" w:sz="4" w:space="0" w:color="000000"/>
              <w:right w:val="single" w:sz="4" w:space="0" w:color="000000"/>
            </w:tcBorders>
          </w:tcPr>
          <w:p>
            <w:pPr/>
          </w:p>
        </w:tc>
      </w:tr>
      <w:tr>
        <w:trPr>
          <w:trHeight w:val="1666" w:hRule="exact"/>
        </w:trPr>
        <w:tc>
          <w:tcPr>
            <w:tcW w:w="3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6" w:type="dxa"/>
            <w:vMerge/>
            <w:tcBorders>
              <w:left w:val="single" w:sz="10" w:space="0" w:color="D2D2D2"/>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19"/>
        <w:gridCol w:w="3260"/>
        <w:gridCol w:w="3260"/>
      </w:tblGrid>
      <w:tr>
        <w:trPr>
          <w:trHeight w:val="9306"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）未依照公认会计准则选择和应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用会计政策；</w:t>
            </w:r>
          </w:p>
          <w:p>
            <w:pPr>
              <w:pStyle w:val="TableParagraph"/>
              <w:spacing w:line="264"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）对于非常规或特殊交易的账务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处理没有建立相应的控制机制或没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有实施且没有相应的补偿性控制；</w:t>
            </w:r>
          </w:p>
          <w:p>
            <w:pPr>
              <w:pStyle w:val="TableParagraph"/>
              <w:spacing w:line="266" w:lineRule="auto" w:before="54"/>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）对于期末财务报告过程的控制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存在一项或多项缺陷且不能合理保</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证编制的财务报表达到真实、完整</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的目标。</w:t>
            </w:r>
          </w:p>
          <w:p>
            <w:pPr>
              <w:pStyle w:val="TableParagraph"/>
              <w:spacing w:line="290" w:lineRule="auto" w:before="55"/>
              <w:ind w:left="23" w:right="21"/>
              <w:jc w:val="left"/>
              <w:rPr>
                <w:rFonts w:ascii="宋体" w:hAnsi="宋体" w:cs="宋体" w:eastAsia="宋体" w:hint="default"/>
                <w:sz w:val="21"/>
                <w:szCs w:val="21"/>
              </w:rPr>
            </w:pPr>
            <w:r>
              <w:rPr>
                <w:rFonts w:ascii="宋体" w:hAnsi="宋体" w:cs="宋体" w:eastAsia="宋体" w:hint="default"/>
                <w:sz w:val="21"/>
                <w:szCs w:val="21"/>
              </w:rPr>
              <w:t>一般缺陷：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是指除上述重大缺陷、重要缺陷之</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外的其他控制缺陷。</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both"/>
              <w:rPr>
                <w:rFonts w:ascii="宋体" w:hAnsi="宋体" w:cs="宋体" w:eastAsia="宋体" w:hint="default"/>
                <w:sz w:val="21"/>
                <w:szCs w:val="21"/>
              </w:rPr>
            </w:pPr>
            <w:r>
              <w:rPr>
                <w:rFonts w:ascii="宋体" w:hAnsi="宋体" w:cs="宋体" w:eastAsia="宋体" w:hint="default"/>
                <w:sz w:val="21"/>
                <w:szCs w:val="21"/>
              </w:rPr>
              <w:t>严重影响社会公共利益的事件；</w:t>
            </w:r>
          </w:p>
          <w:p>
            <w:pPr>
              <w:pStyle w:val="TableParagraph"/>
              <w:spacing w:line="264" w:lineRule="auto" w:before="78"/>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）缺乏重要的业务管理制度或制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度运行系统性失效，持续经营受到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挑战，且缺乏有效的补偿机制；</w:t>
            </w:r>
          </w:p>
          <w:p>
            <w:pPr>
              <w:pStyle w:val="TableParagraph"/>
              <w:spacing w:line="256" w:lineRule="auto" w:before="54"/>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）公司的重大或重要内控缺陷未</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得到整改；</w:t>
            </w:r>
          </w:p>
          <w:p>
            <w:pPr>
              <w:pStyle w:val="TableParagraph"/>
              <w:spacing w:line="256"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）公司持续或大量出现重要内控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缺陷；</w:t>
            </w:r>
          </w:p>
          <w:p>
            <w:pPr>
              <w:pStyle w:val="TableParagraph"/>
              <w:spacing w:line="256"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8</w:t>
            </w:r>
            <w:r>
              <w:rPr>
                <w:rFonts w:ascii="宋体" w:hAnsi="宋体" w:cs="宋体" w:eastAsia="宋体" w:hint="default"/>
                <w:spacing w:val="-5"/>
                <w:sz w:val="21"/>
                <w:szCs w:val="21"/>
              </w:rPr>
              <w:t>）中高级管理人员和高级技术人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员流失严重；</w:t>
            </w:r>
          </w:p>
          <w:p>
            <w:pPr>
              <w:pStyle w:val="TableParagraph"/>
              <w:spacing w:line="259" w:lineRule="auto" w:before="6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9</w:t>
            </w:r>
            <w:r>
              <w:rPr>
                <w:rFonts w:ascii="宋体" w:hAnsi="宋体" w:cs="宋体" w:eastAsia="宋体" w:hint="default"/>
                <w:spacing w:val="-5"/>
                <w:sz w:val="21"/>
                <w:szCs w:val="21"/>
              </w:rPr>
              <w:t>）其他可能导致公司严重偏离控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制目标的情况。</w:t>
            </w:r>
          </w:p>
          <w:p>
            <w:pPr>
              <w:pStyle w:val="TableParagraph"/>
              <w:spacing w:line="273" w:lineRule="auto" w:before="61"/>
              <w:ind w:left="23" w:right="21"/>
              <w:jc w:val="both"/>
              <w:rPr>
                <w:rFonts w:ascii="宋体" w:hAnsi="宋体" w:cs="宋体" w:eastAsia="宋体" w:hint="default"/>
                <w:sz w:val="21"/>
                <w:szCs w:val="21"/>
              </w:rPr>
            </w:pPr>
            <w:r>
              <w:rPr>
                <w:rFonts w:ascii="宋体" w:hAnsi="宋体" w:cs="宋体" w:eastAsia="宋体" w:hint="default"/>
                <w:sz w:val="21"/>
                <w:szCs w:val="21"/>
              </w:rPr>
              <w:t>出现以下情形，可以认定为重要缺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陷：</w:t>
            </w:r>
          </w:p>
          <w:p>
            <w:pPr>
              <w:pStyle w:val="TableParagraph"/>
              <w:spacing w:line="240" w:lineRule="auto" w:before="48"/>
              <w:ind w:left="23"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重</w:t>
            </w:r>
            <w:r>
              <w:rPr>
                <w:rFonts w:ascii="宋体" w:hAnsi="宋体" w:cs="宋体" w:eastAsia="宋体" w:hint="default"/>
                <w:spacing w:val="-3"/>
                <w:w w:val="100"/>
                <w:sz w:val="21"/>
                <w:szCs w:val="21"/>
              </w:rPr>
              <w:t>要</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w w:val="100"/>
                <w:sz w:val="21"/>
                <w:szCs w:val="21"/>
              </w:rPr>
              <w:t>或</w:t>
            </w:r>
            <w:r>
              <w:rPr>
                <w:rFonts w:ascii="宋体" w:hAnsi="宋体" w:cs="宋体" w:eastAsia="宋体" w:hint="default"/>
                <w:spacing w:val="-3"/>
                <w:w w:val="100"/>
                <w:sz w:val="21"/>
                <w:szCs w:val="21"/>
              </w:rPr>
              <w:t>流</w:t>
            </w:r>
            <w:r>
              <w:rPr>
                <w:rFonts w:ascii="宋体" w:hAnsi="宋体" w:cs="宋体" w:eastAsia="宋体" w:hint="default"/>
                <w:w w:val="100"/>
                <w:sz w:val="21"/>
                <w:szCs w:val="21"/>
              </w:rPr>
              <w:t>程</w:t>
            </w:r>
            <w:r>
              <w:rPr>
                <w:rFonts w:ascii="宋体" w:hAnsi="宋体" w:cs="宋体" w:eastAsia="宋体" w:hint="default"/>
                <w:spacing w:val="-3"/>
                <w:w w:val="100"/>
                <w:sz w:val="21"/>
                <w:szCs w:val="21"/>
              </w:rPr>
              <w:t>指引</w:t>
            </w:r>
            <w:r>
              <w:rPr>
                <w:rFonts w:ascii="宋体" w:hAnsi="宋体" w:cs="宋体" w:eastAsia="宋体" w:hint="default"/>
                <w:w w:val="100"/>
                <w:sz w:val="21"/>
                <w:szCs w:val="21"/>
              </w:rPr>
              <w:t>的缺</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p>
          <w:p>
            <w:pPr>
              <w:pStyle w:val="TableParagraph"/>
              <w:spacing w:line="268" w:lineRule="auto" w:before="59"/>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）违反法律、法规、规章、政府</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政策、其他规范性文件等，导致地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方政府或监管机构的调查，并被处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以罚款或罚金，同时被责令停业整</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顿等；</w:t>
            </w:r>
          </w:p>
          <w:p>
            <w:pPr>
              <w:pStyle w:val="TableParagraph"/>
              <w:spacing w:line="256" w:lineRule="auto" w:before="52"/>
              <w:ind w:left="23" w:right="20"/>
              <w:jc w:val="both"/>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）内部控制重要缺陷未得到整</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改。</w:t>
            </w:r>
          </w:p>
          <w:p>
            <w:pPr>
              <w:pStyle w:val="TableParagraph"/>
              <w:spacing w:line="273" w:lineRule="auto" w:before="63"/>
              <w:ind w:left="23" w:right="21"/>
              <w:jc w:val="both"/>
              <w:rPr>
                <w:rFonts w:ascii="宋体" w:hAnsi="宋体" w:cs="宋体" w:eastAsia="宋体" w:hint="default"/>
                <w:sz w:val="21"/>
                <w:szCs w:val="21"/>
              </w:rPr>
            </w:pPr>
            <w:r>
              <w:rPr>
                <w:rFonts w:ascii="宋体" w:hAnsi="宋体" w:cs="宋体" w:eastAsia="宋体" w:hint="default"/>
                <w:sz w:val="21"/>
                <w:szCs w:val="21"/>
              </w:rPr>
              <w:t>出现以下情形，可以认定为一般缺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陷：</w:t>
            </w:r>
          </w:p>
          <w:p>
            <w:pPr>
              <w:pStyle w:val="TableParagraph"/>
              <w:spacing w:line="256" w:lineRule="auto" w:before="46"/>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）公司一般业务制度或系统存在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缺陷；</w:t>
            </w:r>
          </w:p>
          <w:p>
            <w:pPr>
              <w:pStyle w:val="TableParagraph"/>
              <w:spacing w:line="240" w:lineRule="auto" w:before="63"/>
              <w:ind w:left="2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）公司一般缺陷未得到整改；</w:t>
            </w:r>
          </w:p>
          <w:p>
            <w:pPr>
              <w:pStyle w:val="TableParagraph"/>
              <w:spacing w:line="240" w:lineRule="auto" w:before="62"/>
              <w:ind w:left="2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）公司存在其他缺陷。</w:t>
            </w:r>
          </w:p>
        </w:tc>
      </w:tr>
      <w:tr>
        <w:trPr>
          <w:trHeight w:val="2979"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22"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16"/>
              <w:jc w:val="both"/>
              <w:rPr>
                <w:rFonts w:ascii="宋体" w:hAnsi="宋体" w:cs="宋体" w:eastAsia="宋体" w:hint="default"/>
                <w:sz w:val="21"/>
                <w:szCs w:val="21"/>
              </w:rPr>
            </w:pPr>
            <w:r>
              <w:rPr>
                <w:rFonts w:ascii="宋体" w:hAnsi="宋体" w:cs="宋体" w:eastAsia="宋体" w:hint="default"/>
                <w:spacing w:val="2"/>
                <w:sz w:val="21"/>
                <w:szCs w:val="21"/>
              </w:rPr>
              <w:t>重大缺陷：营业收入潜在错报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pacing w:val="2"/>
                <w:sz w:val="21"/>
                <w:szCs w:val="21"/>
              </w:rPr>
              <w:t>营业收入或利润总额潜在错报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z w:val="21"/>
                <w:szCs w:val="21"/>
              </w:rPr>
              <w:t>利润总额</w:t>
            </w:r>
          </w:p>
          <w:p>
            <w:pPr>
              <w:pStyle w:val="TableParagraph"/>
              <w:spacing w:line="256" w:lineRule="auto" w:before="63"/>
              <w:ind w:left="23" w:right="17"/>
              <w:jc w:val="both"/>
              <w:rPr>
                <w:rFonts w:ascii="Times New Roman" w:hAnsi="Times New Roman" w:cs="Times New Roman" w:eastAsia="Times New Roman" w:hint="default"/>
                <w:sz w:val="21"/>
                <w:szCs w:val="21"/>
              </w:rPr>
            </w:pPr>
            <w:r>
              <w:rPr>
                <w:rFonts w:ascii="宋体" w:hAnsi="宋体" w:cs="宋体" w:eastAsia="宋体" w:hint="default"/>
                <w:spacing w:val="-12"/>
                <w:w w:val="100"/>
                <w:sz w:val="21"/>
                <w:szCs w:val="21"/>
              </w:rPr>
              <w:t>重要缺陷：营业收入</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错报</w:t>
            </w:r>
            <w:r>
              <w:rPr>
                <w:rFonts w:ascii="Times New Roman" w:hAnsi="Times New Roman" w:cs="Times New Roman" w:eastAsia="Times New Roman" w:hint="default"/>
                <w:spacing w:val="-2"/>
                <w:w w:val="100"/>
                <w:sz w:val="21"/>
                <w:szCs w:val="21"/>
              </w:rPr>
              <w:t>&lt;</w:t>
            </w:r>
            <w:r>
              <w:rPr>
                <w:rFonts w:ascii="宋体" w:hAnsi="宋体" w:cs="宋体" w:eastAsia="宋体" w:hint="default"/>
                <w:spacing w:val="-2"/>
                <w:w w:val="100"/>
                <w:sz w:val="21"/>
                <w:szCs w:val="21"/>
              </w:rPr>
              <w:t>营业</w:t>
            </w:r>
            <w:r>
              <w:rPr>
                <w:rFonts w:ascii="宋体" w:hAnsi="宋体" w:cs="宋体" w:eastAsia="宋体" w:hint="default"/>
                <w:spacing w:val="-103"/>
                <w:w w:val="100"/>
                <w:sz w:val="21"/>
                <w:szCs w:val="21"/>
              </w:rPr>
              <w:t> </w:t>
            </w:r>
            <w:r>
              <w:rPr>
                <w:rFonts w:ascii="宋体" w:hAnsi="宋体" w:cs="宋体" w:eastAsia="宋体" w:hint="default"/>
                <w:sz w:val="21"/>
                <w:szCs w:val="21"/>
              </w:rPr>
              <w:t>收入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或利润总额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p>
          <w:p>
            <w:pPr>
              <w:pStyle w:val="TableParagraph"/>
              <w:spacing w:line="256" w:lineRule="auto" w:before="46"/>
              <w:ind w:left="23" w:right="17"/>
              <w:jc w:val="both"/>
              <w:rPr>
                <w:rFonts w:ascii="Times New Roman" w:hAnsi="Times New Roman" w:cs="Times New Roman" w:eastAsia="Times New Roman" w:hint="default"/>
                <w:sz w:val="21"/>
                <w:szCs w:val="21"/>
              </w:rPr>
            </w:pPr>
            <w:r>
              <w:rPr>
                <w:rFonts w:ascii="宋体" w:hAnsi="宋体" w:cs="宋体" w:eastAsia="宋体" w:hint="default"/>
                <w:spacing w:val="-6"/>
                <w:sz w:val="21"/>
                <w:szCs w:val="21"/>
              </w:rPr>
              <w:t>一般缺陷：营业收入潜在错报</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营业</w:t>
            </w:r>
            <w:r>
              <w:rPr>
                <w:rFonts w:ascii="宋体" w:hAnsi="宋体" w:cs="宋体" w:eastAsia="宋体" w:hint="default"/>
                <w:spacing w:val="-77"/>
                <w:sz w:val="21"/>
                <w:szCs w:val="21"/>
              </w:rPr>
              <w:t> </w:t>
            </w:r>
            <w:r>
              <w:rPr>
                <w:rFonts w:ascii="宋体" w:hAnsi="宋体" w:cs="宋体" w:eastAsia="宋体" w:hint="default"/>
                <w:sz w:val="21"/>
                <w:szCs w:val="21"/>
              </w:rPr>
              <w:t>收入</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或利润总额潜在错报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16"/>
              <w:jc w:val="both"/>
              <w:rPr>
                <w:rFonts w:ascii="宋体" w:hAnsi="宋体" w:cs="宋体" w:eastAsia="宋体" w:hint="default"/>
                <w:sz w:val="21"/>
                <w:szCs w:val="21"/>
              </w:rPr>
            </w:pPr>
            <w:r>
              <w:rPr>
                <w:rFonts w:ascii="宋体" w:hAnsi="宋体" w:cs="宋体" w:eastAsia="宋体" w:hint="default"/>
                <w:spacing w:val="2"/>
                <w:sz w:val="21"/>
                <w:szCs w:val="21"/>
              </w:rPr>
              <w:t>重大缺陷：营业收入潜在错报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12"/>
                <w:sz w:val="21"/>
                <w:szCs w:val="21"/>
              </w:rPr>
            </w:r>
            <w:r>
              <w:rPr>
                <w:rFonts w:ascii="宋体" w:hAnsi="宋体" w:cs="宋体" w:eastAsia="宋体" w:hint="default"/>
                <w:spacing w:val="2"/>
                <w:sz w:val="21"/>
                <w:szCs w:val="21"/>
              </w:rPr>
              <w:t>营业收入或利润总额潜在错报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12"/>
                <w:sz w:val="21"/>
                <w:szCs w:val="21"/>
              </w:rPr>
            </w:r>
            <w:r>
              <w:rPr>
                <w:rFonts w:ascii="宋体" w:hAnsi="宋体" w:cs="宋体" w:eastAsia="宋体" w:hint="default"/>
                <w:sz w:val="21"/>
                <w:szCs w:val="21"/>
              </w:rPr>
              <w:t>利润总额</w:t>
            </w:r>
          </w:p>
          <w:p>
            <w:pPr>
              <w:pStyle w:val="TableParagraph"/>
              <w:spacing w:line="256" w:lineRule="auto" w:before="63"/>
              <w:ind w:left="23" w:right="17"/>
              <w:jc w:val="both"/>
              <w:rPr>
                <w:rFonts w:ascii="Times New Roman" w:hAnsi="Times New Roman" w:cs="Times New Roman" w:eastAsia="Times New Roman" w:hint="default"/>
                <w:sz w:val="21"/>
                <w:szCs w:val="21"/>
              </w:rPr>
            </w:pPr>
            <w:r>
              <w:rPr>
                <w:rFonts w:ascii="宋体" w:hAnsi="宋体" w:cs="宋体" w:eastAsia="宋体" w:hint="default"/>
                <w:spacing w:val="-12"/>
                <w:w w:val="100"/>
                <w:sz w:val="21"/>
                <w:szCs w:val="21"/>
              </w:rPr>
              <w:t>重要缺陷：营业收入</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错报</w:t>
            </w:r>
            <w:r>
              <w:rPr>
                <w:rFonts w:ascii="Times New Roman" w:hAnsi="Times New Roman" w:cs="Times New Roman" w:eastAsia="Times New Roman" w:hint="default"/>
                <w:spacing w:val="-2"/>
                <w:w w:val="100"/>
                <w:sz w:val="21"/>
                <w:szCs w:val="21"/>
              </w:rPr>
              <w:t>&lt;</w:t>
            </w:r>
            <w:r>
              <w:rPr>
                <w:rFonts w:ascii="宋体" w:hAnsi="宋体" w:cs="宋体" w:eastAsia="宋体" w:hint="default"/>
                <w:spacing w:val="-2"/>
                <w:w w:val="100"/>
                <w:sz w:val="21"/>
                <w:szCs w:val="21"/>
              </w:rPr>
              <w:t>营业</w:t>
            </w:r>
            <w:r>
              <w:rPr>
                <w:rFonts w:ascii="宋体" w:hAnsi="宋体" w:cs="宋体" w:eastAsia="宋体" w:hint="default"/>
                <w:spacing w:val="-103"/>
                <w:w w:val="100"/>
                <w:sz w:val="21"/>
                <w:szCs w:val="21"/>
              </w:rPr>
              <w:t> </w:t>
            </w:r>
            <w:r>
              <w:rPr>
                <w:rFonts w:ascii="宋体" w:hAnsi="宋体" w:cs="宋体" w:eastAsia="宋体" w:hint="default"/>
                <w:sz w:val="21"/>
                <w:szCs w:val="21"/>
              </w:rPr>
              <w:t>收入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或利润总额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p>
          <w:p>
            <w:pPr>
              <w:pStyle w:val="TableParagraph"/>
              <w:spacing w:line="256" w:lineRule="auto" w:before="46"/>
              <w:ind w:left="23" w:right="17"/>
              <w:jc w:val="both"/>
              <w:rPr>
                <w:rFonts w:ascii="Times New Roman" w:hAnsi="Times New Roman" w:cs="Times New Roman" w:eastAsia="Times New Roman" w:hint="default"/>
                <w:sz w:val="21"/>
                <w:szCs w:val="21"/>
              </w:rPr>
            </w:pPr>
            <w:r>
              <w:rPr>
                <w:rFonts w:ascii="宋体" w:hAnsi="宋体" w:cs="宋体" w:eastAsia="宋体" w:hint="default"/>
                <w:spacing w:val="-6"/>
                <w:sz w:val="21"/>
                <w:szCs w:val="21"/>
              </w:rPr>
              <w:t>一般缺陷：营业收入潜在错报</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营业</w:t>
            </w:r>
            <w:r>
              <w:rPr>
                <w:rFonts w:ascii="宋体" w:hAnsi="宋体" w:cs="宋体" w:eastAsia="宋体" w:hint="default"/>
                <w:spacing w:val="-76"/>
                <w:sz w:val="21"/>
                <w:szCs w:val="21"/>
              </w:rPr>
              <w:t> </w:t>
            </w:r>
            <w:r>
              <w:rPr>
                <w:rFonts w:ascii="宋体" w:hAnsi="宋体" w:cs="宋体" w:eastAsia="宋体" w:hint="default"/>
                <w:sz w:val="21"/>
                <w:szCs w:val="21"/>
              </w:rPr>
              <w:t>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或利润总额潜在错报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10"/>
        <w:rPr>
          <w:rFonts w:ascii="Times New Roman" w:hAnsi="Times New Roman" w:cs="Times New Roman" w:eastAsia="Times New Roman" w:hint="default"/>
          <w:sz w:val="26"/>
          <w:szCs w:val="26"/>
        </w:rPr>
      </w:pPr>
    </w:p>
    <w:p>
      <w:pPr>
        <w:spacing w:line="468" w:lineRule="auto" w:before="26"/>
        <w:ind w:left="153" w:right="7139" w:firstLine="0"/>
        <w:jc w:val="left"/>
        <w:rPr>
          <w:rFonts w:ascii="宋体" w:hAnsi="宋体" w:cs="宋体" w:eastAsia="宋体" w:hint="default"/>
          <w:sz w:val="24"/>
          <w:szCs w:val="24"/>
        </w:rPr>
      </w:pPr>
      <w:r>
        <w:rPr/>
        <w:pict>
          <v:shape style="position:absolute;margin-left:56.424pt;margin-top:51.455612pt;width:479.3pt;height:203.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9"/>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9"/>
                          <w:jc w:val="left"/>
                          <w:rPr>
                            <w:rFonts w:ascii="宋体" w:hAnsi="宋体" w:cs="宋体" w:eastAsia="宋体" w:hint="default"/>
                            <w:sz w:val="21"/>
                            <w:szCs w:val="21"/>
                          </w:rPr>
                        </w:pPr>
                        <w:r>
                          <w:rPr>
                            <w:rFonts w:ascii="宋体" w:hAnsi="宋体" w:cs="宋体" w:eastAsia="宋体" w:hint="default"/>
                            <w:spacing w:val="-3"/>
                            <w:sz w:val="21"/>
                            <w:szCs w:val="21"/>
                          </w:rPr>
                          <w:t>我们认为，超图软件公司按照《企业内部控制基本规范》及相关规定于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日在所有重大方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面保持了与财务报表相关的有效的内部控制。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3"/>
                          <w:jc w:val="left"/>
                          <w:rPr>
                            <w:rFonts w:ascii="宋体" w:hAnsi="宋体" w:cs="宋体" w:eastAsia="宋体" w:hint="default"/>
                            <w:sz w:val="21"/>
                            <w:szCs w:val="21"/>
                          </w:rPr>
                        </w:pPr>
                        <w:r>
                          <w:rPr>
                            <w:rFonts w:ascii="宋体" w:hAnsi="宋体" w:cs="宋体" w:eastAsia="宋体" w:hint="default"/>
                            <w:spacing w:val="-2"/>
                            <w:sz w:val="21"/>
                            <w:szCs w:val="21"/>
                          </w:rPr>
                          <w:t>内部控制鉴证报告全文披露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3"/>
                          <w:jc w:val="left"/>
                          <w:rPr>
                            <w:rFonts w:ascii="宋体" w:hAnsi="宋体" w:cs="宋体" w:eastAsia="宋体" w:hint="default"/>
                            <w:sz w:val="21"/>
                            <w:szCs w:val="21"/>
                          </w:rPr>
                        </w:pPr>
                        <w:r>
                          <w:rPr>
                            <w:rFonts w:ascii="宋体" w:hAnsi="宋体" w:cs="宋体" w:eastAsia="宋体" w:hint="default"/>
                            <w:spacing w:val="-2"/>
                            <w:sz w:val="21"/>
                            <w:szCs w:val="21"/>
                          </w:rPr>
                          <w:t>内部控制鉴证报告全文披露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3"/>
                          <w:jc w:val="left"/>
                          <w:rPr>
                            <w:rFonts w:ascii="宋体" w:hAnsi="宋体" w:cs="宋体" w:eastAsia="宋体" w:hint="default"/>
                            <w:sz w:val="21"/>
                            <w:szCs w:val="21"/>
                          </w:rPr>
                        </w:pPr>
                        <w:r>
                          <w:rPr>
                            <w:rFonts w:ascii="宋体" w:hAnsi="宋体" w:cs="宋体" w:eastAsia="宋体" w:hint="default"/>
                            <w:spacing w:val="-2"/>
                            <w:sz w:val="21"/>
                            <w:szCs w:val="21"/>
                          </w:rPr>
                          <w:t>非财务报告是否存在重大缺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
              </w:txbxContent>
            </v:textbox>
            <w10:wrap type="none"/>
          </v:shape>
        </w:pict>
      </w:r>
      <w:r>
        <w:rPr>
          <w:rFonts w:ascii="宋体" w:hAnsi="宋体" w:cs="宋体" w:eastAsia="宋体" w:hint="default"/>
          <w:b/>
          <w:bCs/>
          <w:sz w:val="24"/>
          <w:szCs w:val="24"/>
        </w:rPr>
        <w:t>十、内部控制审计报告或鉴证报告</w:t>
      </w:r>
      <w:r>
        <w:rPr>
          <w:rFonts w:ascii="宋体" w:hAnsi="宋体" w:cs="宋体" w:eastAsia="宋体" w:hint="default"/>
          <w:b/>
          <w:bCs/>
          <w:w w:val="99"/>
          <w:sz w:val="24"/>
          <w:szCs w:val="24"/>
        </w:rPr>
        <w:t> </w:t>
      </w:r>
      <w:r>
        <w:rPr>
          <w:rFonts w:ascii="宋体" w:hAnsi="宋体" w:cs="宋体" w:eastAsia="宋体" w:hint="default"/>
          <w:sz w:val="24"/>
          <w:szCs w:val="24"/>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26"/>
        <w:ind w:right="1273"/>
        <w:jc w:val="left"/>
      </w:pPr>
      <w:r>
        <w:rPr/>
        <w:t>会计师事务所是否出具非标准意见的内部控制鉴证报告</w:t>
      </w:r>
    </w:p>
    <w:p>
      <w:pPr>
        <w:pStyle w:val="BodyText"/>
        <w:spacing w:line="367" w:lineRule="auto" w:before="192"/>
        <w:ind w:right="25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会计师事务所出具的内部控制鉴证报告与董事会的自我评价报告意见是否一致</w:t>
      </w:r>
    </w:p>
    <w:p>
      <w:pPr>
        <w:pStyle w:val="BodyText"/>
        <w:spacing w:line="240" w:lineRule="auto" w:before="67"/>
        <w:ind w:right="1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101" w:right="1273"/>
        <w:jc w:val="left"/>
        <w:rPr>
          <w:b w:val="0"/>
          <w:bCs w:val="0"/>
        </w:rPr>
      </w:pPr>
      <w:bookmarkStart w:name="_bookmark9" w:id="10"/>
      <w:bookmarkEnd w:id="10"/>
      <w:r>
        <w:rPr>
          <w:b w:val="0"/>
          <w:bCs w:val="0"/>
        </w:rPr>
      </w:r>
      <w:r>
        <w:rPr>
          <w:spacing w:val="4"/>
        </w:rPr>
        <w:t>第十节</w:t>
      </w:r>
      <w:r>
        <w:rPr>
          <w:spacing w:val="-7"/>
        </w:rPr>
        <w:t> </w:t>
      </w:r>
      <w:r>
        <w:rPr>
          <w:spacing w:val="4"/>
        </w:rPr>
        <w:t>公司债券相关情况</w:t>
      </w:r>
      <w:r>
        <w:rPr>
          <w:b w:val="0"/>
          <w:bCs w:val="0"/>
          <w:spacing w:val="4"/>
        </w:rPr>
      </w:r>
    </w:p>
    <w:p>
      <w:pPr>
        <w:spacing w:line="240" w:lineRule="auto" w:before="0"/>
        <w:rPr>
          <w:rFonts w:ascii="宋体" w:hAnsi="宋体" w:cs="宋体" w:eastAsia="宋体" w:hint="default"/>
          <w:b/>
          <w:bCs/>
          <w:sz w:val="45"/>
          <w:szCs w:val="45"/>
        </w:rPr>
      </w:pPr>
    </w:p>
    <w:p>
      <w:pPr>
        <w:pStyle w:val="BodyText"/>
        <w:spacing w:line="357" w:lineRule="auto" w:before="0"/>
        <w:ind w:right="1153" w:firstLine="480"/>
        <w:jc w:val="left"/>
      </w:pPr>
      <w:r>
        <w:rPr/>
        <w:t>公司是否存在公开发行并在证券交易所上市，且在年度报告批准报出日未到期或到期未 能全额兑付的公司债券</w:t>
      </w:r>
    </w:p>
    <w:p>
      <w:pPr>
        <w:pStyle w:val="BodyText"/>
        <w:spacing w:line="240" w:lineRule="auto"/>
        <w:ind w:left="633" w:right="1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62"/>
        <w:ind w:left="3607" w:right="1273"/>
        <w:jc w:val="left"/>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10"/>
        <w:rPr>
          <w:rFonts w:ascii="宋体" w:hAnsi="宋体" w:cs="宋体" w:eastAsia="宋体" w:hint="default"/>
          <w:b/>
          <w:bCs/>
          <w:sz w:val="12"/>
          <w:szCs w:val="12"/>
        </w:rPr>
      </w:pPr>
    </w:p>
    <w:p>
      <w:pPr>
        <w:pStyle w:val="Heading2"/>
        <w:spacing w:line="240" w:lineRule="auto" w:before="26"/>
        <w:ind w:right="1273"/>
        <w:jc w:val="left"/>
        <w:rPr>
          <w:b w:val="0"/>
          <w:bCs w:val="0"/>
        </w:rPr>
      </w:pP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tbl>
      <w:tblPr>
        <w:tblW w:w="0" w:type="auto"/>
        <w:jc w:val="left"/>
        <w:tblInd w:w="120" w:type="dxa"/>
        <w:tblLayout w:type="fixed"/>
        <w:tblCellMar>
          <w:top w:w="0" w:type="dxa"/>
          <w:left w:w="0" w:type="dxa"/>
          <w:bottom w:w="0" w:type="dxa"/>
          <w:right w:w="0" w:type="dxa"/>
        </w:tblCellMar>
        <w:tblLook w:val="01E0"/>
      </w:tblPr>
      <w:tblGrid>
        <w:gridCol w:w="4846"/>
        <w:gridCol w:w="4851"/>
      </w:tblGrid>
      <w:tr>
        <w:trPr>
          <w:trHeight w:val="323"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323"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3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4" w:right="0"/>
              <w:jc w:val="left"/>
              <w:rPr>
                <w:rFonts w:ascii="宋体" w:hAnsi="宋体" w:cs="宋体" w:eastAsia="宋体" w:hint="default"/>
                <w:sz w:val="21"/>
                <w:szCs w:val="21"/>
              </w:rPr>
            </w:pPr>
            <w:r>
              <w:rPr>
                <w:rFonts w:ascii="宋体" w:hAnsi="宋体" w:cs="宋体" w:eastAsia="宋体" w:hint="default"/>
                <w:sz w:val="21"/>
                <w:szCs w:val="21"/>
              </w:rPr>
              <w:t>中汇会审</w:t>
            </w:r>
            <w:r>
              <w:rPr>
                <w:rFonts w:ascii="Times New Roman" w:hAnsi="Times New Roman" w:cs="Times New Roman" w:eastAsia="Times New Roman" w:hint="default"/>
                <w:sz w:val="21"/>
                <w:szCs w:val="21"/>
              </w:rPr>
              <w:t>[2019]0981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赵亦飞、刘成龙</w:t>
            </w:r>
          </w:p>
        </w:tc>
      </w:tr>
    </w:tbl>
    <w:p>
      <w:pPr>
        <w:spacing w:line="240" w:lineRule="auto" w:before="6"/>
        <w:rPr>
          <w:rFonts w:ascii="宋体" w:hAnsi="宋体" w:cs="宋体" w:eastAsia="宋体" w:hint="default"/>
          <w:b/>
          <w:bCs/>
          <w:sz w:val="29"/>
          <w:szCs w:val="29"/>
        </w:rPr>
      </w:pPr>
    </w:p>
    <w:p>
      <w:pPr>
        <w:spacing w:line="460" w:lineRule="exact" w:before="0"/>
        <w:ind w:left="3026" w:right="3965" w:firstLine="0"/>
        <w:jc w:val="center"/>
        <w:rPr>
          <w:rFonts w:ascii="黑体" w:hAnsi="黑体" w:cs="黑体" w:eastAsia="黑体" w:hint="default"/>
          <w:sz w:val="36"/>
          <w:szCs w:val="36"/>
        </w:rPr>
      </w:pPr>
      <w:r>
        <w:rPr>
          <w:rFonts w:ascii="黑体" w:hAnsi="黑体" w:cs="黑体" w:eastAsia="黑体" w:hint="default"/>
          <w:sz w:val="36"/>
          <w:szCs w:val="36"/>
        </w:rPr>
        <w:t>审 计 报</w:t>
      </w:r>
      <w:r>
        <w:rPr>
          <w:rFonts w:ascii="黑体" w:hAnsi="黑体" w:cs="黑体" w:eastAsia="黑体" w:hint="default"/>
          <w:spacing w:val="2"/>
          <w:sz w:val="36"/>
          <w:szCs w:val="36"/>
        </w:rPr>
        <w:t> </w:t>
      </w:r>
      <w:r>
        <w:rPr>
          <w:rFonts w:ascii="黑体" w:hAnsi="黑体" w:cs="黑体" w:eastAsia="黑体" w:hint="default"/>
          <w:sz w:val="36"/>
          <w:szCs w:val="36"/>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spacing w:before="36"/>
        <w:ind w:left="0" w:right="1128" w:firstLine="0"/>
        <w:jc w:val="right"/>
        <w:rPr>
          <w:rFonts w:ascii="黑体" w:hAnsi="黑体" w:cs="黑体" w:eastAsia="黑体" w:hint="default"/>
          <w:sz w:val="21"/>
          <w:szCs w:val="21"/>
        </w:rPr>
      </w:pPr>
      <w:r>
        <w:rPr>
          <w:rFonts w:ascii="黑体" w:hAnsi="黑体" w:cs="黑体" w:eastAsia="黑体" w:hint="default"/>
          <w:spacing w:val="-1"/>
          <w:sz w:val="21"/>
          <w:szCs w:val="21"/>
        </w:rPr>
        <w:t>中汇会审</w:t>
      </w:r>
      <w:r>
        <w:rPr>
          <w:rFonts w:ascii="Times New Roman" w:hAnsi="Times New Roman" w:cs="Times New Roman" w:eastAsia="Times New Roman" w:hint="default"/>
          <w:spacing w:val="-1"/>
          <w:sz w:val="21"/>
          <w:szCs w:val="21"/>
        </w:rPr>
        <w:t>[2019]0981</w:t>
      </w:r>
      <w:r>
        <w:rPr>
          <w:rFonts w:ascii="黑体" w:hAnsi="黑体" w:cs="黑体" w:eastAsia="黑体" w:hint="default"/>
          <w:spacing w:val="-1"/>
          <w:sz w:val="21"/>
          <w:szCs w:val="21"/>
        </w:rPr>
        <w:t>号</w:t>
      </w:r>
    </w:p>
    <w:p>
      <w:pPr>
        <w:spacing w:line="240" w:lineRule="auto" w:before="5"/>
        <w:rPr>
          <w:rFonts w:ascii="黑体" w:hAnsi="黑体" w:cs="黑体" w:eastAsia="黑体" w:hint="default"/>
          <w:sz w:val="14"/>
          <w:szCs w:val="14"/>
        </w:rPr>
      </w:pPr>
    </w:p>
    <w:p>
      <w:pPr>
        <w:pStyle w:val="BodyText"/>
        <w:spacing w:line="412" w:lineRule="auto" w:before="26"/>
        <w:ind w:left="633" w:right="6553" w:hanging="360"/>
        <w:jc w:val="left"/>
      </w:pPr>
      <w:r>
        <w:rPr/>
        <w:t>北京超图软件股份有限公司全体股东： 一、审计意见</w:t>
      </w:r>
    </w:p>
    <w:p>
      <w:pPr>
        <w:pStyle w:val="BodyText"/>
        <w:spacing w:line="360" w:lineRule="auto" w:before="53"/>
        <w:ind w:right="1094" w:firstLine="480"/>
        <w:jc w:val="both"/>
      </w:pPr>
      <w:r>
        <w:rPr>
          <w:spacing w:val="-2"/>
        </w:rPr>
        <w:t>我们审计了北京超图软件股份有限公司</w:t>
      </w:r>
      <w:r>
        <w:rPr>
          <w:rFonts w:ascii="Times New Roman" w:hAnsi="Times New Roman" w:cs="Times New Roman" w:eastAsia="Times New Roman" w:hint="default"/>
          <w:spacing w:val="-2"/>
        </w:rPr>
        <w:t>(</w:t>
      </w:r>
      <w:r>
        <w:rPr>
          <w:spacing w:val="-2"/>
        </w:rPr>
        <w:t>以下简称超图软件公司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2018</w:t>
      </w:r>
      <w:r>
        <w:rPr/>
        <w:t>年度的合并及母公司利润表、合并及母公司现金流</w:t>
      </w:r>
      <w:r>
        <w:rPr>
          <w:spacing w:val="-52"/>
        </w:rPr>
        <w:t> </w:t>
      </w:r>
      <w:r>
        <w:rPr>
          <w:spacing w:val="-52"/>
        </w:rPr>
      </w:r>
      <w:r>
        <w:rPr/>
        <w:t>量表、合并及母公司所有者权益变动表以及财务报表附注。</w:t>
      </w:r>
    </w:p>
    <w:p>
      <w:pPr>
        <w:pStyle w:val="BodyText"/>
        <w:spacing w:line="372" w:lineRule="auto" w:before="108"/>
        <w:ind w:right="1087" w:firstLine="480"/>
        <w:jc w:val="both"/>
      </w:pPr>
      <w:r>
        <w:rPr/>
        <w:t>我们认为，后附的财务报表在所有重大方面按照企业会计准则的规定编制，公允反映了</w:t>
      </w:r>
      <w:r>
        <w:rPr>
          <w:spacing w:val="2"/>
        </w:rPr>
        <w:t> </w:t>
      </w:r>
      <w:r>
        <w:rPr/>
        <w:t>超图软件公司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w:t>
      </w:r>
      <w:r>
        <w:rPr>
          <w:spacing w:val="-51"/>
        </w:rPr>
        <w:t> </w:t>
      </w:r>
      <w:r>
        <w:rPr>
          <w:spacing w:val="-51"/>
        </w:rPr>
      </w:r>
      <w:r>
        <w:rPr/>
        <w:t>果和现金流量。</w:t>
      </w:r>
    </w:p>
    <w:p>
      <w:pPr>
        <w:pStyle w:val="BodyText"/>
        <w:spacing w:line="412" w:lineRule="auto" w:before="94"/>
        <w:ind w:left="633" w:right="1085"/>
        <w:jc w:val="left"/>
      </w:pPr>
      <w:r>
        <w:rPr/>
        <w:t>二、形成审计意见的基础 </w:t>
      </w: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w:t>
      </w:r>
    </w:p>
    <w:p>
      <w:pPr>
        <w:pStyle w:val="BodyText"/>
        <w:spacing w:line="308" w:lineRule="exact" w:before="0"/>
        <w:ind w:right="997"/>
        <w:jc w:val="left"/>
      </w:pPr>
      <w:r>
        <w:rPr/>
        <w:t>务报表审计的责任</w:t>
      </w:r>
      <w:r>
        <w:rPr>
          <w:rFonts w:ascii="Times New Roman" w:hAnsi="Times New Roman" w:cs="Times New Roman" w:eastAsia="Times New Roman" w:hint="default"/>
        </w:rPr>
        <w:t>”</w:t>
      </w:r>
      <w:r>
        <w:rPr/>
        <w:t>部分进一步阐述了我们在这些准则下的责任。按照中国注册会计师职业道</w:t>
      </w:r>
    </w:p>
    <w:p>
      <w:pPr>
        <w:pStyle w:val="BodyText"/>
        <w:spacing w:line="381" w:lineRule="auto" w:before="170"/>
        <w:ind w:right="1116"/>
        <w:jc w:val="left"/>
      </w:pPr>
      <w:r>
        <w:rPr/>
        <w:t>德守则，我们独立于超图软件公司，并履行了职业道德方面的其他责任。我们相信，我们获</w:t>
      </w:r>
      <w:r>
        <w:rPr>
          <w:spacing w:val="-55"/>
        </w:rPr>
        <w:t> </w:t>
      </w:r>
      <w:r>
        <w:rPr>
          <w:spacing w:val="-55"/>
        </w:rPr>
      </w:r>
      <w:r>
        <w:rPr/>
        <w:t>取的审计证据是充分、适当的，为发表审计意见提供了基础。</w:t>
      </w:r>
    </w:p>
    <w:p>
      <w:pPr>
        <w:pStyle w:val="BodyText"/>
        <w:spacing w:line="412" w:lineRule="auto" w:before="84"/>
        <w:ind w:left="633" w:right="1116"/>
        <w:jc w:val="left"/>
      </w:pPr>
      <w:r>
        <w:rPr/>
        <w:t>三、关键审计事项 关键审计事项是我们根据职业判断，认为对本期财务报表审计最为重要的事项。这些事</w:t>
      </w:r>
    </w:p>
    <w:p>
      <w:pPr>
        <w:pStyle w:val="BodyText"/>
        <w:spacing w:line="384" w:lineRule="auto" w:before="12"/>
        <w:ind w:right="1116"/>
        <w:jc w:val="left"/>
      </w:pPr>
      <w:r>
        <w:rPr/>
        <w:t>项的应对以对财务报表整体进行审计并形成审计意见为背景，我们不对这些事项单独发表意</w:t>
      </w:r>
      <w:r>
        <w:rPr>
          <w:spacing w:val="-85"/>
        </w:rPr>
        <w:t> </w:t>
      </w:r>
      <w:r>
        <w:rPr>
          <w:spacing w:val="-85"/>
        </w:rPr>
      </w:r>
      <w:r>
        <w:rPr/>
        <w:t>见。我们确定下列事项是需要在审计报告中沟通的关键审计事项。</w:t>
      </w:r>
    </w:p>
    <w:p>
      <w:pPr>
        <w:spacing w:after="0" w:line="384"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before="26"/>
        <w:ind w:left="635" w:right="127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商誉减值</w:t>
      </w:r>
      <w:r>
        <w:rPr>
          <w:b w:val="0"/>
          <w:bCs w:val="0"/>
        </w:rPr>
      </w:r>
    </w:p>
    <w:p>
      <w:pPr>
        <w:pStyle w:val="BodyText"/>
        <w:spacing w:line="391" w:lineRule="auto" w:before="207"/>
        <w:ind w:left="633" w:right="1116"/>
        <w:jc w:val="left"/>
      </w:pP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日，超图软件公司合并财务报表中商誉账面余额为人民币</w:t>
      </w:r>
      <w:r>
        <w:rPr>
          <w:rFonts w:ascii="Times New Roman" w:hAnsi="Times New Roman" w:cs="Times New Roman" w:eastAsia="Times New Roman" w:hint="default"/>
        </w:rPr>
        <w:t>70,858.20</w:t>
      </w:r>
      <w:r>
        <w:rPr/>
        <w:t>万</w:t>
      </w:r>
    </w:p>
    <w:p>
      <w:pPr>
        <w:pStyle w:val="BodyText"/>
        <w:spacing w:line="379" w:lineRule="auto" w:before="0"/>
        <w:ind w:right="1125"/>
        <w:jc w:val="both"/>
      </w:pPr>
      <w:r>
        <w:rPr>
          <w:spacing w:val="2"/>
        </w:rPr>
        <w:t>元，已经计提的商誉减值准备为人民币</w:t>
      </w:r>
      <w:r>
        <w:rPr>
          <w:rFonts w:ascii="Times New Roman" w:hAnsi="Times New Roman" w:cs="Times New Roman" w:eastAsia="Times New Roman" w:hint="default"/>
          <w:spacing w:val="2"/>
        </w:rPr>
        <w:t>131.21</w:t>
      </w:r>
      <w:r>
        <w:rPr>
          <w:spacing w:val="2"/>
        </w:rPr>
        <w:t>万元。管理层在每年年度终了对商誉进行减值</w:t>
      </w:r>
      <w:r>
        <w:rPr>
          <w:spacing w:val="-117"/>
        </w:rPr>
        <w:t> </w:t>
      </w:r>
      <w:r>
        <w:rPr>
          <w:spacing w:val="-117"/>
        </w:rPr>
      </w:r>
      <w:r>
        <w:rPr/>
        <w:t>测试，并依据减值测试的结果调整商誉的账面价值。商誉减值测试的结果很大程度上依赖于</w:t>
      </w:r>
      <w:r>
        <w:rPr>
          <w:spacing w:val="-85"/>
        </w:rPr>
        <w:t> </w:t>
      </w:r>
      <w:r>
        <w:rPr>
          <w:spacing w:val="-85"/>
        </w:rPr>
      </w:r>
      <w:r>
        <w:rPr/>
        <w:t>管理层所做的估计和采用的假设，例如对资产组或资产组组合预计未来可产生现金流量和折</w:t>
      </w:r>
      <w:r>
        <w:rPr>
          <w:spacing w:val="-85"/>
        </w:rPr>
        <w:t> </w:t>
      </w:r>
      <w:r>
        <w:rPr>
          <w:spacing w:val="-85"/>
        </w:rPr>
      </w:r>
      <w:r>
        <w:rPr/>
        <w:t>现率的估计。该等估计受到管理层对未来市场以及对经济环境判断的影响，采用不同的估计</w:t>
      </w:r>
      <w:r>
        <w:rPr>
          <w:spacing w:val="-85"/>
        </w:rPr>
        <w:t> </w:t>
      </w:r>
      <w:r>
        <w:rPr>
          <w:spacing w:val="-85"/>
        </w:rPr>
      </w:r>
      <w:r>
        <w:rPr/>
        <w:t>和假设会对评估的商誉之可收回价值有很大的影响。由于商誉金额重大，且管理层需要作出</w:t>
      </w:r>
      <w:r>
        <w:rPr>
          <w:spacing w:val="-85"/>
        </w:rPr>
        <w:t> </w:t>
      </w:r>
      <w:r>
        <w:rPr>
          <w:spacing w:val="-85"/>
        </w:rPr>
      </w:r>
      <w:r>
        <w:rPr/>
        <w:t>重大判断，因此我们将商誉的减值确定为关键审计事项。</w:t>
      </w:r>
    </w:p>
    <w:p>
      <w:pPr>
        <w:pStyle w:val="BodyText"/>
        <w:spacing w:line="391" w:lineRule="auto" w:before="86"/>
        <w:ind w:left="633" w:right="1116"/>
        <w:jc w:val="left"/>
      </w:pPr>
      <w:r>
        <w:rPr>
          <w:rFonts w:ascii="Times New Roman" w:hAnsi="Times New Roman" w:cs="Times New Roman" w:eastAsia="Times New Roman" w:hint="default"/>
        </w:rPr>
        <w:t>2</w:t>
      </w:r>
      <w:r>
        <w:rPr/>
        <w:t>、审计应对 我们分析管理层对商誉所属资产组或资产组组合的认定和进行商誉减值测试时采用的关</w:t>
      </w:r>
    </w:p>
    <w:p>
      <w:pPr>
        <w:pStyle w:val="BodyText"/>
        <w:spacing w:line="381" w:lineRule="auto" w:before="34"/>
        <w:ind w:right="1132"/>
        <w:jc w:val="both"/>
      </w:pPr>
      <w:r>
        <w:rPr/>
        <w:t>键假设和方法，检查相关的假设和方法的合理性；我们与公司管理层及外部评估专家讨论，</w:t>
      </w:r>
      <w:r>
        <w:rPr>
          <w:spacing w:val="-85"/>
        </w:rPr>
        <w:t> </w:t>
      </w:r>
      <w:r>
        <w:rPr>
          <w:spacing w:val="-85"/>
        </w:rPr>
      </w:r>
      <w:r>
        <w:rPr/>
        <w:t>了解减值测试结果最为敏感的假设并进行分析，分析检查管理层采用的假设的恰当性及相关</w:t>
      </w:r>
      <w:r>
        <w:rPr>
          <w:spacing w:val="-85"/>
        </w:rPr>
        <w:t> </w:t>
      </w:r>
      <w:r>
        <w:rPr>
          <w:spacing w:val="-85"/>
        </w:rPr>
      </w:r>
      <w:r>
        <w:rPr/>
        <w:t>披露是否适当。</w:t>
      </w:r>
    </w:p>
    <w:p>
      <w:pPr>
        <w:pStyle w:val="Heading2"/>
        <w:spacing w:line="240" w:lineRule="auto" w:before="84"/>
        <w:ind w:left="635" w:right="127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收入确认</w:t>
      </w:r>
      <w:r>
        <w:rPr>
          <w:b w:val="0"/>
          <w:bCs w:val="0"/>
        </w:rPr>
      </w:r>
    </w:p>
    <w:p>
      <w:pPr>
        <w:pStyle w:val="BodyText"/>
        <w:spacing w:line="240" w:lineRule="auto" w:before="207"/>
        <w:ind w:left="633" w:right="1273"/>
        <w:jc w:val="left"/>
      </w:pPr>
      <w:r>
        <w:rPr>
          <w:rFonts w:ascii="Times New Roman" w:hAnsi="Times New Roman" w:cs="Times New Roman" w:eastAsia="Times New Roman" w:hint="default"/>
        </w:rPr>
        <w:t>1</w:t>
      </w:r>
      <w:r>
        <w:rPr/>
        <w:t>、事项描述</w:t>
      </w:r>
    </w:p>
    <w:p>
      <w:pPr>
        <w:pStyle w:val="BodyText"/>
        <w:spacing w:line="367" w:lineRule="auto" w:before="207"/>
        <w:ind w:right="1126" w:firstLine="480"/>
        <w:jc w:val="both"/>
      </w:pPr>
      <w:r>
        <w:rPr>
          <w:rFonts w:ascii="Times New Roman" w:hAnsi="Times New Roman" w:cs="Times New Roman" w:eastAsia="Times New Roman" w:hint="default"/>
          <w:spacing w:val="-2"/>
        </w:rPr>
        <w:t>2018</w:t>
      </w:r>
      <w:r>
        <w:rPr>
          <w:spacing w:val="-2"/>
        </w:rPr>
        <w:t>年度超图软件公司实现营业收入</w:t>
      </w:r>
      <w:r>
        <w:rPr>
          <w:rFonts w:ascii="Times New Roman" w:hAnsi="Times New Roman" w:cs="Times New Roman" w:eastAsia="Times New Roman" w:hint="default"/>
          <w:spacing w:val="-2"/>
        </w:rPr>
        <w:t>151,778.82</w:t>
      </w:r>
      <w:r>
        <w:rPr>
          <w:spacing w:val="-2"/>
        </w:rPr>
        <w:t>万元，采用完工百分比法确认收入的比重</w:t>
      </w:r>
      <w:r>
        <w:rPr/>
        <w:t> 为</w:t>
      </w:r>
      <w:r>
        <w:rPr>
          <w:rFonts w:ascii="Times New Roman" w:hAnsi="Times New Roman" w:cs="Times New Roman" w:eastAsia="Times New Roman" w:hint="default"/>
        </w:rPr>
        <w:t>72.56%</w:t>
      </w:r>
      <w:r>
        <w:rPr/>
        <w:t>。采用完工百分比法确认收入涉及管理层的重大会计估计和判断，可能导致该类收</w:t>
      </w:r>
      <w:r>
        <w:rPr>
          <w:spacing w:val="-103"/>
        </w:rPr>
        <w:t> </w:t>
      </w:r>
      <w:r>
        <w:rPr>
          <w:spacing w:val="-103"/>
        </w:rPr>
      </w:r>
      <w:r>
        <w:rPr/>
        <w:t>入记入错误的会计期间或遭到操控而产生固有风险。同时该类收入是公司的关键绩效指标之</w:t>
      </w:r>
      <w:r>
        <w:rPr>
          <w:spacing w:val="-80"/>
        </w:rPr>
        <w:t> </w:t>
      </w:r>
      <w:r>
        <w:rPr>
          <w:spacing w:val="-80"/>
        </w:rPr>
      </w:r>
      <w:r>
        <w:rPr/>
        <w:t>一，我们把采用完工百分比法确认的收入列为关键审计事项。</w:t>
      </w:r>
    </w:p>
    <w:p>
      <w:pPr>
        <w:pStyle w:val="BodyText"/>
        <w:spacing w:line="391" w:lineRule="auto" w:before="98"/>
        <w:ind w:left="633" w:right="6913"/>
        <w:jc w:val="left"/>
      </w:pPr>
      <w:r>
        <w:rPr>
          <w:rFonts w:ascii="Times New Roman" w:hAnsi="Times New Roman" w:cs="Times New Roman" w:eastAsia="Times New Roman" w:hint="default"/>
        </w:rPr>
        <w:t>2</w:t>
      </w:r>
      <w:r>
        <w:rPr/>
        <w:t>、审计应对 我们执行的主要审计程序如下：</w:t>
      </w:r>
    </w:p>
    <w:p>
      <w:pPr>
        <w:pStyle w:val="BodyText"/>
        <w:spacing w:line="240" w:lineRule="auto" w:before="74"/>
        <w:ind w:left="633" w:right="118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9"/>
        </w:rPr>
        <w:t> </w:t>
      </w:r>
      <w:r>
        <w:rPr/>
        <w:t>对超图软件公司收入确认相关的内部控制的设计及执行有效性进行了评估和测试；</w:t>
      </w:r>
    </w:p>
    <w:p>
      <w:pPr>
        <w:pStyle w:val="BodyText"/>
        <w:spacing w:line="240" w:lineRule="auto" w:before="207"/>
        <w:ind w:left="63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9"/>
        </w:rPr>
        <w:t> </w:t>
      </w:r>
      <w:r>
        <w:rPr/>
        <w:t>检查完工进度表形成的过程与相关支持文件，比较不同期间的完工进度表的合理性；</w:t>
      </w:r>
    </w:p>
    <w:p>
      <w:pPr>
        <w:pStyle w:val="BodyText"/>
        <w:spacing w:line="240" w:lineRule="auto" w:before="207"/>
        <w:ind w:left="633" w:right="127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9"/>
        </w:rPr>
        <w:t> </w:t>
      </w:r>
      <w:r>
        <w:rPr/>
        <w:t>检查按照完工进度表确认收入的准确性；</w:t>
      </w:r>
    </w:p>
    <w:p>
      <w:pPr>
        <w:pStyle w:val="BodyText"/>
        <w:spacing w:line="240" w:lineRule="auto" w:before="207"/>
        <w:ind w:left="633" w:right="127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9"/>
        </w:rPr>
        <w:t> </w:t>
      </w:r>
      <w:r>
        <w:rPr/>
        <w:t>核对经客户确认的完工进度表，并函证项目完工进度。</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412" w:lineRule="auto" w:before="26"/>
        <w:ind w:left="633" w:right="1119"/>
        <w:jc w:val="left"/>
      </w:pPr>
      <w:r>
        <w:rPr/>
        <w:t>四、其他信息 </w:t>
      </w:r>
      <w:r>
        <w:rPr>
          <w:spacing w:val="-3"/>
        </w:rPr>
        <w:t>超图软件公司管理层</w:t>
      </w:r>
      <w:r>
        <w:rPr>
          <w:rFonts w:ascii="Times New Roman" w:hAnsi="Times New Roman" w:cs="Times New Roman" w:eastAsia="Times New Roman" w:hint="default"/>
          <w:spacing w:val="-3"/>
        </w:rPr>
        <w:t>(</w:t>
      </w:r>
      <w:r>
        <w:rPr>
          <w:spacing w:val="-3"/>
        </w:rPr>
        <w:t>以下简称管理层</w:t>
      </w:r>
      <w:r>
        <w:rPr>
          <w:rFonts w:ascii="Times New Roman" w:hAnsi="Times New Roman" w:cs="Times New Roman" w:eastAsia="Times New Roman" w:hint="default"/>
          <w:spacing w:val="-3"/>
        </w:rPr>
        <w:t>)</w:t>
      </w:r>
      <w:r>
        <w:rPr>
          <w:spacing w:val="-3"/>
        </w:rPr>
        <w:t>对其他信息负责。其他信息包括</w:t>
      </w:r>
      <w:r>
        <w:rPr>
          <w:rFonts w:ascii="Times New Roman" w:hAnsi="Times New Roman" w:cs="Times New Roman" w:eastAsia="Times New Roman" w:hint="default"/>
          <w:spacing w:val="-3"/>
        </w:rPr>
        <w:t>2018</w:t>
      </w:r>
      <w:r>
        <w:rPr>
          <w:spacing w:val="-3"/>
        </w:rPr>
        <w:t>年度报告中涵</w:t>
      </w:r>
    </w:p>
    <w:p>
      <w:pPr>
        <w:pStyle w:val="BodyText"/>
        <w:spacing w:line="290" w:lineRule="exact" w:before="0"/>
        <w:ind w:right="0"/>
        <w:jc w:val="both"/>
      </w:pPr>
      <w:r>
        <w:rPr/>
        <w:t>盖的信息，但不包括财务报表和我们的审计报告。</w:t>
      </w:r>
    </w:p>
    <w:p>
      <w:pPr>
        <w:spacing w:line="240" w:lineRule="auto" w:before="6"/>
        <w:rPr>
          <w:rFonts w:ascii="宋体" w:hAnsi="宋体" w:cs="宋体" w:eastAsia="宋体" w:hint="default"/>
          <w:sz w:val="17"/>
          <w:szCs w:val="17"/>
        </w:rPr>
      </w:pPr>
    </w:p>
    <w:p>
      <w:pPr>
        <w:pStyle w:val="BodyText"/>
        <w:spacing w:line="381" w:lineRule="auto" w:before="0"/>
        <w:ind w:right="1132" w:firstLine="480"/>
        <w:jc w:val="both"/>
      </w:pPr>
      <w:r>
        <w:rPr/>
        <w:t>我们对财务报表发表的审计意见不涵盖其他信息，我们也不对其他信息发表任何形式的 鉴证结论。</w:t>
      </w:r>
    </w:p>
    <w:p>
      <w:pPr>
        <w:pStyle w:val="BodyText"/>
        <w:spacing w:line="398" w:lineRule="auto" w:before="84"/>
        <w:ind w:right="1132"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BodyText"/>
        <w:spacing w:line="415" w:lineRule="auto" w:before="26"/>
        <w:ind w:left="633" w:right="6193" w:hanging="480"/>
        <w:jc w:val="left"/>
      </w:pPr>
      <w:r>
        <w:rPr/>
        <w:t>在这方面，我们无任何事项需要报告。 五、管理层和治理层对财务报表的责任</w:t>
      </w:r>
    </w:p>
    <w:p>
      <w:pPr>
        <w:pStyle w:val="BodyText"/>
        <w:spacing w:line="381" w:lineRule="auto" w:before="50"/>
        <w:ind w:right="1132" w:firstLine="480"/>
        <w:jc w:val="both"/>
      </w:pPr>
      <w:r>
        <w:rPr/>
        <w:t>管理层负责按照企业会计准则的规定编制财务报表，使其实现公允反映，并设计、执行 和维护必要的内部控制，以使财务报表不存在由于舞弊或错误导致的重大错报。</w:t>
      </w:r>
    </w:p>
    <w:p>
      <w:pPr>
        <w:pStyle w:val="BodyText"/>
        <w:spacing w:line="372" w:lineRule="auto" w:before="84"/>
        <w:ind w:right="1125" w:firstLine="480"/>
        <w:jc w:val="both"/>
      </w:pPr>
      <w:r>
        <w:rPr/>
        <w:t>在编制财务报表时，管理层负责评估超图软件公司的持续经营能力，披露与持续经营相 </w:t>
      </w:r>
      <w:r>
        <w:rPr>
          <w:spacing w:val="-3"/>
        </w:rPr>
        <w:t>关的事项</w:t>
      </w:r>
      <w:r>
        <w:rPr>
          <w:rFonts w:ascii="Times New Roman" w:hAnsi="Times New Roman" w:cs="Times New Roman" w:eastAsia="Times New Roman" w:hint="default"/>
          <w:spacing w:val="-3"/>
        </w:rPr>
        <w:t>(</w:t>
      </w:r>
      <w:r>
        <w:rPr>
          <w:spacing w:val="-3"/>
        </w:rPr>
        <w:t>如适用</w:t>
      </w:r>
      <w:r>
        <w:rPr>
          <w:rFonts w:ascii="Times New Roman" w:hAnsi="Times New Roman" w:cs="Times New Roman" w:eastAsia="Times New Roman" w:hint="default"/>
          <w:spacing w:val="-3"/>
        </w:rPr>
        <w:t>)</w:t>
      </w:r>
      <w:r>
        <w:rPr>
          <w:spacing w:val="-3"/>
        </w:rPr>
        <w:t>，并运用持续经营假设，除非管理层计划清算超图软件公司、终止运营或别</w:t>
      </w:r>
      <w:r>
        <w:rPr>
          <w:spacing w:val="-112"/>
        </w:rPr>
        <w:t> </w:t>
      </w:r>
      <w:r>
        <w:rPr>
          <w:spacing w:val="-112"/>
        </w:rPr>
      </w:r>
      <w:r>
        <w:rPr/>
        <w:t>无其他现实的选择。</w:t>
      </w:r>
    </w:p>
    <w:p>
      <w:pPr>
        <w:pStyle w:val="BodyText"/>
        <w:spacing w:line="400" w:lineRule="auto" w:before="96"/>
        <w:ind w:left="633" w:right="0"/>
        <w:jc w:val="left"/>
      </w:pPr>
      <w:r>
        <w:rPr/>
        <w:t>超图软件公司治理层</w:t>
      </w:r>
      <w:r>
        <w:rPr>
          <w:rFonts w:ascii="Times New Roman" w:hAnsi="Times New Roman" w:cs="Times New Roman" w:eastAsia="Times New Roman" w:hint="default"/>
        </w:rPr>
        <w:t>(</w:t>
      </w:r>
      <w:r>
        <w:rPr/>
        <w:t>以下简称治理层</w:t>
      </w:r>
      <w:r>
        <w:rPr>
          <w:rFonts w:ascii="Times New Roman" w:hAnsi="Times New Roman" w:cs="Times New Roman" w:eastAsia="Times New Roman" w:hint="default"/>
        </w:rPr>
        <w:t>)</w:t>
      </w:r>
      <w:r>
        <w:rPr/>
        <w:t>负责监督超图软件公司的财务报告过程。 六、注册会计师对财务报表审计的责任 我们的目标是对财务报表整体是否不存在由于舞弊或错误导致的重大错报获取合理保证，</w:t>
      </w:r>
    </w:p>
    <w:p>
      <w:pPr>
        <w:pStyle w:val="BodyText"/>
        <w:spacing w:line="381" w:lineRule="auto" w:before="24"/>
        <w:ind w:right="1130"/>
        <w:jc w:val="both"/>
      </w:pPr>
      <w:r>
        <w:rPr/>
        <w:t>并出具包含审计意见的审计报告。合理保证是高水平的保证，但并不能保证按照审计准则执</w:t>
      </w:r>
      <w:r>
        <w:rPr>
          <w:spacing w:val="-85"/>
        </w:rPr>
        <w:t> </w:t>
      </w:r>
      <w:r>
        <w:rPr>
          <w:spacing w:val="-85"/>
        </w:rPr>
      </w:r>
      <w:r>
        <w:rPr/>
        <w:t>行的审计在某一重大错报存在时总能发现。错报可能由于舞弊或错误导致，如果合理预期错</w:t>
      </w:r>
      <w:r>
        <w:rPr>
          <w:spacing w:val="-84"/>
        </w:rPr>
        <w:t> </w:t>
      </w:r>
      <w:r>
        <w:rPr>
          <w:spacing w:val="-84"/>
        </w:rPr>
      </w:r>
      <w:r>
        <w:rPr/>
        <w:t>报单独或汇总起来可能影响财务报表使用者依据财务报表作出的经济决策，则通常认为错报</w:t>
      </w:r>
      <w:r>
        <w:rPr>
          <w:spacing w:val="-85"/>
        </w:rPr>
        <w:t> </w:t>
      </w:r>
      <w:r>
        <w:rPr>
          <w:spacing w:val="-85"/>
        </w:rPr>
      </w:r>
      <w:r>
        <w:rPr/>
        <w:t>是重大的。</w:t>
      </w:r>
    </w:p>
    <w:p>
      <w:pPr>
        <w:pStyle w:val="BodyText"/>
        <w:spacing w:line="381" w:lineRule="auto" w:before="84"/>
        <w:ind w:right="1132" w:firstLine="480"/>
        <w:jc w:val="both"/>
      </w:pPr>
      <w:r>
        <w:rPr/>
        <w:t>在按照审计准则执行审计工作的过程中，我们运用职业判断，并保持职业怀疑。同时， 我们也执行以下工作：</w:t>
      </w:r>
    </w:p>
    <w:p>
      <w:pPr>
        <w:pStyle w:val="BodyText"/>
        <w:spacing w:line="360" w:lineRule="auto" w:before="84"/>
        <w:ind w:right="1126"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识别和评估由于舞弊或错误导致的财务报表重大错报风险，设计和实施审计程序以</w:t>
      </w:r>
      <w:r>
        <w:rPr>
          <w:w w:val="99"/>
        </w:rPr>
        <w:t> </w:t>
      </w:r>
      <w:r>
        <w:rPr/>
        <w:t>应对这些风险，并获取充分、适当的审计证据，作为发表审计意见的基础。由于舞弊可能涉</w:t>
      </w:r>
    </w:p>
    <w:p>
      <w:pPr>
        <w:spacing w:after="0" w:line="360"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81" w:lineRule="auto" w:before="26"/>
        <w:ind w:right="1116"/>
        <w:jc w:val="left"/>
      </w:pPr>
      <w:r>
        <w:rPr/>
        <w:t>及串通、伪造、故意遗漏、虚假陈述或凌驾于内部控制之上，未能发现由于舞弊导致的重大</w:t>
      </w:r>
      <w:r>
        <w:rPr>
          <w:spacing w:val="-85"/>
        </w:rPr>
        <w:t> </w:t>
      </w:r>
      <w:r>
        <w:rPr>
          <w:spacing w:val="-85"/>
        </w:rPr>
      </w:r>
      <w:r>
        <w:rPr/>
        <w:t>错报的风险高于未能发现由于错误导致的重大错报的风险。</w:t>
      </w:r>
    </w:p>
    <w:p>
      <w:pPr>
        <w:pStyle w:val="BodyText"/>
        <w:spacing w:line="240" w:lineRule="auto" w:before="86"/>
        <w:ind w:left="633" w:right="127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了解与审计相关的内部控制，以设计恰当的审计程序。</w:t>
      </w:r>
    </w:p>
    <w:p>
      <w:pPr>
        <w:pStyle w:val="BodyText"/>
        <w:spacing w:line="240" w:lineRule="auto" w:before="207"/>
        <w:ind w:left="633" w:right="127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评价管理层选用会计政策的恰当性和作出会计估计及相关披露的合理性。</w:t>
      </w:r>
    </w:p>
    <w:p>
      <w:pPr>
        <w:pStyle w:val="BodyText"/>
        <w:spacing w:line="376" w:lineRule="auto" w:before="207"/>
        <w:ind w:right="1126"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对管理层使用持续经营假设的恰当性得出结论。同时，根据获取的审计证据，就可</w:t>
      </w:r>
      <w:r>
        <w:rPr>
          <w:w w:val="99"/>
        </w:rPr>
        <w:t> </w:t>
      </w:r>
      <w:r>
        <w:rPr/>
        <w:t>能导致对超图软件公司持续经营能力产生重大疑虑的事项或情况是否存在重大不确定性得出</w:t>
      </w:r>
      <w:r>
        <w:rPr>
          <w:spacing w:val="-85"/>
        </w:rPr>
        <w:t> </w:t>
      </w:r>
      <w:r>
        <w:rPr>
          <w:spacing w:val="-85"/>
        </w:rPr>
      </w:r>
      <w:r>
        <w:rPr/>
        <w:t>结论。如果我们得出结论认为存在重大不确定性，审计准则要求我们在审计报告中提请报表</w:t>
      </w:r>
      <w:r>
        <w:rPr>
          <w:spacing w:val="-85"/>
        </w:rPr>
        <w:t> </w:t>
      </w:r>
      <w:r>
        <w:rPr>
          <w:spacing w:val="-85"/>
        </w:rPr>
      </w:r>
      <w:r>
        <w:rPr/>
        <w:t>使用者注意财务报表中的相关披露；如果披露不充分，我们应当发表非无保留意见。我们的</w:t>
      </w:r>
      <w:r>
        <w:rPr>
          <w:spacing w:val="-85"/>
        </w:rPr>
        <w:t> </w:t>
      </w:r>
      <w:r>
        <w:rPr>
          <w:spacing w:val="-85"/>
        </w:rPr>
      </w:r>
      <w:r>
        <w:rPr/>
        <w:t>结论基于截至审计报告日可获得的信息。然而，未来的事项或情况可能导致超图软件公司不</w:t>
      </w:r>
      <w:r>
        <w:rPr>
          <w:spacing w:val="-83"/>
        </w:rPr>
        <w:t> </w:t>
      </w:r>
      <w:r>
        <w:rPr>
          <w:spacing w:val="-83"/>
        </w:rPr>
      </w:r>
      <w:r>
        <w:rPr/>
        <w:t>能持续经营。</w:t>
      </w:r>
    </w:p>
    <w:p>
      <w:pPr>
        <w:pStyle w:val="BodyText"/>
        <w:spacing w:line="360" w:lineRule="auto" w:before="89"/>
        <w:ind w:right="1119" w:firstLine="480"/>
        <w:jc w:val="both"/>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w:t>
      </w:r>
      <w:r>
        <w:rPr>
          <w:spacing w:val="2"/>
          <w:w w:val="99"/>
        </w:rPr>
        <w:t> </w:t>
      </w:r>
      <w:r>
        <w:rPr/>
        <w:t>相关交易和事项。</w:t>
      </w:r>
    </w:p>
    <w:p>
      <w:pPr>
        <w:pStyle w:val="BodyText"/>
        <w:spacing w:line="360" w:lineRule="auto" w:before="108"/>
        <w:ind w:right="1126" w:firstLine="480"/>
        <w:jc w:val="righ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就超图软件公司中实体或业务活动的财务信息获取充分、适当的审计证据，以对财</w:t>
      </w:r>
      <w:r>
        <w:rPr>
          <w:w w:val="99"/>
        </w:rPr>
        <w:t> </w:t>
      </w:r>
      <w:r>
        <w:rPr>
          <w:w w:val="95"/>
        </w:rPr>
        <w:t>务报表发表审计意见。我们负责指导、监督和执行集团审计，并对审计意见承担全部责任。</w:t>
      </w:r>
      <w:r>
        <w:rPr/>
      </w:r>
    </w:p>
    <w:p>
      <w:pPr>
        <w:pStyle w:val="BodyText"/>
        <w:spacing w:line="381" w:lineRule="auto" w:before="106"/>
        <w:ind w:right="1132" w:firstLine="480"/>
        <w:jc w:val="both"/>
      </w:pPr>
      <w:r>
        <w:rPr/>
        <w:t>我们与治理层就计划的审计范围、时间安排和重大审计发现等事项进行沟通，包括沟通 我们在审计中识别出的值得关注的内部控制缺陷。</w:t>
      </w:r>
    </w:p>
    <w:p>
      <w:pPr>
        <w:pStyle w:val="BodyText"/>
        <w:spacing w:line="381" w:lineRule="auto" w:before="84"/>
        <w:ind w:right="1126" w:firstLine="480"/>
        <w:jc w:val="both"/>
      </w:pPr>
      <w:r>
        <w:rPr/>
        <w:t>我们还就已遵守与独立性相关的职业道德要求向治理层提供声明，并与治理层沟通可能 被合理认为影响我们独立性的所有关系和其他事项，以及相关的防范措施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381" w:lineRule="auto" w:before="53"/>
        <w:ind w:right="1132" w:firstLine="480"/>
        <w:jc w:val="both"/>
      </w:pPr>
      <w:r>
        <w:rPr/>
        <w:t>从与治理层沟通过的事项中，我们确定哪些事项对本期财务报表审计最为重要，因而构 成关键审计事项。我们在审计报告中描述这些事项，除非法律法规禁止公开披露这些事项，</w:t>
      </w:r>
      <w:r>
        <w:rPr>
          <w:spacing w:val="-85"/>
        </w:rPr>
        <w:t> </w:t>
      </w:r>
      <w:r>
        <w:rPr>
          <w:spacing w:val="-85"/>
        </w:rPr>
      </w:r>
      <w:r>
        <w:rPr/>
        <w:t>或在极少数情形下，如果合理预期在审计报告中沟通某事项造成的负面后果超过在公众利益</w:t>
      </w:r>
      <w:r>
        <w:rPr>
          <w:spacing w:val="-85"/>
        </w:rPr>
        <w:t> </w:t>
      </w:r>
      <w:r>
        <w:rPr>
          <w:spacing w:val="-85"/>
        </w:rPr>
      </w:r>
      <w:r>
        <w:rPr/>
        <w:t>方面产生的益处，我们确定不应在审计报告中沟通该事项。</w:t>
      </w:r>
    </w:p>
    <w:p>
      <w:pPr>
        <w:pStyle w:val="BodyText"/>
        <w:tabs>
          <w:tab w:pos="4992" w:val="left" w:leader="none"/>
        </w:tabs>
        <w:spacing w:line="240" w:lineRule="auto" w:before="86"/>
        <w:ind w:left="633" w:right="1273"/>
        <w:jc w:val="left"/>
      </w:pPr>
      <w:r>
        <w:rPr>
          <w:spacing w:val="-1"/>
        </w:rPr>
        <w:t>中汇会计师事务所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tab/>
      </w:r>
      <w:r>
        <w:rPr/>
        <w:t>中国注册会计师：赵亦飞</w:t>
      </w:r>
    </w:p>
    <w:p>
      <w:pPr>
        <w:pStyle w:val="BodyText"/>
        <w:spacing w:line="240" w:lineRule="auto" w:before="207"/>
        <w:ind w:left="3268" w:right="2687"/>
        <w:jc w:val="center"/>
        <w:rPr>
          <w:rFonts w:ascii="Times New Roman" w:hAnsi="Times New Roman" w:cs="Times New Roman" w:eastAsia="Times New Roman" w:hint="default"/>
        </w:rPr>
      </w:pP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w:t>
      </w:r>
    </w:p>
    <w:p>
      <w:pPr>
        <w:pStyle w:val="BodyText"/>
        <w:tabs>
          <w:tab w:pos="4913" w:val="left" w:leader="none"/>
        </w:tabs>
        <w:spacing w:line="302" w:lineRule="auto" w:before="207"/>
        <w:ind w:left="5062" w:right="2921" w:hanging="3349"/>
        <w:jc w:val="left"/>
      </w:pPr>
      <w:r>
        <w:rPr>
          <w:spacing w:val="-1"/>
        </w:rPr>
        <w:t>中国</w:t>
      </w:r>
      <w:r>
        <w:rPr>
          <w:rFonts w:ascii="Times New Roman" w:hAnsi="Times New Roman" w:cs="Times New Roman" w:eastAsia="Times New Roman" w:hint="default"/>
          <w:spacing w:val="-1"/>
        </w:rPr>
        <w:t>·</w:t>
      </w:r>
      <w:r>
        <w:rPr>
          <w:spacing w:val="-1"/>
        </w:rPr>
        <w:t>杭州</w:t>
        <w:tab/>
      </w:r>
      <w:r>
        <w:rPr/>
        <w:t>中国注册会计师：刘成龙 报告日期：</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8 </w:t>
      </w:r>
      <w:r>
        <w:rPr/>
        <w:t>日</w:t>
      </w:r>
    </w:p>
    <w:p>
      <w:pPr>
        <w:spacing w:after="0" w:line="302" w:lineRule="auto"/>
        <w:jc w:val="left"/>
        <w:sectPr>
          <w:footerReference w:type="default" r:id="rId15"/>
          <w:pgSz w:w="11910" w:h="16840"/>
          <w:pgMar w:footer="979" w:header="877" w:top="1060" w:bottom="116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16"/>
          <w:pgSz w:w="11910" w:h="16840"/>
          <w:pgMar w:footer="979" w:header="877" w:top="1060" w:bottom="1160" w:left="980" w:right="0"/>
          <w:pgNumType w:start="101"/>
        </w:sectPr>
      </w:pPr>
    </w:p>
    <w:p>
      <w:pPr>
        <w:spacing w:line="350" w:lineRule="auto" w:before="26"/>
        <w:ind w:left="153" w:right="-20"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编制单位：北京超图软件股份有限公司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4234" w:space="4446"/>
            <w:col w:w="2250"/>
          </w:cols>
        </w:sectPr>
      </w:pP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2"/>
        <w:gridCol w:w="3417"/>
        <w:gridCol w:w="2969"/>
      </w:tblGrid>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766,757,383.48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561,680,511.43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3"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509,376,986.25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417,474,481.58</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6,485,178.00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4,117,040.00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502,891,808.25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413,357,441.58</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9,351,774.94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8,722,865.50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84,986,855.92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76,867,761.00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7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7,475,463.38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10,552,114.06</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226,555,437.58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394,847,392.11</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1,604,503,901.55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1,470,145,125.68</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3,012,996.27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3,012,155.43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2"/>
        <w:gridCol w:w="3417"/>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1,962,373.91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1,948,820.21</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118,330,383.62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121,539,879.37</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162,324,519.98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165,287,617.58</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66,760,134.37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14,912,976.25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128,817,690.83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120,737,801.57</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12,993,844.12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11,116,674.61</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707,269,877.25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707,269,877.25</w:t>
            </w: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2"/>
                <w:sz w:val="21"/>
              </w:rPr>
              <w:t>2,723,114.79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1,651,966.61</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14,094,610.12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10,875,192.58</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1,230,000.00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1,218,289,545.26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1,159,582,961.46</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2,822,793,446.81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2,629,728,087.14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6,544,797.80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5,055,848.52</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834"/>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203"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834"/>
              <w:jc w:val="right"/>
              <w:rPr>
                <w:rFonts w:ascii="宋体" w:hAnsi="宋体" w:cs="宋体" w:eastAsia="宋体" w:hint="default"/>
                <w:sz w:val="21"/>
                <w:szCs w:val="21"/>
              </w:rPr>
            </w:pPr>
            <w:r>
              <w:rPr>
                <w:rFonts w:ascii="宋体" w:hAnsi="宋体" w:cs="宋体" w:eastAsia="宋体" w:hint="default"/>
                <w:spacing w:val="-2"/>
                <w:sz w:val="21"/>
                <w:szCs w:val="21"/>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266,426,597.29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226,253,802.54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186,258,184.00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179,897,572.96</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834"/>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147,221,367.51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98,395,104.53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32,267,415.85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35,530,199.28</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70,722,968.73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33,809,248.93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53,997.21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27,706.05</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7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36,612.00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2"/>
        <w:gridCol w:w="3417"/>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73,909,231.06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65,350,526.85</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1,956,224.20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455,638.22</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785,306,786.44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644,747,941.83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6,059,603.72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5,588,253.81</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7"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96,941,233.14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161,249,022.10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802,227.28</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1,338,800.81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1,968,604.13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104,339,637.67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169,608,107.32</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889,646,424.11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814,356,049.15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449,537,367.00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449,537,367.00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829,814,736.29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829,796,508.00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486,000.00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-4,084,069.49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-4,768,686.55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47,604,030.61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43,790,317.54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612,264,102.17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488,024,661.45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1,935,136,166.58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1,805,894,167.44</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-1,989,143.88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9,477,870.55</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1,933,147,022.70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1,815,372,037.99</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2,822,793,446.81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2,629,728,087.14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tabs>
          <w:tab w:pos="3578" w:val="left" w:leader="none"/>
          <w:tab w:pos="7630" w:val="left" w:leader="none"/>
        </w:tabs>
        <w:spacing w:before="44"/>
        <w:ind w:left="153" w:right="1273"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法定代表人：钟耳顺</w:t>
        <w:tab/>
        <w:t>主管会计工作负责人：荆钺坤</w:t>
        <w:tab/>
      </w:r>
      <w:r>
        <w:rPr>
          <w:rFonts w:ascii="宋体" w:hAnsi="宋体" w:cs="宋体" w:eastAsia="宋体" w:hint="default"/>
          <w:sz w:val="18"/>
          <w:szCs w:val="18"/>
        </w:rPr>
        <w:t>会计机构负责人：荆钺坤</w:t>
      </w:r>
    </w:p>
    <w:p>
      <w:pPr>
        <w:spacing w:line="240" w:lineRule="auto" w:before="1"/>
        <w:rPr>
          <w:rFonts w:ascii="宋体" w:hAnsi="宋体" w:cs="宋体" w:eastAsia="宋体" w:hint="default"/>
          <w:sz w:val="12"/>
          <w:szCs w:val="12"/>
        </w:rPr>
      </w:pPr>
    </w:p>
    <w:p>
      <w:pPr>
        <w:pStyle w:val="Heading2"/>
        <w:spacing w:line="240" w:lineRule="auto" w:before="26"/>
        <w:ind w:right="1273"/>
        <w:jc w:val="left"/>
        <w:rPr>
          <w:b w:val="0"/>
          <w:bCs w:val="0"/>
        </w:rPr>
      </w:pPr>
      <w:r>
        <w:rPr>
          <w:rFonts w:ascii="Times New Roman" w:hAnsi="Times New Roman" w:cs="Times New Roman" w:eastAsia="Times New Roman" w:hint="default"/>
        </w:rPr>
        <w:t>2</w:t>
      </w:r>
      <w:r>
        <w:rPr/>
        <w:t>、母公司资产负债表</w:t>
      </w:r>
      <w:r>
        <w:rPr>
          <w:b w:val="0"/>
          <w:bCs w:val="0"/>
        </w:rPr>
      </w:r>
    </w:p>
    <w:p>
      <w:pPr>
        <w:pStyle w:val="BodyText"/>
        <w:spacing w:line="240" w:lineRule="auto" w:before="97"/>
        <w:ind w:left="0" w:right="113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4"/>
        <w:gridCol w:w="3318"/>
        <w:gridCol w:w="2967"/>
      </w:tblGrid>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313,224,940.71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277,329,440.71</w:t>
            </w:r>
          </w:p>
        </w:tc>
      </w:tr>
      <w:tr>
        <w:trPr>
          <w:trHeight w:val="71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269,700,403.39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282,263,309.88</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6,285,178.00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4,117,040.00</w:t>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4"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263,415,225.39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278,146,269.88</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2,847,362.63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4,513,215.48</w:t>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99,729,516.62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42,421,406.93</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4" w:right="0"/>
              <w:jc w:val="center"/>
              <w:rPr>
                <w:rFonts w:ascii="宋体" w:hAnsi="宋体" w:cs="宋体" w:eastAsia="宋体" w:hint="default"/>
                <w:sz w:val="21"/>
                <w:szCs w:val="21"/>
              </w:rPr>
            </w:pPr>
            <w:r>
              <w:rPr>
                <w:rFonts w:ascii="宋体" w:hAnsi="宋体" w:cs="宋体" w:eastAsia="宋体" w:hint="default"/>
                <w:sz w:val="21"/>
                <w:szCs w:val="21"/>
              </w:rPr>
              <w:t>应收股利</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211,386,066.18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363,162,451.43</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896,888,289.53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969,689,824.43</w:t>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957,891,005.12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957,877,451.42</w:t>
            </w:r>
          </w:p>
        </w:tc>
      </w:tr>
      <w:tr>
        <w:trPr>
          <w:trHeight w:val="404"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116,272,028.54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120,162,278.06</w:t>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143,647,901.53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151,019,194.22</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96,177,139.03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65,733,565.51</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12,993,844.12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11,116,674.61</w:t>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1,514,397.64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204,077.63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6,240,733.13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6,010,176.80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1,337,737,049.11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1,315,123,418.25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2,234,625,338.64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2,284,813,242.68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00"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275,554,683.76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254,354,380.36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91,544,647.15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123,726,968.25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49,855,215.94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24,191,159.88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10,355,978.77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18,692,553.02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17,730,226.97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16,860,649.53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0"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36,612.00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70,500,000.00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61,875,000.00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515,540,752.59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499,700,711.04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6"/>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96,941,233.14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161,249,022.10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802,227.28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96,941,233.14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162,051,249.38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612,481,985.73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661,751,960.42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449,537,367.00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449,537,367.00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6"/>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837,174,094.70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837,155,866.41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486,000.00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47,604,030.61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43,790,317.54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287,827,860.60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293,063,731.31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1,622,143,352.91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1,623,061,282.26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2,234,625,338.64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2,284,813,242.68</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27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1,517,788,227.33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1,249,758,548.46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1,517,788,227.33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1,249,758,548.46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4"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86"/>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1,395,642,870.39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1,086,198,175.17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681,911,432.78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509,948,911.52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86"/>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5"/>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6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13,664,030.86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12,177,143.00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185,919,403.38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155,240,147.96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288,783,052.04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227,866,260.31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5"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198,373,553.53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175,436,778.11</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3,759,629.51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2,973,521.87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85"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6,580,004.68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7,009,575.60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1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3,253,403.27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4,088,098.52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23,231,768.29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2,555,412.40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25,140,378.01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27,737,443.33</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6" w:firstLine="842"/>
              <w:jc w:val="left"/>
              <w:rPr>
                <w:rFonts w:ascii="宋体" w:hAnsi="宋体" w:cs="宋体" w:eastAsia="宋体" w:hint="default"/>
                <w:sz w:val="21"/>
                <w:szCs w:val="21"/>
              </w:rPr>
            </w:pPr>
            <w:r>
              <w:rPr>
                <w:rFonts w:ascii="宋体" w:hAnsi="宋体" w:cs="宋体" w:eastAsia="宋体" w:hint="default"/>
                <w:spacing w:val="-2"/>
                <w:sz w:val="21"/>
                <w:szCs w:val="21"/>
              </w:rPr>
              <w:t>投资收益（损失以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10,563,243.00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9,087,404.68</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2" w:right="6" w:firstLine="842"/>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13,553.70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701,216.26</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6" w:firstLine="842"/>
              <w:jc w:val="left"/>
              <w:rPr>
                <w:rFonts w:ascii="宋体" w:hAnsi="宋体" w:cs="宋体" w:eastAsia="宋体" w:hint="default"/>
                <w:sz w:val="21"/>
                <w:szCs w:val="21"/>
              </w:rPr>
            </w:pPr>
            <w:r>
              <w:rPr>
                <w:rFonts w:ascii="宋体" w:hAnsi="宋体" w:cs="宋体" w:eastAsia="宋体" w:hint="default"/>
                <w:spacing w:val="-5"/>
                <w:sz w:val="21"/>
                <w:szCs w:val="21"/>
              </w:rPr>
              <w:t>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42" w:firstLine="842"/>
              <w:jc w:val="left"/>
              <w:rPr>
                <w:rFonts w:ascii="宋体" w:hAnsi="宋体" w:cs="宋体" w:eastAsia="宋体" w:hint="default"/>
                <w:sz w:val="21"/>
                <w:szCs w:val="21"/>
              </w:rPr>
            </w:pPr>
            <w:r>
              <w:rPr>
                <w:rFonts w:ascii="宋体" w:hAnsi="宋体" w:cs="宋体" w:eastAsia="宋体" w:hint="default"/>
                <w:spacing w:val="-2"/>
                <w:sz w:val="21"/>
                <w:szCs w:val="21"/>
              </w:rPr>
              <w:t>汇兑收益（损失以</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pacing w:val="-5"/>
                <w:sz w:val="21"/>
                <w:szCs w:val="21"/>
              </w:rPr>
              <w:t>资产处置收益（损失以</w:t>
            </w:r>
          </w:p>
          <w:p>
            <w:pPr>
              <w:pStyle w:val="TableParagraph"/>
              <w:spacing w:line="240" w:lineRule="auto" w:before="3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73,947.43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-186,929.10</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6"/>
              <w:jc w:val="left"/>
              <w:rPr>
                <w:rFonts w:ascii="宋体" w:hAnsi="宋体" w:cs="宋体" w:eastAsia="宋体" w:hint="default"/>
                <w:sz w:val="21"/>
                <w:szCs w:val="21"/>
              </w:rPr>
            </w:pPr>
            <w:r>
              <w:rPr>
                <w:rFonts w:ascii="宋体" w:hAnsi="宋体" w:cs="宋体" w:eastAsia="宋体" w:hint="default"/>
                <w:spacing w:val="-2"/>
                <w:sz w:val="21"/>
                <w:szCs w:val="21"/>
              </w:rPr>
              <w:t>三、营业利润（亏损以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2"/>
                <w:sz w:val="21"/>
                <w:szCs w:val="21"/>
              </w:rPr>
              <w:t> </w:t>
            </w:r>
            <w:r>
              <w:rPr>
                <w:rFonts w:ascii="宋体" w:hAnsi="宋体" w:cs="宋体" w:eastAsia="宋体" w:hint="default"/>
                <w:sz w:val="21"/>
                <w:szCs w:val="21"/>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157,922,925.38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200,198,292.20</w:t>
            </w: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4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10,984,804.59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3,152,530.36</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61,153.85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53,809.28</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6"/>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168,846,576.12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203,297,013.28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12,644,034.81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14,156,102.69</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6"/>
              <w:jc w:val="left"/>
              <w:rPr>
                <w:rFonts w:ascii="宋体" w:hAnsi="宋体" w:cs="宋体" w:eastAsia="宋体" w:hint="default"/>
                <w:sz w:val="21"/>
                <w:szCs w:val="21"/>
              </w:rPr>
            </w:pPr>
            <w:r>
              <w:rPr>
                <w:rFonts w:ascii="宋体" w:hAnsi="宋体" w:cs="宋体" w:eastAsia="宋体" w:hint="default"/>
                <w:spacing w:val="-2"/>
                <w:sz w:val="21"/>
                <w:szCs w:val="21"/>
              </w:rPr>
              <w:t>五、净利润（净亏损以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3"/>
                <w:sz w:val="21"/>
                <w:szCs w:val="21"/>
              </w:rPr>
              <w:t> </w:t>
            </w:r>
            <w:r>
              <w:rPr>
                <w:rFonts w:ascii="宋体" w:hAnsi="宋体" w:cs="宋体" w:eastAsia="宋体" w:hint="default"/>
                <w:sz w:val="21"/>
                <w:szCs w:val="21"/>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156,202,541.31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189,140,910.59</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6" w:firstLine="410"/>
              <w:jc w:val="left"/>
              <w:rPr>
                <w:rFonts w:ascii="宋体" w:hAnsi="宋体" w:cs="宋体" w:eastAsia="宋体" w:hint="default"/>
                <w:sz w:val="21"/>
                <w:szCs w:val="21"/>
              </w:rPr>
            </w:pPr>
            <w:r>
              <w:rPr>
                <w:rFonts w:ascii="宋体" w:hAnsi="宋体" w:cs="宋体" w:eastAsia="宋体" w:hint="default"/>
                <w:spacing w:val="-3"/>
                <w:sz w:val="21"/>
                <w:szCs w:val="21"/>
              </w:rPr>
              <w:t>（一）持续经营净利润（净</w:t>
            </w:r>
            <w:r>
              <w:rPr>
                <w:rFonts w:ascii="宋体" w:hAnsi="宋体" w:cs="宋体" w:eastAsia="宋体" w:hint="default"/>
                <w:w w:val="100"/>
                <w:sz w:val="21"/>
                <w:szCs w:val="21"/>
              </w:rPr>
              <w:t> </w:t>
            </w: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156,202,541.31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189,140,910.59</w:t>
            </w:r>
          </w:p>
        </w:tc>
      </w:tr>
      <w:tr>
        <w:trPr>
          <w:trHeight w:val="716"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6" w:firstLine="410"/>
              <w:jc w:val="left"/>
              <w:rPr>
                <w:rFonts w:ascii="宋体" w:hAnsi="宋体" w:cs="宋体" w:eastAsia="宋体" w:hint="default"/>
                <w:sz w:val="21"/>
                <w:szCs w:val="21"/>
              </w:rPr>
            </w:pPr>
            <w:r>
              <w:rPr>
                <w:rFonts w:ascii="宋体" w:hAnsi="宋体" w:cs="宋体" w:eastAsia="宋体" w:hint="default"/>
                <w:spacing w:val="-3"/>
                <w:sz w:val="21"/>
                <w:szCs w:val="21"/>
              </w:rPr>
              <w:t>（二）终止经营净利润（净</w:t>
            </w:r>
            <w:r>
              <w:rPr>
                <w:rFonts w:ascii="宋体" w:hAnsi="宋体" w:cs="宋体" w:eastAsia="宋体" w:hint="default"/>
                <w:w w:val="100"/>
                <w:sz w:val="21"/>
                <w:szCs w:val="21"/>
              </w:rPr>
              <w:t> </w:t>
            </w: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86"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归属于母公司所有者的净</w:t>
            </w:r>
            <w:r>
              <w:rPr>
                <w:rFonts w:ascii="宋体" w:hAnsi="宋体" w:cs="宋体" w:eastAsia="宋体" w:hint="default"/>
                <w:w w:val="100"/>
                <w:sz w:val="21"/>
                <w:szCs w:val="21"/>
              </w:rPr>
              <w:t> </w:t>
            </w:r>
            <w:r>
              <w:rPr>
                <w:rFonts w:ascii="宋体" w:hAnsi="宋体" w:cs="宋体" w:eastAsia="宋体" w:hint="default"/>
                <w:sz w:val="21"/>
                <w:szCs w:val="21"/>
              </w:rPr>
              <w:t>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167,612,442.09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196,266,033.25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-11,409,900.78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-7,125,122.66</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627,503.41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-853,620.49</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86"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w:t>
            </w:r>
            <w:r>
              <w:rPr>
                <w:rFonts w:ascii="宋体" w:hAnsi="宋体" w:cs="宋体" w:eastAsia="宋体" w:hint="default"/>
                <w:w w:val="100"/>
                <w:sz w:val="21"/>
                <w:szCs w:val="21"/>
              </w:rPr>
              <w:t> </w:t>
            </w:r>
            <w:r>
              <w:rPr>
                <w:rFonts w:ascii="宋体" w:hAnsi="宋体" w:cs="宋体" w:eastAsia="宋体" w:hint="default"/>
                <w:sz w:val="21"/>
                <w:szCs w:val="21"/>
              </w:rPr>
              <w:t>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684,617.06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-814,567.95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28" w:right="0"/>
              <w:jc w:val="left"/>
              <w:rPr>
                <w:rFonts w:ascii="宋体" w:hAnsi="宋体" w:cs="宋体" w:eastAsia="宋体" w:hint="default"/>
                <w:sz w:val="21"/>
                <w:szCs w:val="21"/>
              </w:rPr>
            </w:pPr>
            <w:r>
              <w:rPr>
                <w:rFonts w:ascii="宋体" w:hAnsi="宋体" w:cs="宋体" w:eastAsia="宋体" w:hint="default"/>
                <w:spacing w:val="-3"/>
                <w:sz w:val="21"/>
                <w:szCs w:val="21"/>
              </w:rPr>
              <w:t>（一）不能重分类进损益的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36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05"/>
              <w:jc w:val="left"/>
              <w:rPr>
                <w:rFonts w:ascii="宋体" w:hAnsi="宋体" w:cs="宋体" w:eastAsia="宋体" w:hint="default"/>
                <w:sz w:val="21"/>
                <w:szCs w:val="21"/>
              </w:rPr>
            </w:pPr>
            <w:r>
              <w:rPr>
                <w:rFonts w:ascii="宋体" w:hAnsi="宋体" w:cs="宋体" w:eastAsia="宋体" w:hint="default"/>
                <w:spacing w:val="-3"/>
                <w:sz w:val="21"/>
                <w:szCs w:val="21"/>
              </w:rPr>
              <w:t>（二）将重分类进损益的其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684,617.06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-814,567.95</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w:t>
            </w:r>
            <w:r>
              <w:rPr>
                <w:rFonts w:ascii="宋体" w:hAnsi="宋体" w:cs="宋体" w:eastAsia="宋体" w:hint="default"/>
                <w:w w:val="100"/>
                <w:sz w:val="21"/>
                <w:szCs w:val="21"/>
              </w:rPr>
              <w:t> </w:t>
            </w:r>
            <w:r>
              <w:rPr>
                <w:rFonts w:ascii="宋体" w:hAnsi="宋体" w:cs="宋体" w:eastAsia="宋体" w:hint="default"/>
                <w:sz w:val="21"/>
                <w:szCs w:val="21"/>
              </w:rPr>
              <w:t>分类为可供出售金融资产损益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w:t>
            </w:r>
            <w:r>
              <w:rPr>
                <w:rFonts w:ascii="宋体" w:hAnsi="宋体" w:cs="宋体" w:eastAsia="宋体" w:hint="default"/>
                <w:w w:val="100"/>
                <w:sz w:val="21"/>
                <w:szCs w:val="21"/>
              </w:rPr>
              <w:t> </w:t>
            </w:r>
            <w:r>
              <w:rPr>
                <w:rFonts w:ascii="宋体" w:hAnsi="宋体" w:cs="宋体" w:eastAsia="宋体" w:hint="default"/>
                <w:sz w:val="21"/>
                <w:szCs w:val="21"/>
              </w:rPr>
              <w:t>的有效部分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684,617.06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-814,567.95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3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w:t>
            </w:r>
            <w:r>
              <w:rPr>
                <w:rFonts w:ascii="宋体" w:hAnsi="宋体" w:cs="宋体" w:eastAsia="宋体" w:hint="default"/>
                <w:w w:val="100"/>
                <w:sz w:val="21"/>
                <w:szCs w:val="21"/>
              </w:rPr>
              <w:t> </w:t>
            </w:r>
            <w:r>
              <w:rPr>
                <w:rFonts w:ascii="宋体" w:hAnsi="宋体" w:cs="宋体" w:eastAsia="宋体" w:hint="default"/>
                <w:sz w:val="21"/>
                <w:szCs w:val="21"/>
              </w:rPr>
              <w:t>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-57,113.65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-39,052.54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156,830,044.72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188,287,290.10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归属于母公司所有者的综</w:t>
            </w:r>
            <w:r>
              <w:rPr>
                <w:rFonts w:ascii="宋体" w:hAnsi="宋体" w:cs="宋体" w:eastAsia="宋体" w:hint="default"/>
                <w:w w:val="100"/>
                <w:sz w:val="21"/>
                <w:szCs w:val="21"/>
              </w:rPr>
              <w:t> </w:t>
            </w:r>
            <w:r>
              <w:rPr>
                <w:rFonts w:ascii="宋体" w:hAnsi="宋体" w:cs="宋体" w:eastAsia="宋体" w:hint="default"/>
                <w:sz w:val="21"/>
                <w:szCs w:val="21"/>
              </w:rPr>
              <w:t>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168,297,059.15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195,451,465.30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归属于少数股东的综合收</w:t>
            </w:r>
            <w:r>
              <w:rPr>
                <w:rFonts w:ascii="宋体" w:hAnsi="宋体" w:cs="宋体" w:eastAsia="宋体" w:hint="default"/>
                <w:w w:val="100"/>
                <w:sz w:val="21"/>
                <w:szCs w:val="21"/>
              </w:rPr>
              <w:t> </w:t>
            </w:r>
            <w:r>
              <w:rPr>
                <w:rFonts w:ascii="宋体" w:hAnsi="宋体" w:cs="宋体" w:eastAsia="宋体" w:hint="default"/>
                <w:sz w:val="21"/>
                <w:szCs w:val="21"/>
              </w:rPr>
              <w:t>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-11,467,014.43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-7,164,175.20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8"/>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0.44</w:t>
            </w:r>
          </w:p>
        </w:tc>
      </w:tr>
    </w:tbl>
    <w:p>
      <w:pPr>
        <w:spacing w:line="386" w:lineRule="auto" w:before="64"/>
        <w:ind w:left="153" w:right="1153" w:firstLine="0"/>
        <w:jc w:val="left"/>
        <w:rPr>
          <w:rFonts w:ascii="宋体" w:hAnsi="宋体" w:cs="宋体" w:eastAsia="宋体" w:hint="default"/>
          <w:sz w:val="21"/>
          <w:szCs w:val="21"/>
        </w:rPr>
      </w:pPr>
      <w:r>
        <w:rPr>
          <w:rFonts w:ascii="宋体" w:hAnsi="宋体" w:cs="宋体" w:eastAsia="宋体" w:hint="default"/>
          <w:spacing w:val="-2"/>
          <w:sz w:val="21"/>
          <w:szCs w:val="21"/>
        </w:rPr>
        <w:t>本期发生同一控制下企业合并的，被合并方在合并前实现的净利润为：</w:t>
      </w:r>
      <w:r>
        <w:rPr>
          <w:rFonts w:ascii="Times New Roman" w:hAnsi="Times New Roman" w:cs="Times New Roman" w:eastAsia="Times New Roman" w:hint="default"/>
          <w:spacing w:val="-2"/>
          <w:sz w:val="21"/>
          <w:szCs w:val="21"/>
        </w:rPr>
        <w:t>0.00</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元，上期被合并方实现的净利</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润为：</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tabs>
          <w:tab w:pos="3297" w:val="left" w:leader="none"/>
          <w:tab w:pos="7489" w:val="left" w:leader="none"/>
        </w:tabs>
        <w:spacing w:before="35"/>
        <w:ind w:left="153" w:right="997"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法定代表人：钟耳顺</w:t>
        <w:tab/>
      </w:r>
      <w:r>
        <w:rPr>
          <w:rFonts w:ascii="宋体" w:hAnsi="宋体" w:cs="宋体" w:eastAsia="宋体" w:hint="default"/>
          <w:spacing w:val="-3"/>
          <w:sz w:val="21"/>
          <w:szCs w:val="21"/>
        </w:rPr>
        <w:t>主管会计工作负责人：荆钺坤</w:t>
        <w:tab/>
      </w:r>
      <w:r>
        <w:rPr>
          <w:rFonts w:ascii="宋体" w:hAnsi="宋体" w:cs="宋体" w:eastAsia="宋体" w:hint="default"/>
          <w:spacing w:val="-2"/>
          <w:sz w:val="21"/>
          <w:szCs w:val="21"/>
        </w:rPr>
        <w:t>会计机构负责人：荆钺坤</w:t>
      </w:r>
    </w:p>
    <w:p>
      <w:pPr>
        <w:pStyle w:val="Heading2"/>
        <w:spacing w:line="240" w:lineRule="auto" w:before="167"/>
        <w:ind w:right="1273"/>
        <w:jc w:val="left"/>
        <w:rPr>
          <w:b w:val="0"/>
          <w:bCs w:val="0"/>
        </w:rPr>
      </w:pPr>
      <w:r>
        <w:rPr>
          <w:rFonts w:ascii="Times New Roman" w:hAnsi="Times New Roman" w:cs="Times New Roman" w:eastAsia="Times New Roman" w:hint="default"/>
        </w:rPr>
        <w:t>4</w:t>
      </w:r>
      <w:r>
        <w:rPr/>
        <w:t>、母公司利润表</w:t>
      </w:r>
      <w:r>
        <w:rPr>
          <w:b w:val="0"/>
          <w:bCs w:val="0"/>
        </w:rPr>
      </w:r>
    </w:p>
    <w:p>
      <w:pPr>
        <w:pStyle w:val="BodyText"/>
        <w:spacing w:line="240" w:lineRule="auto" w:before="97"/>
        <w:ind w:left="0" w:right="113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52"/>
              <w:jc w:val="right"/>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662,296,656.97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650,366,965.64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37"/>
              <w:jc w:val="right"/>
              <w:rPr>
                <w:rFonts w:ascii="宋体" w:hAnsi="宋体" w:cs="宋体" w:eastAsia="宋体" w:hint="default"/>
                <w:sz w:val="21"/>
                <w:szCs w:val="21"/>
              </w:rPr>
            </w:pPr>
            <w:r>
              <w:rPr>
                <w:rFonts w:ascii="宋体" w:hAnsi="宋体" w:cs="宋体" w:eastAsia="宋体" w:hint="default"/>
                <w:spacing w:val="-2"/>
                <w:sz w:val="21"/>
                <w:szCs w:val="21"/>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392,358,781.31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350,132,037.79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9,077,677.77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8,740,156.60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61,241,870.86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59,325,440.15</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161,472,878.63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124,898,542.81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23,011,360.26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46,120,735.94</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4,131,423.63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2,217,562.89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3"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6,189,995.40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6,475,506.84</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0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2,235,634.01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4,410,594.21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5,168,863.22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-5,325,969.85</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22,040,631.21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23,030,931.29</w:t>
            </w:r>
          </w:p>
        </w:tc>
      </w:tr>
      <w:tr>
        <w:trPr>
          <w:trHeight w:val="716"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22" w:right="6" w:firstLine="842"/>
              <w:jc w:val="left"/>
              <w:rPr>
                <w:rFonts w:ascii="宋体" w:hAnsi="宋体" w:cs="宋体" w:eastAsia="宋体" w:hint="default"/>
                <w:sz w:val="21"/>
                <w:szCs w:val="21"/>
              </w:rPr>
            </w:pPr>
            <w:r>
              <w:rPr>
                <w:rFonts w:ascii="宋体" w:hAnsi="宋体" w:cs="宋体" w:eastAsia="宋体" w:hint="default"/>
                <w:spacing w:val="-2"/>
                <w:sz w:val="21"/>
                <w:szCs w:val="21"/>
              </w:rPr>
              <w:t>投资收益（损失以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9,546,646.41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8,647,750.37</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6" w:firstLine="842"/>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13,553.70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701,216.26</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6" w:firstLine="842"/>
              <w:jc w:val="left"/>
              <w:rPr>
                <w:rFonts w:ascii="宋体" w:hAnsi="宋体" w:cs="宋体" w:eastAsia="宋体" w:hint="default"/>
                <w:sz w:val="21"/>
                <w:szCs w:val="21"/>
              </w:rPr>
            </w:pPr>
            <w:r>
              <w:rPr>
                <w:rFonts w:ascii="宋体" w:hAnsi="宋体" w:cs="宋体" w:eastAsia="宋体" w:hint="default"/>
                <w:spacing w:val="-5"/>
                <w:sz w:val="21"/>
                <w:szCs w:val="21"/>
              </w:rPr>
              <w:t>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pacing w:val="-5"/>
                <w:sz w:val="21"/>
                <w:szCs w:val="21"/>
              </w:rPr>
              <w:t>资产处置收益（损失以</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23,594.40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-200,085.69</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6"/>
              <w:jc w:val="left"/>
              <w:rPr>
                <w:rFonts w:ascii="宋体" w:hAnsi="宋体" w:cs="宋体" w:eastAsia="宋体" w:hint="default"/>
                <w:sz w:val="21"/>
                <w:szCs w:val="21"/>
              </w:rPr>
            </w:pPr>
            <w:r>
              <w:rPr>
                <w:rFonts w:ascii="宋体" w:hAnsi="宋体" w:cs="宋体" w:eastAsia="宋体" w:hint="default"/>
                <w:spacing w:val="-2"/>
                <w:sz w:val="21"/>
                <w:szCs w:val="21"/>
              </w:rPr>
              <w:t>二、营业利润（亏损以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3"/>
                <w:sz w:val="21"/>
                <w:szCs w:val="21"/>
              </w:rPr>
              <w:t> </w:t>
            </w:r>
            <w:r>
              <w:rPr>
                <w:rFonts w:ascii="宋体" w:hAnsi="宋体" w:cs="宋体" w:eastAsia="宋体" w:hint="default"/>
                <w:sz w:val="21"/>
                <w:szCs w:val="21"/>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37,444,673.31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95,737,055.28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5,431,056.96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1,033,793.26</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46,244.89</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6"/>
              <w:jc w:val="left"/>
              <w:rPr>
                <w:rFonts w:ascii="宋体" w:hAnsi="宋体" w:cs="宋体" w:eastAsia="宋体" w:hint="default"/>
                <w:sz w:val="21"/>
                <w:szCs w:val="21"/>
              </w:rPr>
            </w:pPr>
            <w:r>
              <w:rPr>
                <w:rFonts w:ascii="宋体" w:hAnsi="宋体" w:cs="宋体" w:eastAsia="宋体" w:hint="default"/>
                <w:spacing w:val="-2"/>
                <w:sz w:val="21"/>
                <w:szCs w:val="21"/>
              </w:rPr>
              <w:t>三、利润总额（亏损总额以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42,871,730.27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96,724,603.65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4,734,599.61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7,002,879.91</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6"/>
              <w:jc w:val="left"/>
              <w:rPr>
                <w:rFonts w:ascii="宋体" w:hAnsi="宋体" w:cs="宋体" w:eastAsia="宋体" w:hint="default"/>
                <w:sz w:val="21"/>
                <w:szCs w:val="21"/>
              </w:rPr>
            </w:pPr>
            <w:r>
              <w:rPr>
                <w:rFonts w:ascii="宋体" w:hAnsi="宋体" w:cs="宋体" w:eastAsia="宋体" w:hint="default"/>
                <w:spacing w:val="-2"/>
                <w:sz w:val="21"/>
                <w:szCs w:val="21"/>
              </w:rPr>
              <w:t>四、净利润（净亏损以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3"/>
                <w:sz w:val="21"/>
                <w:szCs w:val="21"/>
              </w:rPr>
              <w:t> </w:t>
            </w:r>
            <w:r>
              <w:rPr>
                <w:rFonts w:ascii="宋体" w:hAnsi="宋体" w:cs="宋体" w:eastAsia="宋体" w:hint="default"/>
                <w:sz w:val="21"/>
                <w:szCs w:val="21"/>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38,137,130.66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89,721,723.74</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8" w:firstLine="410"/>
              <w:jc w:val="left"/>
              <w:rPr>
                <w:rFonts w:ascii="宋体" w:hAnsi="宋体" w:cs="宋体" w:eastAsia="宋体" w:hint="default"/>
                <w:sz w:val="21"/>
                <w:szCs w:val="21"/>
              </w:rPr>
            </w:pPr>
            <w:r>
              <w:rPr>
                <w:rFonts w:ascii="宋体" w:hAnsi="宋体" w:cs="宋体" w:eastAsia="宋体" w:hint="default"/>
                <w:spacing w:val="-4"/>
                <w:sz w:val="21"/>
                <w:szCs w:val="21"/>
              </w:rPr>
              <w:t>（一）持续经营净利润（净</w:t>
            </w:r>
            <w:r>
              <w:rPr>
                <w:rFonts w:ascii="宋体" w:hAnsi="宋体" w:cs="宋体" w:eastAsia="宋体" w:hint="default"/>
                <w:w w:val="100"/>
                <w:sz w:val="21"/>
                <w:szCs w:val="21"/>
              </w:rPr>
              <w:t> </w:t>
            </w: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38,137,130.66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89,721,723.74</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2" w:right="8" w:firstLine="410"/>
              <w:jc w:val="left"/>
              <w:rPr>
                <w:rFonts w:ascii="宋体" w:hAnsi="宋体" w:cs="宋体" w:eastAsia="宋体" w:hint="default"/>
                <w:sz w:val="21"/>
                <w:szCs w:val="21"/>
              </w:rPr>
            </w:pPr>
            <w:r>
              <w:rPr>
                <w:rFonts w:ascii="宋体" w:hAnsi="宋体" w:cs="宋体" w:eastAsia="宋体" w:hint="default"/>
                <w:spacing w:val="-4"/>
                <w:sz w:val="21"/>
                <w:szCs w:val="21"/>
              </w:rPr>
              <w:t>（二）终止经营净利润（净</w:t>
            </w:r>
            <w:r>
              <w:rPr>
                <w:rFonts w:ascii="宋体" w:hAnsi="宋体" w:cs="宋体" w:eastAsia="宋体" w:hint="default"/>
                <w:w w:val="100"/>
                <w:sz w:val="21"/>
                <w:szCs w:val="21"/>
              </w:rPr>
              <w:t> </w:t>
            </w: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6" w:firstLine="405"/>
              <w:jc w:val="left"/>
              <w:rPr>
                <w:rFonts w:ascii="宋体" w:hAnsi="宋体" w:cs="宋体" w:eastAsia="宋体" w:hint="default"/>
                <w:sz w:val="21"/>
                <w:szCs w:val="21"/>
              </w:rPr>
            </w:pPr>
            <w:r>
              <w:rPr>
                <w:rFonts w:ascii="宋体" w:hAnsi="宋体" w:cs="宋体" w:eastAsia="宋体" w:hint="default"/>
                <w:spacing w:val="-3"/>
                <w:sz w:val="21"/>
                <w:szCs w:val="21"/>
              </w:rPr>
              <w:t>（一）不能重分类进损益的</w:t>
            </w:r>
            <w:r>
              <w:rPr>
                <w:rFonts w:ascii="宋体" w:hAnsi="宋体" w:cs="宋体" w:eastAsia="宋体" w:hint="default"/>
                <w:w w:val="100"/>
                <w:sz w:val="21"/>
                <w:szCs w:val="21"/>
              </w:rPr>
              <w:t> </w:t>
            </w:r>
            <w:r>
              <w:rPr>
                <w:rFonts w:ascii="宋体" w:hAnsi="宋体" w:cs="宋体" w:eastAsia="宋体" w:hint="default"/>
                <w:sz w:val="21"/>
                <w:szCs w:val="21"/>
              </w:rPr>
              <w:t>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05"/>
              <w:jc w:val="left"/>
              <w:rPr>
                <w:rFonts w:ascii="宋体" w:hAnsi="宋体" w:cs="宋体" w:eastAsia="宋体" w:hint="default"/>
                <w:sz w:val="21"/>
                <w:szCs w:val="21"/>
              </w:rPr>
            </w:pPr>
            <w:r>
              <w:rPr>
                <w:rFonts w:ascii="宋体" w:hAnsi="宋体" w:cs="宋体" w:eastAsia="宋体" w:hint="default"/>
                <w:spacing w:val="-3"/>
                <w:sz w:val="21"/>
                <w:szCs w:val="21"/>
              </w:rPr>
              <w:t>（二）将重分类进损益的其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w:t>
            </w:r>
            <w:r>
              <w:rPr>
                <w:rFonts w:ascii="宋体" w:hAnsi="宋体" w:cs="宋体" w:eastAsia="宋体" w:hint="default"/>
                <w:w w:val="100"/>
                <w:sz w:val="21"/>
                <w:szCs w:val="21"/>
              </w:rPr>
              <w:t> </w:t>
            </w:r>
            <w:r>
              <w:rPr>
                <w:rFonts w:ascii="宋体" w:hAnsi="宋体" w:cs="宋体" w:eastAsia="宋体" w:hint="default"/>
                <w:sz w:val="21"/>
                <w:szCs w:val="21"/>
              </w:rPr>
              <w:t>分类为可供出售金融资产损益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w:t>
            </w:r>
            <w:r>
              <w:rPr>
                <w:rFonts w:ascii="宋体" w:hAnsi="宋体" w:cs="宋体" w:eastAsia="宋体" w:hint="default"/>
                <w:w w:val="100"/>
                <w:sz w:val="21"/>
                <w:szCs w:val="21"/>
              </w:rPr>
              <w:t> </w:t>
            </w:r>
            <w:r>
              <w:rPr>
                <w:rFonts w:ascii="宋体" w:hAnsi="宋体" w:cs="宋体" w:eastAsia="宋体" w:hint="default"/>
                <w:sz w:val="21"/>
                <w:szCs w:val="21"/>
              </w:rPr>
              <w:t>的有效部分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3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left="2066" w:right="0"/>
              <w:jc w:val="left"/>
              <w:rPr>
                <w:rFonts w:ascii="Times New Roman" w:hAnsi="Times New Roman" w:cs="Times New Roman" w:eastAsia="Times New Roman" w:hint="default"/>
                <w:sz w:val="21"/>
                <w:szCs w:val="21"/>
              </w:rPr>
            </w:pPr>
            <w:r>
              <w:rPr>
                <w:rFonts w:ascii="Times New Roman"/>
                <w:sz w:val="21"/>
              </w:rPr>
              <w:t>38,137,130.66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2" w:right="0"/>
              <w:jc w:val="left"/>
              <w:rPr>
                <w:rFonts w:ascii="Times New Roman" w:hAnsi="Times New Roman" w:cs="Times New Roman" w:eastAsia="Times New Roman" w:hint="default"/>
                <w:sz w:val="21"/>
                <w:szCs w:val="21"/>
              </w:rPr>
            </w:pPr>
            <w:r>
              <w:rPr>
                <w:rFonts w:ascii="Times New Roman"/>
                <w:sz w:val="21"/>
              </w:rPr>
              <w:t>89,721,723.74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6"/>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27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02" w:right="0"/>
              <w:jc w:val="left"/>
              <w:rPr>
                <w:rFonts w:ascii="Times New Roman" w:hAnsi="Times New Roman" w:cs="Times New Roman" w:eastAsia="Times New Roman" w:hint="default"/>
                <w:sz w:val="21"/>
                <w:szCs w:val="21"/>
              </w:rPr>
            </w:pPr>
            <w:r>
              <w:rPr>
                <w:rFonts w:ascii="Times New Roman"/>
                <w:sz w:val="21"/>
              </w:rPr>
              <w:t>1,453,082,774.40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98" w:right="0"/>
              <w:jc w:val="left"/>
              <w:rPr>
                <w:rFonts w:ascii="Times New Roman" w:hAnsi="Times New Roman" w:cs="Times New Roman" w:eastAsia="Times New Roman" w:hint="default"/>
                <w:sz w:val="21"/>
                <w:szCs w:val="21"/>
              </w:rPr>
            </w:pPr>
            <w:r>
              <w:rPr>
                <w:rFonts w:ascii="Times New Roman"/>
                <w:sz w:val="21"/>
              </w:rPr>
              <w:t>1,327,050,013.96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客户存款和同业存放款项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向其他金融机构拆入资金</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收到原保险合同保费取得</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w:t>
            </w:r>
            <w:r>
              <w:rPr>
                <w:rFonts w:ascii="宋体" w:hAnsi="宋体" w:cs="宋体" w:eastAsia="宋体" w:hint="default"/>
                <w:w w:val="100"/>
                <w:sz w:val="21"/>
                <w:szCs w:val="21"/>
              </w:rPr>
              <w:t> </w:t>
            </w:r>
            <w:r>
              <w:rPr>
                <w:rFonts w:ascii="宋体" w:hAnsi="宋体" w:cs="宋体" w:eastAsia="宋体" w:hint="default"/>
                <w:spacing w:val="-2"/>
                <w:sz w:val="21"/>
                <w:szCs w:val="21"/>
              </w:rPr>
              <w:t>变动计入当期损益的金融资产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877"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13,178,218.61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24,369,599.78</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162,910,962.87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105,013,261.11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1,629,171,955.88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1,456,432,874.85</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312,023,245.22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302,045,870.19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存放中央银行和同业款项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支付原保险合同赔付款项</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624,337,742.17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458,180,429.08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102,305,921.87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85,108,878.45</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424,277,457.74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361,736,864.22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1,462,944,367.00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1,207,072,041.94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166,227,588.88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249,360,832.91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2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315,000,000.00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11,133,342.61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8,386,188.42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1,739,870.89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569,517.89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404,873,213.50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323,955,706.31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46,383,741.79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12,382,087.44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392,000,000.00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61,875,000.00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94,189,271.27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328,258,741.79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498,571,358.71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76,614,471.71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-174,615,652.40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360,000.00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r>
              <w:rPr>
                <w:rFonts w:ascii="宋体" w:hAnsi="宋体" w:cs="宋体" w:eastAsia="宋体" w:hint="default"/>
                <w:w w:val="100"/>
                <w:sz w:val="21"/>
                <w:szCs w:val="21"/>
              </w:rPr>
              <w:t> </w:t>
            </w:r>
            <w:r>
              <w:rPr>
                <w:rFonts w:ascii="宋体" w:hAnsi="宋体" w:cs="宋体" w:eastAsia="宋体" w:hint="default"/>
                <w:sz w:val="21"/>
                <w:szCs w:val="21"/>
              </w:rPr>
              <w:t>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9,750,079.33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9,750,079.33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8,859,170.73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15,461,927.57</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39,962,176.91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30,008,044.12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r>
              <w:rPr>
                <w:rFonts w:ascii="宋体" w:hAnsi="宋体" w:cs="宋体" w:eastAsia="宋体" w:hint="default"/>
                <w:w w:val="100"/>
                <w:sz w:val="21"/>
                <w:szCs w:val="21"/>
              </w:rPr>
              <w:t> </w:t>
            </w:r>
            <w:r>
              <w:rPr>
                <w:rFonts w:ascii="宋体" w:hAnsi="宋体" w:cs="宋体" w:eastAsia="宋体" w:hint="default"/>
                <w:sz w:val="21"/>
                <w:szCs w:val="21"/>
              </w:rPr>
              <w:t>东的股利、利润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3,375,634.65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48,821,347.64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48,845,606.34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-39,071,268.31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-48,485,606.34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782,358.97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-559,067.15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204,553,151.25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25,700,507.02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547,811,070.28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522,110,563.26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752,364,221.53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547,811,070.28</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27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3"/>
      </w:tblGrid>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8"/>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 w:firstLine="422"/>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690,039,113.40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674,006,865.37</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10,387,054.44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20,897,289.51</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1"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123,886,493.75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109,050,495.03</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824,312,661.59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803,954,649.91</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 w:firstLine="422"/>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354,254,514.92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303,242,013.07</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1"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191,532,043.51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156,326,951.16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57,583,577.96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45,724,417.76</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1"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184,951,201.13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194,797,866.34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788,321,337.52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700,091,248.33</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35,991,324.07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103,863,401.58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28"/>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290,000,000.00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10,105,078.28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7,946,534.11</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1,482,230.87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336,362.00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1"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1"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373,587,309.15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298,282,896.11</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4,383,254.60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5,702,282.94</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271,875,000.00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487,000,000.00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1"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1"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276,258,254.60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492,702,282.94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97,329,054.55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-194,419,386.83</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8"/>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43,092,672.88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38,769,270.69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43,092,672.88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38,769,270.69</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39,595,900.30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29,563,851.02</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40,831,320.01</w:t>
            </w: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140,595,900.30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70,395,171.03</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-97,503,227.42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-31,625,900.34</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6"/>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3,090.01</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35,817,151.88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-122,178,795.58</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6" w:firstLine="422"/>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264,835,464.56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387,014,260.14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300,652,616.44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264,835,464.56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27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right="1273"/>
        <w:jc w:val="left"/>
      </w:pPr>
      <w:r>
        <w:rPr/>
        <w:t>本期金额</w:t>
      </w:r>
    </w:p>
    <w:p>
      <w:pPr>
        <w:pStyle w:val="BodyText"/>
        <w:spacing w:line="240" w:lineRule="auto" w:before="38"/>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857"/>
        <w:gridCol w:w="473"/>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206"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24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5" w:right="110"/>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28"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71" w:lineRule="exact"/>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857" w:type="dxa"/>
            <w:vMerge w:val="restart"/>
            <w:tcBorders>
              <w:top w:val="single" w:sz="4" w:space="0" w:color="000000"/>
              <w:left w:val="single" w:sz="4" w:space="0" w:color="000000"/>
              <w:right w:val="single" w:sz="4" w:space="0" w:color="000000"/>
            </w:tcBorders>
            <w:shd w:val="clear" w:color="auto" w:fill="D2D2D2"/>
          </w:tcPr>
          <w:p>
            <w:pPr/>
          </w:p>
        </w:tc>
        <w:tc>
          <w:tcPr>
            <w:tcW w:w="47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ind w:left="127" w:right="122"/>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117" w:right="0"/>
              <w:jc w:val="left"/>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73" w:lineRule="auto" w:before="37"/>
              <w:ind w:left="117" w:right="11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594" w:type="dxa"/>
            <w:gridSpan w:val="3"/>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857" w:type="dxa"/>
            <w:vMerge/>
            <w:tcBorders>
              <w:left w:val="single" w:sz="4" w:space="0" w:color="000000"/>
              <w:bottom w:val="nil" w:sz="6" w:space="0" w:color="auto"/>
              <w:right w:val="single" w:sz="4" w:space="0" w:color="000000"/>
            </w:tcBorders>
            <w:shd w:val="clear" w:color="auto" w:fill="D2D2D2"/>
          </w:tcPr>
          <w:p>
            <w:pPr/>
          </w:p>
        </w:tc>
        <w:tc>
          <w:tcPr>
            <w:tcW w:w="47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17" w:right="11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17" w:right="113"/>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46"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17" w:right="113"/>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17" w:right="17"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857"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08" w:right="103"/>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473"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17" w:right="113"/>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209"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13" w:space="0" w:color="D2D2D2"/>
              <w:right w:val="single" w:sz="22" w:space="0" w:color="D2D2D2"/>
            </w:tcBorders>
          </w:tcPr>
          <w:p>
            <w:pPr>
              <w:pStyle w:val="TableParagraph"/>
              <w:spacing w:line="240" w:lineRule="auto" w:before="38"/>
              <w:ind w:left="5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股本</w:t>
            </w:r>
            <w:r>
              <w:rPr>
                <w:rFonts w:ascii="宋体" w:hAnsi="宋体" w:cs="宋体" w:eastAsia="宋体" w:hint="default"/>
                <w:sz w:val="21"/>
                <w:szCs w:val="21"/>
              </w:rPr>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155" w:right="50"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155" w:right="47"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47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92"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13" w:space="0" w:color="D2D2D2"/>
              <w:bottom w:val="nil" w:sz="6" w:space="0" w:color="auto"/>
              <w:right w:val="single" w:sz="22" w:space="0" w:color="D2D2D2"/>
            </w:tcBorders>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22" w:space="0" w:color="D2D2D2"/>
              <w:right w:val="single" w:sz="22" w:space="0" w:color="D2D2D2"/>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47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3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22" w:space="0" w:color="D2D2D2"/>
              <w:bottom w:val="nil" w:sz="6" w:space="0" w:color="auto"/>
              <w:right w:val="single" w:sz="22" w:space="0" w:color="D2D2D2"/>
            </w:tcBorders>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857" w:type="dxa"/>
            <w:vMerge/>
            <w:tcBorders>
              <w:left w:val="single" w:sz="4" w:space="0" w:color="000000"/>
              <w:bottom w:val="nil" w:sz="6" w:space="0" w:color="auto"/>
              <w:right w:val="single" w:sz="4" w:space="0" w:color="000000"/>
            </w:tcBorders>
            <w:shd w:val="clear" w:color="auto" w:fill="D2D2D2"/>
          </w:tcPr>
          <w:p>
            <w:pPr/>
          </w:p>
        </w:tc>
        <w:tc>
          <w:tcPr>
            <w:tcW w:w="47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45"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857" w:type="dxa"/>
            <w:vMerge w:val="restart"/>
            <w:tcBorders>
              <w:top w:val="nil" w:sz="6" w:space="0" w:color="auto"/>
              <w:left w:val="single" w:sz="4" w:space="0" w:color="000000"/>
              <w:right w:val="single" w:sz="4" w:space="0" w:color="000000"/>
            </w:tcBorders>
            <w:shd w:val="clear" w:color="auto" w:fill="D2D2D2"/>
          </w:tcPr>
          <w:p>
            <w:pPr/>
          </w:p>
        </w:tc>
        <w:tc>
          <w:tcPr>
            <w:tcW w:w="473"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c>
          <w:tcPr>
            <w:tcW w:w="47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75"/>
              <w:ind w:left="31"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31"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136" w:right="0"/>
              <w:jc w:val="center"/>
              <w:rPr>
                <w:rFonts w:ascii="Times New Roman" w:hAnsi="Times New Roman" w:cs="Times New Roman" w:eastAsia="Times New Roman" w:hint="default"/>
                <w:sz w:val="21"/>
                <w:szCs w:val="21"/>
              </w:rPr>
            </w:pPr>
            <w:r>
              <w:rPr>
                <w:rFonts w:ascii="Times New Roman"/>
                <w:sz w:val="21"/>
              </w:rPr>
              <w:t>7.00</w:t>
            </w:r>
          </w:p>
        </w:tc>
        <w:tc>
          <w:tcPr>
            <w:tcW w:w="533" w:type="dxa"/>
            <w:vMerge w:val="restart"/>
            <w:tcBorders>
              <w:top w:val="single" w:sz="48" w:space="0" w:color="D2D2D2"/>
              <w:left w:val="single" w:sz="4" w:space="0" w:color="000000"/>
              <w:right w:val="single" w:sz="4" w:space="0" w:color="000000"/>
            </w:tcBorders>
          </w:tcPr>
          <w:p>
            <w:pPr/>
          </w:p>
        </w:tc>
        <w:tc>
          <w:tcPr>
            <w:tcW w:w="530" w:type="dxa"/>
            <w:vMerge w:val="restart"/>
            <w:tcBorders>
              <w:top w:val="single" w:sz="48" w:space="0" w:color="D2D2D2"/>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829,79</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6,508.</w:t>
            </w:r>
          </w:p>
          <w:p>
            <w:pPr>
              <w:pStyle w:val="TableParagraph"/>
              <w:spacing w:line="240" w:lineRule="auto" w:before="70"/>
              <w:ind w:left="419" w:right="0"/>
              <w:jc w:val="left"/>
              <w:rPr>
                <w:rFonts w:ascii="Times New Roman" w:hAnsi="Times New Roman" w:cs="Times New Roman" w:eastAsia="Times New Roman" w:hint="default"/>
                <w:sz w:val="21"/>
                <w:szCs w:val="21"/>
              </w:rPr>
            </w:pPr>
            <w:r>
              <w:rPr>
                <w:rFonts w:ascii="Times New Roman"/>
                <w:sz w:val="21"/>
              </w:rPr>
              <w:t>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486,00</w:t>
            </w:r>
          </w:p>
          <w:p>
            <w:pPr>
              <w:pStyle w:val="TableParagraph"/>
              <w:spacing w:line="240" w:lineRule="auto" w:before="70"/>
              <w:ind w:left="266" w:right="0"/>
              <w:jc w:val="left"/>
              <w:rPr>
                <w:rFonts w:ascii="Times New Roman" w:hAnsi="Times New Roman" w:cs="Times New Roman" w:eastAsia="Times New Roman" w:hint="default"/>
                <w:sz w:val="21"/>
                <w:szCs w:val="21"/>
              </w:rPr>
            </w:pPr>
            <w:r>
              <w:rPr>
                <w:rFonts w:ascii="Times New Roman"/>
                <w:sz w:val="21"/>
              </w:rPr>
              <w:t>0.00</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-4,768,6</w:t>
            </w:r>
          </w:p>
          <w:p>
            <w:pPr>
              <w:pStyle w:val="TableParagraph"/>
              <w:spacing w:line="240" w:lineRule="auto" w:before="70"/>
              <w:ind w:left="352" w:right="0"/>
              <w:jc w:val="left"/>
              <w:rPr>
                <w:rFonts w:ascii="Times New Roman" w:hAnsi="Times New Roman" w:cs="Times New Roman" w:eastAsia="Times New Roman" w:hint="default"/>
                <w:sz w:val="21"/>
                <w:szCs w:val="21"/>
              </w:rPr>
            </w:pPr>
            <w:r>
              <w:rPr>
                <w:rFonts w:ascii="Times New Roman"/>
                <w:sz w:val="21"/>
              </w:rPr>
              <w:t>86.55</w:t>
            </w:r>
          </w:p>
        </w:tc>
        <w:tc>
          <w:tcPr>
            <w:tcW w:w="473"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43,790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,317.5</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left="55" w:right="0"/>
              <w:jc w:val="left"/>
              <w:rPr>
                <w:rFonts w:ascii="Times New Roman" w:hAnsi="Times New Roman" w:cs="Times New Roman" w:eastAsia="Times New Roman" w:hint="default"/>
                <w:sz w:val="21"/>
                <w:szCs w:val="21"/>
              </w:rPr>
            </w:pPr>
            <w:r>
              <w:rPr>
                <w:rFonts w:ascii="Times New Roman"/>
                <w:sz w:val="21"/>
              </w:rPr>
              <w:t>488,02</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4,661.</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45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9,477,</w:t>
            </w:r>
          </w:p>
          <w:p>
            <w:pPr>
              <w:pStyle w:val="TableParagraph"/>
              <w:spacing w:line="240" w:lineRule="auto" w:before="70"/>
              <w:ind w:left="55" w:right="0"/>
              <w:jc w:val="left"/>
              <w:rPr>
                <w:rFonts w:ascii="Times New Roman" w:hAnsi="Times New Roman" w:cs="Times New Roman" w:eastAsia="Times New Roman" w:hint="default"/>
                <w:sz w:val="21"/>
                <w:szCs w:val="21"/>
              </w:rPr>
            </w:pPr>
            <w:r>
              <w:rPr>
                <w:rFonts w:ascii="Times New Roman"/>
                <w:sz w:val="21"/>
              </w:rPr>
              <w:t>870.55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75"/>
              <w:ind w:left="79" w:right="0"/>
              <w:jc w:val="center"/>
              <w:rPr>
                <w:rFonts w:ascii="Times New Roman" w:hAnsi="Times New Roman" w:cs="Times New Roman" w:eastAsia="Times New Roman" w:hint="default"/>
                <w:sz w:val="21"/>
                <w:szCs w:val="21"/>
              </w:rPr>
            </w:pPr>
            <w:r>
              <w:rPr>
                <w:rFonts w:ascii="Times New Roman"/>
                <w:sz w:val="21"/>
              </w:rPr>
              <w:t>1,815,</w:t>
            </w:r>
          </w:p>
          <w:p>
            <w:pPr>
              <w:pStyle w:val="TableParagraph"/>
              <w:spacing w:line="240" w:lineRule="auto" w:before="70"/>
              <w:ind w:left="48" w:right="0"/>
              <w:jc w:val="left"/>
              <w:rPr>
                <w:rFonts w:ascii="Times New Roman" w:hAnsi="Times New Roman" w:cs="Times New Roman" w:eastAsia="Times New Roman" w:hint="default"/>
                <w:sz w:val="21"/>
                <w:szCs w:val="21"/>
              </w:rPr>
            </w:pPr>
            <w:r>
              <w:rPr>
                <w:rFonts w:ascii="Times New Roman"/>
                <w:sz w:val="21"/>
              </w:rPr>
              <w:t>372,03</w:t>
            </w:r>
          </w:p>
          <w:p>
            <w:pPr>
              <w:pStyle w:val="TableParagraph"/>
              <w:spacing w:line="240" w:lineRule="auto" w:before="70"/>
              <w:ind w:left="237" w:right="0"/>
              <w:jc w:val="center"/>
              <w:rPr>
                <w:rFonts w:ascii="Times New Roman" w:hAnsi="Times New Roman" w:cs="Times New Roman" w:eastAsia="Times New Roman" w:hint="default"/>
                <w:sz w:val="21"/>
                <w:szCs w:val="21"/>
              </w:rPr>
            </w:pPr>
            <w:r>
              <w:rPr>
                <w:rFonts w:ascii="Times New Roman"/>
                <w:sz w:val="21"/>
              </w:rPr>
              <w:t>7.99</w:t>
            </w:r>
          </w:p>
        </w:tc>
      </w:tr>
      <w:tr>
        <w:trPr>
          <w:trHeight w:val="706"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9"/>
              <w:ind w:left="24" w:right="16"/>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6" w:firstLine="422"/>
              <w:jc w:val="left"/>
              <w:rPr>
                <w:rFonts w:ascii="宋体" w:hAnsi="宋体" w:cs="宋体" w:eastAsia="宋体" w:hint="default"/>
                <w:sz w:val="21"/>
                <w:szCs w:val="21"/>
              </w:rPr>
            </w:pPr>
            <w:r>
              <w:rPr>
                <w:rFonts w:ascii="宋体" w:hAnsi="宋体" w:cs="宋体" w:eastAsia="宋体" w:hint="default"/>
                <w:spacing w:val="-19"/>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43" w:firstLine="842"/>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pacing w:val="-3"/>
                <w:w w:val="100"/>
                <w:sz w:val="21"/>
                <w:szCs w:val="21"/>
              </w:rPr>
              <w:t> </w:t>
            </w:r>
            <w:r>
              <w:rPr>
                <w:rFonts w:ascii="宋体" w:hAnsi="宋体" w:cs="宋体" w:eastAsia="宋体" w:hint="default"/>
                <w:sz w:val="21"/>
                <w:szCs w:val="21"/>
              </w:rPr>
              <w:t>差错更正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39" w:firstLine="842"/>
              <w:jc w:val="left"/>
              <w:rPr>
                <w:rFonts w:ascii="宋体" w:hAnsi="宋体" w:cs="宋体" w:eastAsia="宋体" w:hint="default"/>
                <w:sz w:val="21"/>
                <w:szCs w:val="21"/>
              </w:rPr>
            </w:pPr>
            <w:r>
              <w:rPr>
                <w:rFonts w:ascii="宋体" w:hAnsi="宋体" w:cs="宋体" w:eastAsia="宋体" w:hint="default"/>
                <w:spacing w:val="-3"/>
                <w:sz w:val="21"/>
                <w:szCs w:val="21"/>
              </w:rPr>
              <w:t>同一</w:t>
            </w:r>
            <w:r>
              <w:rPr>
                <w:rFonts w:ascii="宋体" w:hAnsi="宋体" w:cs="宋体" w:eastAsia="宋体" w:hint="default"/>
                <w:spacing w:val="-3"/>
                <w:w w:val="100"/>
                <w:sz w:val="21"/>
                <w:szCs w:val="21"/>
              </w:rPr>
              <w:t> </w:t>
            </w:r>
            <w:r>
              <w:rPr>
                <w:rFonts w:ascii="宋体" w:hAnsi="宋体" w:cs="宋体" w:eastAsia="宋体" w:hint="default"/>
                <w:sz w:val="21"/>
                <w:szCs w:val="21"/>
              </w:rPr>
              <w:t>控制下企业合</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857"/>
        <w:gridCol w:w="473"/>
        <w:gridCol w:w="665"/>
        <w:gridCol w:w="665"/>
        <w:gridCol w:w="665"/>
        <w:gridCol w:w="665"/>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6"/>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38"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144" w:right="0"/>
              <w:jc w:val="center"/>
              <w:rPr>
                <w:rFonts w:ascii="Times New Roman" w:hAnsi="Times New Roman" w:cs="Times New Roman" w:eastAsia="Times New Roman" w:hint="default"/>
                <w:sz w:val="21"/>
                <w:szCs w:val="21"/>
              </w:rPr>
            </w:pPr>
            <w:r>
              <w:rPr>
                <w:rFonts w:ascii="Times New Roman"/>
                <w:sz w:val="21"/>
              </w:rPr>
              <w:t>7.00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829,79</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6,508.</w:t>
            </w:r>
          </w:p>
          <w:p>
            <w:pPr>
              <w:pStyle w:val="TableParagraph"/>
              <w:spacing w:line="240" w:lineRule="auto" w:before="70"/>
              <w:ind w:left="419"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486,00</w:t>
            </w:r>
          </w:p>
          <w:p>
            <w:pPr>
              <w:pStyle w:val="TableParagraph"/>
              <w:spacing w:line="240" w:lineRule="auto" w:before="70"/>
              <w:ind w:left="266" w:right="0"/>
              <w:jc w:val="left"/>
              <w:rPr>
                <w:rFonts w:ascii="Times New Roman" w:hAnsi="Times New Roman" w:cs="Times New Roman" w:eastAsia="Times New Roman" w:hint="default"/>
                <w:sz w:val="21"/>
                <w:szCs w:val="21"/>
              </w:rPr>
            </w:pPr>
            <w:r>
              <w:rPr>
                <w:rFonts w:ascii="Times New Roman"/>
                <w:sz w:val="21"/>
              </w:rPr>
              <w:t>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-4,768,6</w:t>
            </w:r>
          </w:p>
          <w:p>
            <w:pPr>
              <w:pStyle w:val="TableParagraph"/>
              <w:spacing w:line="240" w:lineRule="auto" w:before="70"/>
              <w:ind w:left="352" w:right="0"/>
              <w:jc w:val="left"/>
              <w:rPr>
                <w:rFonts w:ascii="Times New Roman" w:hAnsi="Times New Roman" w:cs="Times New Roman" w:eastAsia="Times New Roman" w:hint="default"/>
                <w:sz w:val="21"/>
                <w:szCs w:val="21"/>
              </w:rPr>
            </w:pPr>
            <w:r>
              <w:rPr>
                <w:rFonts w:ascii="Times New Roman"/>
                <w:sz w:val="21"/>
              </w:rPr>
              <w:t>86.55</w:t>
            </w: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43,790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,317.5</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left"/>
              <w:rPr>
                <w:rFonts w:ascii="Times New Roman" w:hAnsi="Times New Roman" w:cs="Times New Roman" w:eastAsia="Times New Roman" w:hint="default"/>
                <w:sz w:val="21"/>
                <w:szCs w:val="21"/>
              </w:rPr>
            </w:pPr>
            <w:r>
              <w:rPr>
                <w:rFonts w:ascii="Times New Roman"/>
                <w:sz w:val="21"/>
              </w:rPr>
              <w:t>488,02</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4,661.</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9,477,</w:t>
            </w:r>
          </w:p>
          <w:p>
            <w:pPr>
              <w:pStyle w:val="TableParagraph"/>
              <w:spacing w:line="240" w:lineRule="auto" w:before="70"/>
              <w:ind w:left="55" w:right="0"/>
              <w:jc w:val="left"/>
              <w:rPr>
                <w:rFonts w:ascii="Times New Roman" w:hAnsi="Times New Roman" w:cs="Times New Roman" w:eastAsia="Times New Roman" w:hint="default"/>
                <w:sz w:val="21"/>
                <w:szCs w:val="21"/>
              </w:rPr>
            </w:pPr>
            <w:r>
              <w:rPr>
                <w:rFonts w:ascii="Times New Roman"/>
                <w:sz w:val="21"/>
              </w:rPr>
              <w:t>870.55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 w:right="0"/>
              <w:jc w:val="center"/>
              <w:rPr>
                <w:rFonts w:ascii="Times New Roman" w:hAnsi="Times New Roman" w:cs="Times New Roman" w:eastAsia="Times New Roman" w:hint="default"/>
                <w:sz w:val="21"/>
                <w:szCs w:val="21"/>
              </w:rPr>
            </w:pPr>
            <w:r>
              <w:rPr>
                <w:rFonts w:ascii="Times New Roman"/>
                <w:sz w:val="21"/>
              </w:rPr>
              <w:t>1,815,</w:t>
            </w:r>
          </w:p>
          <w:p>
            <w:pPr>
              <w:pStyle w:val="TableParagraph"/>
              <w:spacing w:line="240" w:lineRule="auto" w:before="70"/>
              <w:ind w:left="48" w:right="0"/>
              <w:jc w:val="left"/>
              <w:rPr>
                <w:rFonts w:ascii="Times New Roman" w:hAnsi="Times New Roman" w:cs="Times New Roman" w:eastAsia="Times New Roman" w:hint="default"/>
                <w:sz w:val="21"/>
                <w:szCs w:val="21"/>
              </w:rPr>
            </w:pPr>
            <w:r>
              <w:rPr>
                <w:rFonts w:ascii="Times New Roman"/>
                <w:sz w:val="21"/>
              </w:rPr>
              <w:t>372,03</w:t>
            </w:r>
          </w:p>
          <w:p>
            <w:pPr>
              <w:pStyle w:val="TableParagraph"/>
              <w:spacing w:line="240" w:lineRule="auto" w:before="70"/>
              <w:ind w:left="237" w:right="0"/>
              <w:jc w:val="center"/>
              <w:rPr>
                <w:rFonts w:ascii="Times New Roman" w:hAnsi="Times New Roman" w:cs="Times New Roman" w:eastAsia="Times New Roman" w:hint="default"/>
                <w:sz w:val="21"/>
                <w:szCs w:val="21"/>
              </w:rPr>
            </w:pPr>
            <w:r>
              <w:rPr>
                <w:rFonts w:ascii="Times New Roman"/>
                <w:sz w:val="21"/>
              </w:rPr>
              <w:t>7.99</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18,228</w:t>
            </w:r>
          </w:p>
          <w:p>
            <w:pPr>
              <w:pStyle w:val="TableParagraph"/>
              <w:spacing w:line="240" w:lineRule="auto" w:before="70"/>
              <w:ind w:left="369" w:right="0"/>
              <w:jc w:val="left"/>
              <w:rPr>
                <w:rFonts w:ascii="Times New Roman" w:hAnsi="Times New Roman" w:cs="Times New Roman" w:eastAsia="Times New Roman" w:hint="default"/>
                <w:sz w:val="21"/>
                <w:szCs w:val="21"/>
              </w:rPr>
            </w:pPr>
            <w:r>
              <w:rPr>
                <w:rFonts w:ascii="Times New Roman"/>
                <w:sz w:val="21"/>
              </w:rPr>
              <w:t>.29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Times New Roman" w:hAnsi="Times New Roman" w:cs="Times New Roman" w:eastAsia="Times New Roman" w:hint="default"/>
                <w:sz w:val="21"/>
                <w:szCs w:val="21"/>
              </w:rPr>
            </w:pPr>
            <w:r>
              <w:rPr>
                <w:rFonts w:ascii="Times New Roman"/>
                <w:sz w:val="21"/>
              </w:rPr>
              <w:t>-486,0</w:t>
            </w:r>
          </w:p>
          <w:p>
            <w:pPr>
              <w:pStyle w:val="TableParagraph"/>
              <w:spacing w:line="240" w:lineRule="auto" w:before="70"/>
              <w:ind w:left="161" w:right="0"/>
              <w:jc w:val="left"/>
              <w:rPr>
                <w:rFonts w:ascii="Times New Roman" w:hAnsi="Times New Roman" w:cs="Times New Roman" w:eastAsia="Times New Roman" w:hint="default"/>
                <w:sz w:val="21"/>
                <w:szCs w:val="21"/>
              </w:rPr>
            </w:pPr>
            <w:r>
              <w:rPr>
                <w:rFonts w:ascii="Times New Roman"/>
                <w:sz w:val="21"/>
              </w:rPr>
              <w:t>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684,617.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06</w:t>
            </w: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713.07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left"/>
              <w:rPr>
                <w:rFonts w:ascii="Times New Roman" w:hAnsi="Times New Roman" w:cs="Times New Roman" w:eastAsia="Times New Roman" w:hint="default"/>
                <w:sz w:val="21"/>
                <w:szCs w:val="21"/>
              </w:rPr>
            </w:pPr>
            <w:r>
              <w:rPr>
                <w:rFonts w:ascii="Times New Roman"/>
                <w:sz w:val="21"/>
              </w:rPr>
              <w:t>124,23</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9,440.</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8" w:right="0"/>
              <w:jc w:val="left"/>
              <w:rPr>
                <w:rFonts w:ascii="Times New Roman" w:hAnsi="Times New Roman" w:cs="Times New Roman" w:eastAsia="Times New Roman" w:hint="default"/>
                <w:sz w:val="21"/>
                <w:szCs w:val="21"/>
              </w:rPr>
            </w:pPr>
            <w:r>
              <w:rPr>
                <w:rFonts w:ascii="Times New Roman"/>
                <w:spacing w:val="-2"/>
                <w:sz w:val="21"/>
              </w:rPr>
              <w:t>-11,46</w:t>
            </w:r>
          </w:p>
          <w:p>
            <w:pPr>
              <w:pStyle w:val="TableParagraph"/>
              <w:spacing w:line="240" w:lineRule="auto" w:before="70"/>
              <w:ind w:left="108" w:right="0"/>
              <w:jc w:val="left"/>
              <w:rPr>
                <w:rFonts w:ascii="Times New Roman" w:hAnsi="Times New Roman" w:cs="Times New Roman" w:eastAsia="Times New Roman" w:hint="default"/>
                <w:sz w:val="21"/>
                <w:szCs w:val="21"/>
              </w:rPr>
            </w:pPr>
            <w:r>
              <w:rPr>
                <w:rFonts w:ascii="Times New Roman"/>
                <w:sz w:val="21"/>
              </w:rPr>
              <w:t>7,014.</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43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Times New Roman" w:hAnsi="Times New Roman" w:cs="Times New Roman" w:eastAsia="Times New Roman" w:hint="default"/>
                <w:sz w:val="21"/>
                <w:szCs w:val="21"/>
              </w:rPr>
            </w:pPr>
            <w:r>
              <w:rPr>
                <w:rFonts w:ascii="Times New Roman"/>
                <w:sz w:val="21"/>
              </w:rPr>
              <w:t>117,77</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4,984.</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71</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684,617.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06</w:t>
            </w: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left"/>
              <w:rPr>
                <w:rFonts w:ascii="Times New Roman" w:hAnsi="Times New Roman" w:cs="Times New Roman" w:eastAsia="Times New Roman" w:hint="default"/>
                <w:sz w:val="21"/>
                <w:szCs w:val="21"/>
              </w:rPr>
            </w:pPr>
            <w:r>
              <w:rPr>
                <w:rFonts w:ascii="Times New Roman"/>
                <w:sz w:val="21"/>
              </w:rPr>
              <w:t>167,61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2,442.</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8" w:right="0"/>
              <w:jc w:val="left"/>
              <w:rPr>
                <w:rFonts w:ascii="Times New Roman" w:hAnsi="Times New Roman" w:cs="Times New Roman" w:eastAsia="Times New Roman" w:hint="default"/>
                <w:sz w:val="21"/>
                <w:szCs w:val="21"/>
              </w:rPr>
            </w:pPr>
            <w:r>
              <w:rPr>
                <w:rFonts w:ascii="Times New Roman"/>
                <w:spacing w:val="-2"/>
                <w:sz w:val="21"/>
              </w:rPr>
              <w:t>-11,46</w:t>
            </w:r>
          </w:p>
          <w:p>
            <w:pPr>
              <w:pStyle w:val="TableParagraph"/>
              <w:spacing w:line="240" w:lineRule="auto" w:before="70"/>
              <w:ind w:left="108" w:right="0"/>
              <w:jc w:val="left"/>
              <w:rPr>
                <w:rFonts w:ascii="Times New Roman" w:hAnsi="Times New Roman" w:cs="Times New Roman" w:eastAsia="Times New Roman" w:hint="default"/>
                <w:sz w:val="21"/>
                <w:szCs w:val="21"/>
              </w:rPr>
            </w:pPr>
            <w:r>
              <w:rPr>
                <w:rFonts w:ascii="Times New Roman"/>
                <w:sz w:val="21"/>
              </w:rPr>
              <w:t>7,014.</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43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left"/>
              <w:rPr>
                <w:rFonts w:ascii="Times New Roman" w:hAnsi="Times New Roman" w:cs="Times New Roman" w:eastAsia="Times New Roman" w:hint="default"/>
                <w:sz w:val="21"/>
                <w:szCs w:val="21"/>
              </w:rPr>
            </w:pPr>
            <w:r>
              <w:rPr>
                <w:rFonts w:ascii="Times New Roman"/>
                <w:sz w:val="21"/>
              </w:rPr>
              <w:t>156,83</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0,044.</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72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18,228</w:t>
            </w:r>
          </w:p>
          <w:p>
            <w:pPr>
              <w:pStyle w:val="TableParagraph"/>
              <w:spacing w:line="240" w:lineRule="auto" w:before="70"/>
              <w:ind w:left="369" w:right="0"/>
              <w:jc w:val="left"/>
              <w:rPr>
                <w:rFonts w:ascii="Times New Roman" w:hAnsi="Times New Roman" w:cs="Times New Roman" w:eastAsia="Times New Roman" w:hint="default"/>
                <w:sz w:val="21"/>
                <w:szCs w:val="21"/>
              </w:rPr>
            </w:pPr>
            <w:r>
              <w:rPr>
                <w:rFonts w:ascii="Times New Roman"/>
                <w:sz w:val="21"/>
              </w:rPr>
              <w:t>.29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-486,0</w:t>
            </w:r>
          </w:p>
          <w:p>
            <w:pPr>
              <w:pStyle w:val="TableParagraph"/>
              <w:spacing w:line="240" w:lineRule="auto" w:before="70"/>
              <w:ind w:left="161" w:right="0"/>
              <w:jc w:val="left"/>
              <w:rPr>
                <w:rFonts w:ascii="Times New Roman" w:hAnsi="Times New Roman" w:cs="Times New Roman" w:eastAsia="Times New Roman" w:hint="default"/>
                <w:sz w:val="21"/>
                <w:szCs w:val="21"/>
              </w:rPr>
            </w:pPr>
            <w:r>
              <w:rPr>
                <w:rFonts w:ascii="Times New Roman"/>
                <w:sz w:val="21"/>
              </w:rPr>
              <w:t>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left"/>
              <w:rPr>
                <w:rFonts w:ascii="Times New Roman" w:hAnsi="Times New Roman" w:cs="Times New Roman" w:eastAsia="Times New Roman" w:hint="default"/>
                <w:sz w:val="21"/>
                <w:szCs w:val="21"/>
              </w:rPr>
            </w:pPr>
            <w:r>
              <w:rPr>
                <w:rFonts w:ascii="Times New Roman"/>
                <w:sz w:val="21"/>
              </w:rPr>
              <w:t>504,22</w:t>
            </w:r>
          </w:p>
          <w:p>
            <w:pPr>
              <w:pStyle w:val="TableParagraph"/>
              <w:spacing w:line="240" w:lineRule="auto" w:before="70"/>
              <w:ind w:left="259" w:right="0"/>
              <w:jc w:val="left"/>
              <w:rPr>
                <w:rFonts w:ascii="Times New Roman" w:hAnsi="Times New Roman" w:cs="Times New Roman" w:eastAsia="Times New Roman" w:hint="default"/>
                <w:sz w:val="21"/>
                <w:szCs w:val="21"/>
              </w:rPr>
            </w:pPr>
            <w:r>
              <w:rPr>
                <w:rFonts w:ascii="Times New Roman"/>
                <w:sz w:val="21"/>
              </w:rPr>
              <w:t>8.29</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w:t>
            </w:r>
            <w:r>
              <w:rPr>
                <w:rFonts w:ascii="宋体" w:hAnsi="宋体" w:cs="宋体" w:eastAsia="宋体" w:hint="default"/>
                <w:w w:val="100"/>
                <w:sz w:val="21"/>
                <w:szCs w:val="21"/>
              </w:rPr>
              <w:t> </w:t>
            </w:r>
            <w:r>
              <w:rPr>
                <w:rFonts w:ascii="宋体" w:hAnsi="宋体" w:cs="宋体" w:eastAsia="宋体" w:hint="default"/>
                <w:sz w:val="21"/>
                <w:szCs w:val="21"/>
              </w:rPr>
              <w:t>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18,228</w:t>
            </w:r>
          </w:p>
          <w:p>
            <w:pPr>
              <w:pStyle w:val="TableParagraph"/>
              <w:spacing w:line="240" w:lineRule="auto" w:before="70"/>
              <w:ind w:left="369" w:right="0"/>
              <w:jc w:val="left"/>
              <w:rPr>
                <w:rFonts w:ascii="Times New Roman" w:hAnsi="Times New Roman" w:cs="Times New Roman" w:eastAsia="Times New Roman" w:hint="default"/>
                <w:sz w:val="21"/>
                <w:szCs w:val="21"/>
              </w:rPr>
            </w:pPr>
            <w:r>
              <w:rPr>
                <w:rFonts w:ascii="Times New Roman"/>
                <w:sz w:val="21"/>
              </w:rPr>
              <w:t>.29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Times New Roman" w:hAnsi="Times New Roman" w:cs="Times New Roman" w:eastAsia="Times New Roman" w:hint="default"/>
                <w:sz w:val="21"/>
                <w:szCs w:val="21"/>
              </w:rPr>
            </w:pPr>
            <w:r>
              <w:rPr>
                <w:rFonts w:ascii="Times New Roman"/>
                <w:sz w:val="21"/>
              </w:rPr>
              <w:t>-486,0</w:t>
            </w:r>
          </w:p>
          <w:p>
            <w:pPr>
              <w:pStyle w:val="TableParagraph"/>
              <w:spacing w:line="240" w:lineRule="auto" w:before="70"/>
              <w:ind w:left="161" w:right="0"/>
              <w:jc w:val="left"/>
              <w:rPr>
                <w:rFonts w:ascii="Times New Roman" w:hAnsi="Times New Roman" w:cs="Times New Roman" w:eastAsia="Times New Roman" w:hint="default"/>
                <w:sz w:val="21"/>
                <w:szCs w:val="21"/>
              </w:rPr>
            </w:pPr>
            <w:r>
              <w:rPr>
                <w:rFonts w:ascii="Times New Roman"/>
                <w:sz w:val="21"/>
              </w:rPr>
              <w:t>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504,22</w:t>
            </w:r>
          </w:p>
          <w:p>
            <w:pPr>
              <w:pStyle w:val="TableParagraph"/>
              <w:spacing w:line="240" w:lineRule="auto" w:before="70"/>
              <w:ind w:left="259" w:right="0"/>
              <w:jc w:val="left"/>
              <w:rPr>
                <w:rFonts w:ascii="Times New Roman" w:hAnsi="Times New Roman" w:cs="Times New Roman" w:eastAsia="Times New Roman" w:hint="default"/>
                <w:sz w:val="21"/>
                <w:szCs w:val="21"/>
              </w:rPr>
            </w:pPr>
            <w:r>
              <w:rPr>
                <w:rFonts w:ascii="Times New Roman"/>
                <w:sz w:val="21"/>
              </w:rPr>
              <w:t>8.29</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713.07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-43,37</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3,001.</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 w:right="0"/>
              <w:jc w:val="left"/>
              <w:rPr>
                <w:rFonts w:ascii="Times New Roman" w:hAnsi="Times New Roman" w:cs="Times New Roman" w:eastAsia="Times New Roman" w:hint="default"/>
                <w:sz w:val="21"/>
                <w:szCs w:val="21"/>
              </w:rPr>
            </w:pPr>
            <w:r>
              <w:rPr>
                <w:rFonts w:ascii="Times New Roman"/>
                <w:sz w:val="21"/>
              </w:rPr>
              <w:t>-39,55</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9,288.</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30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713.07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70"/>
              <w:ind w:left="55" w:right="0"/>
              <w:jc w:val="left"/>
              <w:rPr>
                <w:rFonts w:ascii="Times New Roman" w:hAnsi="Times New Roman" w:cs="Times New Roman" w:eastAsia="Times New Roman" w:hint="default"/>
                <w:sz w:val="21"/>
                <w:szCs w:val="21"/>
              </w:rPr>
            </w:pPr>
            <w:r>
              <w:rPr>
                <w:rFonts w:ascii="Times New Roman"/>
                <w:sz w:val="21"/>
              </w:rPr>
              <w:t>713.07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59" w:lineRule="auto"/>
              <w:ind w:left="22" w:right="17"/>
              <w:jc w:val="left"/>
              <w:rPr>
                <w:rFonts w:ascii="宋体" w:hAnsi="宋体" w:cs="宋体" w:eastAsia="宋体" w:hint="default"/>
                <w:sz w:val="21"/>
                <w:szCs w:val="21"/>
              </w:rPr>
            </w:pPr>
            <w:r>
              <w:rPr>
                <w:rFonts w:ascii="Times New Roman" w:hAnsi="Times New Roman" w:cs="Times New Roman" w:eastAsia="Times New Roman" w:hint="default"/>
                <w:spacing w:val="-26"/>
                <w:w w:val="100"/>
                <w:sz w:val="21"/>
                <w:szCs w:val="21"/>
              </w:rPr>
              <w:t>3</w:t>
            </w:r>
            <w:r>
              <w:rPr>
                <w:rFonts w:ascii="宋体" w:hAnsi="宋体" w:cs="宋体" w:eastAsia="宋体" w:hint="default"/>
                <w:spacing w:val="-26"/>
                <w:w w:val="100"/>
                <w:sz w:val="21"/>
                <w:szCs w:val="21"/>
              </w:rPr>
              <w:t>．对所有者（或</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-39,55</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9,288.</w:t>
            </w:r>
          </w:p>
          <w:p>
            <w:pPr>
              <w:pStyle w:val="TableParagraph"/>
              <w:spacing w:line="240" w:lineRule="auto" w:before="71"/>
              <w:ind w:left="422" w:right="0"/>
              <w:jc w:val="left"/>
              <w:rPr>
                <w:rFonts w:ascii="Times New Roman" w:hAnsi="Times New Roman" w:cs="Times New Roman" w:eastAsia="Times New Roman" w:hint="default"/>
                <w:sz w:val="21"/>
                <w:szCs w:val="21"/>
              </w:rPr>
            </w:pPr>
            <w:r>
              <w:rPr>
                <w:rFonts w:ascii="Times New Roman"/>
                <w:sz w:val="21"/>
              </w:rPr>
              <w:t>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 w:right="0"/>
              <w:jc w:val="left"/>
              <w:rPr>
                <w:rFonts w:ascii="Times New Roman" w:hAnsi="Times New Roman" w:cs="Times New Roman" w:eastAsia="Times New Roman" w:hint="default"/>
                <w:sz w:val="21"/>
                <w:szCs w:val="21"/>
              </w:rPr>
            </w:pPr>
            <w:r>
              <w:rPr>
                <w:rFonts w:ascii="Times New Roman"/>
                <w:sz w:val="21"/>
              </w:rPr>
              <w:t>-39,55</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9,288.</w:t>
            </w:r>
          </w:p>
          <w:p>
            <w:pPr>
              <w:pStyle w:val="TableParagraph"/>
              <w:spacing w:line="240" w:lineRule="auto" w:before="71"/>
              <w:ind w:left="415" w:right="0"/>
              <w:jc w:val="left"/>
              <w:rPr>
                <w:rFonts w:ascii="Times New Roman" w:hAnsi="Times New Roman" w:cs="Times New Roman" w:eastAsia="Times New Roman" w:hint="default"/>
                <w:sz w:val="21"/>
                <w:szCs w:val="21"/>
              </w:rPr>
            </w:pPr>
            <w:r>
              <w:rPr>
                <w:rFonts w:ascii="Times New Roman"/>
                <w:sz w:val="21"/>
              </w:rPr>
              <w:t>30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857"/>
        <w:gridCol w:w="473"/>
        <w:gridCol w:w="665"/>
        <w:gridCol w:w="665"/>
        <w:gridCol w:w="665"/>
        <w:gridCol w:w="665"/>
        <w:gridCol w:w="660"/>
      </w:tblGrid>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39"/>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．设定受益计</w:t>
            </w:r>
            <w:r>
              <w:rPr>
                <w:rFonts w:ascii="宋体" w:hAnsi="宋体" w:cs="宋体" w:eastAsia="宋体" w:hint="default"/>
                <w:w w:val="100"/>
                <w:sz w:val="21"/>
                <w:szCs w:val="21"/>
              </w:rPr>
              <w:t> </w:t>
            </w:r>
            <w:r>
              <w:rPr>
                <w:rFonts w:ascii="宋体" w:hAnsi="宋体" w:cs="宋体" w:eastAsia="宋体" w:hint="default"/>
                <w:sz w:val="21"/>
                <w:szCs w:val="21"/>
              </w:rPr>
              <w:t>划变动额结转</w:t>
            </w:r>
            <w:r>
              <w:rPr>
                <w:rFonts w:ascii="宋体" w:hAnsi="宋体" w:cs="宋体" w:eastAsia="宋体" w:hint="default"/>
                <w:w w:val="100"/>
                <w:sz w:val="21"/>
                <w:szCs w:val="21"/>
              </w:rPr>
              <w:t> </w:t>
            </w:r>
            <w:r>
              <w:rPr>
                <w:rFonts w:ascii="宋体" w:hAnsi="宋体" w:cs="宋体" w:eastAsia="宋体" w:hint="default"/>
                <w:sz w:val="21"/>
                <w:szCs w:val="21"/>
              </w:rPr>
              <w:t>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92"/>
                <w:w w:val="100"/>
                <w:sz w:val="21"/>
                <w:szCs w:val="21"/>
              </w:rPr>
              <w:t>）</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6"/>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38"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144" w:right="0"/>
              <w:jc w:val="center"/>
              <w:rPr>
                <w:rFonts w:ascii="Times New Roman" w:hAnsi="Times New Roman" w:cs="Times New Roman" w:eastAsia="Times New Roman" w:hint="default"/>
                <w:sz w:val="21"/>
                <w:szCs w:val="21"/>
              </w:rPr>
            </w:pPr>
            <w:r>
              <w:rPr>
                <w:rFonts w:ascii="Times New Roman"/>
                <w:sz w:val="21"/>
              </w:rPr>
              <w:t>7.00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829,81</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4,736.</w:t>
            </w:r>
          </w:p>
          <w:p>
            <w:pPr>
              <w:pStyle w:val="TableParagraph"/>
              <w:spacing w:line="240" w:lineRule="auto" w:before="70"/>
              <w:ind w:left="419" w:right="0"/>
              <w:jc w:val="left"/>
              <w:rPr>
                <w:rFonts w:ascii="Times New Roman" w:hAnsi="Times New Roman" w:cs="Times New Roman" w:eastAsia="Times New Roman" w:hint="default"/>
                <w:sz w:val="21"/>
                <w:szCs w:val="21"/>
              </w:rPr>
            </w:pPr>
            <w:r>
              <w:rPr>
                <w:rFonts w:ascii="Times New Roman"/>
                <w:sz w:val="21"/>
              </w:rPr>
              <w:t>29</w:t>
            </w:r>
          </w:p>
        </w:tc>
        <w:tc>
          <w:tcPr>
            <w:tcW w:w="66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-4,084,0</w:t>
            </w:r>
          </w:p>
          <w:p>
            <w:pPr>
              <w:pStyle w:val="TableParagraph"/>
              <w:spacing w:line="240" w:lineRule="auto" w:before="70"/>
              <w:ind w:left="352" w:right="0"/>
              <w:jc w:val="left"/>
              <w:rPr>
                <w:rFonts w:ascii="Times New Roman" w:hAnsi="Times New Roman" w:cs="Times New Roman" w:eastAsia="Times New Roman" w:hint="default"/>
                <w:sz w:val="21"/>
                <w:szCs w:val="21"/>
              </w:rPr>
            </w:pPr>
            <w:r>
              <w:rPr>
                <w:rFonts w:ascii="Times New Roman"/>
                <w:sz w:val="21"/>
              </w:rPr>
              <w:t>69.49</w:t>
            </w:r>
          </w:p>
        </w:tc>
        <w:tc>
          <w:tcPr>
            <w:tcW w:w="47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47,604</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,030.6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left"/>
              <w:rPr>
                <w:rFonts w:ascii="Times New Roman" w:hAnsi="Times New Roman" w:cs="Times New Roman" w:eastAsia="Times New Roman" w:hint="default"/>
                <w:sz w:val="21"/>
                <w:szCs w:val="21"/>
              </w:rPr>
            </w:pPr>
            <w:r>
              <w:rPr>
                <w:rFonts w:ascii="Times New Roman"/>
                <w:sz w:val="21"/>
              </w:rPr>
              <w:t>612,26</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4,102.</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8" w:right="0"/>
              <w:jc w:val="left"/>
              <w:rPr>
                <w:rFonts w:ascii="Times New Roman" w:hAnsi="Times New Roman" w:cs="Times New Roman" w:eastAsia="Times New Roman" w:hint="default"/>
                <w:sz w:val="21"/>
                <w:szCs w:val="21"/>
              </w:rPr>
            </w:pPr>
            <w:r>
              <w:rPr>
                <w:rFonts w:ascii="Times New Roman"/>
                <w:sz w:val="21"/>
              </w:rPr>
              <w:t>-1,989,</w:t>
            </w:r>
          </w:p>
          <w:p>
            <w:pPr>
              <w:pStyle w:val="TableParagraph"/>
              <w:spacing w:line="240" w:lineRule="auto" w:before="70"/>
              <w:ind w:left="55" w:right="0"/>
              <w:jc w:val="left"/>
              <w:rPr>
                <w:rFonts w:ascii="Times New Roman" w:hAnsi="Times New Roman" w:cs="Times New Roman" w:eastAsia="Times New Roman" w:hint="default"/>
                <w:sz w:val="21"/>
                <w:szCs w:val="21"/>
              </w:rPr>
            </w:pPr>
            <w:r>
              <w:rPr>
                <w:rFonts w:ascii="Times New Roman"/>
                <w:sz w:val="21"/>
              </w:rPr>
              <w:t>143.88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 w:right="0"/>
              <w:jc w:val="center"/>
              <w:rPr>
                <w:rFonts w:ascii="Times New Roman" w:hAnsi="Times New Roman" w:cs="Times New Roman" w:eastAsia="Times New Roman" w:hint="default"/>
                <w:sz w:val="21"/>
                <w:szCs w:val="21"/>
              </w:rPr>
            </w:pPr>
            <w:r>
              <w:rPr>
                <w:rFonts w:ascii="Times New Roman"/>
                <w:sz w:val="21"/>
              </w:rPr>
              <w:t>1,933,</w:t>
            </w:r>
          </w:p>
          <w:p>
            <w:pPr>
              <w:pStyle w:val="TableParagraph"/>
              <w:spacing w:line="240" w:lineRule="auto" w:before="70"/>
              <w:ind w:left="48" w:right="0"/>
              <w:jc w:val="left"/>
              <w:rPr>
                <w:rFonts w:ascii="Times New Roman" w:hAnsi="Times New Roman" w:cs="Times New Roman" w:eastAsia="Times New Roman" w:hint="default"/>
                <w:sz w:val="21"/>
                <w:szCs w:val="21"/>
              </w:rPr>
            </w:pPr>
            <w:r>
              <w:rPr>
                <w:rFonts w:ascii="Times New Roman"/>
                <w:sz w:val="21"/>
              </w:rPr>
              <w:t>147,02</w:t>
            </w:r>
          </w:p>
          <w:p>
            <w:pPr>
              <w:pStyle w:val="TableParagraph"/>
              <w:spacing w:line="240" w:lineRule="auto" w:before="70"/>
              <w:ind w:left="237" w:right="0"/>
              <w:jc w:val="center"/>
              <w:rPr>
                <w:rFonts w:ascii="Times New Roman" w:hAnsi="Times New Roman" w:cs="Times New Roman" w:eastAsia="Times New Roman" w:hint="default"/>
                <w:sz w:val="21"/>
                <w:szCs w:val="21"/>
              </w:rPr>
            </w:pPr>
            <w:r>
              <w:rPr>
                <w:rFonts w:ascii="Times New Roman"/>
                <w:sz w:val="21"/>
              </w:rPr>
              <w:t>2.70</w:t>
            </w:r>
          </w:p>
        </w:tc>
      </w:tr>
    </w:tbl>
    <w:p>
      <w:pPr>
        <w:pStyle w:val="BodyText"/>
        <w:spacing w:line="240" w:lineRule="auto" w:before="0"/>
        <w:ind w:right="1273"/>
        <w:jc w:val="left"/>
      </w:pPr>
      <w:r>
        <w:rPr/>
        <w:t>上期金额</w:t>
      </w:r>
    </w:p>
    <w:p>
      <w:pPr>
        <w:pStyle w:val="BodyText"/>
        <w:spacing w:line="240" w:lineRule="auto"/>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1"/>
        <w:gridCol w:w="530"/>
        <w:gridCol w:w="533"/>
        <w:gridCol w:w="662"/>
        <w:gridCol w:w="665"/>
        <w:gridCol w:w="667"/>
        <w:gridCol w:w="665"/>
        <w:gridCol w:w="663"/>
        <w:gridCol w:w="665"/>
        <w:gridCol w:w="679"/>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95"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25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5" w:right="108"/>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46"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0" w:right="108"/>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58" w:type="dxa"/>
            <w:vMerge/>
            <w:tcBorders>
              <w:left w:val="single" w:sz="4" w:space="0" w:color="000000"/>
              <w:right w:val="single" w:sz="4" w:space="0" w:color="000000"/>
            </w:tcBorders>
            <w:shd w:val="clear" w:color="auto" w:fill="D2D2D2"/>
          </w:tcPr>
          <w:p>
            <w:pPr/>
          </w:p>
        </w:tc>
      </w:tr>
      <w:tr>
        <w:trPr>
          <w:trHeight w:val="211"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67" w:lineRule="exact"/>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9"/>
              <w:ind w:left="120" w:right="11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9"/>
              <w:ind w:left="117" w:right="11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9"/>
              <w:ind w:left="124" w:right="120"/>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0"/>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7"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667"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3"/>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66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1"/>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10" w:space="0" w:color="D2D2D2"/>
              <w:right w:val="single" w:sz="22" w:space="0" w:color="D2D2D2"/>
            </w:tcBorders>
          </w:tcPr>
          <w:p>
            <w:pPr>
              <w:pStyle w:val="TableParagraph"/>
              <w:spacing w:line="240" w:lineRule="auto" w:before="10"/>
              <w:ind w:left="5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股本</w:t>
            </w:r>
            <w:r>
              <w:rPr>
                <w:rFonts w:ascii="宋体" w:hAnsi="宋体" w:cs="宋体" w:eastAsia="宋体" w:hint="default"/>
                <w:sz w:val="21"/>
                <w:szCs w:val="21"/>
              </w:rPr>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1"/>
              <w:ind w:left="155" w:right="46"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1"/>
              <w:ind w:left="155" w:right="47"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90"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10" w:space="0" w:color="D2D2D2"/>
              <w:bottom w:val="nil" w:sz="6" w:space="0" w:color="auto"/>
              <w:right w:val="single" w:sz="22" w:space="0" w:color="D2D2D2"/>
            </w:tcBorders>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23" w:space="0" w:color="D2D2D2"/>
              <w:right w:val="single" w:sz="23" w:space="0" w:color="D2D2D2"/>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33"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23" w:space="0" w:color="D2D2D2"/>
              <w:bottom w:val="nil" w:sz="6" w:space="0" w:color="auto"/>
              <w:right w:val="single" w:sz="23" w:space="0" w:color="D2D2D2"/>
            </w:tcBorders>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22"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3"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75"/>
              <w:ind w:left="32"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32" w:right="0"/>
              <w:jc w:val="center"/>
              <w:rPr>
                <w:rFonts w:ascii="Times New Roman" w:hAnsi="Times New Roman" w:cs="Times New Roman" w:eastAsia="Times New Roman" w:hint="default"/>
                <w:sz w:val="21"/>
                <w:szCs w:val="21"/>
              </w:rPr>
            </w:pPr>
            <w:r>
              <w:rPr>
                <w:rFonts w:ascii="Times New Roman"/>
                <w:sz w:val="21"/>
              </w:rPr>
              <w:t>78,96</w:t>
            </w:r>
          </w:p>
          <w:p>
            <w:pPr>
              <w:pStyle w:val="TableParagraph"/>
              <w:spacing w:line="240" w:lineRule="auto" w:before="70"/>
              <w:ind w:left="138" w:right="0"/>
              <w:jc w:val="center"/>
              <w:rPr>
                <w:rFonts w:ascii="Times New Roman" w:hAnsi="Times New Roman" w:cs="Times New Roman" w:eastAsia="Times New Roman" w:hint="default"/>
                <w:sz w:val="21"/>
                <w:szCs w:val="21"/>
              </w:rPr>
            </w:pPr>
            <w:r>
              <w:rPr>
                <w:rFonts w:ascii="Times New Roman"/>
                <w:sz w:val="21"/>
              </w:rPr>
              <w:t>7.00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829,45</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2,786.</w:t>
            </w:r>
          </w:p>
          <w:p>
            <w:pPr>
              <w:pStyle w:val="TableParagraph"/>
              <w:spacing w:line="240" w:lineRule="auto" w:before="70"/>
              <w:ind w:left="419" w:right="0"/>
              <w:jc w:val="left"/>
              <w:rPr>
                <w:rFonts w:ascii="Times New Roman" w:hAnsi="Times New Roman" w:cs="Times New Roman" w:eastAsia="Times New Roman" w:hint="default"/>
                <w:sz w:val="21"/>
                <w:szCs w:val="21"/>
              </w:rPr>
            </w:pPr>
            <w:r>
              <w:rPr>
                <w:rFonts w:ascii="Times New Roman"/>
                <w:sz w:val="21"/>
              </w:rPr>
              <w:t>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21,893</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,014.3</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c>
          <w:tcPr>
            <w:tcW w:w="667"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-3,954,</w:t>
            </w:r>
          </w:p>
          <w:p>
            <w:pPr>
              <w:pStyle w:val="TableParagraph"/>
              <w:spacing w:line="240" w:lineRule="auto" w:before="70"/>
              <w:ind w:left="67" w:right="0"/>
              <w:jc w:val="left"/>
              <w:rPr>
                <w:rFonts w:ascii="Times New Roman" w:hAnsi="Times New Roman" w:cs="Times New Roman" w:eastAsia="Times New Roman" w:hint="default"/>
                <w:sz w:val="21"/>
                <w:szCs w:val="21"/>
              </w:rPr>
            </w:pPr>
            <w:r>
              <w:rPr>
                <w:rFonts w:ascii="Times New Roman"/>
                <w:sz w:val="21"/>
              </w:rPr>
              <w:t>118.60</w:t>
            </w: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34,818</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,145.1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7</w:t>
            </w:r>
          </w:p>
        </w:tc>
        <w:tc>
          <w:tcPr>
            <w:tcW w:w="665" w:type="dxa"/>
            <w:vMerge w:val="restart"/>
            <w:tcBorders>
              <w:top w:val="single" w:sz="18" w:space="0" w:color="D2D2D2"/>
              <w:left w:val="single" w:sz="4" w:space="0" w:color="000000"/>
              <w:right w:val="single" w:sz="4" w:space="0" w:color="000000"/>
            </w:tcBorders>
          </w:tcPr>
          <w:p>
            <w:pPr/>
          </w:p>
        </w:tc>
        <w:tc>
          <w:tcPr>
            <w:tcW w:w="679" w:type="dxa"/>
            <w:vMerge w:val="restart"/>
            <w:tcBorders>
              <w:top w:val="single" w:sz="18" w:space="0" w:color="D2D2D2"/>
              <w:left w:val="single" w:sz="4" w:space="0" w:color="000000"/>
              <w:right w:val="single" w:sz="4" w:space="0" w:color="000000"/>
            </w:tcBorders>
          </w:tcPr>
          <w:p>
            <w:pPr>
              <w:pStyle w:val="TableParagraph"/>
              <w:spacing w:line="240" w:lineRule="auto" w:before="57"/>
              <w:ind w:left="67" w:right="0"/>
              <w:jc w:val="left"/>
              <w:rPr>
                <w:rFonts w:ascii="Times New Roman" w:hAnsi="Times New Roman" w:cs="Times New Roman" w:eastAsia="Times New Roman" w:hint="default"/>
                <w:sz w:val="21"/>
                <w:szCs w:val="21"/>
              </w:rPr>
            </w:pPr>
            <w:r>
              <w:rPr>
                <w:rFonts w:ascii="Times New Roman"/>
                <w:sz w:val="21"/>
              </w:rPr>
              <w:t>327,85</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2,167.</w:t>
            </w:r>
          </w:p>
          <w:p>
            <w:pPr>
              <w:pStyle w:val="TableParagraph"/>
              <w:spacing w:line="240" w:lineRule="auto" w:before="70"/>
              <w:ind w:left="434" w:right="0"/>
              <w:jc w:val="left"/>
              <w:rPr>
                <w:rFonts w:ascii="Times New Roman" w:hAnsi="Times New Roman" w:cs="Times New Roman" w:eastAsia="Times New Roman" w:hint="default"/>
                <w:sz w:val="21"/>
                <w:szCs w:val="21"/>
              </w:rPr>
            </w:pPr>
            <w:r>
              <w:rPr>
                <w:rFonts w:ascii="Times New Roman"/>
                <w:sz w:val="21"/>
              </w:rPr>
              <w:t>21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16,282</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,045.7</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100"/>
                <w:sz w:val="21"/>
              </w:rPr>
              <w:t>5</w:t>
            </w:r>
          </w:p>
        </w:tc>
        <w:tc>
          <w:tcPr>
            <w:tcW w:w="658" w:type="dxa"/>
            <w:vMerge w:val="restart"/>
            <w:tcBorders>
              <w:top w:val="single" w:sz="36" w:space="0" w:color="D2D2D2"/>
              <w:left w:val="single" w:sz="4" w:space="0" w:color="000000"/>
              <w:right w:val="single" w:sz="4" w:space="0" w:color="000000"/>
            </w:tcBorders>
          </w:tcPr>
          <w:p>
            <w:pPr>
              <w:pStyle w:val="TableParagraph"/>
              <w:spacing w:line="240" w:lineRule="auto" w:before="34"/>
              <w:ind w:left="81" w:right="0"/>
              <w:jc w:val="center"/>
              <w:rPr>
                <w:rFonts w:ascii="Times New Roman" w:hAnsi="Times New Roman" w:cs="Times New Roman" w:eastAsia="Times New Roman" w:hint="default"/>
                <w:sz w:val="21"/>
                <w:szCs w:val="21"/>
              </w:rPr>
            </w:pPr>
            <w:r>
              <w:rPr>
                <w:rFonts w:ascii="Times New Roman"/>
                <w:sz w:val="21"/>
              </w:rPr>
              <w:t>1,632,</w:t>
            </w:r>
          </w:p>
          <w:p>
            <w:pPr>
              <w:pStyle w:val="TableParagraph"/>
              <w:spacing w:line="240" w:lineRule="auto" w:before="70"/>
              <w:ind w:left="48" w:right="0"/>
              <w:jc w:val="left"/>
              <w:rPr>
                <w:rFonts w:ascii="Times New Roman" w:hAnsi="Times New Roman" w:cs="Times New Roman" w:eastAsia="Times New Roman" w:hint="default"/>
                <w:sz w:val="21"/>
                <w:szCs w:val="21"/>
              </w:rPr>
            </w:pPr>
            <w:r>
              <w:rPr>
                <w:rFonts w:ascii="Times New Roman"/>
                <w:sz w:val="21"/>
              </w:rPr>
              <w:t>136,97</w:t>
            </w:r>
          </w:p>
          <w:p>
            <w:pPr>
              <w:pStyle w:val="TableParagraph"/>
              <w:spacing w:line="240" w:lineRule="auto" w:before="70"/>
              <w:ind w:left="240" w:right="0"/>
              <w:jc w:val="center"/>
              <w:rPr>
                <w:rFonts w:ascii="Times New Roman" w:hAnsi="Times New Roman" w:cs="Times New Roman" w:eastAsia="Times New Roman" w:hint="default"/>
                <w:sz w:val="21"/>
                <w:szCs w:val="21"/>
              </w:rPr>
            </w:pPr>
            <w:r>
              <w:rPr>
                <w:rFonts w:ascii="Times New Roman"/>
                <w:sz w:val="21"/>
              </w:rPr>
              <w:t>8.79</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19"/>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9" w:firstLine="422"/>
              <w:jc w:val="left"/>
              <w:rPr>
                <w:rFonts w:ascii="宋体" w:hAnsi="宋体" w:cs="宋体" w:eastAsia="宋体" w:hint="default"/>
                <w:sz w:val="21"/>
                <w:szCs w:val="21"/>
              </w:rPr>
            </w:pPr>
            <w:r>
              <w:rPr>
                <w:rFonts w:ascii="宋体" w:hAnsi="宋体" w:cs="宋体" w:eastAsia="宋体" w:hint="default"/>
                <w:spacing w:val="-20"/>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43" w:firstLine="842"/>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pacing w:val="-3"/>
                <w:w w:val="100"/>
                <w:sz w:val="21"/>
                <w:szCs w:val="21"/>
              </w:rPr>
              <w:t> </w:t>
            </w:r>
            <w:r>
              <w:rPr>
                <w:rFonts w:ascii="宋体" w:hAnsi="宋体" w:cs="宋体" w:eastAsia="宋体" w:hint="default"/>
                <w:sz w:val="21"/>
                <w:szCs w:val="21"/>
              </w:rPr>
              <w:t>差错更正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2" w:right="139" w:firstLine="842"/>
              <w:jc w:val="both"/>
              <w:rPr>
                <w:rFonts w:ascii="宋体" w:hAnsi="宋体" w:cs="宋体" w:eastAsia="宋体" w:hint="default"/>
                <w:sz w:val="21"/>
                <w:szCs w:val="21"/>
              </w:rPr>
            </w:pPr>
            <w:r>
              <w:rPr>
                <w:rFonts w:ascii="宋体" w:hAnsi="宋体" w:cs="宋体" w:eastAsia="宋体" w:hint="default"/>
                <w:spacing w:val="-3"/>
                <w:sz w:val="21"/>
                <w:szCs w:val="21"/>
              </w:rPr>
              <w:t>同一</w:t>
            </w:r>
            <w:r>
              <w:rPr>
                <w:rFonts w:ascii="宋体" w:hAnsi="宋体" w:cs="宋体" w:eastAsia="宋体" w:hint="default"/>
                <w:spacing w:val="-3"/>
                <w:w w:val="100"/>
                <w:sz w:val="21"/>
                <w:szCs w:val="21"/>
              </w:rPr>
              <w:t> </w:t>
            </w:r>
            <w:r>
              <w:rPr>
                <w:rFonts w:ascii="宋体" w:hAnsi="宋体" w:cs="宋体" w:eastAsia="宋体" w:hint="default"/>
                <w:sz w:val="21"/>
                <w:szCs w:val="21"/>
              </w:rPr>
              <w:t>控制下企业合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77"/>
              <w:ind w:left="32"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68"/>
              <w:ind w:left="32" w:right="0"/>
              <w:jc w:val="center"/>
              <w:rPr>
                <w:rFonts w:ascii="Times New Roman" w:hAnsi="Times New Roman" w:cs="Times New Roman" w:eastAsia="Times New Roman" w:hint="default"/>
                <w:sz w:val="21"/>
                <w:szCs w:val="21"/>
              </w:rPr>
            </w:pPr>
            <w:r>
              <w:rPr>
                <w:rFonts w:ascii="Times New Roman"/>
                <w:sz w:val="21"/>
              </w:rPr>
              <w:t>78,96</w:t>
            </w:r>
          </w:p>
          <w:p>
            <w:pPr>
              <w:pStyle w:val="TableParagraph"/>
              <w:spacing w:line="240" w:lineRule="auto" w:before="70"/>
              <w:ind w:left="138" w:right="0"/>
              <w:jc w:val="center"/>
              <w:rPr>
                <w:rFonts w:ascii="Times New Roman" w:hAnsi="Times New Roman" w:cs="Times New Roman" w:eastAsia="Times New Roman" w:hint="default"/>
                <w:sz w:val="21"/>
                <w:szCs w:val="21"/>
              </w:rPr>
            </w:pPr>
            <w:r>
              <w:rPr>
                <w:rFonts w:ascii="Times New Roman"/>
                <w:sz w:val="21"/>
              </w:rPr>
              <w:t>7.00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77"/>
              <w:ind w:left="52" w:right="0"/>
              <w:jc w:val="left"/>
              <w:rPr>
                <w:rFonts w:ascii="Times New Roman" w:hAnsi="Times New Roman" w:cs="Times New Roman" w:eastAsia="Times New Roman" w:hint="default"/>
                <w:sz w:val="21"/>
                <w:szCs w:val="21"/>
              </w:rPr>
            </w:pPr>
            <w:r>
              <w:rPr>
                <w:rFonts w:ascii="Times New Roman"/>
                <w:sz w:val="21"/>
              </w:rPr>
              <w:t>829,45</w:t>
            </w:r>
          </w:p>
          <w:p>
            <w:pPr>
              <w:pStyle w:val="TableParagraph"/>
              <w:spacing w:line="240" w:lineRule="auto" w:before="68"/>
              <w:ind w:left="105" w:right="0"/>
              <w:jc w:val="left"/>
              <w:rPr>
                <w:rFonts w:ascii="Times New Roman" w:hAnsi="Times New Roman" w:cs="Times New Roman" w:eastAsia="Times New Roman" w:hint="default"/>
                <w:sz w:val="21"/>
                <w:szCs w:val="21"/>
              </w:rPr>
            </w:pPr>
            <w:r>
              <w:rPr>
                <w:rFonts w:ascii="Times New Roman"/>
                <w:sz w:val="21"/>
              </w:rPr>
              <w:t>2,786.</w:t>
            </w:r>
          </w:p>
          <w:p>
            <w:pPr>
              <w:pStyle w:val="TableParagraph"/>
              <w:spacing w:line="240" w:lineRule="auto" w:before="70"/>
              <w:ind w:left="419" w:right="0"/>
              <w:jc w:val="left"/>
              <w:rPr>
                <w:rFonts w:ascii="Times New Roman" w:hAnsi="Times New Roman" w:cs="Times New Roman" w:eastAsia="Times New Roman" w:hint="default"/>
                <w:sz w:val="21"/>
                <w:szCs w:val="21"/>
              </w:rPr>
            </w:pPr>
            <w:r>
              <w:rPr>
                <w:rFonts w:ascii="Times New Roman"/>
                <w:sz w:val="21"/>
              </w:rPr>
              <w:t>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21,893</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,014.3</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-3,954,</w:t>
            </w:r>
          </w:p>
          <w:p>
            <w:pPr>
              <w:pStyle w:val="TableParagraph"/>
              <w:spacing w:line="240" w:lineRule="auto" w:before="68"/>
              <w:ind w:left="67" w:right="0"/>
              <w:jc w:val="left"/>
              <w:rPr>
                <w:rFonts w:ascii="Times New Roman" w:hAnsi="Times New Roman" w:cs="Times New Roman" w:eastAsia="Times New Roman" w:hint="default"/>
                <w:sz w:val="21"/>
                <w:szCs w:val="21"/>
              </w:rPr>
            </w:pPr>
            <w:r>
              <w:rPr>
                <w:rFonts w:ascii="Times New Roman"/>
                <w:sz w:val="21"/>
              </w:rPr>
              <w:t>118.60</w:t>
            </w: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34,818</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,145.1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7</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77"/>
              <w:ind w:left="67" w:right="0"/>
              <w:jc w:val="left"/>
              <w:rPr>
                <w:rFonts w:ascii="Times New Roman" w:hAnsi="Times New Roman" w:cs="Times New Roman" w:eastAsia="Times New Roman" w:hint="default"/>
                <w:sz w:val="21"/>
                <w:szCs w:val="21"/>
              </w:rPr>
            </w:pPr>
            <w:r>
              <w:rPr>
                <w:rFonts w:ascii="Times New Roman"/>
                <w:sz w:val="21"/>
              </w:rPr>
              <w:t>327,85</w:t>
            </w:r>
          </w:p>
          <w:p>
            <w:pPr>
              <w:pStyle w:val="TableParagraph"/>
              <w:spacing w:line="240" w:lineRule="auto" w:before="68"/>
              <w:ind w:left="119" w:right="0"/>
              <w:jc w:val="left"/>
              <w:rPr>
                <w:rFonts w:ascii="Times New Roman" w:hAnsi="Times New Roman" w:cs="Times New Roman" w:eastAsia="Times New Roman" w:hint="default"/>
                <w:sz w:val="21"/>
                <w:szCs w:val="21"/>
              </w:rPr>
            </w:pPr>
            <w:r>
              <w:rPr>
                <w:rFonts w:ascii="Times New Roman"/>
                <w:sz w:val="21"/>
              </w:rPr>
              <w:t>2,167.</w:t>
            </w:r>
          </w:p>
          <w:p>
            <w:pPr>
              <w:pStyle w:val="TableParagraph"/>
              <w:spacing w:line="240" w:lineRule="auto" w:before="70"/>
              <w:ind w:left="434" w:right="0"/>
              <w:jc w:val="left"/>
              <w:rPr>
                <w:rFonts w:ascii="Times New Roman" w:hAnsi="Times New Roman" w:cs="Times New Roman" w:eastAsia="Times New Roman" w:hint="default"/>
                <w:sz w:val="21"/>
                <w:szCs w:val="21"/>
              </w:rPr>
            </w:pPr>
            <w:r>
              <w:rPr>
                <w:rFonts w:ascii="Times New Roman"/>
                <w:sz w:val="21"/>
              </w:rPr>
              <w:t>21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z w:val="21"/>
              </w:rPr>
              <w:t>16,282</w:t>
            </w:r>
          </w:p>
          <w:p>
            <w:pPr>
              <w:pStyle w:val="TableParagraph"/>
              <w:spacing w:line="240" w:lineRule="auto" w:before="68"/>
              <w:ind w:right="21"/>
              <w:jc w:val="right"/>
              <w:rPr>
                <w:rFonts w:ascii="Times New Roman" w:hAnsi="Times New Roman" w:cs="Times New Roman" w:eastAsia="Times New Roman" w:hint="default"/>
                <w:sz w:val="21"/>
                <w:szCs w:val="21"/>
              </w:rPr>
            </w:pPr>
            <w:r>
              <w:rPr>
                <w:rFonts w:ascii="Times New Roman"/>
                <w:sz w:val="21"/>
              </w:rPr>
              <w:t>,045.7</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100"/>
                <w:sz w:val="21"/>
              </w:rPr>
              <w:t>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77"/>
              <w:ind w:left="81" w:right="0"/>
              <w:jc w:val="center"/>
              <w:rPr>
                <w:rFonts w:ascii="Times New Roman" w:hAnsi="Times New Roman" w:cs="Times New Roman" w:eastAsia="Times New Roman" w:hint="default"/>
                <w:sz w:val="21"/>
                <w:szCs w:val="21"/>
              </w:rPr>
            </w:pPr>
            <w:r>
              <w:rPr>
                <w:rFonts w:ascii="Times New Roman"/>
                <w:sz w:val="21"/>
              </w:rPr>
              <w:t>1,632,</w:t>
            </w:r>
          </w:p>
          <w:p>
            <w:pPr>
              <w:pStyle w:val="TableParagraph"/>
              <w:spacing w:line="240" w:lineRule="auto" w:before="68"/>
              <w:ind w:left="48" w:right="0"/>
              <w:jc w:val="left"/>
              <w:rPr>
                <w:rFonts w:ascii="Times New Roman" w:hAnsi="Times New Roman" w:cs="Times New Roman" w:eastAsia="Times New Roman" w:hint="default"/>
                <w:sz w:val="21"/>
                <w:szCs w:val="21"/>
              </w:rPr>
            </w:pPr>
            <w:r>
              <w:rPr>
                <w:rFonts w:ascii="Times New Roman"/>
                <w:sz w:val="21"/>
              </w:rPr>
              <w:t>136,97</w:t>
            </w:r>
          </w:p>
          <w:p>
            <w:pPr>
              <w:pStyle w:val="TableParagraph"/>
              <w:spacing w:line="240" w:lineRule="auto" w:before="70"/>
              <w:ind w:left="240" w:right="0"/>
              <w:jc w:val="center"/>
              <w:rPr>
                <w:rFonts w:ascii="Times New Roman" w:hAnsi="Times New Roman" w:cs="Times New Roman" w:eastAsia="Times New Roman" w:hint="default"/>
                <w:sz w:val="21"/>
                <w:szCs w:val="21"/>
              </w:rPr>
            </w:pPr>
            <w:r>
              <w:rPr>
                <w:rFonts w:ascii="Times New Roman"/>
                <w:sz w:val="21"/>
              </w:rPr>
              <w:t>8.79</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19"/>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12" w:right="19"/>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增</w:t>
            </w:r>
            <w:r>
              <w:rPr>
                <w:rFonts w:ascii="宋体" w:hAnsi="宋体" w:cs="宋体" w:eastAsia="宋体" w:hint="default"/>
                <w:spacing w:val="-3"/>
                <w:w w:val="100"/>
                <w:sz w:val="21"/>
                <w:szCs w:val="21"/>
              </w:rPr>
              <w:t>减</w:t>
            </w:r>
            <w:r>
              <w:rPr>
                <w:rFonts w:ascii="宋体" w:hAnsi="宋体" w:cs="宋体" w:eastAsia="宋体" w:hint="default"/>
                <w:w w:val="100"/>
                <w:sz w:val="21"/>
                <w:szCs w:val="21"/>
              </w:rPr>
              <w:t>变</w:t>
            </w:r>
            <w:r>
              <w:rPr>
                <w:rFonts w:ascii="宋体" w:hAnsi="宋体" w:cs="宋体" w:eastAsia="宋体" w:hint="default"/>
                <w:w w:val="100"/>
                <w:sz w:val="21"/>
                <w:szCs w:val="21"/>
              </w:rPr>
              <w:t> 动金</w:t>
            </w:r>
            <w:r>
              <w:rPr>
                <w:rFonts w:ascii="宋体" w:hAnsi="宋体" w:cs="宋体" w:eastAsia="宋体" w:hint="default"/>
                <w:spacing w:val="-92"/>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82" w:right="0"/>
              <w:jc w:val="left"/>
              <w:rPr>
                <w:rFonts w:ascii="Times New Roman" w:hAnsi="Times New Roman" w:cs="Times New Roman" w:eastAsia="Times New Roman" w:hint="default"/>
                <w:sz w:val="21"/>
                <w:szCs w:val="21"/>
              </w:rPr>
            </w:pPr>
            <w:r>
              <w:rPr>
                <w:rFonts w:ascii="Times New Roman"/>
                <w:sz w:val="21"/>
              </w:rPr>
              <w:t>-41,6</w:t>
            </w:r>
          </w:p>
          <w:p>
            <w:pPr>
              <w:pStyle w:val="TableParagraph"/>
              <w:spacing w:line="240" w:lineRule="auto" w:before="70"/>
              <w:ind w:left="46" w:right="0"/>
              <w:jc w:val="left"/>
              <w:rPr>
                <w:rFonts w:ascii="Times New Roman" w:hAnsi="Times New Roman" w:cs="Times New Roman" w:eastAsia="Times New Roman" w:hint="default"/>
                <w:sz w:val="21"/>
                <w:szCs w:val="21"/>
              </w:rPr>
            </w:pPr>
            <w:r>
              <w:rPr>
                <w:rFonts w:ascii="Times New Roman"/>
                <w:sz w:val="21"/>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343,72</w:t>
            </w:r>
          </w:p>
          <w:p>
            <w:pPr>
              <w:pStyle w:val="TableParagraph"/>
              <w:spacing w:line="240" w:lineRule="auto" w:before="70"/>
              <w:ind w:left="263" w:right="0"/>
              <w:jc w:val="left"/>
              <w:rPr>
                <w:rFonts w:ascii="Times New Roman" w:hAnsi="Times New Roman" w:cs="Times New Roman" w:eastAsia="Times New Roman" w:hint="default"/>
                <w:sz w:val="21"/>
                <w:szCs w:val="21"/>
              </w:rPr>
            </w:pPr>
            <w:r>
              <w:rPr>
                <w:rFonts w:ascii="Times New Roman"/>
                <w:sz w:val="21"/>
              </w:rPr>
              <w:t>1.39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1" w:right="0"/>
              <w:jc w:val="left"/>
              <w:rPr>
                <w:rFonts w:ascii="Times New Roman" w:hAnsi="Times New Roman" w:cs="Times New Roman" w:eastAsia="Times New Roman" w:hint="default"/>
                <w:sz w:val="21"/>
                <w:szCs w:val="21"/>
              </w:rPr>
            </w:pPr>
            <w:r>
              <w:rPr>
                <w:rFonts w:ascii="Times New Roman"/>
                <w:sz w:val="21"/>
              </w:rPr>
              <w:t>-21,40</w:t>
            </w:r>
          </w:p>
          <w:p>
            <w:pPr>
              <w:pStyle w:val="TableParagraph"/>
              <w:spacing w:line="240" w:lineRule="auto" w:before="70"/>
              <w:ind w:left="108" w:right="0"/>
              <w:jc w:val="left"/>
              <w:rPr>
                <w:rFonts w:ascii="Times New Roman" w:hAnsi="Times New Roman" w:cs="Times New Roman" w:eastAsia="Times New Roman" w:hint="default"/>
                <w:sz w:val="21"/>
                <w:szCs w:val="21"/>
              </w:rPr>
            </w:pPr>
            <w:r>
              <w:rPr>
                <w:rFonts w:ascii="Times New Roman"/>
                <w:sz w:val="21"/>
              </w:rPr>
              <w:t>7,014.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3" w:right="0"/>
              <w:jc w:val="left"/>
              <w:rPr>
                <w:rFonts w:ascii="Times New Roman" w:hAnsi="Times New Roman" w:cs="Times New Roman" w:eastAsia="Times New Roman" w:hint="default"/>
                <w:sz w:val="21"/>
                <w:szCs w:val="21"/>
              </w:rPr>
            </w:pPr>
            <w:r>
              <w:rPr>
                <w:rFonts w:ascii="Times New Roman"/>
                <w:sz w:val="21"/>
              </w:rPr>
              <w:t>-814,5</w:t>
            </w:r>
          </w:p>
          <w:p>
            <w:pPr>
              <w:pStyle w:val="TableParagraph"/>
              <w:spacing w:line="240" w:lineRule="auto" w:before="70"/>
              <w:ind w:left="163" w:right="0"/>
              <w:jc w:val="left"/>
              <w:rPr>
                <w:rFonts w:ascii="Times New Roman" w:hAnsi="Times New Roman" w:cs="Times New Roman" w:eastAsia="Times New Roman" w:hint="default"/>
                <w:sz w:val="21"/>
                <w:szCs w:val="21"/>
              </w:rPr>
            </w:pPr>
            <w:r>
              <w:rPr>
                <w:rFonts w:ascii="Times New Roman"/>
                <w:sz w:val="21"/>
              </w:rPr>
              <w:t>67.95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8,972,</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172.37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 w:right="0"/>
              <w:jc w:val="left"/>
              <w:rPr>
                <w:rFonts w:ascii="Times New Roman" w:hAnsi="Times New Roman" w:cs="Times New Roman" w:eastAsia="Times New Roman" w:hint="default"/>
                <w:sz w:val="21"/>
                <w:szCs w:val="21"/>
              </w:rPr>
            </w:pPr>
            <w:r>
              <w:rPr>
                <w:rFonts w:ascii="Times New Roman"/>
                <w:sz w:val="21"/>
              </w:rPr>
              <w:t>160,17</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2,494.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-6,804,</w:t>
            </w:r>
          </w:p>
          <w:p>
            <w:pPr>
              <w:pStyle w:val="TableParagraph"/>
              <w:spacing w:line="240" w:lineRule="auto" w:before="70"/>
              <w:ind w:left="40" w:right="0"/>
              <w:jc w:val="left"/>
              <w:rPr>
                <w:rFonts w:ascii="Times New Roman" w:hAnsi="Times New Roman" w:cs="Times New Roman" w:eastAsia="Times New Roman" w:hint="default"/>
                <w:sz w:val="21"/>
                <w:szCs w:val="21"/>
              </w:rPr>
            </w:pPr>
            <w:r>
              <w:rPr>
                <w:rFonts w:ascii="Times New Roman"/>
                <w:sz w:val="21"/>
              </w:rPr>
              <w:t>175.20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 w:right="0"/>
              <w:jc w:val="left"/>
              <w:rPr>
                <w:rFonts w:ascii="Times New Roman" w:hAnsi="Times New Roman" w:cs="Times New Roman" w:eastAsia="Times New Roman" w:hint="default"/>
                <w:sz w:val="21"/>
                <w:szCs w:val="21"/>
              </w:rPr>
            </w:pPr>
            <w:r>
              <w:rPr>
                <w:rFonts w:ascii="Times New Roman"/>
                <w:sz w:val="21"/>
              </w:rPr>
              <w:t>183,23</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5,059.</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2" w:right="0"/>
              <w:jc w:val="left"/>
              <w:rPr>
                <w:rFonts w:ascii="Times New Roman" w:hAnsi="Times New Roman" w:cs="Times New Roman" w:eastAsia="Times New Roman" w:hint="default"/>
                <w:sz w:val="21"/>
                <w:szCs w:val="21"/>
              </w:rPr>
            </w:pPr>
            <w:r>
              <w:rPr>
                <w:rFonts w:ascii="Times New Roman"/>
                <w:sz w:val="21"/>
              </w:rPr>
              <w:t>35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4" w:right="0"/>
              <w:jc w:val="left"/>
              <w:rPr>
                <w:rFonts w:ascii="Times New Roman" w:hAnsi="Times New Roman" w:cs="Times New Roman" w:eastAsia="Times New Roman" w:hint="default"/>
                <w:sz w:val="21"/>
                <w:szCs w:val="21"/>
              </w:rPr>
            </w:pPr>
            <w:r>
              <w:rPr>
                <w:rFonts w:ascii="Times New Roman"/>
                <w:sz w:val="21"/>
              </w:rPr>
              <w:t>24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5" w:right="0"/>
              <w:jc w:val="left"/>
              <w:rPr>
                <w:rFonts w:ascii="Times New Roman" w:hAnsi="Times New Roman" w:cs="Times New Roman" w:eastAsia="Times New Roman" w:hint="default"/>
                <w:sz w:val="21"/>
                <w:szCs w:val="21"/>
              </w:rPr>
            </w:pPr>
            <w:r>
              <w:rPr>
                <w:rFonts w:ascii="Times New Roman"/>
                <w:sz w:val="21"/>
              </w:rPr>
              <w:t>20</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-814,5</w:t>
            </w:r>
          </w:p>
          <w:p>
            <w:pPr>
              <w:pStyle w:val="TableParagraph"/>
              <w:spacing w:line="240" w:lineRule="auto" w:before="70"/>
              <w:ind w:left="163" w:right="0"/>
              <w:jc w:val="left"/>
              <w:rPr>
                <w:rFonts w:ascii="Times New Roman" w:hAnsi="Times New Roman" w:cs="Times New Roman" w:eastAsia="Times New Roman" w:hint="default"/>
                <w:sz w:val="21"/>
                <w:szCs w:val="21"/>
              </w:rPr>
            </w:pPr>
            <w:r>
              <w:rPr>
                <w:rFonts w:ascii="Times New Roman"/>
                <w:sz w:val="21"/>
              </w:rPr>
              <w:t>67.95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196,26</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6,033.</w:t>
            </w:r>
          </w:p>
          <w:p>
            <w:pPr>
              <w:pStyle w:val="TableParagraph"/>
              <w:spacing w:line="240" w:lineRule="auto" w:before="70"/>
              <w:ind w:left="434" w:right="0"/>
              <w:jc w:val="left"/>
              <w:rPr>
                <w:rFonts w:ascii="Times New Roman" w:hAnsi="Times New Roman" w:cs="Times New Roman" w:eastAsia="Times New Roman" w:hint="default"/>
                <w:sz w:val="21"/>
                <w:szCs w:val="21"/>
              </w:rPr>
            </w:pPr>
            <w:r>
              <w:rPr>
                <w:rFonts w:ascii="Times New Roman"/>
                <w:sz w:val="21"/>
              </w:rPr>
              <w:t>25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-7,164,</w:t>
            </w:r>
          </w:p>
          <w:p>
            <w:pPr>
              <w:pStyle w:val="TableParagraph"/>
              <w:spacing w:line="240" w:lineRule="auto" w:before="70"/>
              <w:ind w:left="40" w:right="0"/>
              <w:jc w:val="left"/>
              <w:rPr>
                <w:rFonts w:ascii="Times New Roman" w:hAnsi="Times New Roman" w:cs="Times New Roman" w:eastAsia="Times New Roman" w:hint="default"/>
                <w:sz w:val="21"/>
                <w:szCs w:val="21"/>
              </w:rPr>
            </w:pPr>
            <w:r>
              <w:rPr>
                <w:rFonts w:ascii="Times New Roman"/>
                <w:sz w:val="21"/>
              </w:rPr>
              <w:t>175.20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left"/>
              <w:rPr>
                <w:rFonts w:ascii="Times New Roman" w:hAnsi="Times New Roman" w:cs="Times New Roman" w:eastAsia="Times New Roman" w:hint="default"/>
                <w:sz w:val="21"/>
                <w:szCs w:val="21"/>
              </w:rPr>
            </w:pPr>
            <w:r>
              <w:rPr>
                <w:rFonts w:ascii="Times New Roman"/>
                <w:sz w:val="21"/>
              </w:rPr>
              <w:t>188,28</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7,290.</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10</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w w:val="100"/>
                <w:sz w:val="21"/>
                <w:szCs w:val="21"/>
              </w:rPr>
              <w:t> </w:t>
            </w:r>
            <w:r>
              <w:rPr>
                <w:rFonts w:ascii="宋体" w:hAnsi="宋体" w:cs="宋体" w:eastAsia="宋体" w:hint="default"/>
                <w:sz w:val="21"/>
                <w:szCs w:val="21"/>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-41,6</w:t>
            </w:r>
          </w:p>
          <w:p>
            <w:pPr>
              <w:pStyle w:val="TableParagraph"/>
              <w:spacing w:line="240" w:lineRule="auto" w:before="70"/>
              <w:ind w:left="57" w:right="0"/>
              <w:jc w:val="left"/>
              <w:rPr>
                <w:rFonts w:ascii="Times New Roman" w:hAnsi="Times New Roman" w:cs="Times New Roman" w:eastAsia="Times New Roman" w:hint="default"/>
                <w:sz w:val="21"/>
                <w:szCs w:val="21"/>
              </w:rPr>
            </w:pPr>
            <w:r>
              <w:rPr>
                <w:rFonts w:ascii="Times New Roman"/>
                <w:sz w:val="21"/>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196,55</w:t>
            </w:r>
          </w:p>
          <w:p>
            <w:pPr>
              <w:pStyle w:val="TableParagraph"/>
              <w:spacing w:line="240" w:lineRule="auto" w:before="70"/>
              <w:ind w:left="263" w:right="0"/>
              <w:jc w:val="left"/>
              <w:rPr>
                <w:rFonts w:ascii="Times New Roman" w:hAnsi="Times New Roman" w:cs="Times New Roman" w:eastAsia="Times New Roman" w:hint="default"/>
                <w:sz w:val="21"/>
                <w:szCs w:val="21"/>
              </w:rPr>
            </w:pPr>
            <w:r>
              <w:rPr>
                <w:rFonts w:ascii="Times New Roman"/>
                <w:sz w:val="21"/>
              </w:rPr>
              <w:t>3.39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-21,40</w:t>
            </w:r>
          </w:p>
          <w:p>
            <w:pPr>
              <w:pStyle w:val="TableParagraph"/>
              <w:spacing w:line="240" w:lineRule="auto" w:before="70"/>
              <w:ind w:left="108" w:right="0"/>
              <w:jc w:val="left"/>
              <w:rPr>
                <w:rFonts w:ascii="Times New Roman" w:hAnsi="Times New Roman" w:cs="Times New Roman" w:eastAsia="Times New Roman" w:hint="default"/>
                <w:sz w:val="21"/>
                <w:szCs w:val="21"/>
              </w:rPr>
            </w:pPr>
            <w:r>
              <w:rPr>
                <w:rFonts w:ascii="Times New Roman"/>
                <w:sz w:val="21"/>
              </w:rPr>
              <w:t>7,014.</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35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360,00</w:t>
            </w:r>
          </w:p>
          <w:p>
            <w:pPr>
              <w:pStyle w:val="TableParagraph"/>
              <w:spacing w:line="240" w:lineRule="auto" w:before="70"/>
              <w:ind w:left="252" w:right="0"/>
              <w:jc w:val="lef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21,921</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,967.7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w:t>
            </w:r>
            <w:r>
              <w:rPr>
                <w:rFonts w:ascii="宋体" w:hAnsi="宋体" w:cs="宋体" w:eastAsia="宋体" w:hint="default"/>
                <w:w w:val="100"/>
                <w:sz w:val="21"/>
                <w:szCs w:val="21"/>
              </w:rPr>
              <w:t> </w:t>
            </w:r>
            <w:r>
              <w:rPr>
                <w:rFonts w:ascii="宋体" w:hAnsi="宋体" w:cs="宋体" w:eastAsia="宋体" w:hint="default"/>
                <w:sz w:val="21"/>
                <w:szCs w:val="21"/>
              </w:rPr>
              <w:t>的普通股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3" w:right="0"/>
              <w:jc w:val="left"/>
              <w:rPr>
                <w:rFonts w:ascii="Times New Roman" w:hAnsi="Times New Roman" w:cs="Times New Roman" w:eastAsia="Times New Roman" w:hint="default"/>
                <w:sz w:val="21"/>
                <w:szCs w:val="21"/>
              </w:rPr>
            </w:pPr>
            <w:r>
              <w:rPr>
                <w:rFonts w:ascii="Times New Roman"/>
                <w:sz w:val="21"/>
              </w:rPr>
              <w:t>-41,6</w:t>
            </w:r>
          </w:p>
          <w:p>
            <w:pPr>
              <w:pStyle w:val="TableParagraph"/>
              <w:spacing w:line="240" w:lineRule="auto" w:before="70"/>
              <w:ind w:left="57" w:right="0"/>
              <w:jc w:val="left"/>
              <w:rPr>
                <w:rFonts w:ascii="Times New Roman" w:hAnsi="Times New Roman" w:cs="Times New Roman" w:eastAsia="Times New Roman" w:hint="default"/>
                <w:sz w:val="21"/>
                <w:szCs w:val="21"/>
              </w:rPr>
            </w:pPr>
            <w:r>
              <w:rPr>
                <w:rFonts w:ascii="Times New Roman"/>
                <w:sz w:val="21"/>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center"/>
              <w:rPr>
                <w:rFonts w:ascii="Times New Roman" w:hAnsi="Times New Roman" w:cs="Times New Roman" w:eastAsia="Times New Roman" w:hint="default"/>
                <w:sz w:val="21"/>
                <w:szCs w:val="21"/>
              </w:rPr>
            </w:pPr>
            <w:r>
              <w:rPr>
                <w:rFonts w:ascii="Times New Roman"/>
                <w:sz w:val="21"/>
              </w:rPr>
              <w:t>-29,07</w:t>
            </w:r>
          </w:p>
          <w:p>
            <w:pPr>
              <w:pStyle w:val="TableParagraph"/>
              <w:spacing w:line="240" w:lineRule="auto" w:before="70"/>
              <w:ind w:left="244" w:right="0"/>
              <w:jc w:val="center"/>
              <w:rPr>
                <w:rFonts w:ascii="Times New Roman" w:hAnsi="Times New Roman" w:cs="Times New Roman" w:eastAsia="Times New Roman" w:hint="default"/>
                <w:sz w:val="21"/>
                <w:szCs w:val="21"/>
              </w:rPr>
            </w:pPr>
            <w:r>
              <w:rPr>
                <w:rFonts w:ascii="Times New Roman"/>
                <w:sz w:val="21"/>
              </w:rPr>
              <w:t>8.40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left"/>
              <w:rPr>
                <w:rFonts w:ascii="Times New Roman" w:hAnsi="Times New Roman" w:cs="Times New Roman" w:eastAsia="Times New Roman" w:hint="default"/>
                <w:sz w:val="21"/>
                <w:szCs w:val="21"/>
              </w:rPr>
            </w:pPr>
            <w:r>
              <w:rPr>
                <w:rFonts w:ascii="Times New Roman"/>
                <w:sz w:val="21"/>
              </w:rPr>
              <w:t>360,00</w:t>
            </w:r>
          </w:p>
          <w:p>
            <w:pPr>
              <w:pStyle w:val="TableParagraph"/>
              <w:spacing w:line="240" w:lineRule="auto" w:before="70"/>
              <w:ind w:left="252" w:right="0"/>
              <w:jc w:val="lef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left"/>
              <w:rPr>
                <w:rFonts w:ascii="Times New Roman" w:hAnsi="Times New Roman" w:cs="Times New Roman" w:eastAsia="Times New Roman" w:hint="default"/>
                <w:sz w:val="21"/>
                <w:szCs w:val="21"/>
              </w:rPr>
            </w:pPr>
            <w:r>
              <w:rPr>
                <w:rFonts w:ascii="Times New Roman"/>
                <w:sz w:val="21"/>
              </w:rPr>
              <w:t>289,32</w:t>
            </w:r>
          </w:p>
          <w:p>
            <w:pPr>
              <w:pStyle w:val="TableParagraph"/>
              <w:spacing w:line="240" w:lineRule="auto" w:before="70"/>
              <w:ind w:left="259" w:right="0"/>
              <w:jc w:val="left"/>
              <w:rPr>
                <w:rFonts w:ascii="Times New Roman" w:hAnsi="Times New Roman" w:cs="Times New Roman" w:eastAsia="Times New Roman" w:hint="default"/>
                <w:sz w:val="21"/>
                <w:szCs w:val="21"/>
              </w:rPr>
            </w:pPr>
            <w:r>
              <w:rPr>
                <w:rFonts w:ascii="Times New Roman"/>
                <w:sz w:val="21"/>
              </w:rPr>
              <w:t>1.60</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225,63</w:t>
            </w:r>
          </w:p>
          <w:p>
            <w:pPr>
              <w:pStyle w:val="TableParagraph"/>
              <w:spacing w:line="240" w:lineRule="auto" w:before="70"/>
              <w:ind w:left="263" w:right="0"/>
              <w:jc w:val="left"/>
              <w:rPr>
                <w:rFonts w:ascii="Times New Roman" w:hAnsi="Times New Roman" w:cs="Times New Roman" w:eastAsia="Times New Roman" w:hint="default"/>
                <w:sz w:val="21"/>
                <w:szCs w:val="21"/>
              </w:rPr>
            </w:pPr>
            <w:r>
              <w:rPr>
                <w:rFonts w:ascii="Times New Roman"/>
                <w:sz w:val="21"/>
              </w:rPr>
              <w:t>1.79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0"/>
              <w:jc w:val="left"/>
              <w:rPr>
                <w:rFonts w:ascii="Times New Roman" w:hAnsi="Times New Roman" w:cs="Times New Roman" w:eastAsia="Times New Roman" w:hint="default"/>
                <w:sz w:val="21"/>
                <w:szCs w:val="21"/>
              </w:rPr>
            </w:pPr>
            <w:r>
              <w:rPr>
                <w:rFonts w:ascii="Times New Roman"/>
                <w:sz w:val="21"/>
              </w:rPr>
              <w:t>-21,40</w:t>
            </w:r>
          </w:p>
          <w:p>
            <w:pPr>
              <w:pStyle w:val="TableParagraph"/>
              <w:spacing w:line="240" w:lineRule="auto" w:before="70"/>
              <w:ind w:left="108" w:right="0"/>
              <w:jc w:val="left"/>
              <w:rPr>
                <w:rFonts w:ascii="Times New Roman" w:hAnsi="Times New Roman" w:cs="Times New Roman" w:eastAsia="Times New Roman" w:hint="default"/>
                <w:sz w:val="21"/>
                <w:szCs w:val="21"/>
              </w:rPr>
            </w:pPr>
            <w:r>
              <w:rPr>
                <w:rFonts w:ascii="Times New Roman"/>
                <w:sz w:val="21"/>
              </w:rPr>
              <w:t>7,014.</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35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21,632</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,646.1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8,972,</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172.37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-36,14</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2,429.</w:t>
            </w:r>
          </w:p>
          <w:p>
            <w:pPr>
              <w:pStyle w:val="TableParagraph"/>
              <w:spacing w:line="240" w:lineRule="auto" w:before="70"/>
              <w:ind w:left="434" w:right="0"/>
              <w:jc w:val="left"/>
              <w:rPr>
                <w:rFonts w:ascii="Times New Roman" w:hAnsi="Times New Roman" w:cs="Times New Roman" w:eastAsia="Times New Roman" w:hint="default"/>
                <w:sz w:val="21"/>
                <w:szCs w:val="21"/>
              </w:rPr>
            </w:pPr>
            <w:r>
              <w:rPr>
                <w:rFonts w:ascii="Times New Roman"/>
                <w:sz w:val="21"/>
              </w:rPr>
              <w:t>13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 w:right="0"/>
              <w:jc w:val="left"/>
              <w:rPr>
                <w:rFonts w:ascii="Times New Roman" w:hAnsi="Times New Roman" w:cs="Times New Roman" w:eastAsia="Times New Roman" w:hint="default"/>
                <w:sz w:val="21"/>
                <w:szCs w:val="21"/>
              </w:rPr>
            </w:pPr>
            <w:r>
              <w:rPr>
                <w:rFonts w:ascii="Times New Roman"/>
                <w:sz w:val="21"/>
              </w:rPr>
              <w:t>-27,17</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0,256.</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76</w:t>
            </w: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8,972,</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172.37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0" w:right="0"/>
              <w:jc w:val="left"/>
              <w:rPr>
                <w:rFonts w:ascii="Times New Roman" w:hAnsi="Times New Roman" w:cs="Times New Roman" w:eastAsia="Times New Roman" w:hint="default"/>
                <w:sz w:val="21"/>
                <w:szCs w:val="21"/>
              </w:rPr>
            </w:pPr>
            <w:r>
              <w:rPr>
                <w:rFonts w:ascii="Times New Roman"/>
                <w:sz w:val="21"/>
              </w:rPr>
              <w:t>-8,972,</w:t>
            </w:r>
          </w:p>
          <w:p>
            <w:pPr>
              <w:pStyle w:val="TableParagraph"/>
              <w:spacing w:line="240" w:lineRule="auto" w:before="70"/>
              <w:ind w:left="67" w:right="0"/>
              <w:jc w:val="left"/>
              <w:rPr>
                <w:rFonts w:ascii="Times New Roman" w:hAnsi="Times New Roman" w:cs="Times New Roman" w:eastAsia="Times New Roman" w:hint="default"/>
                <w:sz w:val="21"/>
                <w:szCs w:val="21"/>
              </w:rPr>
            </w:pPr>
            <w:r>
              <w:rPr>
                <w:rFonts w:ascii="Times New Roman"/>
                <w:sz w:val="21"/>
              </w:rPr>
              <w:t>172.37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56" w:lineRule="auto"/>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-27,17</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0,256.</w:t>
            </w:r>
          </w:p>
          <w:p>
            <w:pPr>
              <w:pStyle w:val="TableParagraph"/>
              <w:spacing w:line="240" w:lineRule="auto" w:before="70"/>
              <w:ind w:left="434" w:right="0"/>
              <w:jc w:val="left"/>
              <w:rPr>
                <w:rFonts w:ascii="Times New Roman" w:hAnsi="Times New Roman" w:cs="Times New Roman" w:eastAsia="Times New Roman" w:hint="default"/>
                <w:sz w:val="21"/>
                <w:szCs w:val="21"/>
              </w:rPr>
            </w:pPr>
            <w:r>
              <w:rPr>
                <w:rFonts w:ascii="Times New Roman"/>
                <w:sz w:val="21"/>
              </w:rPr>
              <w:t>76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 w:right="0"/>
              <w:jc w:val="left"/>
              <w:rPr>
                <w:rFonts w:ascii="Times New Roman" w:hAnsi="Times New Roman" w:cs="Times New Roman" w:eastAsia="Times New Roman" w:hint="default"/>
                <w:sz w:val="21"/>
                <w:szCs w:val="21"/>
              </w:rPr>
            </w:pPr>
            <w:r>
              <w:rPr>
                <w:rFonts w:ascii="Times New Roman"/>
                <w:sz w:val="21"/>
              </w:rPr>
              <w:t>-27,17</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0,256.</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76</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23"/>
              <w:jc w:val="left"/>
              <w:rPr>
                <w:rFonts w:ascii="宋体" w:hAnsi="宋体" w:cs="宋体" w:eastAsia="宋体" w:hint="default"/>
                <w:sz w:val="21"/>
                <w:szCs w:val="21"/>
              </w:rPr>
            </w:pPr>
            <w:r>
              <w:rPr>
                <w:rFonts w:ascii="Times New Roman" w:hAnsi="Times New Roman" w:cs="Times New Roman" w:eastAsia="Times New Roman" w:hint="default"/>
                <w:spacing w:val="-26"/>
                <w:w w:val="100"/>
                <w:sz w:val="21"/>
                <w:szCs w:val="21"/>
              </w:rPr>
              <w:t>3</w:t>
            </w:r>
            <w:r>
              <w:rPr>
                <w:rFonts w:ascii="宋体" w:hAnsi="宋体" w:cs="宋体" w:eastAsia="宋体" w:hint="default"/>
                <w:spacing w:val="-26"/>
                <w:w w:val="100"/>
                <w:sz w:val="21"/>
                <w:szCs w:val="21"/>
              </w:rPr>
              <w:t>．对所有者（或</w:t>
            </w:r>
            <w:r>
              <w:rPr>
                <w:rFonts w:ascii="宋体" w:hAnsi="宋体" w:cs="宋体" w:eastAsia="宋体" w:hint="default"/>
                <w:spacing w:val="-3"/>
                <w:w w:val="100"/>
                <w:sz w:val="21"/>
                <w:szCs w:val="21"/>
              </w:rPr>
              <w:t> </w:t>
            </w: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w w:val="100"/>
                <w:sz w:val="21"/>
                <w:szCs w:val="21"/>
              </w:rPr>
              <w:t> </w:t>
            </w: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．设定受益计</w:t>
            </w:r>
            <w:r>
              <w:rPr>
                <w:rFonts w:ascii="宋体" w:hAnsi="宋体" w:cs="宋体" w:eastAsia="宋体" w:hint="default"/>
                <w:w w:val="100"/>
                <w:sz w:val="21"/>
                <w:szCs w:val="21"/>
              </w:rPr>
              <w:t> </w:t>
            </w:r>
            <w:r>
              <w:rPr>
                <w:rFonts w:ascii="宋体" w:hAnsi="宋体" w:cs="宋体" w:eastAsia="宋体" w:hint="default"/>
                <w:sz w:val="21"/>
                <w:szCs w:val="21"/>
              </w:rPr>
              <w:t>划变动额结转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147,16</w:t>
            </w:r>
          </w:p>
          <w:p>
            <w:pPr>
              <w:pStyle w:val="TableParagraph"/>
              <w:spacing w:line="240" w:lineRule="auto" w:before="70"/>
              <w:ind w:left="263" w:right="0"/>
              <w:jc w:val="left"/>
              <w:rPr>
                <w:rFonts w:ascii="Times New Roman" w:hAnsi="Times New Roman" w:cs="Times New Roman" w:eastAsia="Times New Roman" w:hint="default"/>
                <w:sz w:val="21"/>
                <w:szCs w:val="21"/>
              </w:rPr>
            </w:pPr>
            <w:r>
              <w:rPr>
                <w:rFonts w:ascii="Times New Roman"/>
                <w:sz w:val="21"/>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48,890</w:t>
            </w:r>
          </w:p>
          <w:p>
            <w:pPr>
              <w:pStyle w:val="TableParagraph"/>
              <w:spacing w:line="240" w:lineRule="auto" w:before="70"/>
              <w:ind w:left="383" w:right="0"/>
              <w:jc w:val="left"/>
              <w:rPr>
                <w:rFonts w:ascii="Times New Roman" w:hAnsi="Times New Roman" w:cs="Times New Roman" w:eastAsia="Times New Roman" w:hint="default"/>
                <w:sz w:val="21"/>
                <w:szCs w:val="21"/>
              </w:rPr>
            </w:pPr>
            <w:r>
              <w:rPr>
                <w:rFonts w:ascii="Times New Roman"/>
                <w:sz w:val="21"/>
              </w:rPr>
              <w:t>.12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left"/>
              <w:rPr>
                <w:rFonts w:ascii="Times New Roman" w:hAnsi="Times New Roman" w:cs="Times New Roman" w:eastAsia="Times New Roman" w:hint="default"/>
                <w:sz w:val="21"/>
                <w:szCs w:val="21"/>
              </w:rPr>
            </w:pPr>
            <w:r>
              <w:rPr>
                <w:rFonts w:ascii="Times New Roman"/>
                <w:sz w:val="21"/>
              </w:rPr>
              <w:t>196,05</w:t>
            </w:r>
          </w:p>
          <w:p>
            <w:pPr>
              <w:pStyle w:val="TableParagraph"/>
              <w:spacing w:line="240" w:lineRule="auto" w:before="70"/>
              <w:ind w:left="259" w:right="0"/>
              <w:jc w:val="left"/>
              <w:rPr>
                <w:rFonts w:ascii="Times New Roman" w:hAnsi="Times New Roman" w:cs="Times New Roman" w:eastAsia="Times New Roman" w:hint="default"/>
                <w:sz w:val="21"/>
                <w:szCs w:val="21"/>
              </w:rPr>
            </w:pPr>
            <w:r>
              <w:rPr>
                <w:rFonts w:ascii="Times New Roman"/>
                <w:sz w:val="21"/>
              </w:rPr>
              <w:t>8.12</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38"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144" w:right="0"/>
              <w:jc w:val="center"/>
              <w:rPr>
                <w:rFonts w:ascii="Times New Roman" w:hAnsi="Times New Roman" w:cs="Times New Roman" w:eastAsia="Times New Roman" w:hint="default"/>
                <w:sz w:val="21"/>
                <w:szCs w:val="21"/>
              </w:rPr>
            </w:pPr>
            <w:r>
              <w:rPr>
                <w:rFonts w:ascii="Times New Roman"/>
                <w:sz w:val="21"/>
              </w:rPr>
              <w:t>7.00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829,79</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6,508.</w:t>
            </w:r>
          </w:p>
          <w:p>
            <w:pPr>
              <w:pStyle w:val="TableParagraph"/>
              <w:spacing w:line="240" w:lineRule="auto" w:before="70"/>
              <w:ind w:left="419"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486,00</w:t>
            </w:r>
          </w:p>
          <w:p>
            <w:pPr>
              <w:pStyle w:val="TableParagraph"/>
              <w:spacing w:line="240" w:lineRule="auto" w:before="70"/>
              <w:ind w:left="266" w:right="0"/>
              <w:jc w:val="left"/>
              <w:rPr>
                <w:rFonts w:ascii="Times New Roman" w:hAnsi="Times New Roman" w:cs="Times New Roman" w:eastAsia="Times New Roman" w:hint="default"/>
                <w:sz w:val="21"/>
                <w:szCs w:val="21"/>
              </w:rPr>
            </w:pPr>
            <w:r>
              <w:rPr>
                <w:rFonts w:ascii="Times New Roman"/>
                <w:sz w:val="21"/>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-4,768,</w:t>
            </w:r>
          </w:p>
          <w:p>
            <w:pPr>
              <w:pStyle w:val="TableParagraph"/>
              <w:spacing w:line="240" w:lineRule="auto" w:before="70"/>
              <w:ind w:left="57" w:right="0"/>
              <w:jc w:val="left"/>
              <w:rPr>
                <w:rFonts w:ascii="Times New Roman" w:hAnsi="Times New Roman" w:cs="Times New Roman" w:eastAsia="Times New Roman" w:hint="default"/>
                <w:sz w:val="21"/>
                <w:szCs w:val="21"/>
              </w:rPr>
            </w:pPr>
            <w:r>
              <w:rPr>
                <w:rFonts w:ascii="Times New Roman"/>
                <w:sz w:val="21"/>
              </w:rPr>
              <w:t>686.55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43,790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,317.5</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488,02</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4,661.</w:t>
            </w:r>
          </w:p>
          <w:p>
            <w:pPr>
              <w:pStyle w:val="TableParagraph"/>
              <w:spacing w:line="240" w:lineRule="auto" w:before="70"/>
              <w:ind w:left="434" w:right="0"/>
              <w:jc w:val="left"/>
              <w:rPr>
                <w:rFonts w:ascii="Times New Roman" w:hAnsi="Times New Roman" w:cs="Times New Roman" w:eastAsia="Times New Roman" w:hint="default"/>
                <w:sz w:val="21"/>
                <w:szCs w:val="21"/>
              </w:rPr>
            </w:pPr>
            <w:r>
              <w:rPr>
                <w:rFonts w:ascii="Times New Roman"/>
                <w:sz w:val="21"/>
              </w:rPr>
              <w:t>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9,477,</w:t>
            </w:r>
          </w:p>
          <w:p>
            <w:pPr>
              <w:pStyle w:val="TableParagraph"/>
              <w:spacing w:line="240" w:lineRule="auto" w:before="70"/>
              <w:ind w:left="40" w:right="0"/>
              <w:jc w:val="left"/>
              <w:rPr>
                <w:rFonts w:ascii="Times New Roman" w:hAnsi="Times New Roman" w:cs="Times New Roman" w:eastAsia="Times New Roman" w:hint="default"/>
                <w:sz w:val="21"/>
                <w:szCs w:val="21"/>
              </w:rPr>
            </w:pPr>
            <w:r>
              <w:rPr>
                <w:rFonts w:ascii="Times New Roman"/>
                <w:sz w:val="21"/>
              </w:rPr>
              <w:t>870.55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1" w:right="0"/>
              <w:jc w:val="center"/>
              <w:rPr>
                <w:rFonts w:ascii="Times New Roman" w:hAnsi="Times New Roman" w:cs="Times New Roman" w:eastAsia="Times New Roman" w:hint="default"/>
                <w:sz w:val="21"/>
                <w:szCs w:val="21"/>
              </w:rPr>
            </w:pPr>
            <w:r>
              <w:rPr>
                <w:rFonts w:ascii="Times New Roman"/>
                <w:sz w:val="21"/>
              </w:rPr>
              <w:t>1,815,</w:t>
            </w:r>
          </w:p>
          <w:p>
            <w:pPr>
              <w:pStyle w:val="TableParagraph"/>
              <w:spacing w:line="240" w:lineRule="auto" w:before="70"/>
              <w:ind w:left="48" w:right="0"/>
              <w:jc w:val="left"/>
              <w:rPr>
                <w:rFonts w:ascii="Times New Roman" w:hAnsi="Times New Roman" w:cs="Times New Roman" w:eastAsia="Times New Roman" w:hint="default"/>
                <w:sz w:val="21"/>
                <w:szCs w:val="21"/>
              </w:rPr>
            </w:pPr>
            <w:r>
              <w:rPr>
                <w:rFonts w:ascii="Times New Roman"/>
                <w:sz w:val="21"/>
              </w:rPr>
              <w:t>372,03</w:t>
            </w:r>
          </w:p>
          <w:p>
            <w:pPr>
              <w:pStyle w:val="TableParagraph"/>
              <w:spacing w:line="240" w:lineRule="auto" w:before="70"/>
              <w:ind w:left="240" w:right="0"/>
              <w:jc w:val="center"/>
              <w:rPr>
                <w:rFonts w:ascii="Times New Roman" w:hAnsi="Times New Roman" w:cs="Times New Roman" w:eastAsia="Times New Roman" w:hint="default"/>
                <w:sz w:val="21"/>
                <w:szCs w:val="21"/>
              </w:rPr>
            </w:pPr>
            <w:r>
              <w:rPr>
                <w:rFonts w:ascii="Times New Roman"/>
                <w:sz w:val="21"/>
              </w:rPr>
              <w:t>7.99</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27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26"/>
        <w:ind w:right="1273"/>
        <w:jc w:val="left"/>
      </w:pPr>
      <w:r>
        <w:rPr/>
        <w:t>本期金额</w:t>
      </w:r>
    </w:p>
    <w:p>
      <w:pPr>
        <w:pStyle w:val="BodyText"/>
        <w:spacing w:line="240" w:lineRule="auto"/>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418"/>
        <w:gridCol w:w="701"/>
        <w:gridCol w:w="665"/>
        <w:gridCol w:w="667"/>
        <w:gridCol w:w="665"/>
        <w:gridCol w:w="797"/>
        <w:gridCol w:w="797"/>
        <w:gridCol w:w="797"/>
        <w:gridCol w:w="800"/>
        <w:gridCol w:w="797"/>
        <w:gridCol w:w="677"/>
        <w:gridCol w:w="780"/>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18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1" w:type="dxa"/>
            <w:vMerge w:val="restart"/>
            <w:tcBorders>
              <w:top w:val="single" w:sz="5" w:space="0" w:color="FFFFFF"/>
              <w:left w:val="single" w:sz="4" w:space="0" w:color="000000"/>
              <w:right w:val="single" w:sz="4" w:space="0" w:color="000000"/>
            </w:tcBorders>
            <w:shd w:val="clear" w:color="auto" w:fill="D2D2D2"/>
          </w:tcPr>
          <w:p>
            <w:pPr/>
          </w:p>
        </w:tc>
        <w:tc>
          <w:tcPr>
            <w:tcW w:w="1997" w:type="dxa"/>
            <w:gridSpan w:val="3"/>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28"/>
              <w:ind w:left="36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tcBorders>
              <w:top w:val="single" w:sz="5" w:space="0" w:color="FFFFFF"/>
              <w:left w:val="single" w:sz="4" w:space="0" w:color="000000"/>
              <w:bottom w:val="nil" w:sz="6" w:space="0" w:color="auto"/>
              <w:right w:val="single" w:sz="4" w:space="0" w:color="000000"/>
            </w:tcBorders>
            <w:shd w:val="clear" w:color="auto" w:fill="D2D2D2"/>
          </w:tcPr>
          <w:p>
            <w:pPr/>
          </w:p>
        </w:tc>
        <w:tc>
          <w:tcPr>
            <w:tcW w:w="797" w:type="dxa"/>
            <w:tcBorders>
              <w:top w:val="single" w:sz="5" w:space="0" w:color="FFFFFF"/>
              <w:left w:val="single" w:sz="4" w:space="0" w:color="000000"/>
              <w:bottom w:val="nil" w:sz="6" w:space="0" w:color="auto"/>
              <w:right w:val="single" w:sz="4" w:space="0" w:color="000000"/>
            </w:tcBorders>
            <w:shd w:val="clear" w:color="auto" w:fill="D2D2D2"/>
          </w:tcPr>
          <w:p>
            <w:pPr/>
          </w:p>
        </w:tc>
        <w:tc>
          <w:tcPr>
            <w:tcW w:w="797" w:type="dxa"/>
            <w:tcBorders>
              <w:top w:val="single" w:sz="5" w:space="0" w:color="FFFFFF"/>
              <w:left w:val="single" w:sz="4" w:space="0" w:color="000000"/>
              <w:bottom w:val="nil" w:sz="6" w:space="0" w:color="auto"/>
              <w:right w:val="single" w:sz="4" w:space="0" w:color="000000"/>
            </w:tcBorders>
            <w:shd w:val="clear" w:color="auto" w:fill="D2D2D2"/>
          </w:tcPr>
          <w:p>
            <w:pPr/>
          </w:p>
        </w:tc>
        <w:tc>
          <w:tcPr>
            <w:tcW w:w="800" w:type="dxa"/>
            <w:tcBorders>
              <w:top w:val="single" w:sz="5" w:space="0" w:color="FFFFFF"/>
              <w:left w:val="single" w:sz="4" w:space="0" w:color="000000"/>
              <w:bottom w:val="nil" w:sz="6" w:space="0" w:color="auto"/>
              <w:right w:val="single" w:sz="4" w:space="0" w:color="000000"/>
            </w:tcBorders>
            <w:shd w:val="clear" w:color="auto" w:fill="D2D2D2"/>
          </w:tcPr>
          <w:p>
            <w:pPr/>
          </w:p>
        </w:tc>
        <w:tc>
          <w:tcPr>
            <w:tcW w:w="797" w:type="dxa"/>
            <w:tcBorders>
              <w:top w:val="single" w:sz="5" w:space="0" w:color="FFFFFF"/>
              <w:left w:val="single" w:sz="4" w:space="0" w:color="000000"/>
              <w:bottom w:val="nil" w:sz="6" w:space="0" w:color="auto"/>
              <w:right w:val="single" w:sz="4" w:space="0" w:color="000000"/>
            </w:tcBorders>
            <w:shd w:val="clear" w:color="auto" w:fill="D2D2D2"/>
          </w:tcPr>
          <w:p>
            <w:pPr/>
          </w:p>
        </w:tc>
        <w:tc>
          <w:tcPr>
            <w:tcW w:w="677" w:type="dxa"/>
            <w:vMerge w:val="restart"/>
            <w:tcBorders>
              <w:top w:val="single" w:sz="5" w:space="0" w:color="FFFFFF"/>
              <w:left w:val="single" w:sz="4" w:space="0" w:color="000000"/>
              <w:right w:val="single" w:sz="4" w:space="0" w:color="000000"/>
            </w:tcBorders>
            <w:shd w:val="clear" w:color="auto" w:fill="D2D2D2"/>
          </w:tcPr>
          <w:p>
            <w:pPr>
              <w:pStyle w:val="TableParagraph"/>
              <w:spacing w:line="273" w:lineRule="auto" w:before="71"/>
              <w:ind w:left="122" w:right="120"/>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80" w:type="dxa"/>
            <w:vMerge w:val="restart"/>
            <w:tcBorders>
              <w:top w:val="single" w:sz="5" w:space="0" w:color="FFFFFF"/>
              <w:left w:val="single" w:sz="4" w:space="0" w:color="000000"/>
              <w:right w:val="single" w:sz="4" w:space="0" w:color="000000"/>
            </w:tcBorders>
            <w:shd w:val="clear" w:color="auto" w:fill="D2D2D2"/>
          </w:tcPr>
          <w:p>
            <w:pPr>
              <w:pStyle w:val="TableParagraph"/>
              <w:spacing w:line="273" w:lineRule="auto" w:before="71"/>
              <w:ind w:left="69" w:right="65"/>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214"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01" w:type="dxa"/>
            <w:vMerge/>
            <w:tcBorders>
              <w:left w:val="single" w:sz="4" w:space="0" w:color="000000"/>
              <w:bottom w:val="nil" w:sz="6" w:space="0" w:color="auto"/>
              <w:right w:val="single" w:sz="4" w:space="0" w:color="000000"/>
            </w:tcBorders>
            <w:shd w:val="clear" w:color="auto" w:fill="D2D2D2"/>
          </w:tcPr>
          <w:p>
            <w:pP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8" w:right="72" w:hanging="210"/>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7" w:right="17" w:hanging="264"/>
              <w:jc w:val="left"/>
              <w:rPr>
                <w:rFonts w:ascii="宋体" w:hAnsi="宋体" w:cs="宋体" w:eastAsia="宋体" w:hint="default"/>
                <w:sz w:val="21"/>
                <w:szCs w:val="21"/>
              </w:rPr>
            </w:pPr>
            <w:r>
              <w:rPr>
                <w:rFonts w:ascii="宋体" w:hAnsi="宋体" w:cs="宋体" w:eastAsia="宋体" w:hint="default"/>
                <w:spacing w:val="-26"/>
                <w:w w:val="100"/>
                <w:sz w:val="21"/>
                <w:szCs w:val="21"/>
              </w:rPr>
              <w:t>减：库存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79" w:right="72"/>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8" w:right="74"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7" w:right="72"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67" w:lineRule="exact"/>
              <w:ind w:left="14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23" w:right="113"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25" w:right="113"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7"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418" w:type="dxa"/>
            <w:vMerge/>
            <w:tcBorders>
              <w:left w:val="single" w:sz="4" w:space="0" w:color="000000"/>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10" w:space="0" w:color="D2D2D2"/>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449,53</w:t>
            </w:r>
          </w:p>
          <w:p>
            <w:pPr>
              <w:pStyle w:val="TableParagraph"/>
              <w:spacing w:line="240" w:lineRule="auto" w:before="68"/>
              <w:ind w:right="14"/>
              <w:jc w:val="right"/>
              <w:rPr>
                <w:rFonts w:ascii="Times New Roman" w:hAnsi="Times New Roman" w:cs="Times New Roman" w:eastAsia="Times New Roman" w:hint="default"/>
                <w:sz w:val="21"/>
                <w:szCs w:val="21"/>
              </w:rPr>
            </w:pPr>
            <w:r>
              <w:rPr>
                <w:rFonts w:ascii="Times New Roman"/>
                <w:sz w:val="21"/>
              </w:rPr>
              <w:t>7,367.0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837,155,</w:t>
            </w:r>
          </w:p>
          <w:p>
            <w:pPr>
              <w:pStyle w:val="TableParagraph"/>
              <w:spacing w:line="240" w:lineRule="auto" w:before="68"/>
              <w:ind w:left="167" w:right="0"/>
              <w:jc w:val="center"/>
              <w:rPr>
                <w:rFonts w:ascii="Times New Roman" w:hAnsi="Times New Roman" w:cs="Times New Roman" w:eastAsia="Times New Roman" w:hint="default"/>
                <w:sz w:val="21"/>
                <w:szCs w:val="21"/>
              </w:rPr>
            </w:pPr>
            <w:r>
              <w:rPr>
                <w:rFonts w:ascii="Times New Roman"/>
                <w:sz w:val="21"/>
              </w:rPr>
              <w:t>866.41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486,000.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00</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43,790,3</w:t>
            </w:r>
          </w:p>
          <w:p>
            <w:pPr>
              <w:pStyle w:val="TableParagraph"/>
              <w:spacing w:line="240" w:lineRule="auto" w:before="68"/>
              <w:ind w:left="292" w:right="0"/>
              <w:jc w:val="left"/>
              <w:rPr>
                <w:rFonts w:ascii="Times New Roman" w:hAnsi="Times New Roman" w:cs="Times New Roman" w:eastAsia="Times New Roman" w:hint="default"/>
                <w:sz w:val="21"/>
                <w:szCs w:val="21"/>
              </w:rPr>
            </w:pPr>
            <w:r>
              <w:rPr>
                <w:rFonts w:ascii="Times New Roman"/>
                <w:sz w:val="21"/>
              </w:rPr>
              <w:t>17.54</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21"/>
                <w:szCs w:val="21"/>
              </w:rPr>
            </w:pPr>
            <w:r>
              <w:rPr>
                <w:rFonts w:ascii="Times New Roman"/>
                <w:sz w:val="21"/>
              </w:rPr>
              <w:t>293,06</w:t>
            </w:r>
          </w:p>
          <w:p>
            <w:pPr>
              <w:pStyle w:val="TableParagraph"/>
              <w:spacing w:line="240" w:lineRule="auto" w:before="68"/>
              <w:ind w:left="117" w:right="0"/>
              <w:jc w:val="left"/>
              <w:rPr>
                <w:rFonts w:ascii="Times New Roman" w:hAnsi="Times New Roman" w:cs="Times New Roman" w:eastAsia="Times New Roman" w:hint="default"/>
                <w:sz w:val="21"/>
                <w:szCs w:val="21"/>
              </w:rPr>
            </w:pPr>
            <w:r>
              <w:rPr>
                <w:rFonts w:ascii="Times New Roman"/>
                <w:sz w:val="21"/>
              </w:rPr>
              <w:t>3,731.</w:t>
            </w:r>
          </w:p>
          <w:p>
            <w:pPr>
              <w:pStyle w:val="TableParagraph"/>
              <w:spacing w:line="240" w:lineRule="auto" w:before="70"/>
              <w:ind w:left="431" w:right="0"/>
              <w:jc w:val="left"/>
              <w:rPr>
                <w:rFonts w:ascii="Times New Roman" w:hAnsi="Times New Roman" w:cs="Times New Roman" w:eastAsia="Times New Roman" w:hint="default"/>
                <w:sz w:val="21"/>
                <w:szCs w:val="21"/>
              </w:rPr>
            </w:pPr>
            <w:r>
              <w:rPr>
                <w:rFonts w:ascii="Times New Roman"/>
                <w:sz w:val="21"/>
              </w:rPr>
              <w:t>31</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z w:val="21"/>
              </w:rPr>
              <w:t>1,623,0</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61,282.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26</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70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firstLine="422"/>
              <w:jc w:val="left"/>
              <w:rPr>
                <w:rFonts w:ascii="宋体" w:hAnsi="宋体" w:cs="宋体" w:eastAsia="宋体" w:hint="default"/>
                <w:sz w:val="21"/>
                <w:szCs w:val="21"/>
              </w:rPr>
            </w:pPr>
            <w:r>
              <w:rPr>
                <w:rFonts w:ascii="宋体" w:hAnsi="宋体" w:cs="宋体" w:eastAsia="宋体" w:hint="default"/>
                <w:spacing w:val="-19"/>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34" w:firstLine="842"/>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pacing w:val="-3"/>
                <w:w w:val="100"/>
                <w:sz w:val="21"/>
                <w:szCs w:val="21"/>
              </w:rPr>
              <w:t> </w:t>
            </w:r>
            <w:r>
              <w:rPr>
                <w:rFonts w:ascii="宋体" w:hAnsi="宋体" w:cs="宋体" w:eastAsia="宋体" w:hint="default"/>
                <w:sz w:val="21"/>
                <w:szCs w:val="21"/>
              </w:rPr>
              <w:t>差错更正</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10" w:space="0" w:color="D2D2D2"/>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449,53</w:t>
            </w:r>
          </w:p>
          <w:p>
            <w:pPr>
              <w:pStyle w:val="TableParagraph"/>
              <w:spacing w:line="240" w:lineRule="auto" w:before="68"/>
              <w:ind w:right="14"/>
              <w:jc w:val="right"/>
              <w:rPr>
                <w:rFonts w:ascii="Times New Roman" w:hAnsi="Times New Roman" w:cs="Times New Roman" w:eastAsia="Times New Roman" w:hint="default"/>
                <w:sz w:val="21"/>
                <w:szCs w:val="21"/>
              </w:rPr>
            </w:pPr>
            <w:r>
              <w:rPr>
                <w:rFonts w:ascii="Times New Roman"/>
                <w:sz w:val="21"/>
              </w:rPr>
              <w:t>7,367.0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837,155,</w:t>
            </w:r>
          </w:p>
          <w:p>
            <w:pPr>
              <w:pStyle w:val="TableParagraph"/>
              <w:spacing w:line="240" w:lineRule="auto" w:before="68"/>
              <w:ind w:left="167" w:right="0"/>
              <w:jc w:val="center"/>
              <w:rPr>
                <w:rFonts w:ascii="Times New Roman" w:hAnsi="Times New Roman" w:cs="Times New Roman" w:eastAsia="Times New Roman" w:hint="default"/>
                <w:sz w:val="21"/>
                <w:szCs w:val="21"/>
              </w:rPr>
            </w:pPr>
            <w:r>
              <w:rPr>
                <w:rFonts w:ascii="Times New Roman"/>
                <w:sz w:val="21"/>
              </w:rPr>
              <w:t>866.41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486,000.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00</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43,790,3</w:t>
            </w:r>
          </w:p>
          <w:p>
            <w:pPr>
              <w:pStyle w:val="TableParagraph"/>
              <w:spacing w:line="240" w:lineRule="auto" w:before="68"/>
              <w:ind w:left="292" w:right="0"/>
              <w:jc w:val="left"/>
              <w:rPr>
                <w:rFonts w:ascii="Times New Roman" w:hAnsi="Times New Roman" w:cs="Times New Roman" w:eastAsia="Times New Roman" w:hint="default"/>
                <w:sz w:val="21"/>
                <w:szCs w:val="21"/>
              </w:rPr>
            </w:pPr>
            <w:r>
              <w:rPr>
                <w:rFonts w:ascii="Times New Roman"/>
                <w:sz w:val="21"/>
              </w:rPr>
              <w:t>17.54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77"/>
              <w:ind w:left="64" w:right="0"/>
              <w:jc w:val="left"/>
              <w:rPr>
                <w:rFonts w:ascii="Times New Roman" w:hAnsi="Times New Roman" w:cs="Times New Roman" w:eastAsia="Times New Roman" w:hint="default"/>
                <w:sz w:val="21"/>
                <w:szCs w:val="21"/>
              </w:rPr>
            </w:pPr>
            <w:r>
              <w:rPr>
                <w:rFonts w:ascii="Times New Roman"/>
                <w:sz w:val="21"/>
              </w:rPr>
              <w:t>293,06</w:t>
            </w:r>
          </w:p>
          <w:p>
            <w:pPr>
              <w:pStyle w:val="TableParagraph"/>
              <w:spacing w:line="240" w:lineRule="auto" w:before="68"/>
              <w:ind w:left="117" w:right="0"/>
              <w:jc w:val="left"/>
              <w:rPr>
                <w:rFonts w:ascii="Times New Roman" w:hAnsi="Times New Roman" w:cs="Times New Roman" w:eastAsia="Times New Roman" w:hint="default"/>
                <w:sz w:val="21"/>
                <w:szCs w:val="21"/>
              </w:rPr>
            </w:pPr>
            <w:r>
              <w:rPr>
                <w:rFonts w:ascii="Times New Roman"/>
                <w:sz w:val="21"/>
              </w:rPr>
              <w:t>3,731.</w:t>
            </w:r>
          </w:p>
          <w:p>
            <w:pPr>
              <w:pStyle w:val="TableParagraph"/>
              <w:spacing w:line="240" w:lineRule="auto" w:before="70"/>
              <w:ind w:left="431" w:right="0"/>
              <w:jc w:val="left"/>
              <w:rPr>
                <w:rFonts w:ascii="Times New Roman" w:hAnsi="Times New Roman" w:cs="Times New Roman" w:eastAsia="Times New Roman" w:hint="default"/>
                <w:sz w:val="21"/>
                <w:szCs w:val="21"/>
              </w:rPr>
            </w:pPr>
            <w:r>
              <w:rPr>
                <w:rFonts w:ascii="Times New Roman"/>
                <w:sz w:val="21"/>
              </w:rPr>
              <w:t>31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1,623,0</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61,282.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26</w:t>
            </w:r>
          </w:p>
        </w:tc>
      </w:tr>
      <w:tr>
        <w:trPr>
          <w:trHeight w:val="70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70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7"/>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18,228.2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-486,00</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3,813,71</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3.07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-5,235,</w:t>
            </w:r>
          </w:p>
          <w:p>
            <w:pPr>
              <w:pStyle w:val="TableParagraph"/>
              <w:spacing w:line="240" w:lineRule="auto" w:before="70"/>
              <w:ind w:left="64" w:right="0"/>
              <w:jc w:val="left"/>
              <w:rPr>
                <w:rFonts w:ascii="Times New Roman" w:hAnsi="Times New Roman" w:cs="Times New Roman" w:eastAsia="Times New Roman" w:hint="default"/>
                <w:sz w:val="21"/>
                <w:szCs w:val="21"/>
              </w:rPr>
            </w:pPr>
            <w:r>
              <w:rPr>
                <w:rFonts w:ascii="Times New Roman"/>
                <w:sz w:val="21"/>
              </w:rPr>
              <w:t>870.71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-917,92</w:t>
            </w:r>
          </w:p>
          <w:p>
            <w:pPr>
              <w:pStyle w:val="TableParagraph"/>
              <w:spacing w:line="240" w:lineRule="auto" w:before="70"/>
              <w:ind w:left="381" w:right="0"/>
              <w:jc w:val="left"/>
              <w:rPr>
                <w:rFonts w:ascii="Times New Roman" w:hAnsi="Times New Roman" w:cs="Times New Roman" w:eastAsia="Times New Roman" w:hint="default"/>
                <w:sz w:val="21"/>
                <w:szCs w:val="21"/>
              </w:rPr>
            </w:pPr>
            <w:r>
              <w:rPr>
                <w:rFonts w:ascii="Times New Roman"/>
                <w:sz w:val="21"/>
              </w:rPr>
              <w:t>9.35</w:t>
            </w: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38,137</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,130.6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38,137,</w:t>
            </w:r>
          </w:p>
          <w:p>
            <w:pPr>
              <w:pStyle w:val="TableParagraph"/>
              <w:spacing w:line="240" w:lineRule="auto" w:before="68"/>
              <w:ind w:left="170" w:right="0"/>
              <w:jc w:val="left"/>
              <w:rPr>
                <w:rFonts w:ascii="Times New Roman" w:hAnsi="Times New Roman" w:cs="Times New Roman" w:eastAsia="Times New Roman" w:hint="default"/>
                <w:sz w:val="21"/>
                <w:szCs w:val="21"/>
              </w:rPr>
            </w:pPr>
            <w:r>
              <w:rPr>
                <w:rFonts w:ascii="Times New Roman"/>
                <w:sz w:val="21"/>
              </w:rPr>
              <w:t>130.66</w:t>
            </w:r>
          </w:p>
        </w:tc>
      </w:tr>
      <w:tr>
        <w:trPr>
          <w:trHeight w:val="70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总额</w:t>
            </w:r>
          </w:p>
        </w:tc>
        <w:tc>
          <w:tcPr>
            <w:tcW w:w="70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入和减少资本</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18,228.2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7" w:right="0"/>
              <w:jc w:val="left"/>
              <w:rPr>
                <w:rFonts w:ascii="Times New Roman" w:hAnsi="Times New Roman" w:cs="Times New Roman" w:eastAsia="Times New Roman" w:hint="default"/>
                <w:sz w:val="21"/>
                <w:szCs w:val="21"/>
              </w:rPr>
            </w:pPr>
            <w:r>
              <w:rPr>
                <w:rFonts w:ascii="Times New Roman"/>
                <w:sz w:val="21"/>
              </w:rPr>
              <w:t>-486,00</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504,228</w:t>
            </w:r>
          </w:p>
          <w:p>
            <w:pPr>
              <w:pStyle w:val="TableParagraph"/>
              <w:spacing w:line="240" w:lineRule="auto" w:before="70"/>
              <w:ind w:left="487" w:right="0"/>
              <w:jc w:val="left"/>
              <w:rPr>
                <w:rFonts w:ascii="Times New Roman" w:hAnsi="Times New Roman" w:cs="Times New Roman" w:eastAsia="Times New Roman" w:hint="default"/>
                <w:sz w:val="21"/>
                <w:szCs w:val="21"/>
              </w:rPr>
            </w:pPr>
            <w:r>
              <w:rPr>
                <w:rFonts w:ascii="Times New Roman"/>
                <w:sz w:val="21"/>
              </w:rPr>
              <w:t>.29</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18,228.2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-486,00</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504,228</w:t>
            </w:r>
          </w:p>
          <w:p>
            <w:pPr>
              <w:pStyle w:val="TableParagraph"/>
              <w:spacing w:line="240" w:lineRule="auto" w:before="70"/>
              <w:ind w:left="487" w:right="0"/>
              <w:jc w:val="left"/>
              <w:rPr>
                <w:rFonts w:ascii="Times New Roman" w:hAnsi="Times New Roman" w:cs="Times New Roman" w:eastAsia="Times New Roman" w:hint="default"/>
                <w:sz w:val="21"/>
                <w:szCs w:val="21"/>
              </w:rPr>
            </w:pPr>
            <w:r>
              <w:rPr>
                <w:rFonts w:ascii="Times New Roman"/>
                <w:sz w:val="21"/>
              </w:rPr>
              <w:t>.29</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3,813,71</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3.07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-43,37</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3,001.</w:t>
            </w:r>
          </w:p>
          <w:p>
            <w:pPr>
              <w:pStyle w:val="TableParagraph"/>
              <w:spacing w:line="240" w:lineRule="auto" w:before="70"/>
              <w:ind w:left="431" w:right="0"/>
              <w:jc w:val="left"/>
              <w:rPr>
                <w:rFonts w:ascii="Times New Roman" w:hAnsi="Times New Roman" w:cs="Times New Roman" w:eastAsia="Times New Roman" w:hint="default"/>
                <w:sz w:val="21"/>
                <w:szCs w:val="21"/>
              </w:rPr>
            </w:pPr>
            <w:r>
              <w:rPr>
                <w:rFonts w:ascii="Times New Roman"/>
                <w:sz w:val="21"/>
              </w:rPr>
              <w:t>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-39,559,</w:t>
            </w:r>
          </w:p>
          <w:p>
            <w:pPr>
              <w:pStyle w:val="TableParagraph"/>
              <w:spacing w:line="240" w:lineRule="auto" w:before="70"/>
              <w:ind w:left="151" w:right="0"/>
              <w:jc w:val="center"/>
              <w:rPr>
                <w:rFonts w:ascii="Times New Roman" w:hAnsi="Times New Roman" w:cs="Times New Roman" w:eastAsia="Times New Roman" w:hint="default"/>
                <w:sz w:val="21"/>
                <w:szCs w:val="21"/>
              </w:rPr>
            </w:pPr>
            <w:r>
              <w:rPr>
                <w:rFonts w:ascii="Times New Roman"/>
                <w:sz w:val="21"/>
              </w:rPr>
              <w:t>288.30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3,813,71</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3.07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70"/>
              <w:ind w:left="64" w:right="0"/>
              <w:jc w:val="left"/>
              <w:rPr>
                <w:rFonts w:ascii="Times New Roman" w:hAnsi="Times New Roman" w:cs="Times New Roman" w:eastAsia="Times New Roman" w:hint="default"/>
                <w:sz w:val="21"/>
                <w:szCs w:val="21"/>
              </w:rPr>
            </w:pPr>
            <w:r>
              <w:rPr>
                <w:rFonts w:ascii="Times New Roman"/>
                <w:sz w:val="21"/>
              </w:rPr>
              <w:t>713.07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56" w:lineRule="auto"/>
              <w:ind w:left="22" w:right="17"/>
              <w:jc w:val="left"/>
              <w:rPr>
                <w:rFonts w:ascii="宋体" w:hAnsi="宋体" w:cs="宋体" w:eastAsia="宋体" w:hint="default"/>
                <w:sz w:val="21"/>
                <w:szCs w:val="21"/>
              </w:rPr>
            </w:pPr>
            <w:r>
              <w:rPr>
                <w:rFonts w:ascii="Times New Roman" w:hAnsi="Times New Roman" w:cs="Times New Roman" w:eastAsia="Times New Roman" w:hint="default"/>
                <w:spacing w:val="-25"/>
                <w:w w:val="100"/>
                <w:sz w:val="21"/>
                <w:szCs w:val="21"/>
              </w:rPr>
              <w:t>2</w:t>
            </w:r>
            <w:r>
              <w:rPr>
                <w:rFonts w:ascii="宋体" w:hAnsi="宋体" w:cs="宋体" w:eastAsia="宋体" w:hint="default"/>
                <w:spacing w:val="-25"/>
                <w:w w:val="100"/>
                <w:sz w:val="21"/>
                <w:szCs w:val="21"/>
              </w:rPr>
              <w:t>．对所有者（或</w:t>
            </w:r>
            <w:r>
              <w:rPr>
                <w:rFonts w:ascii="宋体" w:hAnsi="宋体" w:cs="宋体" w:eastAsia="宋体" w:hint="default"/>
                <w:w w:val="100"/>
                <w:sz w:val="21"/>
                <w:szCs w:val="21"/>
              </w:rPr>
              <w:t> </w:t>
            </w:r>
            <w:r>
              <w:rPr>
                <w:rFonts w:ascii="宋体" w:hAnsi="宋体" w:cs="宋体" w:eastAsia="宋体" w:hint="default"/>
                <w:sz w:val="21"/>
                <w:szCs w:val="21"/>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-39,55</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9,288.</w:t>
            </w:r>
          </w:p>
          <w:p>
            <w:pPr>
              <w:pStyle w:val="TableParagraph"/>
              <w:spacing w:line="240" w:lineRule="auto" w:before="70"/>
              <w:ind w:left="431" w:right="0"/>
              <w:jc w:val="left"/>
              <w:rPr>
                <w:rFonts w:ascii="Times New Roman" w:hAnsi="Times New Roman" w:cs="Times New Roman" w:eastAsia="Times New Roman" w:hint="default"/>
                <w:sz w:val="21"/>
                <w:szCs w:val="21"/>
              </w:rPr>
            </w:pPr>
            <w:r>
              <w:rPr>
                <w:rFonts w:ascii="Times New Roman"/>
                <w:sz w:val="21"/>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-39,559,</w:t>
            </w:r>
          </w:p>
          <w:p>
            <w:pPr>
              <w:pStyle w:val="TableParagraph"/>
              <w:spacing w:line="240" w:lineRule="auto" w:before="70"/>
              <w:ind w:left="151" w:right="0"/>
              <w:jc w:val="center"/>
              <w:rPr>
                <w:rFonts w:ascii="Times New Roman" w:hAnsi="Times New Roman" w:cs="Times New Roman" w:eastAsia="Times New Roman" w:hint="default"/>
                <w:sz w:val="21"/>
                <w:szCs w:val="21"/>
              </w:rPr>
            </w:pPr>
            <w:r>
              <w:rPr>
                <w:rFonts w:ascii="Times New Roman"/>
                <w:sz w:val="21"/>
              </w:rPr>
              <w:t>288.30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．设定受益计</w:t>
            </w:r>
            <w:r>
              <w:rPr>
                <w:rFonts w:ascii="宋体" w:hAnsi="宋体" w:cs="宋体" w:eastAsia="宋体" w:hint="default"/>
                <w:w w:val="100"/>
                <w:sz w:val="21"/>
                <w:szCs w:val="21"/>
              </w:rPr>
              <w:t> </w:t>
            </w:r>
            <w:r>
              <w:rPr>
                <w:rFonts w:ascii="宋体" w:hAnsi="宋体" w:cs="宋体" w:eastAsia="宋体" w:hint="default"/>
                <w:sz w:val="21"/>
                <w:szCs w:val="21"/>
              </w:rPr>
              <w:t>划变动额结转</w:t>
            </w:r>
            <w:r>
              <w:rPr>
                <w:rFonts w:ascii="宋体" w:hAnsi="宋体" w:cs="宋体" w:eastAsia="宋体" w:hint="default"/>
                <w:w w:val="100"/>
                <w:sz w:val="21"/>
                <w:szCs w:val="21"/>
              </w:rPr>
              <w:t> </w:t>
            </w:r>
            <w:r>
              <w:rPr>
                <w:rFonts w:ascii="宋体" w:hAnsi="宋体" w:cs="宋体" w:eastAsia="宋体" w:hint="default"/>
                <w:sz w:val="21"/>
                <w:szCs w:val="21"/>
              </w:rPr>
              <w:t>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2" w:right="16"/>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449,53</w:t>
            </w:r>
          </w:p>
          <w:p>
            <w:pPr>
              <w:pStyle w:val="TableParagraph"/>
              <w:spacing w:line="240" w:lineRule="auto" w:before="70"/>
              <w:ind w:right="14"/>
              <w:jc w:val="right"/>
              <w:rPr>
                <w:rFonts w:ascii="Times New Roman" w:hAnsi="Times New Roman" w:cs="Times New Roman" w:eastAsia="Times New Roman" w:hint="default"/>
                <w:sz w:val="21"/>
                <w:szCs w:val="21"/>
              </w:rPr>
            </w:pPr>
            <w:r>
              <w:rPr>
                <w:rFonts w:ascii="Times New Roman"/>
                <w:sz w:val="21"/>
              </w:rPr>
              <w:t>7,367.0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837,174,</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094.70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47,604,0</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30.61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 w:right="0"/>
              <w:jc w:val="left"/>
              <w:rPr>
                <w:rFonts w:ascii="Times New Roman" w:hAnsi="Times New Roman" w:cs="Times New Roman" w:eastAsia="Times New Roman" w:hint="default"/>
                <w:sz w:val="21"/>
                <w:szCs w:val="21"/>
              </w:rPr>
            </w:pPr>
            <w:r>
              <w:rPr>
                <w:rFonts w:ascii="Times New Roman"/>
                <w:sz w:val="21"/>
              </w:rPr>
              <w:t>287,82</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7,860.</w:t>
            </w:r>
          </w:p>
          <w:p>
            <w:pPr>
              <w:pStyle w:val="TableParagraph"/>
              <w:spacing w:line="240" w:lineRule="auto" w:before="70"/>
              <w:ind w:left="431" w:right="0"/>
              <w:jc w:val="left"/>
              <w:rPr>
                <w:rFonts w:ascii="Times New Roman" w:hAnsi="Times New Roman" w:cs="Times New Roman" w:eastAsia="Times New Roman" w:hint="default"/>
                <w:sz w:val="21"/>
                <w:szCs w:val="21"/>
              </w:rPr>
            </w:pPr>
            <w:r>
              <w:rPr>
                <w:rFonts w:ascii="Times New Roman"/>
                <w:sz w:val="21"/>
              </w:rPr>
              <w:t>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1,622,1</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43,352.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91</w:t>
            </w:r>
          </w:p>
        </w:tc>
      </w:tr>
    </w:tbl>
    <w:p>
      <w:pPr>
        <w:pStyle w:val="BodyText"/>
        <w:spacing w:line="240" w:lineRule="auto" w:before="0"/>
        <w:ind w:right="1273"/>
        <w:jc w:val="left"/>
      </w:pPr>
      <w:r>
        <w:rPr/>
        <w:t>上期金额</w:t>
      </w:r>
    </w:p>
    <w:p>
      <w:pPr>
        <w:spacing w:after="0" w:line="240" w:lineRule="auto"/>
        <w:jc w:val="left"/>
        <w:sectPr>
          <w:pgSz w:w="11910" w:h="16840"/>
          <w:pgMar w:header="877" w:footer="979"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88"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6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22" w:right="120"/>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69" w:right="65"/>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215"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691" w:type="dxa"/>
            <w:vMerge/>
            <w:tcBorders>
              <w:left w:val="single" w:sz="4" w:space="0" w:color="000000"/>
              <w:bottom w:val="nil" w:sz="6" w:space="0" w:color="auto"/>
              <w:right w:val="single" w:sz="4" w:space="0" w:color="000000"/>
            </w:tcBorders>
            <w:shd w:val="clear" w:color="auto" w:fill="D2D2D2"/>
          </w:tcPr>
          <w:p>
            <w:pP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8" w:right="72" w:hanging="210"/>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7" w:right="17" w:hanging="264"/>
              <w:jc w:val="left"/>
              <w:rPr>
                <w:rFonts w:ascii="宋体" w:hAnsi="宋体" w:cs="宋体" w:eastAsia="宋体" w:hint="default"/>
                <w:sz w:val="21"/>
                <w:szCs w:val="21"/>
              </w:rPr>
            </w:pPr>
            <w:r>
              <w:rPr>
                <w:rFonts w:ascii="宋体" w:hAnsi="宋体" w:cs="宋体" w:eastAsia="宋体" w:hint="default"/>
                <w:spacing w:val="-26"/>
                <w:w w:val="100"/>
                <w:sz w:val="21"/>
                <w:szCs w:val="21"/>
              </w:rPr>
              <w:t>减：库存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79" w:right="72"/>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8" w:right="74"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7" w:right="72"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67" w:lineRule="exact"/>
              <w:ind w:left="13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3"/>
              <w:ind w:left="223" w:right="113"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3"/>
              <w:ind w:left="225" w:right="113"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4"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428" w:type="dxa"/>
            <w:vMerge/>
            <w:tcBorders>
              <w:left w:val="single" w:sz="4" w:space="0" w:color="000000"/>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449,57</w:t>
            </w:r>
          </w:p>
          <w:p>
            <w:pPr>
              <w:pStyle w:val="TableParagraph"/>
              <w:spacing w:line="240" w:lineRule="auto" w:before="70"/>
              <w:ind w:right="14"/>
              <w:jc w:val="right"/>
              <w:rPr>
                <w:rFonts w:ascii="Times New Roman" w:hAnsi="Times New Roman" w:cs="Times New Roman" w:eastAsia="Times New Roman" w:hint="default"/>
                <w:sz w:val="21"/>
                <w:szCs w:val="21"/>
              </w:rPr>
            </w:pPr>
            <w:r>
              <w:rPr>
                <w:rFonts w:ascii="Times New Roman"/>
                <w:sz w:val="21"/>
              </w:rPr>
              <w:t>8,967.0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836,812,</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145.02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21,893,0</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14.35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34,818,1</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45.17</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57"/>
              <w:ind w:left="64" w:right="0"/>
              <w:jc w:val="left"/>
              <w:rPr>
                <w:rFonts w:ascii="Times New Roman" w:hAnsi="Times New Roman" w:cs="Times New Roman" w:eastAsia="Times New Roman" w:hint="default"/>
                <w:sz w:val="21"/>
                <w:szCs w:val="21"/>
              </w:rPr>
            </w:pPr>
            <w:r>
              <w:rPr>
                <w:rFonts w:ascii="Times New Roman"/>
                <w:sz w:val="21"/>
              </w:rPr>
              <w:t>239,48</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4,436.</w:t>
            </w:r>
          </w:p>
          <w:p>
            <w:pPr>
              <w:pStyle w:val="TableParagraph"/>
              <w:spacing w:line="240" w:lineRule="auto" w:before="70"/>
              <w:ind w:left="431" w:right="0"/>
              <w:jc w:val="left"/>
              <w:rPr>
                <w:rFonts w:ascii="Times New Roman" w:hAnsi="Times New Roman" w:cs="Times New Roman" w:eastAsia="Times New Roman" w:hint="default"/>
                <w:sz w:val="21"/>
                <w:szCs w:val="21"/>
              </w:rPr>
            </w:pPr>
            <w:r>
              <w:rPr>
                <w:rFonts w:ascii="Times New Roman"/>
                <w:sz w:val="21"/>
              </w:rPr>
              <w:t>70</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21"/>
                <w:szCs w:val="21"/>
              </w:rPr>
            </w:pPr>
            <w:r>
              <w:rPr>
                <w:rFonts w:ascii="Times New Roman"/>
                <w:sz w:val="21"/>
              </w:rPr>
              <w:t>1,538,8</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00,679.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54</w:t>
            </w:r>
          </w:p>
        </w:tc>
      </w:tr>
      <w:tr>
        <w:trPr>
          <w:trHeight w:val="706"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16"/>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6" w:firstLine="422"/>
              <w:jc w:val="left"/>
              <w:rPr>
                <w:rFonts w:ascii="宋体" w:hAnsi="宋体" w:cs="宋体" w:eastAsia="宋体" w:hint="default"/>
                <w:sz w:val="21"/>
                <w:szCs w:val="21"/>
              </w:rPr>
            </w:pPr>
            <w:r>
              <w:rPr>
                <w:rFonts w:ascii="宋体" w:hAnsi="宋体" w:cs="宋体" w:eastAsia="宋体" w:hint="default"/>
                <w:spacing w:val="-19"/>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44" w:firstLine="842"/>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pacing w:val="-3"/>
                <w:w w:val="100"/>
                <w:sz w:val="21"/>
                <w:szCs w:val="21"/>
              </w:rPr>
              <w:t> </w:t>
            </w:r>
            <w:r>
              <w:rPr>
                <w:rFonts w:ascii="宋体" w:hAnsi="宋体" w:cs="宋体" w:eastAsia="宋体" w:hint="default"/>
                <w:sz w:val="21"/>
                <w:szCs w:val="21"/>
              </w:rPr>
              <w:t>差错更正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449,57</w:t>
            </w:r>
          </w:p>
          <w:p>
            <w:pPr>
              <w:pStyle w:val="TableParagraph"/>
              <w:spacing w:line="240" w:lineRule="auto" w:before="70"/>
              <w:ind w:right="14"/>
              <w:jc w:val="right"/>
              <w:rPr>
                <w:rFonts w:ascii="Times New Roman" w:hAnsi="Times New Roman" w:cs="Times New Roman" w:eastAsia="Times New Roman" w:hint="default"/>
                <w:sz w:val="21"/>
                <w:szCs w:val="21"/>
              </w:rPr>
            </w:pPr>
            <w:r>
              <w:rPr>
                <w:rFonts w:ascii="Times New Roman"/>
                <w:sz w:val="21"/>
              </w:rPr>
              <w:t>8,967.0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836,812,</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145.02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21,893,0</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14.35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34,818,1</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45.17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75"/>
              <w:ind w:left="64" w:right="0"/>
              <w:jc w:val="left"/>
              <w:rPr>
                <w:rFonts w:ascii="Times New Roman" w:hAnsi="Times New Roman" w:cs="Times New Roman" w:eastAsia="Times New Roman" w:hint="default"/>
                <w:sz w:val="21"/>
                <w:szCs w:val="21"/>
              </w:rPr>
            </w:pPr>
            <w:r>
              <w:rPr>
                <w:rFonts w:ascii="Times New Roman"/>
                <w:sz w:val="21"/>
              </w:rPr>
              <w:t>239,48</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4,436.</w:t>
            </w:r>
          </w:p>
          <w:p>
            <w:pPr>
              <w:pStyle w:val="TableParagraph"/>
              <w:spacing w:line="240" w:lineRule="auto" w:before="70"/>
              <w:ind w:left="431" w:right="0"/>
              <w:jc w:val="left"/>
              <w:rPr>
                <w:rFonts w:ascii="Times New Roman" w:hAnsi="Times New Roman" w:cs="Times New Roman" w:eastAsia="Times New Roman" w:hint="default"/>
                <w:sz w:val="21"/>
                <w:szCs w:val="21"/>
              </w:rPr>
            </w:pPr>
            <w:r>
              <w:rPr>
                <w:rFonts w:ascii="Times New Roman"/>
                <w:sz w:val="21"/>
              </w:rPr>
              <w:t>70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1,538,8</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00,679.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54</w:t>
            </w:r>
          </w:p>
        </w:tc>
      </w:tr>
      <w:tr>
        <w:trPr>
          <w:trHeight w:val="706"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16"/>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6"/>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3" w:right="0"/>
              <w:jc w:val="center"/>
              <w:rPr>
                <w:rFonts w:ascii="Times New Roman" w:hAnsi="Times New Roman" w:cs="Times New Roman" w:eastAsia="Times New Roman" w:hint="default"/>
                <w:sz w:val="21"/>
                <w:szCs w:val="21"/>
              </w:rPr>
            </w:pPr>
            <w:r>
              <w:rPr>
                <w:rFonts w:ascii="Times New Roman"/>
                <w:sz w:val="21"/>
              </w:rPr>
              <w:t>-41,60</w:t>
            </w:r>
          </w:p>
          <w:p>
            <w:pPr>
              <w:pStyle w:val="TableParagraph"/>
              <w:spacing w:line="240" w:lineRule="auto" w:before="68"/>
              <w:ind w:left="271" w:right="0"/>
              <w:jc w:val="center"/>
              <w:rPr>
                <w:rFonts w:ascii="Times New Roman" w:hAnsi="Times New Roman" w:cs="Times New Roman" w:eastAsia="Times New Roman" w:hint="default"/>
                <w:sz w:val="21"/>
                <w:szCs w:val="21"/>
              </w:rPr>
            </w:pPr>
            <w:r>
              <w:rPr>
                <w:rFonts w:ascii="Times New Roman"/>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343,721.</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-21,407,</w:t>
            </w:r>
          </w:p>
          <w:p>
            <w:pPr>
              <w:pStyle w:val="TableParagraph"/>
              <w:spacing w:line="240" w:lineRule="auto" w:before="68"/>
              <w:ind w:left="167" w:right="0"/>
              <w:jc w:val="center"/>
              <w:rPr>
                <w:rFonts w:ascii="Times New Roman" w:hAnsi="Times New Roman" w:cs="Times New Roman" w:eastAsia="Times New Roman" w:hint="default"/>
                <w:sz w:val="21"/>
                <w:szCs w:val="21"/>
              </w:rPr>
            </w:pPr>
            <w:r>
              <w:rPr>
                <w:rFonts w:ascii="Times New Roman"/>
                <w:sz w:val="21"/>
              </w:rPr>
              <w:t>014.35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8,972,17</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2.37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53,579</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,294.6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84,260,</w:t>
            </w:r>
          </w:p>
          <w:p>
            <w:pPr>
              <w:pStyle w:val="TableParagraph"/>
              <w:spacing w:line="240" w:lineRule="auto" w:before="68"/>
              <w:ind w:left="170" w:right="0"/>
              <w:jc w:val="left"/>
              <w:rPr>
                <w:rFonts w:ascii="Times New Roman" w:hAnsi="Times New Roman" w:cs="Times New Roman" w:eastAsia="Times New Roman" w:hint="default"/>
                <w:sz w:val="21"/>
                <w:szCs w:val="21"/>
              </w:rPr>
            </w:pPr>
            <w:r>
              <w:rPr>
                <w:rFonts w:ascii="Times New Roman"/>
                <w:sz w:val="21"/>
              </w:rPr>
              <w:t>602.72</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89,721</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,723.7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89,721,</w:t>
            </w:r>
          </w:p>
          <w:p>
            <w:pPr>
              <w:pStyle w:val="TableParagraph"/>
              <w:spacing w:line="240" w:lineRule="auto" w:before="71"/>
              <w:ind w:left="170" w:right="0"/>
              <w:jc w:val="left"/>
              <w:rPr>
                <w:rFonts w:ascii="Times New Roman" w:hAnsi="Times New Roman" w:cs="Times New Roman" w:eastAsia="Times New Roman" w:hint="default"/>
                <w:sz w:val="21"/>
                <w:szCs w:val="21"/>
              </w:rPr>
            </w:pPr>
            <w:r>
              <w:rPr>
                <w:rFonts w:ascii="Times New Roman"/>
                <w:sz w:val="21"/>
              </w:rPr>
              <w:t>723.74</w:t>
            </w:r>
          </w:p>
        </w:tc>
      </w:tr>
      <w:tr>
        <w:trPr>
          <w:trHeight w:val="706"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16"/>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总额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6"/>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入和减少资本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93" w:right="0"/>
              <w:jc w:val="center"/>
              <w:rPr>
                <w:rFonts w:ascii="Times New Roman" w:hAnsi="Times New Roman" w:cs="Times New Roman" w:eastAsia="Times New Roman" w:hint="default"/>
                <w:sz w:val="21"/>
                <w:szCs w:val="21"/>
              </w:rPr>
            </w:pPr>
            <w:r>
              <w:rPr>
                <w:rFonts w:ascii="Times New Roman"/>
                <w:sz w:val="21"/>
              </w:rPr>
              <w:t>-41,60</w:t>
            </w:r>
          </w:p>
          <w:p>
            <w:pPr>
              <w:pStyle w:val="TableParagraph"/>
              <w:spacing w:line="240" w:lineRule="auto" w:before="68"/>
              <w:ind w:left="271" w:right="0"/>
              <w:jc w:val="center"/>
              <w:rPr>
                <w:rFonts w:ascii="Times New Roman" w:hAnsi="Times New Roman" w:cs="Times New Roman" w:eastAsia="Times New Roman" w:hint="default"/>
                <w:sz w:val="21"/>
                <w:szCs w:val="21"/>
              </w:rPr>
            </w:pPr>
            <w:r>
              <w:rPr>
                <w:rFonts w:ascii="Times New Roman"/>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196,553.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 w:right="0"/>
              <w:jc w:val="center"/>
              <w:rPr>
                <w:rFonts w:ascii="Times New Roman" w:hAnsi="Times New Roman" w:cs="Times New Roman" w:eastAsia="Times New Roman" w:hint="default"/>
                <w:sz w:val="21"/>
                <w:szCs w:val="21"/>
              </w:rPr>
            </w:pPr>
            <w:r>
              <w:rPr>
                <w:rFonts w:ascii="Times New Roman"/>
                <w:sz w:val="21"/>
              </w:rPr>
              <w:t>-21,407,</w:t>
            </w:r>
          </w:p>
          <w:p>
            <w:pPr>
              <w:pStyle w:val="TableParagraph"/>
              <w:spacing w:line="240" w:lineRule="auto" w:before="68"/>
              <w:ind w:left="167" w:right="0"/>
              <w:jc w:val="center"/>
              <w:rPr>
                <w:rFonts w:ascii="Times New Roman" w:hAnsi="Times New Roman" w:cs="Times New Roman" w:eastAsia="Times New Roman" w:hint="default"/>
                <w:sz w:val="21"/>
                <w:szCs w:val="21"/>
              </w:rPr>
            </w:pPr>
            <w:r>
              <w:rPr>
                <w:rFonts w:ascii="Times New Roman"/>
                <w:sz w:val="21"/>
              </w:rPr>
              <w:t>014.35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7" w:right="0"/>
              <w:jc w:val="left"/>
              <w:rPr>
                <w:rFonts w:ascii="Times New Roman" w:hAnsi="Times New Roman" w:cs="Times New Roman" w:eastAsia="Times New Roman" w:hint="default"/>
                <w:sz w:val="21"/>
                <w:szCs w:val="21"/>
              </w:rPr>
            </w:pPr>
            <w:r>
              <w:rPr>
                <w:rFonts w:ascii="Times New Roman"/>
                <w:sz w:val="21"/>
              </w:rPr>
              <w:t>21,561,</w:t>
            </w:r>
          </w:p>
          <w:p>
            <w:pPr>
              <w:pStyle w:val="TableParagraph"/>
              <w:spacing w:line="240" w:lineRule="auto" w:before="68"/>
              <w:ind w:left="170" w:right="0"/>
              <w:jc w:val="left"/>
              <w:rPr>
                <w:rFonts w:ascii="Times New Roman" w:hAnsi="Times New Roman" w:cs="Times New Roman" w:eastAsia="Times New Roman" w:hint="default"/>
                <w:sz w:val="21"/>
                <w:szCs w:val="21"/>
              </w:rPr>
            </w:pPr>
            <w:r>
              <w:rPr>
                <w:rFonts w:ascii="Times New Roman"/>
                <w:sz w:val="21"/>
              </w:rPr>
              <w:t>967.74</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w:t>
            </w:r>
            <w:r>
              <w:rPr>
                <w:rFonts w:ascii="宋体" w:hAnsi="宋体" w:cs="宋体" w:eastAsia="宋体" w:hint="default"/>
                <w:w w:val="100"/>
                <w:sz w:val="21"/>
                <w:szCs w:val="21"/>
              </w:rPr>
              <w:t> </w:t>
            </w:r>
            <w:r>
              <w:rPr>
                <w:rFonts w:ascii="宋体" w:hAnsi="宋体" w:cs="宋体" w:eastAsia="宋体" w:hint="default"/>
                <w:sz w:val="21"/>
                <w:szCs w:val="21"/>
              </w:rPr>
              <w:t>的普通股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93" w:right="0"/>
              <w:jc w:val="center"/>
              <w:rPr>
                <w:rFonts w:ascii="Times New Roman" w:hAnsi="Times New Roman" w:cs="Times New Roman" w:eastAsia="Times New Roman" w:hint="default"/>
                <w:sz w:val="21"/>
                <w:szCs w:val="21"/>
              </w:rPr>
            </w:pPr>
            <w:r>
              <w:rPr>
                <w:rFonts w:ascii="Times New Roman"/>
                <w:sz w:val="21"/>
              </w:rPr>
              <w:t>-41,60</w:t>
            </w:r>
          </w:p>
          <w:p>
            <w:pPr>
              <w:pStyle w:val="TableParagraph"/>
              <w:spacing w:line="240" w:lineRule="auto" w:before="70"/>
              <w:ind w:left="271" w:right="0"/>
              <w:jc w:val="center"/>
              <w:rPr>
                <w:rFonts w:ascii="Times New Roman" w:hAnsi="Times New Roman" w:cs="Times New Roman" w:eastAsia="Times New Roman" w:hint="default"/>
                <w:sz w:val="21"/>
                <w:szCs w:val="21"/>
              </w:rPr>
            </w:pPr>
            <w:r>
              <w:rPr>
                <w:rFonts w:ascii="Times New Roman"/>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-29,078.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-70,678.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40</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225,631.</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-21,407,</w:t>
            </w:r>
          </w:p>
          <w:p>
            <w:pPr>
              <w:pStyle w:val="TableParagraph"/>
              <w:spacing w:line="240" w:lineRule="auto" w:before="71"/>
              <w:ind w:left="167" w:right="0"/>
              <w:jc w:val="center"/>
              <w:rPr>
                <w:rFonts w:ascii="Times New Roman" w:hAnsi="Times New Roman" w:cs="Times New Roman" w:eastAsia="Times New Roman" w:hint="default"/>
                <w:sz w:val="21"/>
                <w:szCs w:val="21"/>
              </w:rPr>
            </w:pPr>
            <w:r>
              <w:rPr>
                <w:rFonts w:ascii="Times New Roman"/>
                <w:sz w:val="21"/>
              </w:rPr>
              <w:t>014.35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21,632,</w:t>
            </w:r>
          </w:p>
          <w:p>
            <w:pPr>
              <w:pStyle w:val="TableParagraph"/>
              <w:spacing w:line="240" w:lineRule="auto" w:before="71"/>
              <w:ind w:left="170" w:right="0"/>
              <w:jc w:val="left"/>
              <w:rPr>
                <w:rFonts w:ascii="Times New Roman" w:hAnsi="Times New Roman" w:cs="Times New Roman" w:eastAsia="Times New Roman" w:hint="default"/>
                <w:sz w:val="21"/>
                <w:szCs w:val="21"/>
              </w:rPr>
            </w:pPr>
            <w:r>
              <w:rPr>
                <w:rFonts w:ascii="Times New Roman"/>
                <w:sz w:val="21"/>
              </w:rPr>
              <w:t>646.14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8,972,17</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2.37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-36,14</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2,429.</w:t>
            </w:r>
          </w:p>
          <w:p>
            <w:pPr>
              <w:pStyle w:val="TableParagraph"/>
              <w:spacing w:line="240" w:lineRule="auto" w:before="70"/>
              <w:ind w:left="431" w:right="0"/>
              <w:jc w:val="left"/>
              <w:rPr>
                <w:rFonts w:ascii="Times New Roman" w:hAnsi="Times New Roman" w:cs="Times New Roman" w:eastAsia="Times New Roman" w:hint="default"/>
                <w:sz w:val="21"/>
                <w:szCs w:val="21"/>
              </w:rPr>
            </w:pPr>
            <w:r>
              <w:rPr>
                <w:rFonts w:ascii="Times New Roman"/>
                <w:sz w:val="21"/>
              </w:rPr>
              <w:t>13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-27,170,</w:t>
            </w:r>
          </w:p>
          <w:p>
            <w:pPr>
              <w:pStyle w:val="TableParagraph"/>
              <w:spacing w:line="240" w:lineRule="auto" w:before="70"/>
              <w:ind w:left="151" w:right="0"/>
              <w:jc w:val="center"/>
              <w:rPr>
                <w:rFonts w:ascii="Times New Roman" w:hAnsi="Times New Roman" w:cs="Times New Roman" w:eastAsia="Times New Roman" w:hint="default"/>
                <w:sz w:val="21"/>
                <w:szCs w:val="21"/>
              </w:rPr>
            </w:pPr>
            <w:r>
              <w:rPr>
                <w:rFonts w:ascii="Times New Roman"/>
                <w:sz w:val="21"/>
              </w:rPr>
              <w:t>256.76</w:t>
            </w:r>
          </w:p>
        </w:tc>
      </w:tr>
      <w:tr>
        <w:trPr>
          <w:trHeight w:val="394" w:hRule="exact"/>
        </w:trPr>
        <w:tc>
          <w:tcPr>
            <w:tcW w:w="1428" w:type="dxa"/>
            <w:tcBorders>
              <w:top w:val="nil" w:sz="6" w:space="0" w:color="auto"/>
              <w:left w:val="single" w:sz="13" w:space="0" w:color="D2D2D2"/>
              <w:bottom w:val="nil" w:sz="6" w:space="0" w:color="auto"/>
              <w:right w:val="single" w:sz="10" w:space="0" w:color="D2D2D2"/>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2D2D2" w:color="auto" w:val="clear"/>
              </w:rPr>
              <w:t>（</w:t>
            </w:r>
            <w:r>
              <w:rPr>
                <w:rFonts w:ascii="宋体" w:hAnsi="宋体" w:cs="宋体" w:eastAsia="宋体" w:hint="default"/>
                <w:spacing w:val="-3"/>
                <w:w w:val="100"/>
                <w:sz w:val="21"/>
                <w:szCs w:val="21"/>
                <w:shd w:fill="D2D2D2" w:color="auto" w:val="clear"/>
              </w:rPr>
              <w:t>三</w:t>
            </w:r>
            <w:r>
              <w:rPr>
                <w:rFonts w:ascii="宋体" w:hAnsi="宋体" w:cs="宋体" w:eastAsia="宋体" w:hint="default"/>
                <w:spacing w:val="-85"/>
                <w:w w:val="100"/>
                <w:sz w:val="21"/>
                <w:szCs w:val="21"/>
                <w:shd w:fill="D2D2D2" w:color="auto" w:val="clear"/>
              </w:rPr>
              <w:t>）</w:t>
            </w:r>
            <w:r>
              <w:rPr>
                <w:rFonts w:ascii="宋体" w:hAnsi="宋体" w:cs="宋体" w:eastAsia="宋体" w:hint="default"/>
                <w:spacing w:val="-3"/>
                <w:w w:val="100"/>
                <w:sz w:val="21"/>
                <w:szCs w:val="21"/>
                <w:shd w:fill="D2D2D2" w:color="auto" w:val="clear"/>
              </w:rPr>
              <w:t>利</w:t>
            </w:r>
            <w:r>
              <w:rPr>
                <w:rFonts w:ascii="宋体" w:hAnsi="宋体" w:cs="宋体" w:eastAsia="宋体" w:hint="default"/>
                <w:w w:val="100"/>
                <w:sz w:val="21"/>
                <w:szCs w:val="21"/>
                <w:shd w:fill="D2D2D2" w:color="auto" w:val="clear"/>
              </w:rPr>
              <w:t>润</w:t>
            </w:r>
            <w:r>
              <w:rPr>
                <w:rFonts w:ascii="宋体" w:hAnsi="宋体" w:cs="宋体" w:eastAsia="宋体" w:hint="default"/>
                <w:spacing w:val="-3"/>
                <w:w w:val="100"/>
                <w:sz w:val="21"/>
                <w:szCs w:val="21"/>
                <w:shd w:fill="D2D2D2" w:color="auto" w:val="clear"/>
              </w:rPr>
              <w:t>分</w:t>
            </w:r>
            <w:r>
              <w:rPr>
                <w:rFonts w:ascii="宋体" w:hAnsi="宋体" w:cs="宋体" w:eastAsia="宋体" w:hint="default"/>
                <w:w w:val="100"/>
                <w:sz w:val="21"/>
                <w:szCs w:val="21"/>
                <w:shd w:fill="D2D2D2" w:color="auto" w:val="clear"/>
              </w:rPr>
              <w:t>配</w:t>
            </w:r>
            <w:r>
              <w:rPr>
                <w:rFonts w:ascii="宋体" w:hAnsi="宋体" w:cs="宋体" w:eastAsia="宋体" w:hint="default"/>
                <w:w w:val="100"/>
                <w:sz w:val="21"/>
                <w:szCs w:val="21"/>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8,972,17</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2.37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-8,972,</w:t>
            </w:r>
          </w:p>
          <w:p>
            <w:pPr>
              <w:pStyle w:val="TableParagraph"/>
              <w:spacing w:line="240" w:lineRule="auto" w:before="68"/>
              <w:ind w:left="64" w:right="0"/>
              <w:jc w:val="left"/>
              <w:rPr>
                <w:rFonts w:ascii="Times New Roman" w:hAnsi="Times New Roman" w:cs="Times New Roman" w:eastAsia="Times New Roman" w:hint="default"/>
                <w:sz w:val="21"/>
                <w:szCs w:val="21"/>
              </w:rPr>
            </w:pPr>
            <w:r>
              <w:rPr>
                <w:rFonts w:ascii="Times New Roman"/>
                <w:sz w:val="21"/>
              </w:rPr>
              <w:t>172.37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97"/>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97"/>
                <w:w w:val="100"/>
                <w:sz w:val="21"/>
                <w:szCs w:val="21"/>
              </w:rPr>
              <w:t>者</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21"/>
                <w:szCs w:val="21"/>
              </w:rPr>
            </w:pPr>
            <w:r>
              <w:rPr>
                <w:rFonts w:ascii="Times New Roman"/>
                <w:sz w:val="21"/>
              </w:rPr>
              <w:t>-27,17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21"/>
                <w:szCs w:val="21"/>
              </w:rPr>
            </w:pPr>
            <w:r>
              <w:rPr>
                <w:rFonts w:ascii="Times New Roman"/>
                <w:sz w:val="21"/>
              </w:rPr>
              <w:t>-27,170,</w:t>
            </w:r>
          </w:p>
        </w:tc>
      </w:tr>
    </w:tbl>
    <w:p>
      <w:pPr>
        <w:spacing w:after="0" w:line="240" w:lineRule="auto"/>
        <w:jc w:val="left"/>
        <w:rPr>
          <w:rFonts w:ascii="Times New Roman" w:hAnsi="Times New Roman" w:cs="Times New Roman" w:eastAsia="Times New Roman" w:hint="default"/>
          <w:sz w:val="21"/>
          <w:szCs w:val="21"/>
        </w:rPr>
        <w:sectPr>
          <w:footerReference w:type="default" r:id="rId18"/>
          <w:pgSz w:w="11910" w:h="16840"/>
          <w:pgMar w:footer="979" w:header="877"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7" w:right="0"/>
              <w:jc w:val="left"/>
              <w:rPr>
                <w:rFonts w:ascii="Times New Roman" w:hAnsi="Times New Roman" w:cs="Times New Roman" w:eastAsia="Times New Roman" w:hint="default"/>
                <w:sz w:val="21"/>
                <w:szCs w:val="21"/>
              </w:rPr>
            </w:pPr>
            <w:r>
              <w:rPr>
                <w:rFonts w:ascii="Times New Roman"/>
                <w:sz w:val="21"/>
              </w:rPr>
              <w:t>0,256.</w:t>
            </w:r>
          </w:p>
          <w:p>
            <w:pPr>
              <w:pStyle w:val="TableParagraph"/>
              <w:spacing w:line="240" w:lineRule="auto" w:before="71"/>
              <w:ind w:left="431" w:right="0"/>
              <w:jc w:val="left"/>
              <w:rPr>
                <w:rFonts w:ascii="Times New Roman" w:hAnsi="Times New Roman" w:cs="Times New Roman" w:eastAsia="Times New Roman" w:hint="default"/>
                <w:sz w:val="21"/>
                <w:szCs w:val="21"/>
              </w:rPr>
            </w:pPr>
            <w:r>
              <w:rPr>
                <w:rFonts w:ascii="Times New Roman"/>
                <w:sz w:val="21"/>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0" w:right="0"/>
              <w:jc w:val="left"/>
              <w:rPr>
                <w:rFonts w:ascii="Times New Roman" w:hAnsi="Times New Roman" w:cs="Times New Roman" w:eastAsia="Times New Roman" w:hint="default"/>
                <w:sz w:val="21"/>
                <w:szCs w:val="21"/>
              </w:rPr>
            </w:pPr>
            <w:r>
              <w:rPr>
                <w:rFonts w:ascii="Times New Roman"/>
                <w:sz w:val="21"/>
              </w:rPr>
              <w:t>256.76</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．设定受益计</w:t>
            </w:r>
            <w:r>
              <w:rPr>
                <w:rFonts w:ascii="宋体" w:hAnsi="宋体" w:cs="宋体" w:eastAsia="宋体" w:hint="default"/>
                <w:w w:val="100"/>
                <w:sz w:val="21"/>
                <w:szCs w:val="21"/>
              </w:rPr>
              <w:t> </w:t>
            </w:r>
            <w:r>
              <w:rPr>
                <w:rFonts w:ascii="宋体" w:hAnsi="宋体" w:cs="宋体" w:eastAsia="宋体" w:hint="default"/>
                <w:sz w:val="21"/>
                <w:szCs w:val="21"/>
              </w:rPr>
              <w:t>划变动额结转</w:t>
            </w:r>
            <w:r>
              <w:rPr>
                <w:rFonts w:ascii="宋体" w:hAnsi="宋体" w:cs="宋体" w:eastAsia="宋体" w:hint="default"/>
                <w:w w:val="100"/>
                <w:sz w:val="21"/>
                <w:szCs w:val="21"/>
              </w:rPr>
              <w:t> </w:t>
            </w:r>
            <w:r>
              <w:rPr>
                <w:rFonts w:ascii="宋体" w:hAnsi="宋体" w:cs="宋体" w:eastAsia="宋体" w:hint="default"/>
                <w:sz w:val="21"/>
                <w:szCs w:val="21"/>
              </w:rPr>
              <w:t>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147,168.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147,168</w:t>
            </w:r>
          </w:p>
          <w:p>
            <w:pPr>
              <w:pStyle w:val="TableParagraph"/>
              <w:spacing w:line="240" w:lineRule="auto" w:before="70"/>
              <w:ind w:left="487" w:right="0"/>
              <w:jc w:val="left"/>
              <w:rPr>
                <w:rFonts w:ascii="Times New Roman" w:hAnsi="Times New Roman" w:cs="Times New Roman" w:eastAsia="Times New Roman" w:hint="default"/>
                <w:sz w:val="21"/>
                <w:szCs w:val="21"/>
              </w:rPr>
            </w:pPr>
            <w:r>
              <w:rPr>
                <w:rFonts w:ascii="Times New Roman"/>
                <w:sz w:val="21"/>
              </w:rPr>
              <w:t>.00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2" w:right="16"/>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449,53</w:t>
            </w:r>
          </w:p>
          <w:p>
            <w:pPr>
              <w:pStyle w:val="TableParagraph"/>
              <w:spacing w:line="240" w:lineRule="auto" w:before="70"/>
              <w:ind w:right="14"/>
              <w:jc w:val="right"/>
              <w:rPr>
                <w:rFonts w:ascii="Times New Roman" w:hAnsi="Times New Roman" w:cs="Times New Roman" w:eastAsia="Times New Roman" w:hint="default"/>
                <w:sz w:val="21"/>
                <w:szCs w:val="21"/>
              </w:rPr>
            </w:pPr>
            <w:r>
              <w:rPr>
                <w:rFonts w:ascii="Times New Roman"/>
                <w:sz w:val="21"/>
              </w:rPr>
              <w:t>7,367.0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837,155,</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866.41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486,000.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43,790,3</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17.54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 w:right="0"/>
              <w:jc w:val="left"/>
              <w:rPr>
                <w:rFonts w:ascii="Times New Roman" w:hAnsi="Times New Roman" w:cs="Times New Roman" w:eastAsia="Times New Roman" w:hint="default"/>
                <w:sz w:val="21"/>
                <w:szCs w:val="21"/>
              </w:rPr>
            </w:pPr>
            <w:r>
              <w:rPr>
                <w:rFonts w:ascii="Times New Roman"/>
                <w:sz w:val="21"/>
              </w:rPr>
              <w:t>293,06</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3,731.</w:t>
            </w:r>
          </w:p>
          <w:p>
            <w:pPr>
              <w:pStyle w:val="TableParagraph"/>
              <w:spacing w:line="240" w:lineRule="auto" w:before="70"/>
              <w:ind w:left="431" w:right="0"/>
              <w:jc w:val="left"/>
              <w:rPr>
                <w:rFonts w:ascii="Times New Roman" w:hAnsi="Times New Roman" w:cs="Times New Roman" w:eastAsia="Times New Roman" w:hint="default"/>
                <w:sz w:val="21"/>
                <w:szCs w:val="21"/>
              </w:rPr>
            </w:pPr>
            <w:r>
              <w:rPr>
                <w:rFonts w:ascii="Times New Roman"/>
                <w:sz w:val="21"/>
              </w:rPr>
              <w:t>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1,623,0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61,282.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26</w:t>
            </w:r>
          </w:p>
        </w:tc>
      </w:tr>
    </w:tbl>
    <w:p>
      <w:pPr>
        <w:pStyle w:val="Heading2"/>
        <w:spacing w:line="240" w:lineRule="auto" w:before="39"/>
        <w:ind w:left="635" w:right="1273"/>
        <w:jc w:val="left"/>
        <w:rPr>
          <w:b w:val="0"/>
          <w:bCs w:val="0"/>
        </w:rPr>
      </w:pPr>
      <w:r>
        <w:rPr/>
        <w:t>三、公司基本情况</w:t>
      </w:r>
      <w:r>
        <w:rPr>
          <w:b w:val="0"/>
          <w:bCs w:val="0"/>
        </w:rPr>
      </w:r>
    </w:p>
    <w:p>
      <w:pPr>
        <w:pStyle w:val="BodyText"/>
        <w:spacing w:line="338" w:lineRule="auto" w:before="154"/>
        <w:ind w:left="633" w:right="1116" w:firstLine="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9"/>
        </w:rPr>
        <w:t> </w:t>
      </w:r>
      <w:r>
        <w:rPr>
          <w:rFonts w:ascii="宋体" w:hAnsi="宋体" w:cs="宋体" w:eastAsia="宋体" w:hint="default"/>
          <w:b/>
          <w:bCs/>
        </w:rPr>
        <w:t>公司概况</w:t>
      </w:r>
      <w:r>
        <w:rPr>
          <w:rFonts w:ascii="宋体" w:hAnsi="宋体" w:cs="宋体" w:eastAsia="宋体" w:hint="default"/>
          <w:b/>
          <w:bCs/>
          <w:w w:val="99"/>
        </w:rPr>
        <w:t> </w:t>
      </w:r>
      <w:r>
        <w:rPr>
          <w:spacing w:val="-1"/>
        </w:rPr>
        <w:t>北京超图软件股份有限公司（以下简称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）前身为</w:t>
      </w:r>
      <w:r>
        <w:rPr>
          <w:rFonts w:ascii="Times New Roman" w:hAnsi="Times New Roman" w:cs="Times New Roman" w:eastAsia="Times New Roman" w:hint="default"/>
          <w:spacing w:val="-1"/>
        </w:rPr>
        <w:t>“</w:t>
      </w:r>
      <w:r>
        <w:rPr>
          <w:spacing w:val="-1"/>
        </w:rPr>
        <w:t>北京超图地理信息技</w:t>
      </w:r>
    </w:p>
    <w:p>
      <w:pPr>
        <w:pStyle w:val="BodyText"/>
        <w:spacing w:line="338" w:lineRule="auto" w:before="27"/>
        <w:ind w:right="1128"/>
        <w:jc w:val="both"/>
      </w:pPr>
      <w:r>
        <w:rPr>
          <w:spacing w:val="3"/>
        </w:rPr>
        <w:t>术有限公司</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日，经北京超图地理信息技术有限公司股东会批准，以</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51"/>
        </w:rPr>
        <w:t> </w:t>
      </w:r>
      <w:r>
        <w:rPr/>
        <w:t>月</w:t>
      </w:r>
      <w:r>
        <w:rPr>
          <w:rFonts w:ascii="Times New Roman" w:hAnsi="Times New Roman" w:cs="Times New Roman" w:eastAsia="Times New Roman" w:hint="default"/>
        </w:rPr>
        <w:t>31</w:t>
      </w:r>
      <w:r>
        <w:rPr/>
        <w:t>日的净资产为基准，以发起设立的方式整体变更为北京超图软件股份有限公司。变更后</w:t>
      </w:r>
      <w:r>
        <w:rPr>
          <w:spacing w:val="-86"/>
        </w:rPr>
        <w:t> </w:t>
      </w:r>
      <w:r>
        <w:rPr>
          <w:spacing w:val="-86"/>
        </w:rPr>
      </w:r>
      <w:r>
        <w:rPr>
          <w:spacing w:val="8"/>
        </w:rPr>
        <w:t>公司注册资本</w:t>
      </w:r>
      <w:r>
        <w:rPr>
          <w:rFonts w:ascii="Times New Roman" w:hAnsi="Times New Roman" w:cs="Times New Roman" w:eastAsia="Times New Roman" w:hint="default"/>
          <w:spacing w:val="8"/>
        </w:rPr>
        <w:t>5,600.00</w:t>
      </w:r>
      <w:r>
        <w:rPr>
          <w:spacing w:val="8"/>
        </w:rPr>
        <w:t>万元，业经北京京都会计师事务所有限责任公司出具北京京都验字</w:t>
      </w:r>
    </w:p>
    <w:p>
      <w:pPr>
        <w:pStyle w:val="BodyText"/>
        <w:spacing w:line="240" w:lineRule="auto" w:before="27"/>
        <w:ind w:right="0"/>
        <w:jc w:val="both"/>
      </w:pPr>
      <w:r>
        <w:rPr/>
        <w:t>（</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007</w:t>
      </w:r>
      <w:r>
        <w:rPr/>
        <w:t>号验资报告予以验证。</w:t>
      </w:r>
    </w:p>
    <w:p>
      <w:pPr>
        <w:pStyle w:val="BodyText"/>
        <w:spacing w:line="240" w:lineRule="auto" w:before="135"/>
        <w:ind w:left="633" w:right="1116"/>
        <w:jc w:val="left"/>
      </w:pP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2009</w:t>
      </w:r>
      <w:r>
        <w:rPr>
          <w:spacing w:val="8"/>
        </w:rPr>
        <w:t>年</w:t>
      </w:r>
      <w:r>
        <w:rPr>
          <w:rFonts w:ascii="Times New Roman" w:hAnsi="Times New Roman" w:cs="Times New Roman" w:eastAsia="Times New Roman" w:hint="default"/>
          <w:spacing w:val="8"/>
        </w:rPr>
        <w:t>11</w:t>
      </w:r>
      <w:r>
        <w:rPr>
          <w:spacing w:val="8"/>
        </w:rPr>
        <w:t>月</w:t>
      </w:r>
      <w:r>
        <w:rPr>
          <w:rFonts w:ascii="Times New Roman" w:hAnsi="Times New Roman" w:cs="Times New Roman" w:eastAsia="Times New Roman" w:hint="default"/>
          <w:spacing w:val="8"/>
        </w:rPr>
        <w:t>11</w:t>
      </w:r>
      <w:r>
        <w:rPr>
          <w:spacing w:val="8"/>
        </w:rPr>
        <w:t>日，经公司</w:t>
      </w:r>
      <w:r>
        <w:rPr>
          <w:rFonts w:ascii="Times New Roman" w:hAnsi="Times New Roman" w:cs="Times New Roman" w:eastAsia="Times New Roman" w:hint="default"/>
          <w:spacing w:val="8"/>
        </w:rPr>
        <w:t>2009</w:t>
      </w:r>
      <w:r>
        <w:rPr>
          <w:spacing w:val="8"/>
        </w:rPr>
        <w:t>年度第二次临时股东大会批准，申请首次公开发行</w:t>
      </w:r>
    </w:p>
    <w:p>
      <w:pPr>
        <w:pStyle w:val="BodyText"/>
        <w:spacing w:line="338" w:lineRule="auto" w:before="135"/>
        <w:ind w:right="1138"/>
        <w:jc w:val="both"/>
      </w:pPr>
      <w:r>
        <w:rPr>
          <w:rFonts w:ascii="Times New Roman" w:hAnsi="Times New Roman" w:cs="Times New Roman" w:eastAsia="Times New Roman" w:hint="default"/>
          <w:spacing w:val="8"/>
        </w:rPr>
        <w:t>1,900.00</w:t>
      </w:r>
      <w:r>
        <w:rPr>
          <w:spacing w:val="8"/>
        </w:rPr>
        <w:t>万股人民币普通股股票并在创业板上市。根据中国证券监督管理委员会证监许可</w:t>
      </w:r>
      <w:r>
        <w:rPr>
          <w:spacing w:val="-95"/>
        </w:rPr>
        <w:t> </w:t>
      </w:r>
      <w:r>
        <w:rPr>
          <w:spacing w:val="-95"/>
        </w:rPr>
      </w:r>
      <w:r>
        <w:rPr>
          <w:rFonts w:ascii="Times New Roman" w:hAnsi="Times New Roman" w:cs="Times New Roman" w:eastAsia="Times New Roman" w:hint="default"/>
          <w:spacing w:val="2"/>
        </w:rPr>
        <w:t>[2009]1313</w:t>
      </w:r>
      <w:r>
        <w:rPr>
          <w:spacing w:val="2"/>
        </w:rPr>
        <w:t>号《关于核准北京超图软件股份有限公司首次公开发行股票并在创业板上市的批</w:t>
      </w:r>
    </w:p>
    <w:p>
      <w:pPr>
        <w:spacing w:after="0" w:line="338"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right="1130"/>
        <w:jc w:val="both"/>
      </w:pPr>
      <w:r>
        <w:rPr>
          <w:spacing w:val="2"/>
        </w:rPr>
        <w:t>复》核准，公司公开发行人民币普通股（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1,900.00</w:t>
      </w:r>
      <w:r>
        <w:rPr>
          <w:spacing w:val="2"/>
        </w:rPr>
        <w:t>万股（每股面值</w:t>
      </w:r>
      <w:r>
        <w:rPr>
          <w:rFonts w:ascii="Times New Roman" w:hAnsi="Times New Roman" w:cs="Times New Roman" w:eastAsia="Times New Roman" w:hint="default"/>
          <w:spacing w:val="2"/>
        </w:rPr>
        <w:t>1</w:t>
      </w:r>
      <w:r>
        <w:rPr>
          <w:spacing w:val="2"/>
        </w:rPr>
        <w:t>元）。增发后公司</w:t>
      </w:r>
      <w:r>
        <w:rPr>
          <w:spacing w:val="-116"/>
        </w:rPr>
        <w:t> </w:t>
      </w:r>
      <w:r>
        <w:rPr>
          <w:spacing w:val="-116"/>
        </w:rPr>
      </w:r>
      <w:r>
        <w:rPr>
          <w:spacing w:val="-5"/>
        </w:rPr>
        <w:t>注册资本</w:t>
      </w:r>
      <w:r>
        <w:rPr>
          <w:rFonts w:ascii="Times New Roman" w:hAnsi="Times New Roman" w:cs="Times New Roman" w:eastAsia="Times New Roman" w:hint="default"/>
          <w:spacing w:val="-5"/>
        </w:rPr>
        <w:t>7,500.00</w:t>
      </w:r>
      <w:r>
        <w:rPr>
          <w:spacing w:val="-5"/>
        </w:rPr>
        <w:t>万元，业经京都天华会计师事务所有限公司出具京都天华验字（</w:t>
      </w:r>
      <w:r>
        <w:rPr>
          <w:rFonts w:ascii="Times New Roman" w:hAnsi="Times New Roman" w:cs="Times New Roman" w:eastAsia="Times New Roman" w:hint="default"/>
          <w:spacing w:val="-5"/>
        </w:rPr>
        <w:t>2009</w:t>
      </w:r>
      <w:r>
        <w:rPr>
          <w:spacing w:val="-5"/>
        </w:rPr>
        <w:t>）第</w:t>
      </w:r>
      <w:r>
        <w:rPr>
          <w:rFonts w:ascii="Times New Roman" w:hAnsi="Times New Roman" w:cs="Times New Roman" w:eastAsia="Times New Roman" w:hint="default"/>
          <w:spacing w:val="-5"/>
        </w:rPr>
        <w:t>109</w:t>
      </w:r>
      <w:r>
        <w:rPr>
          <w:rFonts w:ascii="Times New Roman" w:hAnsi="Times New Roman" w:cs="Times New Roman" w:eastAsia="Times New Roman" w:hint="default"/>
          <w:spacing w:val="-18"/>
        </w:rPr>
        <w:t> </w:t>
      </w:r>
      <w:r>
        <w:rPr/>
        <w:t>号验资报告予以验证。</w:t>
      </w:r>
    </w:p>
    <w:p>
      <w:pPr>
        <w:pStyle w:val="BodyText"/>
        <w:spacing w:line="338" w:lineRule="auto" w:before="55"/>
        <w:ind w:right="1131" w:firstLine="48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日，经公司</w:t>
      </w:r>
      <w:r>
        <w:rPr>
          <w:rFonts w:ascii="Times New Roman" w:hAnsi="Times New Roman" w:cs="Times New Roman" w:eastAsia="Times New Roman" w:hint="default"/>
          <w:spacing w:val="-2"/>
        </w:rPr>
        <w:t>2010</w:t>
      </w:r>
      <w:r>
        <w:rPr>
          <w:spacing w:val="-2"/>
        </w:rPr>
        <w:t>年度股东大会批准，以</w:t>
      </w:r>
      <w:r>
        <w:rPr>
          <w:rFonts w:ascii="Times New Roman" w:hAnsi="Times New Roman" w:cs="Times New Roman" w:eastAsia="Times New Roman" w:hint="default"/>
          <w:spacing w:val="-2"/>
        </w:rPr>
        <w:t>2010</w:t>
      </w:r>
      <w:r>
        <w:rPr>
          <w:spacing w:val="-2"/>
        </w:rPr>
        <w:t>年末总股本</w:t>
      </w:r>
      <w:r>
        <w:rPr>
          <w:rFonts w:ascii="Times New Roman" w:hAnsi="Times New Roman" w:cs="Times New Roman" w:eastAsia="Times New Roman" w:hint="default"/>
          <w:spacing w:val="-2"/>
        </w:rPr>
        <w:t>7,500.00</w:t>
      </w:r>
      <w:r>
        <w:rPr>
          <w:spacing w:val="-2"/>
        </w:rPr>
        <w:t>万股为基</w:t>
      </w:r>
      <w:r>
        <w:rPr/>
        <w:t> </w:t>
      </w:r>
      <w:r>
        <w:rPr>
          <w:spacing w:val="-3"/>
        </w:rPr>
        <w:t>数，以资本公积向全体股东每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股，共转增</w:t>
      </w:r>
      <w:r>
        <w:rPr>
          <w:rFonts w:ascii="Times New Roman" w:hAnsi="Times New Roman" w:cs="Times New Roman" w:eastAsia="Times New Roman" w:hint="default"/>
          <w:spacing w:val="-3"/>
        </w:rPr>
        <w:t>4,500</w:t>
      </w:r>
      <w:r>
        <w:rPr>
          <w:spacing w:val="-3"/>
        </w:rPr>
        <w:t>万股。转增后的股本总额为</w:t>
      </w:r>
      <w:r>
        <w:rPr>
          <w:rFonts w:ascii="Times New Roman" w:hAnsi="Times New Roman" w:cs="Times New Roman" w:eastAsia="Times New Roman" w:hint="default"/>
          <w:spacing w:val="-3"/>
        </w:rPr>
        <w:t>12,000.00</w:t>
      </w:r>
      <w:r>
        <w:rPr>
          <w:rFonts w:ascii="Times New Roman" w:hAnsi="Times New Roman" w:cs="Times New Roman" w:eastAsia="Times New Roman" w:hint="default"/>
          <w:spacing w:val="-54"/>
        </w:rPr>
        <w:t> </w:t>
      </w:r>
      <w:r>
        <w:rPr/>
        <w:t>万股，注册资本变更为人民币</w:t>
      </w:r>
      <w:r>
        <w:rPr>
          <w:rFonts w:ascii="Times New Roman" w:hAnsi="Times New Roman" w:cs="Times New Roman" w:eastAsia="Times New Roman" w:hint="default"/>
        </w:rPr>
        <w:t>12,000.00</w:t>
      </w:r>
      <w:r>
        <w:rPr/>
        <w:t>万元，业经京都天华会计师事务所有限公司出具京都</w:t>
      </w:r>
      <w:r>
        <w:rPr>
          <w:spacing w:val="-92"/>
        </w:rPr>
        <w:t> </w:t>
      </w:r>
      <w:r>
        <w:rPr>
          <w:spacing w:val="-92"/>
        </w:rPr>
      </w:r>
      <w:r>
        <w:rPr/>
        <w:t>天华验字（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0112</w:t>
      </w:r>
      <w:r>
        <w:rPr/>
        <w:t>号验资报告予以验证。</w:t>
      </w:r>
    </w:p>
    <w:p>
      <w:pPr>
        <w:pStyle w:val="BodyText"/>
        <w:spacing w:line="338" w:lineRule="auto" w:before="27"/>
        <w:ind w:right="1121" w:firstLine="48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11</w:t>
      </w:r>
      <w:r>
        <w:rPr>
          <w:spacing w:val="-3"/>
        </w:rPr>
        <w:t>日，经公司</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33"/>
        </w:rPr>
        <w:t> </w:t>
      </w:r>
      <w:r>
        <w:rPr/>
        <w:t>年第三次临时股东大会批准，以</w:t>
      </w:r>
      <w:r>
        <w:rPr>
          <w:rFonts w:ascii="Times New Roman" w:hAnsi="Times New Roman" w:cs="Times New Roman" w:eastAsia="Times New Roman" w:hint="default"/>
        </w:rPr>
        <w:t>5.99</w:t>
      </w:r>
      <w:r>
        <w:rPr/>
        <w:t>元</w:t>
      </w:r>
      <w:r>
        <w:rPr>
          <w:rFonts w:ascii="Times New Roman" w:hAnsi="Times New Roman" w:cs="Times New Roman" w:eastAsia="Times New Roman" w:hint="default"/>
        </w:rPr>
        <w:t>/</w:t>
      </w:r>
      <w:r>
        <w:rPr/>
        <w:t>股向</w:t>
      </w:r>
      <w:r>
        <w:rPr>
          <w:rFonts w:ascii="Times New Roman" w:hAnsi="Times New Roman" w:cs="Times New Roman" w:eastAsia="Times New Roman" w:hint="default"/>
        </w:rPr>
        <w:t>101</w:t>
      </w:r>
      <w:r>
        <w:rPr/>
        <w:t>名激励 </w:t>
      </w:r>
      <w:r>
        <w:rPr>
          <w:spacing w:val="8"/>
        </w:rPr>
        <w:t>对象定向发行限制性股票</w:t>
      </w:r>
      <w:r>
        <w:rPr>
          <w:rFonts w:ascii="Times New Roman" w:hAnsi="Times New Roman" w:cs="Times New Roman" w:eastAsia="Times New Roman" w:hint="default"/>
          <w:spacing w:val="8"/>
        </w:rPr>
        <w:t>230.968</w:t>
      </w:r>
      <w:r>
        <w:rPr>
          <w:spacing w:val="8"/>
        </w:rPr>
        <w:t>万股，增加注册资本</w:t>
      </w:r>
      <w:r>
        <w:rPr>
          <w:rFonts w:ascii="Times New Roman" w:hAnsi="Times New Roman" w:cs="Times New Roman" w:eastAsia="Times New Roman" w:hint="default"/>
          <w:spacing w:val="8"/>
        </w:rPr>
        <w:t>230.968</w:t>
      </w:r>
      <w:r>
        <w:rPr>
          <w:spacing w:val="8"/>
        </w:rPr>
        <w:t>万元。转增后的股本总额为</w:t>
      </w:r>
      <w:r>
        <w:rPr>
          <w:spacing w:val="-81"/>
        </w:rPr>
        <w:t> </w:t>
      </w:r>
      <w:r>
        <w:rPr>
          <w:rFonts w:ascii="Times New Roman" w:hAnsi="Times New Roman" w:cs="Times New Roman" w:eastAsia="Times New Roman" w:hint="default"/>
        </w:rPr>
        <w:t>12,230.968</w:t>
      </w:r>
      <w:r>
        <w:rPr/>
        <w:t>万股，注册资本变更为人民币</w:t>
      </w:r>
      <w:r>
        <w:rPr>
          <w:rFonts w:ascii="Times New Roman" w:hAnsi="Times New Roman" w:cs="Times New Roman" w:eastAsia="Times New Roman" w:hint="default"/>
        </w:rPr>
        <w:t>12,230.968</w:t>
      </w:r>
      <w:r>
        <w:rPr/>
        <w:t>万元，业经北京天圆全会计师事务所有限</w:t>
      </w:r>
      <w:r>
        <w:rPr>
          <w:spacing w:val="-88"/>
        </w:rPr>
        <w:t> </w:t>
      </w:r>
      <w:r>
        <w:rPr>
          <w:spacing w:val="-88"/>
        </w:rPr>
      </w:r>
      <w:r>
        <w:rPr/>
        <w:t>公司出具天圆全验字</w:t>
      </w:r>
      <w:r>
        <w:rPr>
          <w:rFonts w:ascii="Times New Roman" w:hAnsi="Times New Roman" w:cs="Times New Roman" w:eastAsia="Times New Roman" w:hint="default"/>
        </w:rPr>
        <w:t>[2013]00120035</w:t>
      </w:r>
      <w:r>
        <w:rPr/>
        <w:t>号验资报告予以验证。</w:t>
      </w:r>
    </w:p>
    <w:p>
      <w:pPr>
        <w:pStyle w:val="BodyText"/>
        <w:spacing w:line="338" w:lineRule="auto" w:before="27"/>
        <w:ind w:right="997" w:firstLine="48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日，经公司第二届董事会第二十六次会议审议通过，以</w:t>
      </w:r>
      <w:r>
        <w:rPr>
          <w:rFonts w:ascii="Times New Roman" w:hAnsi="Times New Roman" w:cs="Times New Roman" w:eastAsia="Times New Roman" w:hint="default"/>
        </w:rPr>
        <w:t>9</w:t>
      </w:r>
      <w:r>
        <w:rPr/>
        <w:t>元</w:t>
      </w:r>
      <w:r>
        <w:rPr>
          <w:rFonts w:ascii="Times New Roman" w:hAnsi="Times New Roman" w:cs="Times New Roman" w:eastAsia="Times New Roman" w:hint="default"/>
        </w:rPr>
        <w:t>/</w:t>
      </w:r>
      <w:r>
        <w:rPr/>
        <w:t>股向激励对</w:t>
      </w:r>
      <w:r>
        <w:rPr>
          <w:spacing w:val="2"/>
        </w:rPr>
        <w:t> </w:t>
      </w:r>
      <w:r>
        <w:rPr/>
        <w:t>象定向发行限制性股票</w:t>
      </w:r>
      <w:r>
        <w:rPr>
          <w:rFonts w:ascii="Times New Roman" w:hAnsi="Times New Roman" w:cs="Times New Roman" w:eastAsia="Times New Roman" w:hint="default"/>
        </w:rPr>
        <w:t>27</w:t>
      </w:r>
      <w:r>
        <w:rPr/>
        <w:t>万股，增加注册资本</w:t>
      </w:r>
      <w:r>
        <w:rPr>
          <w:rFonts w:ascii="Times New Roman" w:hAnsi="Times New Roman" w:cs="Times New Roman" w:eastAsia="Times New Roman" w:hint="default"/>
        </w:rPr>
        <w:t>27</w:t>
      </w:r>
      <w:r>
        <w:rPr/>
        <w:t>万元，转增后的资本总额为</w:t>
      </w:r>
      <w:r>
        <w:rPr>
          <w:rFonts w:ascii="Times New Roman" w:hAnsi="Times New Roman" w:cs="Times New Roman" w:eastAsia="Times New Roman" w:hint="default"/>
        </w:rPr>
        <w:t>12,257.968</w:t>
      </w:r>
      <w:r>
        <w:rPr/>
        <w:t>万股，</w:t>
      </w:r>
      <w:r>
        <w:rPr>
          <w:spacing w:val="-90"/>
        </w:rPr>
        <w:t> </w:t>
      </w:r>
      <w:r>
        <w:rPr>
          <w:spacing w:val="-90"/>
        </w:rPr>
      </w:r>
      <w:r>
        <w:rPr/>
        <w:t>注册资本变更为人民币</w:t>
      </w:r>
      <w:r>
        <w:rPr>
          <w:rFonts w:ascii="Times New Roman" w:hAnsi="Times New Roman" w:cs="Times New Roman" w:eastAsia="Times New Roman" w:hint="default"/>
        </w:rPr>
        <w:t>12,257.968</w:t>
      </w:r>
      <w:r>
        <w:rPr/>
        <w:t>万元，业经致同会计师事务所（特殊普通合伙）出具致同验 字（</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110ZA0124</w:t>
      </w:r>
      <w:r>
        <w:rPr/>
        <w:t>号验资报告予以验证。</w:t>
      </w:r>
    </w:p>
    <w:p>
      <w:pPr>
        <w:pStyle w:val="BodyText"/>
        <w:spacing w:line="343" w:lineRule="auto" w:before="27"/>
        <w:ind w:right="1128" w:firstLine="48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日，公司第三届董事会第四次会议和第三届监事会第四次会议审议通过 了《关于回购注销部分激励对象已获授但尚未解锁的限制性股票的议案》，鉴于公司激励计</w:t>
      </w:r>
      <w:r>
        <w:rPr>
          <w:spacing w:val="-91"/>
        </w:rPr>
        <w:t> </w:t>
      </w:r>
      <w:r>
        <w:rPr>
          <w:spacing w:val="-91"/>
        </w:rPr>
      </w:r>
      <w:r>
        <w:rPr>
          <w:spacing w:val="-2"/>
        </w:rPr>
        <w:t>划原激励对象薛瑜、方亚华、杨建伟、苏志宏、高龙、王皓、刘晓娟、韩红林共计</w:t>
      </w:r>
      <w:r>
        <w:rPr>
          <w:rFonts w:ascii="Times New Roman" w:hAnsi="Times New Roman" w:cs="Times New Roman" w:eastAsia="Times New Roman" w:hint="default"/>
          <w:spacing w:val="-2"/>
        </w:rPr>
        <w:t>8</w:t>
      </w:r>
      <w:r>
        <w:rPr>
          <w:spacing w:val="-2"/>
        </w:rPr>
        <w:t>人，全部</w:t>
      </w:r>
      <w:r>
        <w:rPr/>
        <w:t> 因个人原因离职，不具备激励对象资格，公司对该等激励对象已获授但尚未解锁的全部限制</w:t>
      </w:r>
      <w:r>
        <w:rPr>
          <w:spacing w:val="-91"/>
        </w:rPr>
        <w:t> </w:t>
      </w:r>
      <w:r>
        <w:rPr>
          <w:spacing w:val="-91"/>
        </w:rPr>
      </w:r>
      <w:r>
        <w:rPr>
          <w:spacing w:val="2"/>
        </w:rPr>
        <w:t>性股票共计</w:t>
      </w:r>
      <w:r>
        <w:rPr>
          <w:rFonts w:ascii="Times New Roman" w:hAnsi="Times New Roman" w:cs="Times New Roman" w:eastAsia="Times New Roman" w:hint="default"/>
          <w:spacing w:val="2"/>
        </w:rPr>
        <w:t>14.5</w:t>
      </w:r>
      <w:r>
        <w:rPr>
          <w:spacing w:val="2"/>
        </w:rPr>
        <w:t>万股进行回购注销，以</w:t>
      </w:r>
      <w:r>
        <w:rPr>
          <w:rFonts w:ascii="Times New Roman" w:hAnsi="Times New Roman" w:cs="Times New Roman" w:eastAsia="Times New Roman" w:hint="default"/>
          <w:spacing w:val="2"/>
        </w:rPr>
        <w:t>5.99</w:t>
      </w:r>
      <w:r>
        <w:rPr>
          <w:spacing w:val="2"/>
        </w:rPr>
        <w:t>元</w:t>
      </w:r>
      <w:r>
        <w:rPr>
          <w:rFonts w:ascii="Times New Roman" w:hAnsi="Times New Roman" w:cs="Times New Roman" w:eastAsia="Times New Roman" w:hint="default"/>
          <w:spacing w:val="2"/>
        </w:rPr>
        <w:t>/</w:t>
      </w:r>
      <w:r>
        <w:rPr>
          <w:spacing w:val="2"/>
        </w:rPr>
        <w:t>股回购</w:t>
      </w:r>
      <w:r>
        <w:rPr>
          <w:rFonts w:ascii="Times New Roman" w:hAnsi="Times New Roman" w:cs="Times New Roman" w:eastAsia="Times New Roman" w:hint="default"/>
          <w:spacing w:val="2"/>
        </w:rPr>
        <w:t>8</w:t>
      </w:r>
      <w:r>
        <w:rPr>
          <w:spacing w:val="2"/>
        </w:rPr>
        <w:t>名股权激励对象所持限制性股票</w:t>
      </w:r>
      <w:r>
        <w:rPr>
          <w:rFonts w:ascii="Times New Roman" w:hAnsi="Times New Roman" w:cs="Times New Roman" w:eastAsia="Times New Roman" w:hint="default"/>
          <w:spacing w:val="2"/>
        </w:rPr>
        <w:t>14.50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万股，减少注册资本</w:t>
      </w:r>
      <w:r>
        <w:rPr>
          <w:rFonts w:ascii="Times New Roman" w:hAnsi="Times New Roman" w:cs="Times New Roman" w:eastAsia="Times New Roman" w:hint="default"/>
        </w:rPr>
        <w:t>14.50</w:t>
      </w:r>
      <w:r>
        <w:rPr/>
        <w:t>万元。注销后股本总额为</w:t>
      </w:r>
      <w:r>
        <w:rPr>
          <w:rFonts w:ascii="Times New Roman" w:hAnsi="Times New Roman" w:cs="Times New Roman" w:eastAsia="Times New Roman" w:hint="default"/>
        </w:rPr>
        <w:t>12,243.468</w:t>
      </w:r>
      <w:r>
        <w:rPr/>
        <w:t>万股，注册资本变更为人民币</w:t>
      </w:r>
      <w:r>
        <w:rPr>
          <w:spacing w:val="-34"/>
        </w:rPr>
        <w:t> </w:t>
      </w:r>
      <w:r>
        <w:rPr>
          <w:spacing w:val="-34"/>
        </w:rPr>
      </w:r>
      <w:r>
        <w:rPr>
          <w:rFonts w:ascii="Times New Roman" w:hAnsi="Times New Roman" w:cs="Times New Roman" w:eastAsia="Times New Roman" w:hint="default"/>
          <w:spacing w:val="-6"/>
        </w:rPr>
        <w:t>12,243.468</w:t>
      </w:r>
      <w:r>
        <w:rPr>
          <w:spacing w:val="-6"/>
        </w:rPr>
        <w:t>万元，业经致同会计师事务所（特殊普通合伙）出具致同验字（</w:t>
      </w:r>
      <w:r>
        <w:rPr>
          <w:rFonts w:ascii="Times New Roman" w:hAnsi="Times New Roman" w:cs="Times New Roman" w:eastAsia="Times New Roman" w:hint="default"/>
          <w:spacing w:val="-6"/>
        </w:rPr>
        <w:t>2014</w:t>
      </w:r>
      <w:r>
        <w:rPr>
          <w:spacing w:val="-6"/>
        </w:rPr>
        <w:t>）第</w:t>
      </w:r>
      <w:r>
        <w:rPr>
          <w:rFonts w:ascii="Times New Roman" w:hAnsi="Times New Roman" w:cs="Times New Roman" w:eastAsia="Times New Roman" w:hint="default"/>
          <w:spacing w:val="-6"/>
        </w:rPr>
        <w:t>110ZC0359</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号验资报告予以验证。</w:t>
      </w:r>
    </w:p>
    <w:p>
      <w:pPr>
        <w:pStyle w:val="BodyText"/>
        <w:spacing w:line="338" w:lineRule="auto" w:before="51"/>
        <w:ind w:right="997" w:firstLine="480"/>
        <w:jc w:val="left"/>
      </w:pPr>
      <w:r>
        <w:rPr>
          <w:rFonts w:ascii="Times New Roman" w:hAnsi="Times New Roman" w:cs="Times New Roman" w:eastAsia="Times New Roman" w:hint="default"/>
        </w:rPr>
        <w:t>6</w:t>
      </w:r>
      <w:r>
        <w:rPr/>
        <w:t>．根据公司</w:t>
      </w:r>
      <w:r>
        <w:rPr>
          <w:rFonts w:ascii="Times New Roman" w:hAnsi="Times New Roman" w:cs="Times New Roman" w:eastAsia="Times New Roman" w:hint="default"/>
        </w:rPr>
        <w:t>2014</w:t>
      </w:r>
      <w:r>
        <w:rPr/>
        <w:t>年度股东大会审议通过的《</w:t>
      </w:r>
      <w:r>
        <w:rPr>
          <w:rFonts w:ascii="Times New Roman" w:hAnsi="Times New Roman" w:cs="Times New Roman" w:eastAsia="Times New Roman" w:hint="default"/>
        </w:rPr>
        <w:t>2014</w:t>
      </w:r>
      <w:r>
        <w:rPr/>
        <w:t>年度利润分配预案》，以截止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日公司总股本</w:t>
      </w:r>
      <w:r>
        <w:rPr>
          <w:rFonts w:ascii="Times New Roman" w:hAnsi="Times New Roman" w:cs="Times New Roman" w:eastAsia="Times New Roman" w:hint="default"/>
        </w:rPr>
        <w:t>122,434,680</w:t>
      </w:r>
      <w:r>
        <w:rPr/>
        <w:t>股为基数，向全体股东以每</w:t>
      </w:r>
      <w:r>
        <w:rPr>
          <w:rFonts w:ascii="Times New Roman" w:hAnsi="Times New Roman" w:cs="Times New Roman" w:eastAsia="Times New Roman" w:hint="default"/>
        </w:rPr>
        <w:t>10</w:t>
      </w:r>
      <w:r>
        <w:rPr/>
        <w:t>股派人民币现金</w:t>
      </w:r>
      <w:r>
        <w:rPr>
          <w:rFonts w:ascii="Times New Roman" w:hAnsi="Times New Roman" w:cs="Times New Roman" w:eastAsia="Times New Roman" w:hint="default"/>
        </w:rPr>
        <w:t>1 </w:t>
      </w:r>
      <w:r>
        <w:rPr>
          <w:spacing w:val="2"/>
        </w:rPr>
        <w:t>元（含税），</w:t>
      </w:r>
      <w:r>
        <w:rPr>
          <w:spacing w:val="-107"/>
        </w:rPr>
        <w:t> </w:t>
      </w:r>
      <w:r>
        <w:rPr/>
        <w:t>共计派发现金</w:t>
      </w:r>
      <w:r>
        <w:rPr>
          <w:rFonts w:ascii="Times New Roman" w:hAnsi="Times New Roman" w:cs="Times New Roman" w:eastAsia="Times New Roman" w:hint="default"/>
        </w:rPr>
        <w:t>12,243,468.00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6"/>
        </w:rPr>
        <w:t>股。上述利润分</w:t>
      </w:r>
      <w:r>
        <w:rPr/>
        <w:t> 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日实施完毕，公司总股本增至</w:t>
      </w:r>
      <w:r>
        <w:rPr>
          <w:rFonts w:ascii="Times New Roman" w:hAnsi="Times New Roman" w:cs="Times New Roman" w:eastAsia="Times New Roman" w:hint="default"/>
        </w:rPr>
        <w:t>195,895,488</w:t>
      </w:r>
      <w:r>
        <w:rPr>
          <w:rFonts w:ascii="Times New Roman" w:hAnsi="Times New Roman" w:cs="Times New Roman" w:eastAsia="Times New Roman" w:hint="default"/>
          <w:spacing w:val="35"/>
        </w:rPr>
        <w:t> </w:t>
      </w:r>
      <w:r>
        <w:rPr/>
        <w:t>股。</w:t>
      </w:r>
    </w:p>
    <w:p>
      <w:pPr>
        <w:pStyle w:val="BodyText"/>
        <w:spacing w:line="338" w:lineRule="auto" w:before="27"/>
        <w:ind w:right="1138" w:firstLine="48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日，公司第三届董事会第十一次会议审议通过了《关于回购注销部分激 励对象已获授但尚未解锁的限制性股票的议案》，鉴于公司激励计划原激励对象邹继媛、史</w:t>
      </w:r>
    </w:p>
    <w:p>
      <w:pPr>
        <w:spacing w:after="0" w:line="338"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right="1129"/>
        <w:jc w:val="both"/>
      </w:pPr>
      <w:r>
        <w:rPr>
          <w:spacing w:val="-2"/>
        </w:rPr>
        <w:t>大伟、范新国和仇巍巍</w:t>
      </w:r>
      <w:r>
        <w:rPr>
          <w:rFonts w:ascii="Times New Roman" w:hAnsi="Times New Roman" w:cs="Times New Roman" w:eastAsia="Times New Roman" w:hint="default"/>
          <w:spacing w:val="-2"/>
        </w:rPr>
        <w:t>4</w:t>
      </w:r>
      <w:r>
        <w:rPr>
          <w:spacing w:val="-2"/>
        </w:rPr>
        <w:t>人全部因个人原因离职，不具备激励对象资格，公司对该等激励对象</w:t>
      </w:r>
      <w:r>
        <w:rPr/>
        <w:t> 已获授但尚未解锁的全部限制性股票回购注销；本次回购注销股票</w:t>
      </w:r>
      <w:r>
        <w:rPr>
          <w:rFonts w:ascii="Times New Roman" w:hAnsi="Times New Roman" w:cs="Times New Roman" w:eastAsia="Times New Roman" w:hint="default"/>
        </w:rPr>
        <w:t>73,818</w:t>
      </w:r>
      <w:r>
        <w:rPr/>
        <w:t>股，公司总股本将</w:t>
      </w:r>
      <w:r>
        <w:rPr>
          <w:spacing w:val="-37"/>
        </w:rPr>
        <w:t> </w:t>
      </w:r>
      <w:r>
        <w:rPr/>
        <w:t>从</w:t>
      </w:r>
      <w:r>
        <w:rPr>
          <w:rFonts w:ascii="Times New Roman" w:hAnsi="Times New Roman" w:cs="Times New Roman" w:eastAsia="Times New Roman" w:hint="default"/>
        </w:rPr>
        <w:t>195,895,488.00  </w:t>
      </w:r>
      <w:r>
        <w:rPr/>
        <w:t>股变更为 </w:t>
      </w:r>
      <w:r>
        <w:rPr>
          <w:rFonts w:ascii="Times New Roman" w:hAnsi="Times New Roman" w:cs="Times New Roman" w:eastAsia="Times New Roman" w:hint="default"/>
        </w:rPr>
        <w:t>195,821,670.00</w:t>
      </w:r>
      <w:r>
        <w:rPr>
          <w:rFonts w:ascii="Times New Roman" w:hAnsi="Times New Roman" w:cs="Times New Roman" w:eastAsia="Times New Roman" w:hint="default"/>
          <w:spacing w:val="-13"/>
        </w:rPr>
        <w:t> </w:t>
      </w:r>
      <w:r>
        <w:rPr/>
        <w:t>股。</w:t>
      </w:r>
    </w:p>
    <w:p>
      <w:pPr>
        <w:pStyle w:val="BodyText"/>
        <w:spacing w:line="343" w:lineRule="auto" w:before="27"/>
        <w:ind w:right="1005" w:firstLine="48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月，公司根据中国证券监督管理委员会于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日下发的《关于核准北 京超图软件股份有限公司向孙在宏等发行股份购买资产并募集配套资金的批复》（证监许可</w:t>
      </w:r>
      <w:r>
        <w:rPr>
          <w:spacing w:val="-91"/>
        </w:rPr>
        <w:t> </w:t>
      </w:r>
      <w:r>
        <w:rPr>
          <w:spacing w:val="-91"/>
        </w:rPr>
      </w:r>
      <w:r>
        <w:rPr>
          <w:rFonts w:ascii="Times New Roman" w:hAnsi="Times New Roman" w:cs="Times New Roman" w:eastAsia="Times New Roman" w:hint="default"/>
        </w:rPr>
        <w:t>[2016]824</w:t>
      </w:r>
      <w:r>
        <w:rPr/>
        <w:t>号）文件的批复，进行了重大资产重组。重组方案为公司向南京国图信息产业有限 </w:t>
      </w:r>
      <w:r>
        <w:rPr>
          <w:spacing w:val="-4"/>
        </w:rPr>
        <w:t>公司（以下简称南京国图公司）股东发行股份及支付现金的方式收购南京国图公司</w:t>
      </w:r>
      <w:r>
        <w:rPr>
          <w:rFonts w:ascii="Times New Roman" w:hAnsi="Times New Roman" w:cs="Times New Roman" w:eastAsia="Times New Roman" w:hint="default"/>
          <w:spacing w:val="-4"/>
        </w:rPr>
        <w:t>100%</w:t>
      </w:r>
      <w:r>
        <w:rPr>
          <w:spacing w:val="-4"/>
        </w:rPr>
        <w:t>股权，</w:t>
      </w:r>
      <w:r>
        <w:rPr>
          <w:spacing w:val="-112"/>
        </w:rPr>
        <w:t> </w:t>
      </w:r>
      <w:r>
        <w:rPr/>
        <w:t>同时非公开发行不超过</w:t>
      </w:r>
      <w:r>
        <w:rPr>
          <w:rFonts w:ascii="Times New Roman" w:hAnsi="Times New Roman" w:cs="Times New Roman" w:eastAsia="Times New Roman" w:hint="default"/>
        </w:rPr>
        <w:t>16,756,173</w:t>
      </w:r>
      <w:r>
        <w:rPr/>
        <w:t>股新股募集本次发行股份购买资产的配套资金。</w:t>
      </w:r>
    </w:p>
    <w:p>
      <w:pPr>
        <w:pStyle w:val="BodyText"/>
        <w:spacing w:line="340" w:lineRule="auto" w:before="22"/>
        <w:ind w:right="1050" w:firstLine="480"/>
        <w:jc w:val="both"/>
      </w:pPr>
      <w:r>
        <w:rPr>
          <w:rFonts w:ascii="Times New Roman" w:hAnsi="Times New Roman" w:cs="Times New Roman" w:eastAsia="Times New Roman" w:hint="default"/>
          <w:spacing w:val="-8"/>
        </w:rPr>
        <w:t>9</w:t>
      </w:r>
      <w:r>
        <w:rPr>
          <w:spacing w:val="-8"/>
        </w:rPr>
        <w:t>．</w:t>
      </w:r>
      <w:r>
        <w:rPr>
          <w:rFonts w:ascii="Times New Roman" w:hAnsi="Times New Roman" w:cs="Times New Roman" w:eastAsia="Times New Roman" w:hint="default"/>
          <w:spacing w:val="-8"/>
        </w:rPr>
        <w:t>2016</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15</w:t>
      </w:r>
      <w:r>
        <w:rPr>
          <w:spacing w:val="-8"/>
        </w:rPr>
        <w:t>日，经公司股东大会批准，以资本公积金向全体股东每 </w:t>
      </w:r>
      <w:r>
        <w:rPr>
          <w:rFonts w:ascii="Times New Roman" w:hAnsi="Times New Roman" w:cs="Times New Roman" w:eastAsia="Times New Roman" w:hint="default"/>
        </w:rPr>
        <w:t>10 </w:t>
      </w:r>
      <w:r>
        <w:rPr/>
        <w:t>股转增</w:t>
      </w:r>
      <w:r>
        <w:rPr>
          <w:spacing w:val="-43"/>
        </w:rPr>
        <w:t> </w:t>
      </w:r>
      <w:r>
        <w:rPr>
          <w:rFonts w:ascii="Times New Roman" w:hAnsi="Times New Roman" w:cs="Times New Roman" w:eastAsia="Times New Roman" w:hint="default"/>
        </w:rPr>
        <w:t>10</w:t>
      </w:r>
      <w:r>
        <w:rPr/>
        <w:t>股。 本次权益分派</w:t>
      </w:r>
      <w:r>
        <w:rPr>
          <w:rFonts w:ascii="Times New Roman" w:hAnsi="Times New Roman" w:cs="Times New Roman" w:eastAsia="Times New Roman" w:hint="default"/>
        </w:rPr>
        <w:t>19,582.1670</w:t>
      </w:r>
      <w:r>
        <w:rPr/>
        <w:t>万股，公司增加注册资本</w:t>
      </w:r>
      <w:r>
        <w:rPr>
          <w:rFonts w:ascii="Times New Roman" w:hAnsi="Times New Roman" w:cs="Times New Roman" w:eastAsia="Times New Roman" w:hint="default"/>
        </w:rPr>
        <w:t>19,582.1670</w:t>
      </w:r>
      <w:r>
        <w:rPr/>
        <w:t>万元。公司在上述分红派息方</w:t>
      </w:r>
      <w:r>
        <w:rPr>
          <w:spacing w:val="-84"/>
        </w:rPr>
        <w:t> </w:t>
      </w:r>
      <w:r>
        <w:rPr>
          <w:spacing w:val="-84"/>
        </w:rPr>
      </w:r>
      <w:r>
        <w:rPr/>
        <w:t>案实施完毕后，将本次非公开发行股票购买资产的发行价格和发行数量相应进行调整，调整</w:t>
      </w:r>
      <w:r>
        <w:rPr>
          <w:spacing w:val="-91"/>
        </w:rPr>
        <w:t> </w:t>
      </w:r>
      <w:r>
        <w:rPr>
          <w:spacing w:val="-91"/>
        </w:rPr>
      </w:r>
      <w:r>
        <w:rPr>
          <w:spacing w:val="-2"/>
        </w:rPr>
        <w:t>后实际发行数量为</w:t>
      </w:r>
      <w:r>
        <w:rPr>
          <w:rFonts w:ascii="Times New Roman" w:hAnsi="Times New Roman" w:cs="Times New Roman" w:eastAsia="Times New Roman" w:hint="default"/>
          <w:spacing w:val="-2"/>
        </w:rPr>
        <w:t>2,431.4946</w:t>
      </w:r>
      <w:r>
        <w:rPr>
          <w:spacing w:val="-2"/>
        </w:rPr>
        <w:t>万股，同时非公开发行股票募集配套资金发行的股数调整后实际</w:t>
      </w:r>
      <w:r>
        <w:rPr>
          <w:spacing w:val="-111"/>
        </w:rPr>
        <w:t> </w:t>
      </w:r>
      <w:r>
        <w:rPr>
          <w:spacing w:val="-111"/>
        </w:rPr>
      </w:r>
      <w:r>
        <w:rPr>
          <w:spacing w:val="-4"/>
        </w:rPr>
        <w:t>发行数量为</w:t>
      </w:r>
      <w:r>
        <w:rPr>
          <w:rFonts w:ascii="Times New Roman" w:hAnsi="Times New Roman" w:cs="Times New Roman" w:eastAsia="Times New Roman" w:hint="default"/>
          <w:spacing w:val="-4"/>
        </w:rPr>
        <w:t>3,362.0681</w:t>
      </w:r>
      <w:r>
        <w:rPr>
          <w:spacing w:val="-4"/>
        </w:rPr>
        <w:t>万股，共计</w:t>
      </w:r>
      <w:r>
        <w:rPr>
          <w:rFonts w:ascii="Times New Roman" w:hAnsi="Times New Roman" w:cs="Times New Roman" w:eastAsia="Times New Roman" w:hint="default"/>
          <w:spacing w:val="-4"/>
        </w:rPr>
        <w:t>5,793.5627</w:t>
      </w:r>
      <w:r>
        <w:rPr>
          <w:spacing w:val="-4"/>
        </w:rPr>
        <w:t>万股。本次发行后公司股份数量为</w:t>
      </w:r>
      <w:r>
        <w:rPr>
          <w:rFonts w:ascii="Times New Roman" w:hAnsi="Times New Roman" w:cs="Times New Roman" w:eastAsia="Times New Roman" w:hint="default"/>
          <w:spacing w:val="-4"/>
        </w:rPr>
        <w:t>449,578,967</w:t>
      </w:r>
      <w:r>
        <w:rPr>
          <w:spacing w:val="-4"/>
        </w:rPr>
        <w:t>股。</w:t>
      </w:r>
      <w:r>
        <w:rPr>
          <w:spacing w:val="-91"/>
        </w:rPr>
        <w:t> </w:t>
      </w:r>
      <w:r>
        <w:rPr/>
        <w:t>本次配套融资部分募集资金总额为</w:t>
      </w:r>
      <w:r>
        <w:rPr>
          <w:rFonts w:ascii="Times New Roman" w:hAnsi="Times New Roman" w:cs="Times New Roman" w:eastAsia="Times New Roman" w:hint="default"/>
        </w:rPr>
        <w:t>467,999,879.52</w:t>
      </w:r>
      <w:r>
        <w:rPr/>
        <w:t>元，扣除发行费用</w:t>
      </w:r>
      <w:r>
        <w:rPr>
          <w:rFonts w:ascii="Times New Roman" w:hAnsi="Times New Roman" w:cs="Times New Roman" w:eastAsia="Times New Roman" w:hint="default"/>
        </w:rPr>
        <w:t>10,357,935.63</w:t>
      </w:r>
      <w:r>
        <w:rPr/>
        <w:t>元，募集资</w:t>
      </w:r>
      <w:r>
        <w:rPr>
          <w:spacing w:val="-85"/>
        </w:rPr>
        <w:t> </w:t>
      </w:r>
      <w:r>
        <w:rPr>
          <w:spacing w:val="-85"/>
        </w:rPr>
      </w:r>
      <w:r>
        <w:rPr/>
        <w:t>金净额为人民币</w:t>
      </w:r>
      <w:r>
        <w:rPr>
          <w:rFonts w:ascii="Times New Roman" w:hAnsi="Times New Roman" w:cs="Times New Roman" w:eastAsia="Times New Roman" w:hint="default"/>
        </w:rPr>
        <w:t>457,641,943.89</w:t>
      </w:r>
      <w:r>
        <w:rPr/>
        <w:t>元。本次重组交易完成后股本总额为</w:t>
      </w:r>
      <w:r>
        <w:rPr>
          <w:rFonts w:ascii="Times New Roman" w:hAnsi="Times New Roman" w:cs="Times New Roman" w:eastAsia="Times New Roman" w:hint="default"/>
        </w:rPr>
        <w:t>44,957.8967</w:t>
      </w:r>
      <w:r>
        <w:rPr/>
        <w:t>万股，注册资 </w:t>
      </w:r>
      <w:r>
        <w:rPr>
          <w:spacing w:val="-6"/>
        </w:rPr>
        <w:t>本变更为人民币</w:t>
      </w:r>
      <w:r>
        <w:rPr>
          <w:rFonts w:ascii="Times New Roman" w:hAnsi="Times New Roman" w:cs="Times New Roman" w:eastAsia="Times New Roman" w:hint="default"/>
          <w:spacing w:val="-6"/>
        </w:rPr>
        <w:t>44,957.8967</w:t>
      </w:r>
      <w:r>
        <w:rPr>
          <w:spacing w:val="-6"/>
        </w:rPr>
        <w:t>万元，业经致同会计师事务所（特殊普通合伙）出具致同验字</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第</w:t>
      </w:r>
      <w:r>
        <w:rPr>
          <w:rFonts w:ascii="Times New Roman" w:hAnsi="Times New Roman" w:cs="Times New Roman" w:eastAsia="Times New Roman" w:hint="default"/>
        </w:rPr>
        <w:t>110ZC0399</w:t>
      </w:r>
      <w:r>
        <w:rPr/>
        <w:t>号验资报告予以验证。</w:t>
      </w:r>
    </w:p>
    <w:p>
      <w:pPr>
        <w:pStyle w:val="BodyText"/>
        <w:spacing w:line="338" w:lineRule="auto" w:before="24"/>
        <w:ind w:right="1128" w:firstLine="480"/>
        <w:jc w:val="both"/>
      </w:pPr>
      <w:r>
        <w:rPr>
          <w:rFonts w:ascii="Times New Roman" w:hAnsi="Times New Roman" w:cs="Times New Roman" w:eastAsia="Times New Roman" w:hint="default"/>
          <w:spacing w:val="-2"/>
        </w:rPr>
        <w:t>10</w:t>
      </w:r>
      <w:r>
        <w:rPr>
          <w:spacing w:val="-2"/>
        </w:rPr>
        <w:t>．根据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w:t>
      </w:r>
      <w:r>
        <w:rPr>
          <w:spacing w:val="-2"/>
        </w:rPr>
        <w:t>日第四届董事会第三次会议决议以及修改后的章程规定，鉴于公司</w:t>
      </w:r>
      <w:r>
        <w:rPr/>
        <w:t> </w:t>
      </w:r>
      <w:r>
        <w:rPr>
          <w:spacing w:val="-2"/>
        </w:rPr>
        <w:t>激励对象黄骞、林彬和孙培基</w:t>
      </w:r>
      <w:r>
        <w:rPr>
          <w:rFonts w:ascii="Times New Roman" w:hAnsi="Times New Roman" w:cs="Times New Roman" w:eastAsia="Times New Roman" w:hint="default"/>
          <w:spacing w:val="-2"/>
        </w:rPr>
        <w:t>3</w:t>
      </w:r>
      <w:r>
        <w:rPr>
          <w:spacing w:val="-2"/>
        </w:rPr>
        <w:t>人已不符合激励条件，公司回购注销其已获授尚未解锁的限制</w:t>
      </w:r>
      <w:r>
        <w:rPr/>
        <w:t> 性股票</w:t>
      </w:r>
      <w:r>
        <w:rPr>
          <w:rFonts w:ascii="Times New Roman" w:hAnsi="Times New Roman" w:cs="Times New Roman" w:eastAsia="Times New Roman" w:hint="default"/>
        </w:rPr>
        <w:t>4.16</w:t>
      </w:r>
      <w:r>
        <w:rPr/>
        <w:t>万股，申请减少注册资本人民币</w:t>
      </w:r>
      <w:r>
        <w:rPr>
          <w:rFonts w:ascii="Times New Roman" w:hAnsi="Times New Roman" w:cs="Times New Roman" w:eastAsia="Times New Roman" w:hint="default"/>
        </w:rPr>
        <w:t>4.16</w:t>
      </w:r>
      <w:r>
        <w:rPr/>
        <w:t>万元，实收资本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4.16</w:t>
      </w:r>
      <w:r>
        <w:rPr/>
        <w:t>万元。变更</w:t>
      </w:r>
      <w:r>
        <w:rPr>
          <w:spacing w:val="-70"/>
        </w:rPr>
        <w:t> </w:t>
      </w:r>
      <w:r>
        <w:rPr>
          <w:spacing w:val="-70"/>
        </w:rPr>
      </w:r>
      <w:r>
        <w:rPr/>
        <w:t>后公司的股本为人民币</w:t>
      </w:r>
      <w:r>
        <w:rPr>
          <w:rFonts w:ascii="Times New Roman" w:hAnsi="Times New Roman" w:cs="Times New Roman" w:eastAsia="Times New Roman" w:hint="default"/>
        </w:rPr>
        <w:t>44,953.7367</w:t>
      </w:r>
      <w:r>
        <w:rPr/>
        <w:t>万元。该次注册资本变更业经中汇会计师事务所（特殊普</w:t>
      </w:r>
      <w:r>
        <w:rPr>
          <w:spacing w:val="-88"/>
        </w:rPr>
        <w:t> </w:t>
      </w:r>
      <w:r>
        <w:rPr>
          <w:spacing w:val="-88"/>
        </w:rPr>
      </w:r>
      <w:r>
        <w:rPr/>
        <w:t>通合伙）审验，并于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日出具中汇会验</w:t>
      </w:r>
      <w:r>
        <w:rPr>
          <w:rFonts w:ascii="Times New Roman" w:hAnsi="Times New Roman" w:cs="Times New Roman" w:eastAsia="Times New Roman" w:hint="default"/>
        </w:rPr>
        <w:t>[2018]0034</w:t>
      </w:r>
      <w:r>
        <w:rPr/>
        <w:t>号验资报告。</w:t>
      </w:r>
    </w:p>
    <w:p>
      <w:pPr>
        <w:pStyle w:val="BodyText"/>
        <w:spacing w:line="338" w:lineRule="auto" w:before="27"/>
        <w:ind w:left="633" w:right="1116"/>
        <w:jc w:val="left"/>
      </w:pPr>
      <w:r>
        <w:rPr/>
        <w:t>公司股票代码：</w:t>
      </w:r>
      <w:r>
        <w:rPr>
          <w:rFonts w:ascii="Times New Roman" w:hAnsi="Times New Roman" w:cs="Times New Roman" w:eastAsia="Times New Roman" w:hint="default"/>
        </w:rPr>
        <w:t>300036 </w:t>
      </w:r>
      <w:r>
        <w:rPr/>
        <w:t>公司注册地：北京市朝阳区酒仙桥北路甲</w:t>
      </w:r>
      <w:r>
        <w:rPr>
          <w:rFonts w:ascii="Times New Roman" w:hAnsi="Times New Roman" w:cs="Times New Roman" w:eastAsia="Times New Roman" w:hint="default"/>
        </w:rPr>
        <w:t>10</w:t>
      </w:r>
      <w:r>
        <w:rPr/>
        <w:t>号院电子城</w:t>
      </w:r>
      <w:r>
        <w:rPr>
          <w:rFonts w:ascii="Times New Roman" w:hAnsi="Times New Roman" w:cs="Times New Roman" w:eastAsia="Times New Roman" w:hint="default"/>
        </w:rPr>
        <w:t>IT</w:t>
      </w:r>
      <w:r>
        <w:rPr/>
        <w:t>产业园</w:t>
      </w:r>
      <w:r>
        <w:rPr>
          <w:rFonts w:ascii="Times New Roman" w:hAnsi="Times New Roman" w:cs="Times New Roman" w:eastAsia="Times New Roman" w:hint="default"/>
        </w:rPr>
        <w:t>107</w:t>
      </w:r>
      <w:r>
        <w:rPr/>
        <w:t>楼</w:t>
      </w:r>
      <w:r>
        <w:rPr>
          <w:rFonts w:ascii="Times New Roman" w:hAnsi="Times New Roman" w:cs="Times New Roman" w:eastAsia="Times New Roman" w:hint="default"/>
        </w:rPr>
        <w:t>6</w:t>
      </w:r>
      <w:r>
        <w:rPr/>
        <w:t>层；统一社会信</w:t>
      </w:r>
    </w:p>
    <w:p>
      <w:pPr>
        <w:pStyle w:val="BodyText"/>
        <w:spacing w:line="338" w:lineRule="auto" w:before="27"/>
        <w:ind w:left="633" w:right="1116" w:hanging="480"/>
        <w:jc w:val="left"/>
      </w:pPr>
      <w:r>
        <w:rPr/>
        <w:t>用代码：</w:t>
      </w:r>
      <w:r>
        <w:rPr>
          <w:rFonts w:ascii="Times New Roman" w:hAnsi="Times New Roman" w:cs="Times New Roman" w:eastAsia="Times New Roman" w:hint="default"/>
        </w:rPr>
        <w:t>911100006330248381</w:t>
      </w:r>
      <w:r>
        <w:rPr/>
        <w:t>；法定代表人：钟耳顺。 本公司的基本组织架构：根据国家法律法规和公司章程的规定，建立了由股东大会、董</w:t>
      </w:r>
    </w:p>
    <w:p>
      <w:pPr>
        <w:pStyle w:val="BodyText"/>
        <w:spacing w:line="357" w:lineRule="auto" w:before="55"/>
        <w:ind w:right="1132"/>
        <w:jc w:val="both"/>
      </w:pPr>
      <w:r>
        <w:rPr/>
        <w:t>事会、监事会及经营管理层组成的规范的多层次治理结构；董事会下设战略委员会、审计委</w:t>
      </w:r>
      <w:r>
        <w:rPr>
          <w:spacing w:val="-86"/>
        </w:rPr>
        <w:t> </w:t>
      </w:r>
      <w:r>
        <w:rPr>
          <w:spacing w:val="-86"/>
        </w:rPr>
      </w:r>
      <w:r>
        <w:rPr>
          <w:spacing w:val="-5"/>
        </w:rPr>
        <w:t>员会、薪酬与考核委员会、提名委员会等四个专门委员会和董事会办公室。公司下设行政部、</w:t>
      </w:r>
      <w:r>
        <w:rPr/>
        <w:t> </w:t>
      </w:r>
      <w:r>
        <w:rPr>
          <w:spacing w:val="-5"/>
        </w:rPr>
        <w:t>财务部、人力资源部、内控部、证券部、研究院、平台事业群、国际业务群、大数据业务群、</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16" w:hanging="480"/>
        <w:jc w:val="left"/>
      </w:pPr>
      <w:r>
        <w:rPr/>
        <w:t>应用事业群等主要职能部门和业务单元。 </w:t>
      </w:r>
      <w:r>
        <w:rPr>
          <w:spacing w:val="-6"/>
        </w:rPr>
        <w:t>本公司属于科学研究和技术服务业。经营范围为：地理信息系统、遥感、全球定位系统、</w:t>
      </w:r>
    </w:p>
    <w:p>
      <w:pPr>
        <w:pStyle w:val="BodyText"/>
        <w:spacing w:line="345" w:lineRule="auto"/>
        <w:ind w:right="1131"/>
        <w:jc w:val="both"/>
        <w:rPr>
          <w:rFonts w:ascii="Times New Roman" w:hAnsi="Times New Roman" w:cs="Times New Roman" w:eastAsia="Times New Roman" w:hint="default"/>
        </w:rPr>
      </w:pPr>
      <w:r>
        <w:rPr/>
        <w:t>办公自动化软件技术开发、技术咨询、技术转让、技术服务；电子计算机系统集成；销售开</w:t>
      </w:r>
      <w:r>
        <w:rPr>
          <w:spacing w:val="-91"/>
        </w:rPr>
        <w:t> </w:t>
      </w:r>
      <w:r>
        <w:rPr>
          <w:spacing w:val="-91"/>
        </w:rPr>
      </w:r>
      <w:r>
        <w:rPr/>
        <w:t>发后的产品；经营本企业和成员企业自产产品及技术出口业务；本企业和成员企业所需的原</w:t>
      </w:r>
      <w:r>
        <w:rPr>
          <w:spacing w:val="-91"/>
        </w:rPr>
        <w:t> </w:t>
      </w:r>
      <w:r>
        <w:rPr>
          <w:spacing w:val="-91"/>
        </w:rPr>
      </w:r>
      <w:r>
        <w:rPr>
          <w:spacing w:val="-2"/>
        </w:rPr>
        <w:t>辅材料、机械设备、仪器仪表、零配件及技术的进口业务</w:t>
      </w:r>
      <w:r>
        <w:rPr>
          <w:rFonts w:ascii="Times New Roman" w:hAnsi="Times New Roman" w:cs="Times New Roman" w:eastAsia="Times New Roman" w:hint="default"/>
          <w:spacing w:val="-2"/>
        </w:rPr>
        <w:t>(</w:t>
      </w:r>
      <w:r>
        <w:rPr>
          <w:spacing w:val="-2"/>
        </w:rPr>
        <w:t>国家限定公司经营和国家禁止进出</w:t>
      </w:r>
      <w:r>
        <w:rPr>
          <w:spacing w:val="-84"/>
        </w:rPr>
        <w:t> </w:t>
      </w:r>
      <w:r>
        <w:rPr>
          <w:spacing w:val="2"/>
        </w:rPr>
        <w:t>口的商品除外</w:t>
      </w:r>
      <w:r>
        <w:rPr>
          <w:rFonts w:ascii="Times New Roman" w:hAnsi="Times New Roman" w:cs="Times New Roman" w:eastAsia="Times New Roman" w:hint="default"/>
          <w:spacing w:val="2"/>
        </w:rPr>
        <w:t>)</w:t>
      </w:r>
      <w:r>
        <w:rPr>
          <w:spacing w:val="2"/>
        </w:rPr>
        <w:t>；经营进料加工和三来一补业务；技术培训；出租办公用房。</w:t>
      </w:r>
      <w:r>
        <w:rPr>
          <w:rFonts w:ascii="Times New Roman" w:hAnsi="Times New Roman" w:cs="Times New Roman" w:eastAsia="Times New Roman" w:hint="default"/>
          <w:spacing w:val="2"/>
        </w:rPr>
        <w:t>(</w:t>
      </w:r>
      <w:r>
        <w:rPr>
          <w:spacing w:val="2"/>
        </w:rPr>
        <w:t>企业依法自主</w:t>
      </w:r>
      <w:r>
        <w:rPr>
          <w:spacing w:val="-96"/>
        </w:rPr>
        <w:t> </w:t>
      </w:r>
      <w:r>
        <w:rPr>
          <w:spacing w:val="-96"/>
        </w:rPr>
      </w:r>
      <w:r>
        <w:rPr>
          <w:spacing w:val="-2"/>
        </w:rPr>
        <w:t>选择经营项目</w:t>
      </w:r>
      <w:r>
        <w:rPr>
          <w:rFonts w:ascii="Times New Roman" w:hAnsi="Times New Roman" w:cs="Times New Roman" w:eastAsia="Times New Roman" w:hint="default"/>
          <w:spacing w:val="-2"/>
        </w:rPr>
        <w:t>,</w:t>
      </w:r>
      <w:r>
        <w:rPr>
          <w:spacing w:val="-2"/>
        </w:rPr>
        <w:t>开展经营活动；依法须经批准的项目</w:t>
      </w:r>
      <w:r>
        <w:rPr>
          <w:rFonts w:ascii="Times New Roman" w:hAnsi="Times New Roman" w:cs="Times New Roman" w:eastAsia="Times New Roman" w:hint="default"/>
          <w:spacing w:val="-2"/>
        </w:rPr>
        <w:t>,</w:t>
      </w:r>
      <w:r>
        <w:rPr>
          <w:spacing w:val="-2"/>
        </w:rPr>
        <w:t>经相关部门批准后依批准的内容开展经营</w:t>
      </w:r>
      <w:r>
        <w:rPr>
          <w:spacing w:val="-118"/>
        </w:rPr>
        <w:t> </w:t>
      </w:r>
      <w:r>
        <w:rPr/>
        <w:t>活动；不得从事本市产业政策禁止和限制类项目的经营活动。</w:t>
      </w:r>
      <w:r>
        <w:rPr>
          <w:rFonts w:ascii="Times New Roman" w:hAnsi="Times New Roman" w:cs="Times New Roman" w:eastAsia="Times New Roman" w:hint="default"/>
        </w:rPr>
        <w:t>)</w:t>
      </w:r>
    </w:p>
    <w:p>
      <w:pPr>
        <w:pStyle w:val="BodyText"/>
        <w:spacing w:line="338" w:lineRule="auto" w:before="19"/>
        <w:ind w:right="1116" w:firstLine="480"/>
        <w:jc w:val="left"/>
      </w:pPr>
      <w:r>
        <w:rPr/>
        <w:t>本财务报表及财务报表附注已于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日经公司第四届董事会第十五次会议批准对 外报出。</w:t>
      </w:r>
    </w:p>
    <w:p>
      <w:pPr>
        <w:pStyle w:val="BodyText"/>
        <w:spacing w:line="338" w:lineRule="auto" w:before="55"/>
        <w:ind w:left="633" w:right="1180" w:firstLine="2"/>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合并范围</w:t>
      </w:r>
      <w:r>
        <w:rPr>
          <w:rFonts w:ascii="宋体" w:hAnsi="宋体" w:cs="宋体" w:eastAsia="宋体" w:hint="default"/>
          <w:b/>
          <w:bCs/>
          <w:w w:val="99"/>
        </w:rPr>
        <w:t> </w:t>
      </w:r>
      <w:r>
        <w:rPr/>
        <w:t>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19</w:t>
      </w:r>
      <w:r>
        <w:rPr/>
        <w:t>家，详见附注九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。与</w:t>
      </w:r>
    </w:p>
    <w:p>
      <w:pPr>
        <w:pStyle w:val="BodyText"/>
        <w:spacing w:line="338" w:lineRule="auto" w:before="27"/>
        <w:ind w:left="633" w:right="1119" w:hanging="480"/>
        <w:jc w:val="left"/>
      </w:pPr>
      <w:r>
        <w:rPr/>
        <w:t>上年度相比，本公司本年度合并范围增加</w:t>
      </w:r>
      <w:r>
        <w:rPr>
          <w:rFonts w:ascii="Times New Roman" w:hAnsi="Times New Roman" w:cs="Times New Roman" w:eastAsia="Times New Roman" w:hint="default"/>
        </w:rPr>
        <w:t>1</w:t>
      </w:r>
      <w:r>
        <w:rPr/>
        <w:t>家，注销</w:t>
      </w:r>
      <w:r>
        <w:rPr>
          <w:rFonts w:ascii="Times New Roman" w:hAnsi="Times New Roman" w:cs="Times New Roman" w:eastAsia="Times New Roman" w:hint="default"/>
        </w:rPr>
        <w:t>1</w:t>
      </w:r>
      <w:r>
        <w:rPr/>
        <w:t>家，详见附注八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日止，本公司合并财务报表范围内子公司（包含本期注销减少</w:t>
      </w:r>
      <w:r>
        <w:rPr>
          <w:rFonts w:ascii="Times New Roman" w:hAnsi="Times New Roman" w:cs="Times New Roman" w:eastAsia="Times New Roman" w:hint="default"/>
          <w:spacing w:val="-2"/>
        </w:rPr>
        <w:t>1</w:t>
      </w:r>
      <w:r>
        <w:rPr>
          <w:spacing w:val="-2"/>
        </w:rPr>
        <w:t>家）如</w:t>
      </w:r>
    </w:p>
    <w:p>
      <w:pPr>
        <w:pStyle w:val="BodyText"/>
        <w:spacing w:line="240" w:lineRule="auto" w:before="27"/>
        <w:ind w:right="1273"/>
        <w:jc w:val="left"/>
      </w:pPr>
      <w:r>
        <w:rPr/>
        <w:t>下：</w:t>
      </w:r>
    </w:p>
    <w:p>
      <w:pPr>
        <w:spacing w:line="240" w:lineRule="auto" w:before="1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929"/>
        <w:gridCol w:w="5293"/>
        <w:gridCol w:w="3438"/>
      </w:tblGrid>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公司全称</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简称</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超图信息</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2</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芜湖联智信息技术有限公司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芜湖联智</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3</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浙江超图信息技术有限公司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浙江超图</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4</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河南超图信息技术有限公司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河南超图</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5</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上海超途软件有限公司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上海超途</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6</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山东超图软件有限公司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山东超图</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7</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克拉玛依超图软件技术有限公司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克拉玛依超图</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8</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超图国际有限公司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超图国际</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9</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上海南康科技有限公司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上海南康</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成都超图数据技术有限公司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超图数据</w:t>
            </w:r>
          </w:p>
        </w:tc>
      </w:tr>
      <w:tr>
        <w:trPr>
          <w:trHeight w:val="344"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11</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成都地图慧科技有限公司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地图慧科技</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南京国图信息产业有限公司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南京国图</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13</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南京国图不动产评估咨询服务有限公司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国图不动产</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14</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北京世纪安图数码科技发展有限责任公司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北京安图</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15</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重庆安图影文科技有限公司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安图影文</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16</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上海数慧系统技术有限公司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上海数慧</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17</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日本超图株式会社</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日本超图</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18</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嘉兴兴球信息技术有限公司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嘉兴兴球</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19</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湖南超图信息技术有限公司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湖南超图</w:t>
            </w:r>
          </w:p>
        </w:tc>
      </w:tr>
    </w:tbl>
    <w:p>
      <w:pPr>
        <w:spacing w:after="0" w:line="274" w:lineRule="exact"/>
        <w:jc w:val="center"/>
        <w:rPr>
          <w:rFonts w:ascii="宋体" w:hAnsi="宋体" w:cs="宋体" w:eastAsia="宋体" w:hint="default"/>
          <w:sz w:val="21"/>
          <w:szCs w:val="21"/>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929"/>
        <w:gridCol w:w="5293"/>
        <w:gridCol w:w="3438"/>
      </w:tblGrid>
      <w:tr>
        <w:trPr>
          <w:trHeight w:val="344"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591" w:right="0"/>
              <w:jc w:val="left"/>
              <w:rPr>
                <w:rFonts w:ascii="宋体" w:hAnsi="宋体" w:cs="宋体" w:eastAsia="宋体" w:hint="default"/>
                <w:sz w:val="21"/>
                <w:szCs w:val="21"/>
              </w:rPr>
            </w:pPr>
            <w:r>
              <w:rPr>
                <w:rFonts w:ascii="宋体" w:hAnsi="宋体" w:cs="宋体" w:eastAsia="宋体" w:hint="default"/>
                <w:sz w:val="21"/>
                <w:szCs w:val="21"/>
              </w:rPr>
              <w:t>嘉兴兴图软件有限公司</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1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嘉兴兴图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bl>
    <w:p>
      <w:pPr>
        <w:spacing w:line="362" w:lineRule="auto" w:before="64"/>
        <w:ind w:left="635" w:right="7639" w:hanging="63"/>
        <w:jc w:val="both"/>
        <w:rPr>
          <w:rFonts w:ascii="宋体" w:hAnsi="宋体" w:cs="宋体" w:eastAsia="宋体" w:hint="default"/>
          <w:sz w:val="24"/>
          <w:szCs w:val="24"/>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r>
        <w:rPr>
          <w:rFonts w:ascii="宋体" w:hAnsi="宋体" w:cs="宋体" w:eastAsia="宋体" w:hint="default"/>
          <w:sz w:val="21"/>
          <w:szCs w:val="21"/>
        </w:rPr>
        <w:t>嘉兴兴图</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年度注销。</w:t>
      </w:r>
      <w:r>
        <w:rPr>
          <w:rFonts w:ascii="宋体" w:hAnsi="宋体" w:cs="宋体" w:eastAsia="宋体" w:hint="default"/>
          <w:w w:val="100"/>
          <w:sz w:val="21"/>
          <w:szCs w:val="21"/>
        </w:rPr>
        <w:t> </w:t>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、编制基础</w:t>
      </w:r>
      <w:r>
        <w:rPr>
          <w:rFonts w:ascii="宋体" w:hAnsi="宋体" w:cs="宋体" w:eastAsia="宋体" w:hint="default"/>
          <w:sz w:val="24"/>
          <w:szCs w:val="24"/>
        </w:rPr>
      </w:r>
    </w:p>
    <w:p>
      <w:pPr>
        <w:pStyle w:val="BodyText"/>
        <w:spacing w:line="345" w:lineRule="auto" w:before="0"/>
        <w:ind w:right="1011" w:firstLine="480"/>
        <w:jc w:val="both"/>
      </w:pPr>
      <w:r>
        <w:rPr/>
        <w:t>本公司以持续经营为基础，根据实际发生的交易和事项，按照财政部颁布的《企业会计 准则</w:t>
      </w:r>
      <w:r>
        <w:rPr>
          <w:rFonts w:ascii="Times New Roman" w:hAnsi="Times New Roman" w:cs="Times New Roman" w:eastAsia="Times New Roman" w:hint="default"/>
        </w:rPr>
        <w:t>——</w:t>
      </w:r>
      <w:r>
        <w:rPr/>
        <w:t>基本准则》和各项具体会计准则、企业会计准则应用指南、企业会计准则解释及其</w:t>
      </w:r>
      <w:r>
        <w:rPr>
          <w:spacing w:val="-91"/>
        </w:rPr>
        <w:t> </w:t>
      </w:r>
      <w:r>
        <w:rPr>
          <w:spacing w:val="-91"/>
        </w:rPr>
      </w:r>
      <w:r>
        <w:rPr>
          <w:spacing w:val="-3"/>
        </w:rPr>
        <w:t>他相关规定</w:t>
      </w:r>
      <w:r>
        <w:rPr>
          <w:rFonts w:ascii="Times New Roman" w:hAnsi="Times New Roman" w:cs="Times New Roman" w:eastAsia="Times New Roman" w:hint="default"/>
          <w:spacing w:val="-3"/>
        </w:rPr>
        <w:t>(</w:t>
      </w:r>
      <w:r>
        <w:rPr>
          <w:spacing w:val="-3"/>
        </w:rPr>
        <w:t>以下合称</w:t>
      </w:r>
      <w:r>
        <w:rPr>
          <w:rFonts w:ascii="Times New Roman" w:hAnsi="Times New Roman" w:cs="Times New Roman" w:eastAsia="Times New Roman" w:hint="default"/>
          <w:spacing w:val="-3"/>
        </w:rPr>
        <w:t>“</w:t>
      </w:r>
      <w:r>
        <w:rPr>
          <w:spacing w:val="-3"/>
        </w:rPr>
        <w:t>企业会计准则</w:t>
      </w:r>
      <w:r>
        <w:rPr>
          <w:rFonts w:ascii="Times New Roman" w:hAnsi="Times New Roman" w:cs="Times New Roman" w:eastAsia="Times New Roman" w:hint="default"/>
          <w:spacing w:val="-3"/>
        </w:rPr>
        <w:t>”)</w:t>
      </w:r>
      <w:r>
        <w:rPr>
          <w:spacing w:val="-3"/>
        </w:rPr>
        <w:t>，以及中国证券监督管理委员会《公开发行证券的公司</w:t>
      </w:r>
      <w:r>
        <w:rPr>
          <w:spacing w:val="-88"/>
        </w:rPr>
        <w:t> </w:t>
      </w:r>
      <w:r>
        <w:rPr>
          <w:spacing w:val="-88"/>
        </w:rPr>
      </w:r>
      <w:r>
        <w:rPr/>
        <w:t>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338" w:lineRule="auto" w:before="19"/>
        <w:ind w:left="633" w:right="115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、持续经营</w:t>
      </w:r>
      <w:r>
        <w:rPr>
          <w:rFonts w:ascii="宋体" w:hAnsi="宋体" w:cs="宋体" w:eastAsia="宋体" w:hint="default"/>
          <w:b/>
          <w:bCs/>
          <w:w w:val="99"/>
          <w:sz w:val="24"/>
          <w:szCs w:val="24"/>
        </w:rPr>
        <w:t> </w:t>
      </w:r>
      <w:r>
        <w:rPr>
          <w:rFonts w:ascii="宋体" w:hAnsi="宋体" w:cs="宋体" w:eastAsia="宋体" w:hint="default"/>
          <w:sz w:val="24"/>
          <w:szCs w:val="24"/>
        </w:rPr>
        <w:t>本公司不存在导致对报告期末起</w:t>
      </w:r>
      <w:r>
        <w:rPr>
          <w:rFonts w:ascii="Times New Roman" w:hAnsi="Times New Roman" w:cs="Times New Roman" w:eastAsia="Times New Roman" w:hint="default"/>
          <w:sz w:val="24"/>
          <w:szCs w:val="24"/>
        </w:rPr>
        <w:t>12</w:t>
      </w:r>
      <w:r>
        <w:rPr>
          <w:rFonts w:ascii="宋体" w:hAnsi="宋体" w:cs="宋体" w:eastAsia="宋体" w:hint="default"/>
          <w:sz w:val="24"/>
          <w:szCs w:val="24"/>
        </w:rPr>
        <w:t>个月内的持续经营假设产生重大疑虑的事项或情况。 </w:t>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357" w:lineRule="auto" w:before="55"/>
        <w:ind w:left="633" w:right="6193"/>
        <w:jc w:val="left"/>
      </w:pPr>
      <w:r>
        <w:rPr/>
        <w:t>公司是否需要遵守特殊行业的披露要求 否</w:t>
      </w:r>
    </w:p>
    <w:p>
      <w:pPr>
        <w:pStyle w:val="BodyText"/>
        <w:spacing w:line="357" w:lineRule="auto"/>
        <w:ind w:left="633" w:right="1116"/>
        <w:jc w:val="left"/>
      </w:pPr>
      <w:r>
        <w:rPr/>
        <w:t>具体会计政策和会计估计提示： 本公司及各子公司根据实际生产经营特点，依据相关企业会计准则的规定，对应收款项</w:t>
      </w:r>
    </w:p>
    <w:p>
      <w:pPr>
        <w:pStyle w:val="BodyText"/>
        <w:spacing w:line="357" w:lineRule="auto"/>
        <w:ind w:right="1116"/>
        <w:jc w:val="left"/>
      </w:pPr>
      <w:r>
        <w:rPr/>
        <w:t>坏账准备的确认标准和计提方法、固定资产折旧政策、无形资产摊销政策和收入确认原则等</w:t>
      </w:r>
      <w:r>
        <w:rPr>
          <w:spacing w:val="-91"/>
        </w:rPr>
        <w:t> </w:t>
      </w:r>
      <w:r>
        <w:rPr>
          <w:spacing w:val="-91"/>
        </w:rPr>
      </w:r>
      <w:r>
        <w:rPr/>
        <w:t>交易和事项指定了若干具体会计政策和会计估计，具体会计政策参见附注五相关说明。</w:t>
      </w:r>
    </w:p>
    <w:p>
      <w:pPr>
        <w:spacing w:line="338" w:lineRule="auto" w:before="36"/>
        <w:ind w:left="633" w:right="111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pacing w:val="-6"/>
          <w:sz w:val="24"/>
          <w:szCs w:val="24"/>
        </w:rPr>
        <w:t>本公司编制的财务报表符合企业会计准则的要求，真实、完整地反映了公司的财务状况、</w:t>
      </w:r>
    </w:p>
    <w:p>
      <w:pPr>
        <w:spacing w:line="345" w:lineRule="auto" w:before="55"/>
        <w:ind w:left="633" w:right="5953" w:hanging="480"/>
        <w:jc w:val="left"/>
        <w:rPr>
          <w:rFonts w:ascii="宋体" w:hAnsi="宋体" w:cs="宋体" w:eastAsia="宋体" w:hint="default"/>
          <w:sz w:val="24"/>
          <w:szCs w:val="24"/>
        </w:rPr>
      </w:pPr>
      <w:r>
        <w:rPr>
          <w:rFonts w:ascii="宋体" w:hAnsi="宋体" w:cs="宋体" w:eastAsia="宋体" w:hint="default"/>
          <w:sz w:val="24"/>
          <w:szCs w:val="24"/>
        </w:rPr>
        <w:t>经营成果和现金流量等有关信息。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、会计期间</w:t>
      </w:r>
      <w:r>
        <w:rPr>
          <w:rFonts w:ascii="宋体" w:hAnsi="宋体" w:cs="宋体" w:eastAsia="宋体" w:hint="default"/>
          <w:b/>
          <w:bCs/>
          <w:w w:val="99"/>
          <w:sz w:val="24"/>
          <w:szCs w:val="24"/>
        </w:rPr>
        <w:t> </w:t>
      </w:r>
      <w:r>
        <w:rPr>
          <w:rFonts w:ascii="宋体" w:hAnsi="宋体" w:cs="宋体" w:eastAsia="宋体" w:hint="default"/>
          <w:sz w:val="24"/>
          <w:szCs w:val="24"/>
        </w:rPr>
        <w:t>会计年度自公历</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日起至</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日止。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、营业周期</w:t>
      </w:r>
      <w:r>
        <w:rPr>
          <w:rFonts w:ascii="宋体" w:hAnsi="宋体" w:cs="宋体" w:eastAsia="宋体" w:hint="default"/>
          <w:sz w:val="24"/>
          <w:szCs w:val="24"/>
        </w:rPr>
      </w:r>
    </w:p>
    <w:p>
      <w:pPr>
        <w:pStyle w:val="BodyText"/>
        <w:spacing w:line="357" w:lineRule="auto" w:before="19"/>
        <w:ind w:right="1116" w:firstLine="480"/>
        <w:jc w:val="left"/>
      </w:pPr>
      <w:r>
        <w:rPr/>
        <w:t>正常营业周期是指本公司从购买用于加工的资产起至实现现金或现金等价物的期间。本 公司以</w:t>
      </w:r>
      <w:r>
        <w:rPr>
          <w:rFonts w:ascii="Times New Roman" w:hAnsi="Times New Roman" w:cs="Times New Roman" w:eastAsia="Times New Roman" w:hint="default"/>
        </w:rPr>
        <w:t>12</w:t>
      </w:r>
      <w:r>
        <w:rPr/>
        <w:t>个月作为一个营业周期，并以其作为资产和负债的流动性划分标准。</w:t>
      </w:r>
    </w:p>
    <w:p>
      <w:pPr>
        <w:pStyle w:val="BodyText"/>
        <w:spacing w:line="338" w:lineRule="auto" w:before="5"/>
        <w:ind w:left="633" w:right="1116" w:firstLine="2"/>
        <w:jc w:val="left"/>
      </w:pPr>
      <w:r>
        <w:rPr>
          <w:rFonts w:ascii="Times New Roman" w:hAnsi="Times New Roman" w:cs="Times New Roman" w:eastAsia="Times New Roman" w:hint="default"/>
          <w:b/>
          <w:bCs/>
        </w:rPr>
        <w:t>4</w:t>
      </w:r>
      <w:r>
        <w:rPr>
          <w:rFonts w:ascii="宋体" w:hAnsi="宋体" w:cs="宋体" w:eastAsia="宋体" w:hint="default"/>
          <w:b/>
          <w:bCs/>
        </w:rPr>
        <w:t>、记账本位币</w:t>
      </w:r>
      <w:r>
        <w:rPr>
          <w:rFonts w:ascii="宋体" w:hAnsi="宋体" w:cs="宋体" w:eastAsia="宋体" w:hint="default"/>
          <w:b/>
          <w:bCs/>
          <w:w w:val="99"/>
        </w:rPr>
        <w:t> </w:t>
      </w:r>
      <w:r>
        <w:rPr/>
        <w:t>本公司及境内子公司采用人民币为记账本位币。本公司境外子公司根据其经营所处的主</w:t>
      </w:r>
    </w:p>
    <w:p>
      <w:pPr>
        <w:pStyle w:val="BodyText"/>
        <w:spacing w:line="357" w:lineRule="auto" w:before="55"/>
        <w:ind w:left="633" w:right="3313" w:hanging="480"/>
        <w:jc w:val="left"/>
      </w:pPr>
      <w:r>
        <w:rPr/>
        <w:t>要业务中的货币确定为其记账本位币，编制财务报表时折算为人民币。 本公司编制本财务报表时所采用的货币为人民币。</w:t>
      </w:r>
    </w:p>
    <w:p>
      <w:pPr>
        <w:spacing w:after="0" w:line="357"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spacing w:line="338" w:lineRule="auto" w:before="26"/>
        <w:ind w:left="633" w:right="111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、同一控制下和非同一控制下企业合并的会计处理方法</w:t>
      </w:r>
      <w:r>
        <w:rPr>
          <w:rFonts w:ascii="宋体" w:hAnsi="宋体" w:cs="宋体" w:eastAsia="宋体" w:hint="default"/>
          <w:b/>
          <w:bCs/>
          <w:w w:val="99"/>
          <w:sz w:val="24"/>
          <w:szCs w:val="24"/>
        </w:rPr>
        <w:t> </w:t>
      </w:r>
      <w:r>
        <w:rPr>
          <w:rFonts w:ascii="宋体" w:hAnsi="宋体" w:cs="宋体" w:eastAsia="宋体" w:hint="default"/>
          <w:sz w:val="24"/>
          <w:szCs w:val="24"/>
        </w:rPr>
        <w:t>企业合并，是指将两个或两个以上单独的企业合并形成一个报告主体的交易或事项。企</w:t>
      </w:r>
    </w:p>
    <w:p>
      <w:pPr>
        <w:pStyle w:val="BodyText"/>
        <w:spacing w:line="348" w:lineRule="auto" w:before="55"/>
        <w:ind w:left="633" w:right="997" w:hanging="480"/>
        <w:jc w:val="left"/>
      </w:pPr>
      <w:r>
        <w:rPr/>
        <w:t>业合并分为同一控制下企业合并和非同一控制下企业合并。 </w:t>
      </w:r>
      <w:r>
        <w:rPr>
          <w:rFonts w:ascii="Times New Roman" w:hAnsi="Times New Roman" w:cs="Times New Roman" w:eastAsia="Times New Roman" w:hint="default"/>
        </w:rPr>
        <w:t>(1)</w:t>
      </w:r>
      <w:r>
        <w:rPr/>
        <w:t>同一控制下企业合并的会计处理 </w:t>
      </w:r>
      <w:r>
        <w:rPr>
          <w:spacing w:val="-3"/>
        </w:rPr>
        <w:t>参与合并的企业在合并前后均受同一方或相同的多方最终控制，且该控制并非暂时性的，</w:t>
      </w:r>
    </w:p>
    <w:p>
      <w:pPr>
        <w:pStyle w:val="BodyText"/>
        <w:spacing w:line="357" w:lineRule="auto" w:before="46"/>
        <w:ind w:left="633" w:right="1116" w:hanging="480"/>
        <w:jc w:val="left"/>
      </w:pPr>
      <w:r>
        <w:rPr/>
        <w:t>为同一控制下的企业合并。 </w:t>
      </w:r>
      <w:r>
        <w:rPr>
          <w:spacing w:val="-6"/>
        </w:rPr>
        <w:t>公司在企业合并中取得的被合并方的资产、负债，除因会计政策不同而进行的调整以外，</w:t>
      </w:r>
    </w:p>
    <w:p>
      <w:pPr>
        <w:pStyle w:val="BodyText"/>
        <w:spacing w:line="348" w:lineRule="auto"/>
        <w:ind w:right="1130"/>
        <w:jc w:val="both"/>
      </w:pPr>
      <w:r>
        <w:rPr/>
        <w:t>按照合并日被合并方在最终控制方合并财务报表中的账面价值计量。公司取得的被合并方所</w:t>
      </w:r>
      <w:r>
        <w:rPr>
          <w:spacing w:val="-91"/>
        </w:rPr>
        <w:t> </w:t>
      </w:r>
      <w:r>
        <w:rPr>
          <w:spacing w:val="-91"/>
        </w:rPr>
      </w:r>
      <w:r>
        <w:rPr>
          <w:spacing w:val="4"/>
        </w:rPr>
        <w:t>有者权益在最终控制方合并财务报表中的账面价值的份额与支付的合并对价账面价值</w:t>
      </w:r>
      <w:r>
        <w:rPr>
          <w:rFonts w:ascii="Times New Roman" w:hAnsi="Times New Roman" w:cs="Times New Roman" w:eastAsia="Times New Roman" w:hint="default"/>
          <w:spacing w:val="4"/>
        </w:rPr>
        <w:t>(</w:t>
      </w:r>
      <w:r>
        <w:rPr>
          <w:spacing w:val="4"/>
        </w:rPr>
        <w:t>或发</w:t>
      </w:r>
      <w:r>
        <w:rPr>
          <w:spacing w:val="-112"/>
        </w:rPr>
        <w:t> </w:t>
      </w:r>
      <w:r>
        <w:rPr/>
        <w:t>行股份面值总额</w:t>
      </w:r>
      <w:r>
        <w:rPr>
          <w:rFonts w:ascii="Times New Roman" w:hAnsi="Times New Roman" w:cs="Times New Roman" w:eastAsia="Times New Roman" w:hint="default"/>
        </w:rPr>
        <w:t>)</w:t>
      </w:r>
      <w:r>
        <w:rPr/>
        <w:t>的差额，调整资本公积；资本公积不足冲减的，调整留存收益。</w:t>
      </w:r>
    </w:p>
    <w:p>
      <w:pPr>
        <w:pStyle w:val="BodyText"/>
        <w:spacing w:line="350" w:lineRule="auto" w:before="16"/>
        <w:ind w:right="1131" w:firstLine="480"/>
        <w:jc w:val="both"/>
      </w:pPr>
      <w:r>
        <w:rPr/>
        <w:t>通过多次交易分步实现同一控制下的企业合并，合并前持有投资的账面价值加上合并日 </w:t>
      </w:r>
      <w:r>
        <w:rPr>
          <w:spacing w:val="-2"/>
        </w:rPr>
        <w:t>新支付对价的账面价值之和，与合并中取得的净资产账面价值的差额，调整资本公积</w:t>
      </w:r>
      <w:r>
        <w:rPr>
          <w:rFonts w:ascii="Times New Roman" w:hAnsi="Times New Roman" w:cs="Times New Roman" w:eastAsia="Times New Roman" w:hint="default"/>
          <w:spacing w:val="-2"/>
        </w:rPr>
        <w:t>(</w:t>
      </w:r>
      <w:r>
        <w:rPr>
          <w:spacing w:val="-2"/>
        </w:rPr>
        <w:t>股本溢</w:t>
      </w:r>
      <w:r>
        <w:rPr>
          <w:spacing w:val="-80"/>
        </w:rPr>
        <w:t> </w:t>
      </w:r>
      <w:r>
        <w:rPr>
          <w:spacing w:val="-80"/>
        </w:rPr>
      </w:r>
      <w:r>
        <w:rPr>
          <w:spacing w:val="-2"/>
        </w:rPr>
        <w:t>价</w:t>
      </w:r>
      <w:r>
        <w:rPr>
          <w:rFonts w:ascii="Times New Roman" w:hAnsi="Times New Roman" w:cs="Times New Roman" w:eastAsia="Times New Roman" w:hint="default"/>
          <w:spacing w:val="-2"/>
        </w:rPr>
        <w:t>)</w:t>
      </w:r>
      <w:r>
        <w:rPr>
          <w:spacing w:val="-2"/>
        </w:rPr>
        <w:t>，资本公积不足冲减的，调整留存收益。合并方在取得被合并方控制权之前持有的长期股</w:t>
      </w:r>
      <w:r>
        <w:rPr>
          <w:spacing w:val="-82"/>
        </w:rPr>
        <w:t> </w:t>
      </w:r>
      <w:r>
        <w:rPr>
          <w:spacing w:val="-82"/>
        </w:rPr>
      </w:r>
      <w:r>
        <w:rPr/>
        <w:t>权投资，在取得原股权之日与合并方与被合并方同处于同一方最终控制之日孰晚日起至合并</w:t>
      </w:r>
      <w:r>
        <w:rPr>
          <w:spacing w:val="-91"/>
        </w:rPr>
        <w:t> </w:t>
      </w:r>
      <w:r>
        <w:rPr>
          <w:spacing w:val="-91"/>
        </w:rPr>
      </w:r>
      <w:r>
        <w:rPr/>
        <w:t>日之间已确认有关损益、其他综合收益和其他所有者权益变动，应分别冲减比较报表期间的</w:t>
      </w:r>
      <w:r>
        <w:rPr>
          <w:spacing w:val="-91"/>
        </w:rPr>
        <w:t> </w:t>
      </w:r>
      <w:r>
        <w:rPr>
          <w:spacing w:val="-91"/>
        </w:rPr>
      </w:r>
      <w:r>
        <w:rPr/>
        <w:t>期初留存收益或当期损益，由于被投资方重新计量设定受益计划净负债或净资产变动而产生</w:t>
      </w:r>
      <w:r>
        <w:rPr>
          <w:spacing w:val="-91"/>
        </w:rPr>
        <w:t> </w:t>
      </w:r>
      <w:r>
        <w:rPr>
          <w:spacing w:val="-91"/>
        </w:rPr>
      </w:r>
      <w:r>
        <w:rPr/>
        <w:t>的其他综合收益除外。</w:t>
      </w:r>
    </w:p>
    <w:p>
      <w:pPr>
        <w:pStyle w:val="BodyText"/>
        <w:spacing w:line="338" w:lineRule="auto" w:before="43"/>
        <w:ind w:left="633" w:right="1116"/>
        <w:jc w:val="left"/>
      </w:pPr>
      <w:r>
        <w:rPr>
          <w:rFonts w:ascii="Times New Roman" w:hAnsi="Times New Roman" w:cs="Times New Roman" w:eastAsia="Times New Roman" w:hint="default"/>
        </w:rPr>
        <w:t>(2)</w:t>
      </w:r>
      <w:r>
        <w:rPr/>
        <w:t>非同一控制下企业合并的会计处理</w:t>
      </w:r>
      <w:r>
        <w:rPr>
          <w:w w:val="99"/>
        </w:rPr>
        <w:t> </w:t>
      </w:r>
      <w:r>
        <w:rPr/>
        <w:t>参与合并的企业在合并前后不受同一方或相同的多方最终控制的，为非同一控制下的企</w:t>
      </w:r>
    </w:p>
    <w:p>
      <w:pPr>
        <w:pStyle w:val="BodyText"/>
        <w:spacing w:line="240" w:lineRule="auto" w:before="55"/>
        <w:ind w:right="1273"/>
        <w:jc w:val="left"/>
      </w:pPr>
      <w:r>
        <w:rPr/>
        <w:t>业合并。</w:t>
      </w:r>
    </w:p>
    <w:p>
      <w:pPr>
        <w:pStyle w:val="BodyText"/>
        <w:spacing w:line="357" w:lineRule="auto" w:before="154"/>
        <w:ind w:right="0" w:firstLine="480"/>
        <w:jc w:val="left"/>
      </w:pPr>
      <w:r>
        <w:rPr/>
        <w:t>公司在购买日对合并成本大于合并中取得的被购买方可辨认净资产公允价值份额的差额， 确认为商誉；对于合并成本小于合并中取得的被购买方可辨认净资产公允价值份额，首先对</w:t>
      </w:r>
      <w:r>
        <w:rPr>
          <w:spacing w:val="-91"/>
        </w:rPr>
        <w:t> </w:t>
      </w:r>
      <w:r>
        <w:rPr>
          <w:spacing w:val="-91"/>
        </w:rPr>
      </w:r>
      <w:r>
        <w:rPr>
          <w:spacing w:val="-2"/>
        </w:rPr>
        <w:t>取得的被购买方各项可辨认资产、负债及或有负债的公允价值以及合并成本的计量进行复核，</w:t>
      </w:r>
      <w:r>
        <w:rPr/>
        <w:t> 经复核后合并成本仍小于合并中取得的被购买方可辨认净资产公允价值份额的，其差额计入</w:t>
      </w:r>
      <w:r>
        <w:rPr>
          <w:spacing w:val="-91"/>
        </w:rPr>
        <w:t> </w:t>
      </w:r>
      <w:r>
        <w:rPr>
          <w:spacing w:val="-91"/>
        </w:rPr>
      </w:r>
      <w:r>
        <w:rPr/>
        <w:t>当期损益。</w:t>
      </w:r>
    </w:p>
    <w:p>
      <w:pPr>
        <w:pStyle w:val="BodyText"/>
        <w:spacing w:line="350" w:lineRule="auto"/>
        <w:ind w:right="1131" w:firstLine="480"/>
        <w:jc w:val="both"/>
      </w:pPr>
      <w:r>
        <w:rPr/>
        <w:t>如果在购买日或合并当期期末，因各种因素影响无法合理确定作为合并对价付出的各项 </w:t>
      </w:r>
      <w:r>
        <w:rPr>
          <w:spacing w:val="-5"/>
        </w:rPr>
        <w:t>资产的公允价值，或合并中取得被购买方各项可辨认资产、负债的公允价值，合并当期期末，</w:t>
      </w:r>
      <w:r>
        <w:rPr/>
        <w:t> 公司以暂时确定的价值为基础对企业合并进行核算。自购买日算起</w:t>
      </w:r>
      <w:r>
        <w:rPr>
          <w:rFonts w:ascii="Times New Roman" w:hAnsi="Times New Roman" w:cs="Times New Roman" w:eastAsia="Times New Roman" w:hint="default"/>
        </w:rPr>
        <w:t>12</w:t>
      </w:r>
      <w:r>
        <w:rPr/>
        <w:t>个月内取得进一步的信</w:t>
      </w:r>
      <w:r>
        <w:rPr>
          <w:spacing w:val="-87"/>
        </w:rPr>
        <w:t> </w:t>
      </w:r>
      <w:r>
        <w:rPr>
          <w:spacing w:val="-87"/>
        </w:rPr>
      </w:r>
      <w:r>
        <w:rPr/>
        <w:t>息表明需对原暂时确定的价值进行调整的，则视同在购买日发生，进行追溯调整，同时对以</w:t>
      </w:r>
    </w:p>
    <w:p>
      <w:pPr>
        <w:spacing w:after="0" w:line="350"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right="1134"/>
        <w:jc w:val="both"/>
      </w:pPr>
      <w:r>
        <w:rPr/>
        <w:t>暂时性价值为基础提供的比较报表信息进行相关的调整；自购买日算起</w:t>
      </w:r>
      <w:r>
        <w:rPr>
          <w:rFonts w:ascii="Times New Roman" w:hAnsi="Times New Roman" w:cs="Times New Roman" w:eastAsia="Times New Roman" w:hint="default"/>
        </w:rPr>
        <w:t>12</w:t>
      </w:r>
      <w:r>
        <w:rPr/>
        <w:t>个月以后对企业合</w:t>
      </w:r>
      <w:r>
        <w:rPr>
          <w:spacing w:val="-87"/>
        </w:rPr>
        <w:t> </w:t>
      </w:r>
      <w:r>
        <w:rPr>
          <w:spacing w:val="-87"/>
        </w:rPr>
      </w:r>
      <w:r>
        <w:rPr/>
        <w:t>并成本或合并中取得的可辨认资产、负债价值的调整，按照《企业会计准则第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w:t>
      </w:r>
      <w:r>
        <w:rPr>
          <w:spacing w:val="-89"/>
        </w:rPr>
        <w:t> </w:t>
      </w:r>
      <w:r>
        <w:rPr/>
        <w:t>政策、会计估计变更和会计差错更正》的原则进行处理。</w:t>
      </w:r>
    </w:p>
    <w:p>
      <w:pPr>
        <w:pStyle w:val="BodyText"/>
        <w:spacing w:line="352" w:lineRule="auto" w:before="55"/>
        <w:ind w:right="1136" w:firstLine="480"/>
        <w:jc w:val="both"/>
      </w:pPr>
      <w:r>
        <w:rPr/>
        <w:t>公司在企业合并中取得的被购买方的可抵扣暂时性差异，在购买日不符合递延所得税资 产确认条件的，不予以确认。购买日后</w:t>
      </w:r>
      <w:r>
        <w:rPr>
          <w:rFonts w:ascii="Times New Roman" w:hAnsi="Times New Roman" w:cs="Times New Roman" w:eastAsia="Times New Roman" w:hint="default"/>
        </w:rPr>
        <w:t>12</w:t>
      </w:r>
      <w:r>
        <w:rPr/>
        <w:t>个月内，如取得新的或进一步的信息表明购买日的</w:t>
      </w:r>
      <w:r>
        <w:rPr>
          <w:spacing w:val="-90"/>
        </w:rPr>
        <w:t> </w:t>
      </w:r>
      <w:r>
        <w:rPr>
          <w:spacing w:val="-90"/>
        </w:rPr>
      </w:r>
      <w:r>
        <w:rPr/>
        <w:t>相关情况已经存在，预期被购买方在购买日可抵扣暂时性差异带来的经济利益能够实现的，</w:t>
      </w:r>
      <w:r>
        <w:rPr>
          <w:spacing w:val="-91"/>
        </w:rPr>
        <w:t> </w:t>
      </w:r>
      <w:r>
        <w:rPr>
          <w:spacing w:val="-91"/>
        </w:rPr>
      </w:r>
      <w:r>
        <w:rPr/>
        <w:t>确认相关的递延所得税资产，同时减少商誉，商誉不足冲减的，差额部分确认为当期损益；</w:t>
      </w:r>
      <w:r>
        <w:rPr>
          <w:spacing w:val="-91"/>
        </w:rPr>
        <w:t> </w:t>
      </w:r>
      <w:r>
        <w:rPr>
          <w:spacing w:val="-91"/>
        </w:rPr>
      </w:r>
      <w:r>
        <w:rPr/>
        <w:t>除上述情况以外，确认与企业合并相关的递延所得税资产，计入当期损益。</w:t>
      </w:r>
    </w:p>
    <w:p>
      <w:pPr>
        <w:pStyle w:val="BodyText"/>
        <w:spacing w:line="352" w:lineRule="auto" w:before="41"/>
        <w:ind w:right="1134" w:firstLine="480"/>
        <w:jc w:val="both"/>
      </w:pPr>
      <w:r>
        <w:rPr/>
        <w:t>通过多次交易分步实现的非同一控制下企业合并，根据企业会计准则判断该多次交易是 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。多次交易的条款、条件以及经济影响符合以下一种或多种情况，通常</w:t>
      </w:r>
      <w:r>
        <w:rPr>
          <w:spacing w:val="-64"/>
        </w:rPr>
        <w:t> </w:t>
      </w:r>
      <w:r>
        <w:rPr>
          <w:spacing w:val="-64"/>
        </w:rPr>
      </w:r>
      <w:r>
        <w:rPr/>
        <w:t>表明应将多次交易事项作为一揽子交易进行会计处理：①这些交易是同时或者在考虑了彼此</w:t>
      </w:r>
      <w:r>
        <w:rPr>
          <w:spacing w:val="-87"/>
        </w:rPr>
        <w:t> </w:t>
      </w:r>
      <w:r>
        <w:rPr>
          <w:spacing w:val="-87"/>
        </w:rPr>
      </w:r>
      <w:r>
        <w:rPr/>
        <w:t>影响的情况下订立的；②这些交易整体才能达成一项完整的商业结果；③一项交易的发生取</w:t>
      </w:r>
      <w:r>
        <w:rPr>
          <w:spacing w:val="-88"/>
        </w:rPr>
        <w:t> </w:t>
      </w:r>
      <w:r>
        <w:rPr>
          <w:spacing w:val="-88"/>
        </w:rPr>
      </w:r>
      <w:r>
        <w:rPr/>
        <w:t>决于其他至少一项交易的发生；④一项交易单独看是不经济的，但是和其他交易一并考虑时</w:t>
      </w:r>
      <w:r>
        <w:rPr>
          <w:spacing w:val="-90"/>
        </w:rPr>
        <w:t> </w:t>
      </w:r>
      <w:r>
        <w:rPr>
          <w:spacing w:val="-90"/>
        </w:rPr>
      </w:r>
      <w:r>
        <w:rPr/>
        <w:t>是经济的。</w:t>
      </w:r>
    </w:p>
    <w:p>
      <w:pPr>
        <w:pStyle w:val="BodyText"/>
        <w:spacing w:line="348" w:lineRule="auto" w:before="41"/>
        <w:ind w:right="995" w:firstLine="480"/>
        <w:jc w:val="left"/>
      </w:pP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 揽子交易</w:t>
      </w:r>
      <w:r>
        <w:rPr>
          <w:rFonts w:ascii="Times New Roman" w:hAnsi="Times New Roman" w:cs="Times New Roman" w:eastAsia="Times New Roman" w:hint="default"/>
        </w:rPr>
        <w:t>”</w:t>
      </w:r>
      <w:r>
        <w:rPr/>
        <w:t>的，在合并财务报表中，对于购买日之前持有的被购买方的股权，按照该股权在购 买日的公允价值进行重新计量，公允价值与其账面价值的差额计入当期投资收益；购买日之</w:t>
      </w:r>
      <w:r>
        <w:rPr>
          <w:spacing w:val="-91"/>
        </w:rPr>
        <w:t> </w:t>
      </w:r>
      <w:r>
        <w:rPr>
          <w:spacing w:val="-91"/>
        </w:rPr>
      </w:r>
      <w:r>
        <w:rPr>
          <w:spacing w:val="-2"/>
        </w:rPr>
        <w:t>前已经持有的被购买方的股权涉及其他综合收益、其他所有者权益变动转为购买日当期收益，</w:t>
      </w:r>
      <w:r>
        <w:rPr/>
        <w:t> 由于被投资方重新计量设定受益计划净负债或净资产变动而产生的其他综合收益除外。</w:t>
      </w:r>
    </w:p>
    <w:p>
      <w:pPr>
        <w:pStyle w:val="BodyText"/>
        <w:spacing w:line="338" w:lineRule="auto" w:before="46"/>
        <w:ind w:left="633" w:right="1153"/>
        <w:jc w:val="left"/>
      </w:pPr>
      <w:r>
        <w:rPr/>
        <w:t>（</w:t>
      </w:r>
      <w:r>
        <w:rPr>
          <w:rFonts w:ascii="Times New Roman" w:hAnsi="Times New Roman" w:cs="Times New Roman" w:eastAsia="Times New Roman" w:hint="default"/>
        </w:rPr>
        <w:t>3</w:t>
      </w:r>
      <w:r>
        <w:rPr/>
        <w:t>）企业合并中有关交易费用的处理 为进行企业合并发生的审计、法律服务、评估咨询等中介费用以及其他相关管理费用，</w:t>
      </w:r>
    </w:p>
    <w:p>
      <w:pPr>
        <w:pStyle w:val="BodyText"/>
        <w:spacing w:line="357" w:lineRule="auto" w:before="55"/>
        <w:ind w:right="1171"/>
        <w:jc w:val="both"/>
      </w:pPr>
      <w:r>
        <w:rPr/>
        <w:t>于发生时计入当期损益。作为合并对价发行的权益性证券或债务性证券的交易费用，计入权 益性证券或债务性证券的初始确认金额。</w:t>
      </w:r>
    </w:p>
    <w:p>
      <w:pPr>
        <w:pStyle w:val="Heading2"/>
        <w:spacing w:line="240" w:lineRule="auto" w:before="37"/>
        <w:ind w:left="635" w:right="1273"/>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338" w:lineRule="auto" w:before="135"/>
        <w:ind w:left="633" w:right="1116"/>
        <w:jc w:val="left"/>
      </w:pPr>
      <w:r>
        <w:rPr/>
        <w:t>（</w:t>
      </w:r>
      <w:r>
        <w:rPr>
          <w:rFonts w:ascii="Times New Roman" w:hAnsi="Times New Roman" w:cs="Times New Roman" w:eastAsia="Times New Roman" w:hint="default"/>
        </w:rPr>
        <w:t>1</w:t>
      </w:r>
      <w:r>
        <w:rPr/>
        <w:t>）合并范围 合并财务报表的合并范围以控制为基础确定。控制是指本公司拥有对被投资方的权力，</w:t>
      </w:r>
    </w:p>
    <w:p>
      <w:pPr>
        <w:pStyle w:val="BodyText"/>
        <w:spacing w:line="348" w:lineRule="auto" w:before="55"/>
        <w:ind w:right="1128"/>
        <w:jc w:val="both"/>
      </w:pPr>
      <w:r>
        <w:rPr/>
        <w:t>通过参与被投资方的相关活动而享有可变回报，并且有能力运用对被投资方的权力影响该回</w:t>
      </w:r>
      <w:r>
        <w:rPr>
          <w:spacing w:val="-91"/>
        </w:rPr>
        <w:t> </w:t>
      </w:r>
      <w:r>
        <w:rPr>
          <w:spacing w:val="-91"/>
        </w:rPr>
      </w:r>
      <w:r>
        <w:rPr>
          <w:spacing w:val="-1"/>
        </w:rPr>
        <w:t>报金额。合并范围包括本公司及全部子公司。子公司，是指被本公司控制的主体</w:t>
      </w:r>
      <w:r>
        <w:rPr>
          <w:rFonts w:ascii="Times New Roman" w:hAnsi="Times New Roman" w:cs="Times New Roman" w:eastAsia="Times New Roman" w:hint="default"/>
          <w:spacing w:val="-1"/>
        </w:rPr>
        <w:t>(</w:t>
      </w:r>
      <w:r>
        <w:rPr>
          <w:spacing w:val="-1"/>
        </w:rPr>
        <w:t>含企业、被</w:t>
      </w:r>
      <w:r>
        <w:rPr/>
        <w:t> 投资单位中可分割的部分、结构化主体等</w:t>
      </w:r>
      <w:r>
        <w:rPr>
          <w:rFonts w:ascii="Times New Roman" w:hAnsi="Times New Roman" w:cs="Times New Roman" w:eastAsia="Times New Roman" w:hint="default"/>
        </w:rPr>
        <w:t>)</w:t>
      </w:r>
      <w:r>
        <w:rPr/>
        <w:t>。</w:t>
      </w:r>
    </w:p>
    <w:p>
      <w:pPr>
        <w:spacing w:after="0" w:line="348"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left="633" w:right="1116"/>
        <w:jc w:val="left"/>
      </w:pPr>
      <w:r>
        <w:rPr/>
        <w:t>（</w:t>
      </w:r>
      <w:r>
        <w:rPr>
          <w:rFonts w:ascii="Times New Roman" w:hAnsi="Times New Roman" w:cs="Times New Roman" w:eastAsia="Times New Roman" w:hint="default"/>
        </w:rPr>
        <w:t>2</w:t>
      </w:r>
      <w:r>
        <w:rPr/>
        <w:t>）合并报表的编制方法 本公司以自身和各子公司的财务报表为基础，根据其他有关资料，编制合并报表。本公</w:t>
      </w:r>
    </w:p>
    <w:p>
      <w:pPr>
        <w:pStyle w:val="BodyText"/>
        <w:spacing w:line="357" w:lineRule="auto" w:before="55"/>
        <w:ind w:left="0" w:right="1138"/>
        <w:jc w:val="right"/>
      </w:pPr>
      <w:r>
        <w:rPr/>
        <w:t>司编制合并财务报表，将整个企业集团视为一个会计主体，依据相关企业会计准则的确定、</w:t>
      </w:r>
      <w:r>
        <w:rPr>
          <w:spacing w:val="-100"/>
        </w:rPr>
        <w:t> </w:t>
      </w:r>
      <w:r>
        <w:rPr>
          <w:spacing w:val="-100"/>
        </w:rPr>
      </w:r>
      <w:r>
        <w:rPr/>
        <w:t>计量和列报要求，按照统一的会计政策，反映本公司整体财务状况、经营成果和现金流量。 合并财务报表时抵销本公司与各子公司、各子公司相互之间发生的内部交易和往来对合</w:t>
      </w:r>
    </w:p>
    <w:p>
      <w:pPr>
        <w:pStyle w:val="BodyText"/>
        <w:spacing w:line="357" w:lineRule="auto"/>
        <w:ind w:left="633" w:right="1116" w:hanging="480"/>
        <w:jc w:val="left"/>
      </w:pPr>
      <w:r>
        <w:rPr/>
        <w:t>并资产负债表、合并利润表、合并现金流量表、合并所有者权益变动表的影响。 在报告期内因同一控制下企业合并增加的子公司以及业务，视同该子公司以及业务自同</w:t>
      </w:r>
    </w:p>
    <w:p>
      <w:pPr>
        <w:pStyle w:val="BodyText"/>
        <w:spacing w:line="357" w:lineRule="auto"/>
        <w:ind w:right="1138"/>
        <w:jc w:val="both"/>
      </w:pPr>
      <w:r>
        <w:rPr/>
        <w:t>受最终控制方控制之日起纳入本公司的合并范围，将其自同受最终控制方控制之日起的经营</w:t>
      </w:r>
      <w:r>
        <w:rPr>
          <w:spacing w:val="-91"/>
        </w:rPr>
        <w:t> </w:t>
      </w:r>
      <w:r>
        <w:rPr>
          <w:spacing w:val="-91"/>
        </w:rPr>
      </w:r>
      <w:r>
        <w:rPr/>
        <w:t>成果、现金流量分别纳入合并利润表、合并现金流量表中。在报告期内，同时调整合并资产</w:t>
      </w:r>
      <w:r>
        <w:rPr>
          <w:spacing w:val="-91"/>
        </w:rPr>
        <w:t> </w:t>
      </w:r>
      <w:r>
        <w:rPr>
          <w:spacing w:val="-91"/>
        </w:rPr>
      </w:r>
      <w:r>
        <w:rPr/>
        <w:t>负债表的期初数，同时对比较报表的相关项目进行调整，视同合并后的报表主体自最终控制</w:t>
      </w:r>
      <w:r>
        <w:rPr>
          <w:spacing w:val="-91"/>
        </w:rPr>
        <w:t> </w:t>
      </w:r>
      <w:r>
        <w:rPr>
          <w:spacing w:val="-91"/>
        </w:rPr>
      </w:r>
      <w:r>
        <w:rPr/>
        <w:t>方开始控制时点起一直存在。</w:t>
      </w:r>
    </w:p>
    <w:p>
      <w:pPr>
        <w:pStyle w:val="BodyText"/>
        <w:spacing w:line="357" w:lineRule="auto"/>
        <w:ind w:right="995" w:firstLine="480"/>
        <w:jc w:val="left"/>
      </w:pPr>
      <w:r>
        <w:rPr/>
        <w:t>本期若因非同一控制下企业合并增加子公司的，则不调整合并资产负债表期初数；以购 </w:t>
      </w:r>
      <w:r>
        <w:rPr>
          <w:spacing w:val="-2"/>
        </w:rPr>
        <w:t>买日可辨认净资产公允价值为基础对其财务报表进行调整。将子公司自购买日至期末的收入、</w:t>
      </w:r>
      <w:r>
        <w:rPr/>
        <w:t> 费用、利润纳入合并利润表；该子公司自购买日至期末的现金流量纳入合并现金流量表。</w:t>
      </w:r>
    </w:p>
    <w:p>
      <w:pPr>
        <w:pStyle w:val="BodyText"/>
        <w:spacing w:line="357" w:lineRule="auto"/>
        <w:ind w:right="1138" w:firstLine="480"/>
        <w:jc w:val="both"/>
      </w:pPr>
      <w:r>
        <w:rPr/>
        <w:t>子公司少数股东应占的权益、损益和当期综合收益中分别在合并资产负债表中所有者权 益项目下、合并利润表中净利润项目和综合收益总额项下单独列示。子公司少数股东分担的</w:t>
      </w:r>
      <w:r>
        <w:rPr>
          <w:spacing w:val="-91"/>
        </w:rPr>
        <w:t> </w:t>
      </w:r>
      <w:r>
        <w:rPr>
          <w:spacing w:val="-91"/>
        </w:rPr>
      </w:r>
      <w:r>
        <w:rPr/>
        <w:t>当期亏损超过了少数股东在该子公司期初所有者权益中所享有份额而形成的余额，冲减少数</w:t>
      </w:r>
      <w:r>
        <w:rPr>
          <w:spacing w:val="-91"/>
        </w:rPr>
        <w:t> </w:t>
      </w:r>
      <w:r>
        <w:rPr>
          <w:spacing w:val="-91"/>
        </w:rPr>
      </w:r>
      <w:r>
        <w:rPr/>
        <w:t>股东权益。</w:t>
      </w:r>
    </w:p>
    <w:p>
      <w:pPr>
        <w:pStyle w:val="BodyText"/>
        <w:spacing w:line="338" w:lineRule="auto"/>
        <w:ind w:left="633" w:right="1116"/>
        <w:jc w:val="left"/>
      </w:pPr>
      <w:r>
        <w:rPr/>
        <w:t>（</w:t>
      </w:r>
      <w:r>
        <w:rPr>
          <w:rFonts w:ascii="Times New Roman" w:hAnsi="Times New Roman" w:cs="Times New Roman" w:eastAsia="Times New Roman" w:hint="default"/>
        </w:rPr>
        <w:t>3</w:t>
      </w:r>
      <w:r>
        <w:rPr/>
        <w:t>）购买少数股东股权及不丧失控制权的部分处置子公司股权 本公司因购买少数股权新取得的长期股权投资成本与按照新增持股比例计算应享有子公</w:t>
      </w:r>
    </w:p>
    <w:p>
      <w:pPr>
        <w:pStyle w:val="BodyText"/>
        <w:spacing w:line="357" w:lineRule="auto" w:before="55"/>
        <w:ind w:right="1135"/>
        <w:jc w:val="both"/>
      </w:pPr>
      <w:r>
        <w:rPr/>
        <w:t>司自购买日或合并日开始持续计算的净资产份额之间的差额，以及在不丧失控制权的情况下</w:t>
      </w:r>
      <w:r>
        <w:rPr>
          <w:spacing w:val="-89"/>
        </w:rPr>
        <w:t> </w:t>
      </w:r>
      <w:r>
        <w:rPr>
          <w:spacing w:val="-89"/>
        </w:rPr>
      </w:r>
      <w:r>
        <w:rPr/>
        <w:t>因部分处置对子公司的股权投资而取得的处置价款与处置长期股权投资相对应享有子公司自</w:t>
      </w:r>
      <w:r>
        <w:rPr>
          <w:spacing w:val="-91"/>
        </w:rPr>
        <w:t> </w:t>
      </w:r>
      <w:r>
        <w:rPr>
          <w:spacing w:val="-91"/>
        </w:rPr>
      </w:r>
      <w:r>
        <w:rPr/>
        <w:t>购买日或合并日开始持续计算的净资产份额之间的差额，均调整合并资产负债表中的资本公</w:t>
      </w:r>
      <w:r>
        <w:rPr>
          <w:spacing w:val="-91"/>
        </w:rPr>
        <w:t> </w:t>
      </w:r>
      <w:r>
        <w:rPr>
          <w:spacing w:val="-91"/>
        </w:rPr>
      </w:r>
      <w:r>
        <w:rPr/>
        <w:t>积中的股本溢价，资本公积中的股本溢价不足冲减的，调整留存收益。</w:t>
      </w:r>
    </w:p>
    <w:p>
      <w:pPr>
        <w:pStyle w:val="BodyText"/>
        <w:spacing w:line="338" w:lineRule="auto"/>
        <w:ind w:left="633" w:right="1116"/>
        <w:jc w:val="left"/>
      </w:pPr>
      <w:r>
        <w:rPr/>
        <w:t>（</w:t>
      </w:r>
      <w:r>
        <w:rPr>
          <w:rFonts w:ascii="Times New Roman" w:hAnsi="Times New Roman" w:cs="Times New Roman" w:eastAsia="Times New Roman" w:hint="default"/>
        </w:rPr>
        <w:t>4</w:t>
      </w:r>
      <w:r>
        <w:rPr/>
        <w:t>）丧失控制权的处置子公司股权 </w:t>
      </w:r>
      <w:r>
        <w:rPr>
          <w:spacing w:val="-6"/>
        </w:rPr>
        <w:t>本期本公司处置子公司，则该子公司期初至处置日的收入、费用、利润纳入合并利润表；</w:t>
      </w:r>
    </w:p>
    <w:p>
      <w:pPr>
        <w:pStyle w:val="BodyText"/>
        <w:spacing w:line="357" w:lineRule="auto" w:before="55"/>
        <w:ind w:right="1134"/>
        <w:jc w:val="both"/>
      </w:pPr>
      <w:r>
        <w:rPr/>
        <w:t>该子公司期初至处置日的现金流量纳入合并现金流量表。因处置部分股权投资或其他原因丧</w:t>
      </w:r>
      <w:r>
        <w:rPr>
          <w:spacing w:val="-91"/>
        </w:rPr>
        <w:t> </w:t>
      </w:r>
      <w:r>
        <w:rPr>
          <w:spacing w:val="-91"/>
        </w:rPr>
      </w:r>
      <w:r>
        <w:rPr/>
        <w:t>失了对原有子公司控制权时，对于处置后的剩余股权投资，本公司按照其在丧失控制权日的</w:t>
      </w:r>
      <w:r>
        <w:rPr>
          <w:spacing w:val="-87"/>
        </w:rPr>
        <w:t> </w:t>
      </w:r>
      <w:r>
        <w:rPr>
          <w:spacing w:val="-87"/>
        </w:rPr>
      </w:r>
      <w:r>
        <w:rPr/>
        <w:t>公允价值进行重新计量。处置股权取得的对价与剩余股权公允价值之和，减去按原持股比例</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45" w:lineRule="auto" w:before="26"/>
        <w:ind w:right="1128"/>
        <w:jc w:val="both"/>
      </w:pPr>
      <w:r>
        <w:rPr/>
        <w:t>计算应享有原有子公司自购买日开始持续计算的净资产的份额与商誉之和，形成的差额计入</w:t>
      </w:r>
      <w:r>
        <w:rPr>
          <w:spacing w:val="-91"/>
        </w:rPr>
        <w:t> </w:t>
      </w:r>
      <w:r>
        <w:rPr>
          <w:spacing w:val="-91"/>
        </w:rPr>
      </w:r>
      <w:r>
        <w:rPr/>
        <w:t>丧失控制权当期的投资收益。与原有子公司股权投资相关的其他综合收益，在丧失控制权时</w:t>
      </w:r>
      <w:r>
        <w:rPr>
          <w:spacing w:val="-91"/>
        </w:rPr>
        <w:t> </w:t>
      </w:r>
      <w:r>
        <w:rPr>
          <w:spacing w:val="-91"/>
        </w:rPr>
      </w:r>
      <w:r>
        <w:rPr>
          <w:spacing w:val="4"/>
        </w:rPr>
        <w:t>采用被购买方直接处置相关资产和负债相同的基础进行会计处理</w:t>
      </w:r>
      <w:r>
        <w:rPr>
          <w:rFonts w:ascii="Times New Roman" w:hAnsi="Times New Roman" w:cs="Times New Roman" w:eastAsia="Times New Roman" w:hint="default"/>
          <w:spacing w:val="4"/>
        </w:rPr>
        <w:t>(</w:t>
      </w:r>
      <w:r>
        <w:rPr>
          <w:spacing w:val="4"/>
        </w:rPr>
        <w:t>即除了在该原有子公司重</w:t>
      </w:r>
      <w:r>
        <w:rPr>
          <w:spacing w:val="-115"/>
        </w:rPr>
        <w:t> </w:t>
      </w:r>
      <w:r>
        <w:rPr>
          <w:spacing w:val="-115"/>
        </w:rPr>
      </w:r>
      <w:r>
        <w:rPr>
          <w:spacing w:val="-2"/>
        </w:rPr>
        <w:t>新计量设定受益计划外净负债或者净资产导致的变动以外，其余一并转入当期投资收益</w:t>
      </w:r>
      <w:r>
        <w:rPr>
          <w:rFonts w:ascii="Times New Roman" w:hAnsi="Times New Roman" w:cs="Times New Roman" w:eastAsia="Times New Roman" w:hint="default"/>
          <w:spacing w:val="-2"/>
        </w:rPr>
        <w:t>)</w:t>
      </w:r>
      <w:r>
        <w:rPr>
          <w:spacing w:val="-2"/>
        </w:rPr>
        <w:t>。其</w:t>
      </w:r>
      <w:r>
        <w:rPr>
          <w:spacing w:val="-100"/>
        </w:rPr>
        <w:t> </w:t>
      </w:r>
      <w:r>
        <w:rPr>
          <w:spacing w:val="-2"/>
        </w:rPr>
        <w:t>后，对该部分剩余股权按照《企业会计准则第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长期股权投资》或《企业会计准则第</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56"/>
        </w:rPr>
        <w:t> </w:t>
      </w:r>
      <w:r>
        <w:rPr/>
        <w:t>号</w:t>
      </w:r>
      <w:r>
        <w:rPr>
          <w:rFonts w:ascii="Times New Roman" w:hAnsi="Times New Roman" w:cs="Times New Roman" w:eastAsia="Times New Roman" w:hint="default"/>
        </w:rPr>
        <w:t>——</w:t>
      </w:r>
      <w:r>
        <w:rPr/>
        <w:t>金融工具确认和计量》等相关规定进行后续计量，详见本附注三</w:t>
      </w: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t>长期股权投资</w:t>
      </w:r>
      <w:r>
        <w:rPr>
          <w:spacing w:val="-113"/>
        </w:rPr>
        <w:t> </w:t>
      </w:r>
      <w:r>
        <w:rPr/>
        <w:t>的确认和计量</w:t>
      </w:r>
      <w:r>
        <w:rPr>
          <w:rFonts w:ascii="Times New Roman" w:hAnsi="Times New Roman" w:cs="Times New Roman" w:eastAsia="Times New Roman" w:hint="default"/>
        </w:rPr>
        <w:t>”</w:t>
      </w:r>
      <w:r>
        <w:rPr/>
        <w:t>或本附注三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w:t>
      </w:r>
    </w:p>
    <w:p>
      <w:pPr>
        <w:pStyle w:val="BodyText"/>
        <w:spacing w:line="338" w:lineRule="auto" w:before="19"/>
        <w:ind w:left="633" w:right="1116"/>
        <w:jc w:val="left"/>
      </w:pPr>
      <w:r>
        <w:rPr/>
        <w:t>（</w:t>
      </w:r>
      <w:r>
        <w:rPr>
          <w:rFonts w:ascii="Times New Roman" w:hAnsi="Times New Roman" w:cs="Times New Roman" w:eastAsia="Times New Roman" w:hint="default"/>
        </w:rPr>
        <w:t>5</w:t>
      </w:r>
      <w:r>
        <w:rPr/>
        <w:t>）分步处置对子公司股权投资至丧失控制权的处理 本公司通过多次交易分步处置对子公司股权投资直至丧失控制权的，需区分处置对子公</w:t>
      </w:r>
    </w:p>
    <w:p>
      <w:pPr>
        <w:pStyle w:val="BodyText"/>
        <w:spacing w:line="357" w:lineRule="auto" w:before="55"/>
        <w:ind w:left="633" w:right="1116" w:hanging="480"/>
        <w:jc w:val="left"/>
      </w:pPr>
      <w:r>
        <w:rPr/>
        <w:t>司股权投资直至丧失控制权的各项交易是否属于一揽子交易。 处置对子公司股权投资直至丧失控制权的各项交易属于一揽子交易的，将各项交易作为</w:t>
      </w:r>
    </w:p>
    <w:p>
      <w:pPr>
        <w:pStyle w:val="BodyText"/>
        <w:spacing w:line="357" w:lineRule="auto"/>
        <w:ind w:right="1136"/>
        <w:jc w:val="both"/>
      </w:pPr>
      <w:r>
        <w:rPr/>
        <w:t>一项处置子公司并丧失控制权的交易进行会计处理；但是，在丧失控制权之前每一次处置价</w:t>
      </w:r>
      <w:r>
        <w:rPr>
          <w:spacing w:val="-91"/>
        </w:rPr>
        <w:t> </w:t>
      </w:r>
      <w:r>
        <w:rPr>
          <w:spacing w:val="-91"/>
        </w:rPr>
      </w:r>
      <w:r>
        <w:rPr/>
        <w:t>款与处置投资对应的享有该子公司净资产份额的差额，在合并财务报表中确认为其他综合收</w:t>
      </w:r>
      <w:r>
        <w:rPr>
          <w:spacing w:val="-89"/>
        </w:rPr>
        <w:t> </w:t>
      </w:r>
      <w:r>
        <w:rPr>
          <w:spacing w:val="-89"/>
        </w:rPr>
      </w:r>
      <w:r>
        <w:rPr/>
        <w:t>益，在丧失控制权时一并转入丧失控制权当期的损益。</w:t>
      </w:r>
    </w:p>
    <w:p>
      <w:pPr>
        <w:pStyle w:val="BodyText"/>
        <w:spacing w:line="343" w:lineRule="auto"/>
        <w:ind w:right="1131" w:firstLine="480"/>
        <w:jc w:val="both"/>
      </w:pPr>
      <w:r>
        <w:rPr>
          <w:spacing w:val="-2"/>
        </w:rPr>
        <w:t>不属于一揽子交易的，对其中的每一项交易视情况分别按照</w:t>
      </w:r>
      <w:r>
        <w:rPr>
          <w:rFonts w:ascii="Times New Roman" w:hAnsi="Times New Roman" w:cs="Times New Roman" w:eastAsia="Times New Roman" w:hint="default"/>
          <w:spacing w:val="-2"/>
        </w:rPr>
        <w:t>“</w:t>
      </w:r>
      <w:r>
        <w:rPr>
          <w:spacing w:val="-2"/>
        </w:rPr>
        <w:t>不丧失控制权的情况下部分</w:t>
      </w:r>
      <w:r>
        <w:rPr/>
        <w:t> 处置对子公司的长期股权投资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w:t>
      </w:r>
      <w:r>
        <w:rPr>
          <w:spacing w:val="-62"/>
        </w:rPr>
        <w:t> </w:t>
      </w:r>
      <w:r>
        <w:rPr>
          <w:spacing w:val="-62"/>
        </w:rPr>
      </w:r>
      <w:r>
        <w:rPr/>
        <w:t>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适用的原则进行会计处理。即在丧失控制权之前每一次处置价款与处置投资</w:t>
      </w:r>
      <w:r>
        <w:rPr>
          <w:spacing w:val="-115"/>
        </w:rPr>
        <w:t> </w:t>
      </w:r>
      <w:r>
        <w:rPr>
          <w:spacing w:val="-115"/>
        </w:rPr>
      </w:r>
      <w:r>
        <w:rPr/>
        <w:t>对应的享有该子公司自购买日开始持续计算的净资产账面价值份额之间的差额，作为权益性</w:t>
      </w:r>
      <w:r>
        <w:rPr>
          <w:spacing w:val="-91"/>
        </w:rPr>
        <w:t> </w:t>
      </w:r>
      <w:r>
        <w:rPr>
          <w:spacing w:val="-91"/>
        </w:rPr>
      </w:r>
      <w:r>
        <w:rPr/>
        <w:t>交易计入资本公积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。在丧失控制权时不得转入丧失控制权当期的损益。</w:t>
      </w:r>
    </w:p>
    <w:p>
      <w:pPr>
        <w:spacing w:line="338" w:lineRule="auto" w:before="21"/>
        <w:ind w:left="633" w:right="111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、合营安排分类及共同经营会计处理方法</w:t>
      </w:r>
      <w:r>
        <w:rPr>
          <w:rFonts w:ascii="宋体" w:hAnsi="宋体" w:cs="宋体" w:eastAsia="宋体" w:hint="default"/>
          <w:b/>
          <w:bCs/>
          <w:w w:val="99"/>
          <w:sz w:val="24"/>
          <w:szCs w:val="24"/>
        </w:rPr>
        <w:t> </w:t>
      </w:r>
      <w:r>
        <w:rPr>
          <w:rFonts w:ascii="宋体" w:hAnsi="宋体" w:cs="宋体" w:eastAsia="宋体" w:hint="default"/>
          <w:sz w:val="24"/>
          <w:szCs w:val="24"/>
        </w:rPr>
        <w:t>合营安排，是指一项由两个或两个以上的参与方共同控制的安排。本公司根据在合营安</w:t>
      </w:r>
    </w:p>
    <w:p>
      <w:pPr>
        <w:pStyle w:val="BodyText"/>
        <w:spacing w:line="357" w:lineRule="auto" w:before="55"/>
        <w:ind w:left="633" w:right="1116" w:hanging="480"/>
        <w:jc w:val="left"/>
      </w:pPr>
      <w:r>
        <w:rPr/>
        <w:t>排中享有的权利和承担的义务，将合营安排分为共同经营和合营企业。 合营企业，是指本公司仅对该安排的净资产享有权利的合营安排。本公司对合营企业的</w:t>
      </w:r>
    </w:p>
    <w:p>
      <w:pPr>
        <w:pStyle w:val="BodyText"/>
        <w:spacing w:line="338" w:lineRule="auto" w:before="37"/>
        <w:ind w:right="1130"/>
        <w:jc w:val="both"/>
      </w:pPr>
      <w:r>
        <w:rPr>
          <w:spacing w:val="-3"/>
        </w:rPr>
        <w:t>投资采用权益法核算，按照本附注五、</w:t>
      </w:r>
      <w:r>
        <w:rPr>
          <w:rFonts w:ascii="Times New Roman" w:hAnsi="Times New Roman" w:cs="Times New Roman" w:eastAsia="Times New Roman" w:hint="default"/>
          <w:spacing w:val="-3"/>
        </w:rPr>
        <w:t>14</w:t>
      </w:r>
      <w:r>
        <w:rPr>
          <w:spacing w:val="-3"/>
        </w:rPr>
        <w:t>长期股权投资中</w:t>
      </w:r>
      <w:r>
        <w:rPr>
          <w:spacing w:val="22"/>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所述 的会计政策处理。</w:t>
      </w:r>
    </w:p>
    <w:p>
      <w:pPr>
        <w:pStyle w:val="BodyText"/>
        <w:spacing w:line="357" w:lineRule="auto" w:before="55"/>
        <w:ind w:right="995" w:firstLine="480"/>
        <w:jc w:val="left"/>
      </w:pPr>
      <w:r>
        <w:rPr/>
        <w:t>共同经营，是指本公司享有该安排相关资产且承担该安排相关负债的合营安排。本公司 </w:t>
      </w:r>
      <w:r>
        <w:rPr>
          <w:spacing w:val="-2"/>
        </w:rPr>
        <w:t>确认与共同经营中利益份额相关的下列项目，并按照相关企业会计准则的规定进行会计处理：</w:t>
      </w:r>
    </w:p>
    <w:p>
      <w:pPr>
        <w:pStyle w:val="BodyText"/>
        <w:spacing w:line="240" w:lineRule="auto"/>
        <w:ind w:left="633" w:right="127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35"/>
        <w:ind w:left="633" w:right="127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spacing w:after="0" w:line="240"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633" w:right="127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35"/>
        <w:ind w:left="633" w:right="127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38" w:lineRule="auto" w:before="135"/>
        <w:ind w:left="633" w:right="1233"/>
        <w:jc w:val="left"/>
      </w:pPr>
      <w:r>
        <w:rPr/>
        <w:t>（</w:t>
      </w:r>
      <w:r>
        <w:rPr>
          <w:rFonts w:ascii="Times New Roman" w:hAnsi="Times New Roman" w:cs="Times New Roman" w:eastAsia="Times New Roman" w:hint="default"/>
        </w:rPr>
        <w:t>5</w:t>
      </w:r>
      <w:r>
        <w:rPr/>
        <w:t>）确认单独所发生的费用，以及按本公司份额确认共同经营发生的费用。 当本公司作为合营方向共同经营投出或出售资产</w:t>
      </w:r>
      <w:r>
        <w:rPr>
          <w:rFonts w:ascii="Times New Roman" w:hAnsi="Times New Roman" w:cs="Times New Roman" w:eastAsia="Times New Roman" w:hint="default"/>
        </w:rPr>
        <w:t>(</w:t>
      </w:r>
      <w:r>
        <w:rPr/>
        <w:t>该资产不构成业务，下同</w:t>
      </w:r>
      <w:r>
        <w:rPr>
          <w:rFonts w:ascii="Times New Roman" w:hAnsi="Times New Roman" w:cs="Times New Roman" w:eastAsia="Times New Roman" w:hint="default"/>
        </w:rPr>
        <w:t>)</w:t>
      </w:r>
      <w:r>
        <w:rPr/>
        <w:t>或者自共同</w:t>
      </w:r>
    </w:p>
    <w:p>
      <w:pPr>
        <w:pStyle w:val="BodyText"/>
        <w:spacing w:line="350" w:lineRule="auto" w:before="27"/>
        <w:ind w:right="1128"/>
        <w:jc w:val="both"/>
      </w:pPr>
      <w:r>
        <w:rPr/>
        <w:t>经营购买资产时，在该等资产出售给第三方之前，本公司仅确认因该项交易产生的损益中属 </w:t>
      </w:r>
      <w:r>
        <w:rPr>
          <w:spacing w:val="-2"/>
        </w:rPr>
        <w:t>于共同经营其他参与方的部分。该等资产发生符合《企业会计准则第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资产减值》等规</w:t>
      </w:r>
      <w:r>
        <w:rPr>
          <w:spacing w:val="-118"/>
        </w:rPr>
        <w:t> </w:t>
      </w:r>
      <w:r>
        <w:rPr>
          <w:spacing w:val="-118"/>
        </w:rPr>
      </w:r>
      <w:r>
        <w:rPr/>
        <w:t>定的资产减值损失的，对于由本公司向共同经营投出或者出售资产的情况，本公司全额确认 损失；对于本公司自共同经营购买资产的情况，本公司按承担的份额确认该损失。</w:t>
      </w:r>
    </w:p>
    <w:p>
      <w:pPr>
        <w:spacing w:line="338" w:lineRule="auto" w:before="44"/>
        <w:ind w:left="633" w:right="111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在编制现金流量表时，将本公司库存现金及可以随时用于支付的存款确认为现金。现金</w:t>
      </w:r>
    </w:p>
    <w:p>
      <w:pPr>
        <w:pStyle w:val="BodyText"/>
        <w:spacing w:line="338" w:lineRule="auto" w:before="55"/>
        <w:ind w:right="1131"/>
        <w:jc w:val="both"/>
      </w:pPr>
      <w:r>
        <w:rPr/>
        <w:t>等价物是指企业持有的期限短</w:t>
      </w:r>
      <w:r>
        <w:rPr>
          <w:rFonts w:ascii="Times New Roman" w:hAnsi="Times New Roman" w:cs="Times New Roman" w:eastAsia="Times New Roman" w:hint="default"/>
        </w:rPr>
        <w:t>(</w:t>
      </w:r>
      <w:r>
        <w:rPr/>
        <w:t>一般是指从购买日起</w:t>
      </w:r>
      <w:r>
        <w:rPr>
          <w:rFonts w:ascii="Times New Roman" w:hAnsi="Times New Roman" w:cs="Times New Roman" w:eastAsia="Times New Roman" w:hint="default"/>
        </w:rPr>
        <w:t>3</w:t>
      </w:r>
      <w:r>
        <w:rPr/>
        <w:t>个月内到期</w:t>
      </w:r>
      <w:r>
        <w:rPr>
          <w:rFonts w:ascii="Times New Roman" w:hAnsi="Times New Roman" w:cs="Times New Roman" w:eastAsia="Times New Roman" w:hint="default"/>
        </w:rPr>
        <w:t>)</w:t>
      </w:r>
      <w:r>
        <w:rPr/>
        <w:t>、流动性强、易于转换为已 知金额现金、价值变动风险很小的投资。</w:t>
      </w:r>
    </w:p>
    <w:p>
      <w:pPr>
        <w:pStyle w:val="Heading2"/>
        <w:spacing w:line="240" w:lineRule="auto" w:before="55"/>
        <w:ind w:left="635" w:right="1273"/>
        <w:jc w:val="left"/>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338" w:lineRule="auto" w:before="135"/>
        <w:ind w:left="633" w:right="1116"/>
        <w:jc w:val="left"/>
      </w:pPr>
      <w:r>
        <w:rPr/>
        <w:t>（</w:t>
      </w:r>
      <w:r>
        <w:rPr>
          <w:rFonts w:ascii="Times New Roman" w:hAnsi="Times New Roman" w:cs="Times New Roman" w:eastAsia="Times New Roman" w:hint="default"/>
        </w:rPr>
        <w:t>1</w:t>
      </w:r>
      <w:r>
        <w:rPr/>
        <w:t>）外币交易业务 </w:t>
      </w:r>
      <w:r>
        <w:rPr>
          <w:spacing w:val="-2"/>
        </w:rPr>
        <w:t>对发生的外币业务，采用交易发生日的即期汇率</w:t>
      </w:r>
      <w:r>
        <w:rPr>
          <w:rFonts w:ascii="Times New Roman" w:hAnsi="Times New Roman" w:cs="Times New Roman" w:eastAsia="Times New Roman" w:hint="default"/>
          <w:spacing w:val="-2"/>
        </w:rPr>
        <w:t>(</w:t>
      </w:r>
      <w:r>
        <w:rPr>
          <w:spacing w:val="-2"/>
        </w:rPr>
        <w:t>通常指中国人民银行公布的当日外汇牌</w:t>
      </w:r>
    </w:p>
    <w:p>
      <w:pPr>
        <w:pStyle w:val="BodyText"/>
        <w:spacing w:line="338" w:lineRule="auto" w:before="27"/>
        <w:ind w:right="1133"/>
        <w:jc w:val="both"/>
      </w:pPr>
      <w:r>
        <w:rPr>
          <w:spacing w:val="-2"/>
        </w:rPr>
        <w:t>价的中间价，下同</w:t>
      </w:r>
      <w:r>
        <w:rPr>
          <w:rFonts w:ascii="Times New Roman" w:hAnsi="Times New Roman" w:cs="Times New Roman" w:eastAsia="Times New Roman" w:hint="default"/>
          <w:spacing w:val="-2"/>
        </w:rPr>
        <w:t>)</w:t>
      </w:r>
      <w:r>
        <w:rPr>
          <w:spacing w:val="-2"/>
        </w:rPr>
        <w:t>折合记账本位币记账。但公司发生的外币兑换业务或涉及外币兑换的交易</w:t>
      </w:r>
      <w:r>
        <w:rPr>
          <w:spacing w:val="-82"/>
        </w:rPr>
        <w:t> </w:t>
      </w:r>
      <w:r>
        <w:rPr>
          <w:spacing w:val="-82"/>
        </w:rPr>
      </w:r>
      <w:r>
        <w:rPr/>
        <w:t>事项，按照实际采用的汇率折算为记账本位币金额。</w:t>
      </w:r>
    </w:p>
    <w:p>
      <w:pPr>
        <w:pStyle w:val="BodyText"/>
        <w:spacing w:line="338" w:lineRule="auto" w:before="55"/>
        <w:ind w:left="633" w:right="1116"/>
        <w:jc w:val="left"/>
      </w:pPr>
      <w:r>
        <w:rPr/>
        <w:t>（</w:t>
      </w:r>
      <w:r>
        <w:rPr>
          <w:rFonts w:ascii="Times New Roman" w:hAnsi="Times New Roman" w:cs="Times New Roman" w:eastAsia="Times New Roman" w:hint="default"/>
        </w:rPr>
        <w:t>2</w:t>
      </w:r>
      <w:r>
        <w:rPr/>
        <w:t>）外币货币性项目和非货币性项目的折算方法 资产负债表日，对于外币货币性项目采用资产负债表日即期汇率折算，由此产生的汇兑</w:t>
      </w:r>
    </w:p>
    <w:p>
      <w:pPr>
        <w:pStyle w:val="BodyText"/>
        <w:spacing w:line="348" w:lineRule="auto" w:before="55"/>
        <w:ind w:right="1131"/>
        <w:jc w:val="both"/>
      </w:pPr>
      <w:r>
        <w:rPr/>
        <w:t>差额，除：①属于与购建符合资本化条件的资产相关的外币专门借款产生的汇兑差额按照借</w:t>
      </w:r>
      <w:r>
        <w:rPr>
          <w:spacing w:val="-91"/>
        </w:rPr>
        <w:t> </w:t>
      </w:r>
      <w:r>
        <w:rPr>
          <w:spacing w:val="-91"/>
        </w:rPr>
      </w:r>
      <w:r>
        <w:rPr>
          <w:spacing w:val="-1"/>
        </w:rPr>
        <w:t>款费用资本化的原则处理；②用于境外经营净投资有效套期的套期工具的汇兑差额</w:t>
      </w:r>
      <w:r>
        <w:rPr>
          <w:rFonts w:ascii="Times New Roman" w:hAnsi="Times New Roman" w:cs="Times New Roman" w:eastAsia="Times New Roman" w:hint="default"/>
          <w:spacing w:val="-1"/>
        </w:rPr>
        <w:t>(</w:t>
      </w:r>
      <w:r>
        <w:rPr>
          <w:spacing w:val="-1"/>
        </w:rPr>
        <w:t>该差额计</w:t>
      </w:r>
      <w:r>
        <w:rPr/>
        <w:t> </w:t>
      </w:r>
      <w:r>
        <w:rPr>
          <w:spacing w:val="-2"/>
        </w:rPr>
        <w:t>入其他综合收益，直至净投资被处置才被确认为当期损益</w:t>
      </w:r>
      <w:r>
        <w:rPr>
          <w:rFonts w:ascii="Times New Roman" w:hAnsi="Times New Roman" w:cs="Times New Roman" w:eastAsia="Times New Roman" w:hint="default"/>
          <w:spacing w:val="-2"/>
        </w:rPr>
        <w:t>)</w:t>
      </w:r>
      <w:r>
        <w:rPr>
          <w:spacing w:val="-2"/>
        </w:rPr>
        <w:t>；以及③可供出售的外币货币性项</w:t>
      </w:r>
      <w:r>
        <w:rPr>
          <w:spacing w:val="-81"/>
        </w:rPr>
        <w:t> </w:t>
      </w:r>
      <w:r>
        <w:rPr>
          <w:spacing w:val="-81"/>
        </w:rPr>
      </w:r>
      <w:r>
        <w:rPr/>
        <w:t>目除摊余成本之外的其他账面余额变动产生的汇兑差额计入其他综合收益之外，均计入当期</w:t>
      </w:r>
      <w:r>
        <w:rPr>
          <w:spacing w:val="-91"/>
        </w:rPr>
        <w:t> </w:t>
      </w:r>
      <w:r>
        <w:rPr>
          <w:spacing w:val="-91"/>
        </w:rPr>
      </w:r>
      <w:r>
        <w:rPr/>
        <w:t>损益。</w:t>
      </w:r>
    </w:p>
    <w:p>
      <w:pPr>
        <w:pStyle w:val="BodyText"/>
        <w:spacing w:line="357" w:lineRule="auto" w:before="46"/>
        <w:ind w:right="1138" w:firstLine="480"/>
        <w:jc w:val="both"/>
      </w:pPr>
      <w:r>
        <w:rPr/>
        <w:t>以历史成本计量的外币非货币性项目，仍采用交易发生日的即期汇率折算的记账本位币 金额计量。以公允价值计量的外币非货币性项目，采用公允价值确定日的即期汇率折算，折</w:t>
      </w:r>
      <w:r>
        <w:rPr>
          <w:spacing w:val="-91"/>
        </w:rPr>
        <w:t> </w:t>
      </w:r>
      <w:r>
        <w:rPr>
          <w:spacing w:val="-91"/>
        </w:rPr>
      </w:r>
      <w:r>
        <w:rPr/>
        <w:t>算后的记账本位币金额与原记账本位币金额的差额，计入当期损益。</w:t>
      </w:r>
    </w:p>
    <w:p>
      <w:pPr>
        <w:pStyle w:val="BodyText"/>
        <w:spacing w:line="338" w:lineRule="auto"/>
        <w:ind w:left="633" w:right="1116"/>
        <w:jc w:val="left"/>
      </w:pPr>
      <w:r>
        <w:rPr/>
        <w:t>（</w:t>
      </w:r>
      <w:r>
        <w:rPr>
          <w:rFonts w:ascii="Times New Roman" w:hAnsi="Times New Roman" w:cs="Times New Roman" w:eastAsia="Times New Roman" w:hint="default"/>
        </w:rPr>
        <w:t>3</w:t>
      </w:r>
      <w:r>
        <w:rPr/>
        <w:t>）外币报表折算 资产负债表中的资产和负债项目，采用资产负债表日的即期汇率折算；所有者权益项目</w:t>
      </w:r>
    </w:p>
    <w:p>
      <w:pPr>
        <w:spacing w:after="0" w:line="338"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2" w:lineRule="auto" w:before="26"/>
        <w:ind w:right="1128"/>
        <w:jc w:val="both"/>
      </w:pPr>
      <w:r>
        <w:rPr>
          <w:spacing w:val="-5"/>
        </w:rPr>
        <w:t>除</w:t>
      </w:r>
      <w:r>
        <w:rPr>
          <w:rFonts w:ascii="Times New Roman" w:hAnsi="Times New Roman" w:cs="Times New Roman" w:eastAsia="Times New Roman" w:hint="default"/>
          <w:spacing w:val="-5"/>
        </w:rPr>
        <w:t>“</w:t>
      </w:r>
      <w:r>
        <w:rPr>
          <w:spacing w:val="-5"/>
        </w:rPr>
        <w:t>未分配利润</w:t>
      </w:r>
      <w:r>
        <w:rPr>
          <w:rFonts w:ascii="Times New Roman" w:hAnsi="Times New Roman" w:cs="Times New Roman" w:eastAsia="Times New Roman" w:hint="default"/>
          <w:spacing w:val="-5"/>
        </w:rPr>
        <w:t>”</w:t>
      </w:r>
      <w:r>
        <w:rPr>
          <w:spacing w:val="-5"/>
        </w:rPr>
        <w:t>项目外，其他项目采用发生时的即期汇率折算；利润表中的收入和费用项目，</w:t>
      </w:r>
      <w:r>
        <w:rPr>
          <w:spacing w:val="-83"/>
        </w:rPr>
        <w:t> </w:t>
      </w:r>
      <w:r>
        <w:rPr>
          <w:spacing w:val="-83"/>
        </w:rPr>
      </w:r>
      <w:r>
        <w:rPr/>
        <w:t>采用交易发生日的当期平均汇率折算；年初未分配利润为上一年折算后的年末未分配利润；</w:t>
      </w:r>
      <w:r>
        <w:rPr>
          <w:spacing w:val="-91"/>
        </w:rPr>
        <w:t> </w:t>
      </w:r>
      <w:r>
        <w:rPr>
          <w:spacing w:val="-91"/>
        </w:rPr>
      </w:r>
      <w:r>
        <w:rPr/>
        <w:t>年末未分配利润按折算后的利润分配各项目计算列示；按照上述折算产生的外币财务报表折</w:t>
      </w:r>
      <w:r>
        <w:rPr>
          <w:spacing w:val="-91"/>
        </w:rPr>
        <w:t> </w:t>
      </w:r>
      <w:r>
        <w:rPr>
          <w:spacing w:val="-91"/>
        </w:rPr>
      </w:r>
      <w:r>
        <w:rPr/>
        <w:t>算差额，在资产负债表股东权益项目下的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项目反映。处置境外经营并丧失控</w:t>
      </w:r>
      <w:r>
        <w:rPr>
          <w:spacing w:val="-63"/>
        </w:rPr>
        <w:t> </w:t>
      </w:r>
      <w:r>
        <w:rPr>
          <w:spacing w:val="-63"/>
        </w:rPr>
      </w:r>
      <w:r>
        <w:rPr/>
        <w:t>制权时，将资产负债表中股东权益项目下列示的、与该境外经营相关的外币报表折算差额，</w:t>
      </w:r>
      <w:r>
        <w:rPr>
          <w:spacing w:val="-91"/>
        </w:rPr>
        <w:t> </w:t>
      </w:r>
      <w:r>
        <w:rPr>
          <w:spacing w:val="-91"/>
        </w:rPr>
      </w:r>
      <w:r>
        <w:rPr/>
        <w:t>全部或按处置该境外经营的比例转入处置当期损益。在处置部分股权投资或其他原因导致持</w:t>
      </w:r>
      <w:r>
        <w:rPr>
          <w:spacing w:val="-91"/>
        </w:rPr>
        <w:t> </w:t>
      </w:r>
      <w:r>
        <w:rPr>
          <w:spacing w:val="-91"/>
        </w:rPr>
      </w:r>
      <w:r>
        <w:rPr/>
        <w:t>有境外经营权益比例降低但不丧失对境外经营控制权时，与该境外经营处置部分相关的外币</w:t>
      </w:r>
      <w:r>
        <w:rPr>
          <w:spacing w:val="-91"/>
        </w:rPr>
        <w:t> </w:t>
      </w:r>
      <w:r>
        <w:rPr>
          <w:spacing w:val="-91"/>
        </w:rPr>
      </w:r>
      <w:r>
        <w:rPr/>
        <w:t>报表折算差额将归属于少数股东权益，不转入当期损益。</w:t>
      </w:r>
    </w:p>
    <w:p>
      <w:pPr>
        <w:pStyle w:val="BodyText"/>
        <w:spacing w:line="357" w:lineRule="auto" w:before="41"/>
        <w:ind w:right="1116" w:firstLine="480"/>
        <w:jc w:val="left"/>
      </w:pPr>
      <w:r>
        <w:rPr/>
        <w:t>现金流量表采用现金流量发生日的当期平均汇率折算。汇率变动对现金的影响额作为调 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项目反映。</w:t>
      </w:r>
    </w:p>
    <w:p>
      <w:pPr>
        <w:pStyle w:val="BodyText"/>
        <w:spacing w:line="338" w:lineRule="auto" w:before="5"/>
        <w:ind w:left="633" w:right="1116" w:firstLine="2"/>
        <w:jc w:val="left"/>
      </w:pPr>
      <w:r>
        <w:rPr>
          <w:rFonts w:ascii="Times New Roman" w:hAnsi="Times New Roman" w:cs="Times New Roman" w:eastAsia="Times New Roman" w:hint="default"/>
          <w:b/>
          <w:bCs/>
        </w:rPr>
        <w:t>10</w:t>
      </w:r>
      <w:r>
        <w:rPr>
          <w:rFonts w:ascii="宋体" w:hAnsi="宋体" w:cs="宋体" w:eastAsia="宋体" w:hint="default"/>
          <w:b/>
          <w:bCs/>
        </w:rPr>
        <w:t>、金融工具</w:t>
      </w:r>
      <w:r>
        <w:rPr>
          <w:rFonts w:ascii="宋体" w:hAnsi="宋体" w:cs="宋体" w:eastAsia="宋体" w:hint="default"/>
          <w:b/>
          <w:bCs/>
          <w:w w:val="99"/>
        </w:rPr>
        <w:t> </w:t>
      </w:r>
      <w:r>
        <w:rPr/>
        <w:t>金融工具是指形成一个企业的金融资产，并形成其他单位的金融负债或者权益工具的合</w:t>
      </w:r>
    </w:p>
    <w:p>
      <w:pPr>
        <w:pStyle w:val="BodyText"/>
        <w:spacing w:line="357" w:lineRule="auto" w:before="55"/>
        <w:ind w:right="1138"/>
        <w:jc w:val="both"/>
      </w:pPr>
      <w:r>
        <w:rPr/>
        <w:t>同。金融工具包括金融资产、金融负债和权益工具。金融资产和金融负债在初始确认时以公</w:t>
      </w:r>
      <w:r>
        <w:rPr>
          <w:spacing w:val="-91"/>
        </w:rPr>
        <w:t> </w:t>
      </w:r>
      <w:r>
        <w:rPr>
          <w:spacing w:val="-91"/>
        </w:rPr>
      </w:r>
      <w:r>
        <w:rPr/>
        <w:t>允价值计量。对于以公允价值计量且其变动计入当期损益的金融资产和金融负债，相关的交</w:t>
      </w:r>
      <w:r>
        <w:rPr>
          <w:spacing w:val="-91"/>
        </w:rPr>
        <w:t> </w:t>
      </w:r>
      <w:r>
        <w:rPr>
          <w:spacing w:val="-91"/>
        </w:rPr>
      </w:r>
      <w:r>
        <w:rPr/>
        <w:t>易费用直接计入损益，对于其他类别的金融资产和金融负债，相关交易费用计入初始确认金</w:t>
      </w:r>
      <w:r>
        <w:rPr>
          <w:spacing w:val="-91"/>
        </w:rPr>
        <w:t> </w:t>
      </w:r>
      <w:r>
        <w:rPr>
          <w:spacing w:val="-91"/>
        </w:rPr>
      </w:r>
      <w:r>
        <w:rPr/>
        <w:t>额。</w:t>
      </w:r>
    </w:p>
    <w:p>
      <w:pPr>
        <w:pStyle w:val="BodyText"/>
        <w:spacing w:line="338" w:lineRule="auto"/>
        <w:ind w:left="633" w:right="1116"/>
        <w:jc w:val="left"/>
      </w:pPr>
      <w:r>
        <w:rPr/>
        <w:t>（</w:t>
      </w:r>
      <w:r>
        <w:rPr>
          <w:rFonts w:ascii="Times New Roman" w:hAnsi="Times New Roman" w:cs="Times New Roman" w:eastAsia="Times New Roman" w:hint="default"/>
        </w:rPr>
        <w:t>1</w:t>
      </w:r>
      <w:r>
        <w:rPr/>
        <w:t>）金融资产的分类、确认和计量 以常规方式买卖金融资产，按交易日进行会计确认和终止确认。金融资产在初始确认时</w:t>
      </w:r>
    </w:p>
    <w:p>
      <w:pPr>
        <w:pStyle w:val="BodyText"/>
        <w:spacing w:line="357" w:lineRule="auto" w:before="55"/>
        <w:ind w:right="1138"/>
        <w:jc w:val="both"/>
      </w:pPr>
      <w:r>
        <w:rPr/>
        <w:t>划分为以公允价值计量且其变动计入当期损益的金融资产、持有至到期投资、贷款和应收款</w:t>
      </w:r>
      <w:r>
        <w:rPr>
          <w:spacing w:val="-91"/>
        </w:rPr>
        <w:t> </w:t>
      </w:r>
      <w:r>
        <w:rPr>
          <w:spacing w:val="-91"/>
        </w:rPr>
      </w:r>
      <w:r>
        <w:rPr/>
        <w:t>项以及可供出售金融资产。</w:t>
      </w:r>
    </w:p>
    <w:p>
      <w:pPr>
        <w:pStyle w:val="BodyText"/>
        <w:spacing w:line="357" w:lineRule="auto"/>
        <w:ind w:left="633" w:right="1153"/>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1)</w:t>
      </w:r>
      <w:r>
        <w:rPr/>
        <w:t>取得该金融资产的目的，主要是</w:t>
      </w:r>
    </w:p>
    <w:p>
      <w:pPr>
        <w:pStyle w:val="BodyText"/>
        <w:spacing w:line="345" w:lineRule="auto" w:before="6"/>
        <w:ind w:right="1134"/>
        <w:jc w:val="both"/>
      </w:pPr>
      <w:r>
        <w:rPr/>
        <w:t>为了近期内出售；</w:t>
      </w:r>
      <w:r>
        <w:rPr>
          <w:rFonts w:ascii="Times New Roman" w:hAnsi="Times New Roman" w:cs="Times New Roman" w:eastAsia="Times New Roman" w:hint="default"/>
        </w:rPr>
        <w:t>2)</w:t>
      </w:r>
      <w:r>
        <w:rPr/>
        <w:t>属于进行集中管理的可辨认金融工具组合的一部分，且有客观证据表明</w:t>
      </w:r>
      <w:r>
        <w:rPr>
          <w:spacing w:val="-54"/>
        </w:rPr>
        <w:t> </w:t>
      </w:r>
      <w:r>
        <w:rPr>
          <w:spacing w:val="-54"/>
        </w:rPr>
      </w:r>
      <w:r>
        <w:rPr/>
        <w:t>本公司近期采用短期获利方式对该组合进行管理；</w:t>
      </w:r>
      <w:r>
        <w:rPr>
          <w:rFonts w:ascii="Times New Roman" w:hAnsi="Times New Roman" w:cs="Times New Roman" w:eastAsia="Times New Roman" w:hint="default"/>
        </w:rPr>
        <w:t>3)</w:t>
      </w:r>
      <w:r>
        <w:rPr/>
        <w:t>属于衍生工具，但是，被指定且为有效</w:t>
      </w:r>
      <w:r>
        <w:rPr>
          <w:spacing w:val="-50"/>
        </w:rPr>
        <w:t> </w:t>
      </w:r>
      <w:r>
        <w:rPr>
          <w:spacing w:val="-50"/>
        </w:rPr>
      </w:r>
      <w:r>
        <w:rPr/>
        <w:t>套期工具的衍生工具、属于财务担保合同的衍生工具、与在活跃市场中没有报价且其公允价</w:t>
      </w:r>
      <w:r>
        <w:rPr>
          <w:spacing w:val="-91"/>
        </w:rPr>
        <w:t> </w:t>
      </w:r>
      <w:r>
        <w:rPr>
          <w:spacing w:val="-91"/>
        </w:rPr>
      </w:r>
      <w:r>
        <w:rPr/>
        <w:t>值不能可靠计量的权益工具投资挂钩并须通过交付该权益工具结算的衍生工具除外。</w:t>
      </w:r>
    </w:p>
    <w:p>
      <w:pPr>
        <w:pStyle w:val="BodyText"/>
        <w:spacing w:line="357" w:lineRule="auto" w:before="48"/>
        <w:ind w:right="1116" w:firstLine="480"/>
        <w:jc w:val="left"/>
      </w:pPr>
      <w:r>
        <w:rPr/>
        <w:t>符合下述条件之一的金融资产，在初始确认时可指定为以公允价值计量且其变动计入当 期损益的金融资产：</w:t>
      </w:r>
      <w:r>
        <w:rPr>
          <w:rFonts w:ascii="Times New Roman" w:hAnsi="Times New Roman" w:cs="Times New Roman" w:eastAsia="Times New Roman" w:hint="default"/>
        </w:rPr>
        <w:t>1)</w:t>
      </w:r>
      <w:r>
        <w:rPr/>
        <w:t>该指定可以消除或明显减少由于该金融资产的计量基础不同所导致的</w:t>
      </w:r>
    </w:p>
    <w:p>
      <w:pPr>
        <w:spacing w:after="0" w:line="357"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48" w:lineRule="auto" w:before="26"/>
        <w:ind w:right="1134"/>
        <w:jc w:val="both"/>
      </w:pPr>
      <w:r>
        <w:rPr/>
        <w:t>相关利得或损失在确认或计量方面不一致的情况；</w:t>
      </w:r>
      <w:r>
        <w:rPr>
          <w:rFonts w:ascii="Times New Roman" w:hAnsi="Times New Roman" w:cs="Times New Roman" w:eastAsia="Times New Roman" w:hint="default"/>
        </w:rPr>
        <w:t>2)</w:t>
      </w:r>
      <w:r>
        <w:rPr/>
        <w:t>本公司风险管理或投资策略的正式书面</w:t>
      </w:r>
      <w:r>
        <w:rPr>
          <w:spacing w:val="-53"/>
        </w:rPr>
        <w:t> </w:t>
      </w:r>
      <w:r>
        <w:rPr>
          <w:spacing w:val="-53"/>
        </w:rPr>
      </w:r>
      <w:r>
        <w:rPr/>
        <w:t>文件已载明，对该金融资产所在的金融资产组合或金融资产和金融负债组合以公允价值为基</w:t>
      </w:r>
      <w:r>
        <w:rPr>
          <w:spacing w:val="-89"/>
        </w:rPr>
        <w:t> </w:t>
      </w:r>
      <w:r>
        <w:rPr>
          <w:spacing w:val="-89"/>
        </w:rPr>
      </w:r>
      <w:r>
        <w:rPr/>
        <w:t>础进行管理、评价并向关键管理人员报告。</w:t>
      </w:r>
    </w:p>
    <w:p>
      <w:pPr>
        <w:pStyle w:val="BodyText"/>
        <w:spacing w:line="345" w:lineRule="auto" w:before="46"/>
        <w:ind w:right="1131" w:firstLine="480"/>
        <w:jc w:val="both"/>
      </w:pPr>
      <w:r>
        <w:rPr>
          <w:spacing w:val="4"/>
        </w:rPr>
        <w:t>以公允价值计量且其变动计入当期损益的金融资产取得时以公允价值</w:t>
      </w:r>
      <w:r>
        <w:rPr>
          <w:rFonts w:ascii="Times New Roman" w:hAnsi="Times New Roman" w:cs="Times New Roman" w:eastAsia="Times New Roman" w:hint="default"/>
          <w:spacing w:val="4"/>
        </w:rPr>
        <w:t>(</w:t>
      </w:r>
      <w:r>
        <w:rPr>
          <w:spacing w:val="4"/>
        </w:rPr>
        <w:t>扣除已宣告但尚</w:t>
      </w:r>
      <w:r>
        <w:rPr/>
        <w:t> </w:t>
      </w:r>
      <w:r>
        <w:rPr>
          <w:spacing w:val="-2"/>
        </w:rPr>
        <w:t>未发放的现金股利或已付息期但尚未领取的债券利息</w:t>
      </w:r>
      <w:r>
        <w:rPr>
          <w:rFonts w:ascii="Times New Roman" w:hAnsi="Times New Roman" w:cs="Times New Roman" w:eastAsia="Times New Roman" w:hint="default"/>
          <w:spacing w:val="-2"/>
        </w:rPr>
        <w:t>)</w:t>
      </w:r>
      <w:r>
        <w:rPr>
          <w:spacing w:val="-2"/>
        </w:rPr>
        <w:t>作为初始确认金额，相关的交易费用计</w:t>
      </w:r>
      <w:r>
        <w:rPr>
          <w:spacing w:val="-80"/>
        </w:rPr>
        <w:t> </w:t>
      </w:r>
      <w:r>
        <w:rPr>
          <w:spacing w:val="-80"/>
        </w:rPr>
      </w:r>
      <w:r>
        <w:rPr/>
        <w:t>入当期损益。采用公允价值进行后续计量，公允价值变动形成的利得或损失以及与该等金融</w:t>
      </w:r>
      <w:r>
        <w:rPr>
          <w:spacing w:val="-91"/>
        </w:rPr>
        <w:t> </w:t>
      </w:r>
      <w:r>
        <w:rPr>
          <w:spacing w:val="-91"/>
        </w:rPr>
      </w:r>
      <w:r>
        <w:rPr/>
        <w:t>资产相关的股利和利息收入计入当期损益。</w:t>
      </w:r>
    </w:p>
    <w:p>
      <w:pPr>
        <w:pStyle w:val="BodyText"/>
        <w:spacing w:line="357" w:lineRule="auto" w:before="48"/>
        <w:ind w:left="633" w:right="1116"/>
        <w:jc w:val="left"/>
      </w:pPr>
      <w:r>
        <w:rPr/>
        <w:t>②持有至到期投资 持有至到期投资是指到期日固定、回收金额固定或可确定，且本公司有明确意图和能力</w:t>
      </w:r>
    </w:p>
    <w:p>
      <w:pPr>
        <w:pStyle w:val="BodyText"/>
        <w:spacing w:line="357" w:lineRule="auto"/>
        <w:ind w:left="633" w:right="1116" w:hanging="480"/>
        <w:jc w:val="left"/>
      </w:pPr>
      <w:r>
        <w:rPr/>
        <w:t>持有至到期的非衍生金融资产。 </w:t>
      </w:r>
      <w:r>
        <w:rPr>
          <w:spacing w:val="2"/>
        </w:rPr>
        <w:t>持有至到期投资取得时按公允价值</w:t>
      </w:r>
      <w:r>
        <w:rPr>
          <w:rFonts w:ascii="Times New Roman" w:hAnsi="Times New Roman" w:cs="Times New Roman" w:eastAsia="Times New Roman" w:hint="default"/>
          <w:spacing w:val="2"/>
        </w:rPr>
        <w:t>(</w:t>
      </w:r>
      <w:r>
        <w:rPr>
          <w:spacing w:val="2"/>
        </w:rPr>
        <w:t>扣除已到付息期但尚未领取的债券利息</w:t>
      </w:r>
      <w:r>
        <w:rPr>
          <w:rFonts w:ascii="Times New Roman" w:hAnsi="Times New Roman" w:cs="Times New Roman" w:eastAsia="Times New Roman" w:hint="default"/>
          <w:spacing w:val="2"/>
        </w:rPr>
        <w:t>)</w:t>
      </w:r>
      <w:r>
        <w:rPr>
          <w:spacing w:val="2"/>
        </w:rPr>
        <w:t>和相关交易</w:t>
      </w:r>
    </w:p>
    <w:p>
      <w:pPr>
        <w:pStyle w:val="BodyText"/>
        <w:spacing w:line="357" w:lineRule="auto" w:before="5"/>
        <w:ind w:right="1138"/>
        <w:jc w:val="both"/>
      </w:pPr>
      <w:r>
        <w:rPr/>
        <w:t>费用之和作为初始确认金额。采用实际利率法，按摊余成本进行后续计量，在终止确认、发</w:t>
      </w:r>
      <w:r>
        <w:rPr>
          <w:spacing w:val="-91"/>
        </w:rPr>
        <w:t> </w:t>
      </w:r>
      <w:r>
        <w:rPr>
          <w:spacing w:val="-91"/>
        </w:rPr>
      </w:r>
      <w:r>
        <w:rPr/>
        <w:t>生减值或摊销时产生的利得或损失，计入当期损益。</w:t>
      </w:r>
    </w:p>
    <w:p>
      <w:pPr>
        <w:pStyle w:val="BodyText"/>
        <w:spacing w:line="350" w:lineRule="auto"/>
        <w:ind w:right="1135" w:firstLine="480"/>
        <w:jc w:val="both"/>
      </w:pPr>
      <w:r>
        <w:rPr>
          <w:spacing w:val="2"/>
        </w:rPr>
        <w:t>实际利率法是指按照金融资产或金融负债</w:t>
      </w:r>
      <w:r>
        <w:rPr>
          <w:rFonts w:ascii="Times New Roman" w:hAnsi="Times New Roman" w:cs="Times New Roman" w:eastAsia="Times New Roman" w:hint="default"/>
          <w:spacing w:val="2"/>
        </w:rPr>
        <w:t>(</w:t>
      </w:r>
      <w:r>
        <w:rPr>
          <w:spacing w:val="2"/>
        </w:rPr>
        <w:t>含一组金融资产或金融负债</w:t>
      </w:r>
      <w:r>
        <w:rPr>
          <w:rFonts w:ascii="Times New Roman" w:hAnsi="Times New Roman" w:cs="Times New Roman" w:eastAsia="Times New Roman" w:hint="default"/>
          <w:spacing w:val="2"/>
        </w:rPr>
        <w:t>)</w:t>
      </w:r>
      <w:r>
        <w:rPr>
          <w:spacing w:val="2"/>
        </w:rPr>
        <w:t>的实际利率计算</w:t>
      </w:r>
      <w:r>
        <w:rPr/>
        <w:t> 其摊余成本及各期利息收入或支出的方法。实际利率是指将金融资产或金融负债在预期存续</w:t>
      </w:r>
      <w:r>
        <w:rPr>
          <w:spacing w:val="-91"/>
        </w:rPr>
        <w:t> </w:t>
      </w:r>
      <w:r>
        <w:rPr>
          <w:spacing w:val="-91"/>
        </w:rPr>
      </w:r>
      <w:r>
        <w:rPr/>
        <w:t>期间或适用的更短期间内的未来现金流量，折现为该金融资产或金融负债当前账面价值所使</w:t>
      </w:r>
      <w:r>
        <w:rPr>
          <w:spacing w:val="-91"/>
        </w:rPr>
        <w:t> </w:t>
      </w:r>
      <w:r>
        <w:rPr>
          <w:spacing w:val="-91"/>
        </w:rPr>
      </w:r>
      <w:r>
        <w:rPr/>
        <w:t>用的利率。在计算实际利率时，本公司将在考虑金融资产或金融负债所有合同条款的基础上</w:t>
      </w:r>
      <w:r>
        <w:rPr>
          <w:spacing w:val="-91"/>
        </w:rPr>
        <w:t> </w:t>
      </w:r>
      <w:r>
        <w:rPr>
          <w:spacing w:val="-91"/>
        </w:rPr>
      </w:r>
      <w:r>
        <w:rPr>
          <w:spacing w:val="2"/>
        </w:rPr>
        <w:t>预计未来现金流量</w:t>
      </w:r>
      <w:r>
        <w:rPr>
          <w:rFonts w:ascii="Times New Roman" w:hAnsi="Times New Roman" w:cs="Times New Roman" w:eastAsia="Times New Roman" w:hint="default"/>
          <w:spacing w:val="2"/>
        </w:rPr>
        <w:t>(</w:t>
      </w:r>
      <w:r>
        <w:rPr>
          <w:spacing w:val="2"/>
        </w:rPr>
        <w:t>不考虑未来的信用损失</w:t>
      </w:r>
      <w:r>
        <w:rPr>
          <w:rFonts w:ascii="Times New Roman" w:hAnsi="Times New Roman" w:cs="Times New Roman" w:eastAsia="Times New Roman" w:hint="default"/>
          <w:spacing w:val="2"/>
        </w:rPr>
        <w:t>)</w:t>
      </w:r>
      <w:r>
        <w:rPr>
          <w:spacing w:val="2"/>
        </w:rPr>
        <w:t>，同时还将考虑金融资产或金融负债合同各方之</w:t>
      </w:r>
      <w:r>
        <w:rPr>
          <w:spacing w:val="-98"/>
        </w:rPr>
        <w:t> </w:t>
      </w:r>
      <w:r>
        <w:rPr>
          <w:spacing w:val="-98"/>
        </w:rPr>
      </w:r>
      <w:r>
        <w:rPr/>
        <w:t>间支付或收取的、属于实际利率组成部分的各项收费、交易费用及折价或溢价等。</w:t>
      </w:r>
    </w:p>
    <w:p>
      <w:pPr>
        <w:pStyle w:val="BodyText"/>
        <w:spacing w:line="357" w:lineRule="auto" w:before="43"/>
        <w:ind w:left="633" w:right="997"/>
        <w:jc w:val="left"/>
      </w:pPr>
      <w:r>
        <w:rPr/>
        <w:t>③贷款和应收款项 </w:t>
      </w:r>
      <w:r>
        <w:rPr>
          <w:spacing w:val="-3"/>
        </w:rPr>
        <w:t>贷款和应收款项是指在活跃市场中没有报价、回收金额固定或可确定的非衍生金融资产。</w:t>
      </w:r>
    </w:p>
    <w:p>
      <w:pPr>
        <w:pStyle w:val="BodyText"/>
        <w:spacing w:line="357" w:lineRule="auto"/>
        <w:ind w:right="1138"/>
        <w:jc w:val="both"/>
      </w:pPr>
      <w:r>
        <w:rPr/>
        <w:t>本公司划分为贷款和应收款的金融资产包括应收票据、应收账款、应收利息、应收股利及其</w:t>
      </w:r>
      <w:r>
        <w:rPr>
          <w:spacing w:val="-91"/>
        </w:rPr>
        <w:t> </w:t>
      </w:r>
      <w:r>
        <w:rPr>
          <w:spacing w:val="-91"/>
        </w:rPr>
      </w:r>
      <w:r>
        <w:rPr/>
        <w:t>他应收款等。以向购货方应收的合同或协议价款作为初始确认金额；具有融资性质的，按其</w:t>
      </w:r>
      <w:r>
        <w:rPr>
          <w:spacing w:val="-91"/>
        </w:rPr>
        <w:t> </w:t>
      </w:r>
      <w:r>
        <w:rPr>
          <w:spacing w:val="-91"/>
        </w:rPr>
      </w:r>
      <w:r>
        <w:rPr/>
        <w:t>现值进行初始确认。贷款和应收款项采用实际利率法，按摊余成本进行后续计量，在终止确</w:t>
      </w:r>
      <w:r>
        <w:rPr>
          <w:spacing w:val="-91"/>
        </w:rPr>
        <w:t> </w:t>
      </w:r>
      <w:r>
        <w:rPr>
          <w:spacing w:val="-91"/>
        </w:rPr>
      </w:r>
      <w:r>
        <w:rPr/>
        <w:t>认、发生减值或摊销时产生的利得或损失，计入当期损益。</w:t>
      </w:r>
    </w:p>
    <w:p>
      <w:pPr>
        <w:pStyle w:val="BodyText"/>
        <w:spacing w:line="357" w:lineRule="auto"/>
        <w:ind w:left="633" w:right="1116"/>
        <w:jc w:val="left"/>
      </w:pPr>
      <w:r>
        <w:rPr/>
        <w:t>④可供出售金融资产 可供出售金融资产包括初始确认时即被指定为可供出售的非衍生金融资产，以及除了以</w:t>
      </w:r>
    </w:p>
    <w:p>
      <w:pPr>
        <w:pStyle w:val="BodyText"/>
        <w:spacing w:line="357" w:lineRule="auto"/>
        <w:ind w:right="1138"/>
        <w:jc w:val="both"/>
      </w:pPr>
      <w:r>
        <w:rPr/>
        <w:t>公允价值计量且其变动计入当期损益的金融资产、贷款和应收款项、持有至到期投资以外的</w:t>
      </w:r>
      <w:r>
        <w:rPr>
          <w:spacing w:val="-91"/>
        </w:rPr>
        <w:t> </w:t>
      </w:r>
      <w:r>
        <w:rPr>
          <w:spacing w:val="-91"/>
        </w:rPr>
      </w:r>
      <w:r>
        <w:rPr/>
        <w:t>金融资产。</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firstLine="480"/>
        <w:jc w:val="both"/>
      </w:pPr>
      <w:r>
        <w:rPr/>
        <w:t>可供出售债务工具投资的期末成本按照摊余成本法确定，即初始确认金额扣除已偿还的 本金，加上或减去采用实际利率法将该初始确认金额与到期日金额之间的差额进行摊销形成</w:t>
      </w:r>
      <w:r>
        <w:rPr>
          <w:spacing w:val="-91"/>
        </w:rPr>
        <w:t> </w:t>
      </w:r>
      <w:r>
        <w:rPr>
          <w:spacing w:val="-91"/>
        </w:rPr>
      </w:r>
      <w:r>
        <w:rPr/>
        <w:t>的累计摊销额，并扣除已发生的减值损失后的金额。</w:t>
      </w:r>
    </w:p>
    <w:p>
      <w:pPr>
        <w:pStyle w:val="BodyText"/>
        <w:spacing w:line="352" w:lineRule="auto"/>
        <w:ind w:right="1012" w:firstLine="480"/>
        <w:jc w:val="both"/>
      </w:pPr>
      <w:r>
        <w:rPr/>
        <w:t>可供出售权益工具投资的期末成本为其初始取得成本。取得时按照公允价值</w:t>
      </w:r>
      <w:r>
        <w:rPr>
          <w:rFonts w:ascii="Times New Roman" w:hAnsi="Times New Roman" w:cs="Times New Roman" w:eastAsia="Times New Roman" w:hint="default"/>
        </w:rPr>
        <w:t>(</w:t>
      </w:r>
      <w:r>
        <w:rPr/>
        <w:t>扣除已宣告 </w:t>
      </w:r>
      <w:r>
        <w:rPr>
          <w:spacing w:val="4"/>
        </w:rPr>
        <w:t>但尚未发放的现金股利或已到付息期但尚未领取的债券利息</w:t>
      </w:r>
      <w:r>
        <w:rPr>
          <w:rFonts w:ascii="Times New Roman" w:hAnsi="Times New Roman" w:cs="Times New Roman" w:eastAsia="Times New Roman" w:hint="default"/>
          <w:spacing w:val="4"/>
        </w:rPr>
        <w:t>)</w:t>
      </w:r>
      <w:r>
        <w:rPr>
          <w:spacing w:val="4"/>
        </w:rPr>
        <w:t>和相关费用之和作为初始确认</w:t>
      </w:r>
      <w:r>
        <w:rPr>
          <w:spacing w:val="-113"/>
        </w:rPr>
        <w:t> </w:t>
      </w:r>
      <w:r>
        <w:rPr>
          <w:spacing w:val="-113"/>
        </w:rPr>
      </w:r>
      <w:r>
        <w:rPr/>
        <w:t>金额。持有期间将取得的利息或现金股利确认为投资收益。可供出售金融资产采用公允价值</w:t>
      </w:r>
      <w:r>
        <w:rPr>
          <w:spacing w:val="-91"/>
        </w:rPr>
        <w:t> </w:t>
      </w:r>
      <w:r>
        <w:rPr>
          <w:spacing w:val="-91"/>
        </w:rPr>
      </w:r>
      <w:r>
        <w:rPr/>
        <w:t>进行后续计量，其折溢价采用实际利率法摊销并确认为利息收入。期末除减值损失和外币货</w:t>
      </w:r>
      <w:r>
        <w:rPr>
          <w:spacing w:val="-91"/>
        </w:rPr>
        <w:t> </w:t>
      </w:r>
      <w:r>
        <w:rPr>
          <w:spacing w:val="-91"/>
        </w:rPr>
      </w:r>
      <w:r>
        <w:rPr/>
        <w:t>币性金融资产与摊余成本相关的汇兑差额确认为当期损益外，可供出售金融资产的公允价值</w:t>
      </w:r>
      <w:r>
        <w:rPr>
          <w:spacing w:val="-91"/>
        </w:rPr>
        <w:t> </w:t>
      </w:r>
      <w:r>
        <w:rPr>
          <w:spacing w:val="-91"/>
        </w:rPr>
      </w:r>
      <w:r>
        <w:rPr/>
        <w:t>变动确认为其他综合收益；但是，对于在活跃市场中没有报价且其公允价值不能可靠计量的</w:t>
      </w:r>
      <w:r>
        <w:rPr>
          <w:spacing w:val="-91"/>
        </w:rPr>
        <w:t> </w:t>
      </w:r>
      <w:r>
        <w:rPr>
          <w:spacing w:val="-91"/>
        </w:rPr>
      </w:r>
      <w:r>
        <w:rPr/>
        <w:t>权益工具投资，以及与该权益工具挂钩并须通过交付该权益工具结算的衍生金融资产，按成</w:t>
      </w:r>
      <w:r>
        <w:rPr>
          <w:spacing w:val="-91"/>
        </w:rPr>
        <w:t> </w:t>
      </w:r>
      <w:r>
        <w:rPr>
          <w:spacing w:val="-91"/>
        </w:rPr>
      </w:r>
      <w:r>
        <w:rPr>
          <w:spacing w:val="-5"/>
        </w:rPr>
        <w:t>本计量。处置时，将取得的价款与该项金融资产账面价值之间的差额，计入投资损益；同时，</w:t>
      </w:r>
      <w:r>
        <w:rPr>
          <w:spacing w:val="-117"/>
        </w:rPr>
        <w:t> </w:t>
      </w:r>
      <w:r>
        <w:rPr>
          <w:spacing w:val="-117"/>
        </w:rPr>
      </w:r>
      <w:r>
        <w:rPr>
          <w:spacing w:val="-2"/>
        </w:rPr>
        <w:t>将原直接计入其他综合收益的公允价值变动累计额对应处置部分的金额转出，计入当期损益。</w:t>
      </w:r>
    </w:p>
    <w:p>
      <w:pPr>
        <w:pStyle w:val="BodyText"/>
        <w:spacing w:line="338" w:lineRule="auto" w:before="41"/>
        <w:ind w:left="633" w:right="1116"/>
        <w:jc w:val="left"/>
      </w:pPr>
      <w:r>
        <w:rPr/>
        <w:t>（</w:t>
      </w:r>
      <w:r>
        <w:rPr>
          <w:rFonts w:ascii="Times New Roman" w:hAnsi="Times New Roman" w:cs="Times New Roman" w:eastAsia="Times New Roman" w:hint="default"/>
        </w:rPr>
        <w:t>2</w:t>
      </w:r>
      <w:r>
        <w:rPr/>
        <w:t>）金融资产转移的确认依据及计量方法 金融资产转移，是指将金融资产让与或交付该金融资产发行方以外的另一方。公司将金</w:t>
      </w:r>
    </w:p>
    <w:p>
      <w:pPr>
        <w:pStyle w:val="BodyText"/>
        <w:spacing w:line="357" w:lineRule="auto" w:before="55"/>
        <w:ind w:left="633" w:right="1116" w:hanging="480"/>
        <w:jc w:val="left"/>
      </w:pPr>
      <w:r>
        <w:rPr/>
        <w:t>融资产转移区分为金融资产整体转移和部分转移。 满足下列条件之一的金融资产，予以终止确认：①收取该金融资产现金流量的合同权利</w:t>
      </w:r>
    </w:p>
    <w:p>
      <w:pPr>
        <w:pStyle w:val="BodyText"/>
        <w:spacing w:line="240" w:lineRule="auto"/>
        <w:ind w:right="1116"/>
        <w:jc w:val="left"/>
      </w:pPr>
      <w:r>
        <w:rPr/>
        <w:t>终止；②该金融资产已转移，且将金融资产所有权上几乎所有的风险和报酬转移给转入方；</w:t>
      </w:r>
    </w:p>
    <w:p>
      <w:pPr>
        <w:pStyle w:val="BodyText"/>
        <w:spacing w:line="357" w:lineRule="auto" w:before="154"/>
        <w:ind w:right="1116"/>
        <w:jc w:val="left"/>
      </w:pPr>
      <w:r>
        <w:rPr/>
        <w:t>③该金融资产已转移，虽然企业既没有转移也没有保留金融资产所有权上几乎所有的风险和</w:t>
      </w:r>
      <w:r>
        <w:rPr>
          <w:spacing w:val="-91"/>
        </w:rPr>
        <w:t> </w:t>
      </w:r>
      <w:r>
        <w:rPr>
          <w:spacing w:val="-91"/>
        </w:rPr>
      </w:r>
      <w:r>
        <w:rPr/>
        <w:t>报酬，但是放弃了对该金融资产的控制。</w:t>
      </w:r>
    </w:p>
    <w:p>
      <w:pPr>
        <w:pStyle w:val="BodyText"/>
        <w:spacing w:line="357" w:lineRule="auto"/>
        <w:ind w:right="1138" w:firstLine="480"/>
        <w:jc w:val="both"/>
      </w:pPr>
      <w:r>
        <w:rPr/>
        <w:t>若企业既没有转移也没有保留金融资产所有权上几乎所有的风险和报酬，且未放弃对该 金融资产的控制的，则按照继续涉入所转移金融资产的程度确认有关金融资产，并相应确认</w:t>
      </w:r>
      <w:r>
        <w:rPr>
          <w:spacing w:val="-91"/>
        </w:rPr>
        <w:t> </w:t>
      </w:r>
      <w:r>
        <w:rPr>
          <w:spacing w:val="-91"/>
        </w:rPr>
      </w:r>
      <w:r>
        <w:rPr/>
        <w:t>有关负债。继续涉入所转移金融资产的程度，是指该金融资产价值变动使企业面临的风险水</w:t>
      </w:r>
      <w:r>
        <w:rPr>
          <w:spacing w:val="-91"/>
        </w:rPr>
        <w:t> </w:t>
      </w:r>
      <w:r>
        <w:rPr>
          <w:spacing w:val="-91"/>
        </w:rPr>
      </w:r>
      <w:r>
        <w:rPr/>
        <w:t>平。</w:t>
      </w:r>
    </w:p>
    <w:p>
      <w:pPr>
        <w:pStyle w:val="BodyText"/>
        <w:spacing w:line="357" w:lineRule="auto" w:before="37"/>
        <w:ind w:right="997" w:firstLine="480"/>
        <w:jc w:val="left"/>
      </w:pPr>
      <w:r>
        <w:rPr>
          <w:spacing w:val="-3"/>
        </w:rPr>
        <w:t>在判断金融资产转移是否满足上述金融资产终止确认条件时，采用实质重于形式的原则。</w:t>
      </w:r>
      <w:r>
        <w:rPr/>
        <w:t> 金融资产转移不满足终止确认条件的，继续确认该项金融资产，所收到的对价确认为一项金</w:t>
      </w:r>
      <w:r>
        <w:rPr>
          <w:spacing w:val="-91"/>
        </w:rPr>
        <w:t> </w:t>
      </w:r>
      <w:r>
        <w:rPr>
          <w:spacing w:val="-91"/>
        </w:rPr>
      </w:r>
      <w:r>
        <w:rPr/>
        <w:t>融负债。金融资产整体转移满足终止确认条件的，将下列两项金额的差额计入当期损益：①</w:t>
      </w:r>
      <w:r>
        <w:rPr>
          <w:spacing w:val="-86"/>
        </w:rPr>
        <w:t> </w:t>
      </w:r>
      <w:r>
        <w:rPr>
          <w:spacing w:val="-86"/>
        </w:rPr>
      </w:r>
      <w:r>
        <w:rPr/>
        <w:t>因转移而收到的对价，与原直接计入所有者权益的公允价值变动累计额之和；②所转移金融</w:t>
      </w:r>
      <w:r>
        <w:rPr>
          <w:spacing w:val="-87"/>
        </w:rPr>
        <w:t> </w:t>
      </w:r>
      <w:r>
        <w:rPr>
          <w:spacing w:val="-87"/>
        </w:rPr>
      </w:r>
      <w:r>
        <w:rPr/>
        <w:t>资产的账面价值。金融资产部分转移满足终止确认条件的，将所转移金融资产整体的账面价</w:t>
      </w:r>
      <w:r>
        <w:rPr>
          <w:spacing w:val="-91"/>
        </w:rPr>
        <w:t> </w:t>
      </w:r>
      <w:r>
        <w:rPr>
          <w:spacing w:val="-91"/>
        </w:rPr>
      </w:r>
      <w:r>
        <w:rPr/>
        <w:t>值，在终止确认部分和未终止确认部分之间，按照各自的相对公允价值进行分摊，并将下列</w:t>
      </w:r>
    </w:p>
    <w:p>
      <w:pPr>
        <w:spacing w:after="0" w:line="357"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jc w:val="both"/>
      </w:pPr>
      <w:r>
        <w:rPr/>
        <w:t>两项金额的差额计入当期损益：①终止确认部分收到的对价，与原直接计入所有者权益的公</w:t>
      </w:r>
      <w:r>
        <w:rPr>
          <w:spacing w:val="-90"/>
        </w:rPr>
        <w:t> </w:t>
      </w:r>
      <w:r>
        <w:rPr>
          <w:spacing w:val="-90"/>
        </w:rPr>
      </w:r>
      <w:r>
        <w:rPr/>
        <w:t>允价值变动累计额中对应终止确认部分的金额之和；②终止确认部分的账面价值。</w:t>
      </w:r>
    </w:p>
    <w:p>
      <w:pPr>
        <w:pStyle w:val="BodyText"/>
        <w:spacing w:line="338" w:lineRule="auto"/>
        <w:ind w:left="633" w:right="1116"/>
        <w:jc w:val="left"/>
      </w:pPr>
      <w:r>
        <w:rPr/>
        <w:t>（</w:t>
      </w:r>
      <w:r>
        <w:rPr>
          <w:rFonts w:ascii="Times New Roman" w:hAnsi="Times New Roman" w:cs="Times New Roman" w:eastAsia="Times New Roman" w:hint="default"/>
        </w:rPr>
        <w:t>3</w:t>
      </w:r>
      <w:r>
        <w:rPr/>
        <w:t>）金融负债的分类、确认和计量 金融负债在初始确认时划分为以公允价值计量且其变动计入当期损益的金融负债和其他</w:t>
      </w:r>
    </w:p>
    <w:p>
      <w:pPr>
        <w:pStyle w:val="BodyText"/>
        <w:spacing w:line="240" w:lineRule="auto" w:before="55"/>
        <w:ind w:right="0"/>
        <w:jc w:val="both"/>
      </w:pPr>
      <w:r>
        <w:rPr/>
        <w:t>金融负债。</w:t>
      </w:r>
    </w:p>
    <w:p>
      <w:pPr>
        <w:pStyle w:val="BodyText"/>
        <w:spacing w:line="357" w:lineRule="auto" w:before="154"/>
        <w:ind w:left="633" w:right="1116"/>
        <w:jc w:val="left"/>
      </w:pPr>
      <w:r>
        <w:rPr/>
        <w:t>①以公允价值计量且其变动计入当期损益的金融负债 以公允价值计量且其变动计入当期损益的金融负债，包括交易性金融负债和初始确认时</w:t>
      </w:r>
    </w:p>
    <w:p>
      <w:pPr>
        <w:pStyle w:val="BodyText"/>
        <w:spacing w:line="357" w:lineRule="auto"/>
        <w:ind w:right="1138"/>
        <w:jc w:val="both"/>
      </w:pPr>
      <w:r>
        <w:rPr/>
        <w:t>指定为以公允价值计量且其变动计入当期损益的金融负债，其分类与前述在初始确认时指定</w:t>
      </w:r>
      <w:r>
        <w:rPr>
          <w:spacing w:val="-91"/>
        </w:rPr>
        <w:t> </w:t>
      </w:r>
      <w:r>
        <w:rPr>
          <w:spacing w:val="-91"/>
        </w:rPr>
      </w:r>
      <w:r>
        <w:rPr/>
        <w:t>为以公允价值计量且其变动计入当期损益的金融资产的条件一致。对于此类金融负债，按照</w:t>
      </w:r>
      <w:r>
        <w:rPr>
          <w:spacing w:val="-91"/>
        </w:rPr>
        <w:t> </w:t>
      </w:r>
      <w:r>
        <w:rPr>
          <w:spacing w:val="-91"/>
        </w:rPr>
      </w:r>
      <w:r>
        <w:rPr/>
        <w:t>公允价值进行后续计量，公允价值变动形成的利得或损失以及与该等金融负债相关的股利和</w:t>
      </w:r>
      <w:r>
        <w:rPr>
          <w:spacing w:val="-91"/>
        </w:rPr>
        <w:t> </w:t>
      </w:r>
      <w:r>
        <w:rPr>
          <w:spacing w:val="-91"/>
        </w:rPr>
      </w:r>
      <w:r>
        <w:rPr/>
        <w:t>利息支出计入当期损益。</w:t>
      </w:r>
    </w:p>
    <w:p>
      <w:pPr>
        <w:pStyle w:val="BodyText"/>
        <w:spacing w:line="357" w:lineRule="auto"/>
        <w:ind w:left="633" w:right="1116"/>
        <w:jc w:val="left"/>
      </w:pPr>
      <w:r>
        <w:rPr/>
        <w:t>②其他金融负债 与在活跃市场中没有报价、公允价值不能可靠计量的权益工具挂钩并须通过交付该权益</w:t>
      </w:r>
    </w:p>
    <w:p>
      <w:pPr>
        <w:pStyle w:val="BodyText"/>
        <w:spacing w:line="357" w:lineRule="auto"/>
        <w:ind w:right="1136"/>
        <w:jc w:val="both"/>
      </w:pPr>
      <w:r>
        <w:rPr/>
        <w:t>工具结算的衍生金融负债，按照成本进行后续计量。其他金融负债采用实际利率法，按摊余</w:t>
      </w:r>
      <w:r>
        <w:rPr>
          <w:spacing w:val="-89"/>
        </w:rPr>
        <w:t> </w:t>
      </w:r>
      <w:r>
        <w:rPr>
          <w:spacing w:val="-89"/>
        </w:rPr>
      </w:r>
      <w:r>
        <w:rPr/>
        <w:t>成本进行后续计量，终止确认或摊销产生的利得或损失计入当期损益。</w:t>
      </w:r>
    </w:p>
    <w:p>
      <w:pPr>
        <w:pStyle w:val="BodyText"/>
        <w:spacing w:line="357" w:lineRule="auto"/>
        <w:ind w:left="633" w:right="1116"/>
        <w:jc w:val="left"/>
      </w:pPr>
      <w:r>
        <w:rPr/>
        <w:t>③财务担保合同 不属于指定为以公允价值计量且其变动计入当期损益的金融负债的财务担保合同，以公</w:t>
      </w:r>
    </w:p>
    <w:p>
      <w:pPr>
        <w:pStyle w:val="BodyText"/>
        <w:spacing w:line="338" w:lineRule="auto"/>
        <w:ind w:right="1134"/>
        <w:jc w:val="both"/>
      </w:pPr>
      <w:r>
        <w:rPr/>
        <w:t>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spacing w:val="-88"/>
        </w:rPr>
        <w:t> </w:t>
      </w:r>
      <w:r>
        <w:rPr>
          <w:spacing w:val="-88"/>
        </w:rPr>
      </w:r>
      <w:r>
        <w:rPr/>
        <w:t>和初始确认金额扣除按照《企业会计准则第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w:t>
      </w:r>
      <w:r>
        <w:rPr>
          <w:spacing w:val="-89"/>
        </w:rPr>
        <w:t> </w:t>
      </w:r>
      <w:r>
        <w:rPr>
          <w:spacing w:val="-89"/>
        </w:rPr>
      </w:r>
      <w:r>
        <w:rPr/>
        <w:t>额之中的较高者进行后续计量。</w:t>
      </w:r>
    </w:p>
    <w:p>
      <w:pPr>
        <w:pStyle w:val="BodyText"/>
        <w:spacing w:line="338" w:lineRule="auto" w:before="55"/>
        <w:ind w:left="633" w:right="1116"/>
        <w:jc w:val="left"/>
      </w:pPr>
      <w:r>
        <w:rPr/>
        <w:t>（</w:t>
      </w:r>
      <w:r>
        <w:rPr>
          <w:rFonts w:ascii="Times New Roman" w:hAnsi="Times New Roman" w:cs="Times New Roman" w:eastAsia="Times New Roman" w:hint="default"/>
        </w:rPr>
        <w:t>4</w:t>
      </w:r>
      <w:r>
        <w:rPr/>
        <w:t>）金融负债的终止确认 金融负债的现时义务全部或部分已经解除的，才能终止确认该金融负债或其一部分。本</w:t>
      </w:r>
    </w:p>
    <w:p>
      <w:pPr>
        <w:pStyle w:val="BodyText"/>
        <w:spacing w:line="350" w:lineRule="auto" w:before="55"/>
        <w:ind w:right="1138"/>
        <w:jc w:val="both"/>
      </w:pPr>
      <w:r>
        <w:rPr>
          <w:spacing w:val="2"/>
        </w:rPr>
        <w:t>公司</w:t>
      </w:r>
      <w:r>
        <w:rPr>
          <w:rFonts w:ascii="Times New Roman" w:hAnsi="Times New Roman" w:cs="Times New Roman" w:eastAsia="Times New Roman" w:hint="default"/>
          <w:spacing w:val="2"/>
        </w:rPr>
        <w:t>(</w:t>
      </w:r>
      <w:r>
        <w:rPr>
          <w:spacing w:val="2"/>
        </w:rPr>
        <w:t>债务人</w:t>
      </w:r>
      <w:r>
        <w:rPr>
          <w:rFonts w:ascii="Times New Roman" w:hAnsi="Times New Roman" w:cs="Times New Roman" w:eastAsia="Times New Roman" w:hint="default"/>
          <w:spacing w:val="2"/>
        </w:rPr>
        <w:t>)</w:t>
      </w:r>
      <w:r>
        <w:rPr>
          <w:spacing w:val="2"/>
        </w:rPr>
        <w:t>与债权人之间签订协议，以承担新金融负债方式替换现存金融负债，且新金融</w:t>
      </w:r>
      <w:r>
        <w:rPr>
          <w:spacing w:val="-108"/>
        </w:rPr>
        <w:t> </w:t>
      </w:r>
      <w:r>
        <w:rPr>
          <w:spacing w:val="-108"/>
        </w:rPr>
      </w:r>
      <w:r>
        <w:rPr/>
        <w:t>负债与现存金融负债的合同条款实质上不同的，终止确认现存金融负债，并同时确认新金融</w:t>
      </w:r>
      <w:r>
        <w:rPr>
          <w:spacing w:val="-91"/>
        </w:rPr>
        <w:t> </w:t>
      </w:r>
      <w:r>
        <w:rPr>
          <w:spacing w:val="-91"/>
        </w:rPr>
      </w:r>
      <w:r>
        <w:rPr/>
        <w:t>负债。对现存金融负债全部或者部分合同条款作出实质性修改的，则终止确认现存金融负债</w:t>
      </w:r>
      <w:r>
        <w:rPr>
          <w:spacing w:val="-91"/>
        </w:rPr>
        <w:t> </w:t>
      </w:r>
      <w:r>
        <w:rPr>
          <w:spacing w:val="-91"/>
        </w:rPr>
      </w:r>
      <w:r>
        <w:rPr/>
        <w:t>或其一部分，同时将修改条款后的金融负债确认为一项新金融负债。</w:t>
      </w:r>
    </w:p>
    <w:p>
      <w:pPr>
        <w:pStyle w:val="BodyText"/>
        <w:spacing w:line="338" w:lineRule="auto" w:before="43"/>
        <w:ind w:right="1131" w:firstLine="480"/>
        <w:jc w:val="both"/>
      </w:pPr>
      <w:r>
        <w:rPr>
          <w:spacing w:val="-2"/>
        </w:rPr>
        <w:t>金融负债全部或者部分终止确认时，终止确认的金融负债账面价值与支付对价</w:t>
      </w:r>
      <w:r>
        <w:rPr>
          <w:rFonts w:ascii="Times New Roman" w:hAnsi="Times New Roman" w:cs="Times New Roman" w:eastAsia="Times New Roman" w:hint="default"/>
          <w:spacing w:val="-2"/>
        </w:rPr>
        <w:t>(</w:t>
      </w:r>
      <w:r>
        <w:rPr>
          <w:spacing w:val="-2"/>
        </w:rPr>
        <w:t>包括转出</w:t>
      </w:r>
      <w:r>
        <w:rPr/>
        <w:t> </w:t>
      </w:r>
      <w:r>
        <w:rPr>
          <w:spacing w:val="-2"/>
        </w:rPr>
        <w:t>的非现金资产或承担的新金融负债</w:t>
      </w:r>
      <w:r>
        <w:rPr>
          <w:rFonts w:ascii="Times New Roman" w:hAnsi="Times New Roman" w:cs="Times New Roman" w:eastAsia="Times New Roman" w:hint="default"/>
          <w:spacing w:val="-2"/>
        </w:rPr>
        <w:t>)</w:t>
      </w:r>
      <w:r>
        <w:rPr>
          <w:spacing w:val="-2"/>
        </w:rPr>
        <w:t>之间的差额，计入当期损益。本公司若回购部分金融负债</w:t>
      </w:r>
      <w:r>
        <w:rPr>
          <w:spacing w:val="-81"/>
        </w:rPr>
        <w:t> </w:t>
      </w:r>
      <w:r>
        <w:rPr>
          <w:spacing w:val="-81"/>
        </w:rPr>
      </w:r>
      <w:r>
        <w:rPr/>
        <w:t>的，在回购日按照继续确认部分与终止确认部分的相对公允价值，将该金融负债整体的账面</w:t>
      </w:r>
    </w:p>
    <w:p>
      <w:pPr>
        <w:spacing w:after="0" w:line="338"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right="1131"/>
        <w:jc w:val="both"/>
      </w:pPr>
      <w:r>
        <w:rPr>
          <w:spacing w:val="-2"/>
        </w:rPr>
        <w:t>价值进行分配。分配给终止确认部分的账面价值与支付的对价</w:t>
      </w:r>
      <w:r>
        <w:rPr>
          <w:rFonts w:ascii="Times New Roman" w:hAnsi="Times New Roman" w:cs="Times New Roman" w:eastAsia="Times New Roman" w:hint="default"/>
          <w:spacing w:val="-2"/>
        </w:rPr>
        <w:t>(</w:t>
      </w:r>
      <w:r>
        <w:rPr>
          <w:spacing w:val="-2"/>
        </w:rPr>
        <w:t>包括转出的非现金资产或者承</w:t>
      </w:r>
      <w:r>
        <w:rPr>
          <w:spacing w:val="-80"/>
        </w:rPr>
        <w:t> </w:t>
      </w:r>
      <w:r>
        <w:rPr/>
        <w:t>担的新金融负债</w:t>
      </w:r>
      <w:r>
        <w:rPr>
          <w:rFonts w:ascii="Times New Roman" w:hAnsi="Times New Roman" w:cs="Times New Roman" w:eastAsia="Times New Roman" w:hint="default"/>
        </w:rPr>
        <w:t>)</w:t>
      </w:r>
      <w:r>
        <w:rPr/>
        <w:t>之间的差额，计入当期损益。</w:t>
      </w:r>
    </w:p>
    <w:p>
      <w:pPr>
        <w:pStyle w:val="BodyText"/>
        <w:spacing w:line="338" w:lineRule="auto" w:before="27"/>
        <w:ind w:left="633" w:right="1116"/>
        <w:jc w:val="left"/>
      </w:pPr>
      <w:r>
        <w:rPr/>
        <w:t>（</w:t>
      </w:r>
      <w:r>
        <w:rPr>
          <w:rFonts w:ascii="Times New Roman" w:hAnsi="Times New Roman" w:cs="Times New Roman" w:eastAsia="Times New Roman" w:hint="default"/>
        </w:rPr>
        <w:t>5</w:t>
      </w:r>
      <w:r>
        <w:rPr/>
        <w:t>）权益工具 权益工具是指能证明拥有本公司在扣除所有负债后的资产中的剩余权益的合同。本公司</w:t>
      </w:r>
    </w:p>
    <w:p>
      <w:pPr>
        <w:pStyle w:val="BodyText"/>
        <w:spacing w:line="338" w:lineRule="auto" w:before="55"/>
        <w:ind w:right="1145"/>
        <w:jc w:val="both"/>
      </w:pPr>
      <w:r>
        <w:rPr>
          <w:spacing w:val="2"/>
        </w:rPr>
        <w:t>发行</w:t>
      </w:r>
      <w:r>
        <w:rPr>
          <w:rFonts w:ascii="Times New Roman" w:hAnsi="Times New Roman" w:cs="Times New Roman" w:eastAsia="Times New Roman" w:hint="default"/>
          <w:spacing w:val="2"/>
        </w:rPr>
        <w:t>(</w:t>
      </w:r>
      <w:r>
        <w:rPr>
          <w:spacing w:val="2"/>
        </w:rPr>
        <w:t>含再融资</w:t>
      </w:r>
      <w:r>
        <w:rPr>
          <w:rFonts w:ascii="Times New Roman" w:hAnsi="Times New Roman" w:cs="Times New Roman" w:eastAsia="Times New Roman" w:hint="default"/>
          <w:spacing w:val="2"/>
        </w:rPr>
        <w:t>)</w:t>
      </w:r>
      <w:r>
        <w:rPr>
          <w:spacing w:val="2"/>
        </w:rPr>
        <w:t>、回购、出售或注销权益工具作为权益的变动处理。本公司不确认权益工具</w:t>
      </w:r>
      <w:r>
        <w:rPr>
          <w:spacing w:val="-108"/>
        </w:rPr>
        <w:t> </w:t>
      </w:r>
      <w:r>
        <w:rPr>
          <w:spacing w:val="-108"/>
        </w:rPr>
      </w:r>
      <w:r>
        <w:rPr/>
        <w:t>的公允价值变动。与权益性交易相关的交易费用从权益中扣减。</w:t>
      </w:r>
    </w:p>
    <w:p>
      <w:pPr>
        <w:pStyle w:val="BodyText"/>
        <w:spacing w:line="338" w:lineRule="auto" w:before="55"/>
        <w:ind w:right="1139" w:firstLine="480"/>
        <w:jc w:val="both"/>
      </w:pPr>
      <w:r>
        <w:rPr>
          <w:spacing w:val="2"/>
        </w:rPr>
        <w:t>本公司对权益工具持有方的各种分配</w:t>
      </w:r>
      <w:r>
        <w:rPr>
          <w:rFonts w:ascii="Times New Roman" w:hAnsi="Times New Roman" w:cs="Times New Roman" w:eastAsia="Times New Roman" w:hint="default"/>
          <w:spacing w:val="2"/>
        </w:rPr>
        <w:t>(</w:t>
      </w:r>
      <w:r>
        <w:rPr>
          <w:spacing w:val="2"/>
        </w:rPr>
        <w:t>不包括股票股利</w:t>
      </w:r>
      <w:r>
        <w:rPr>
          <w:rFonts w:ascii="Times New Roman" w:hAnsi="Times New Roman" w:cs="Times New Roman" w:eastAsia="Times New Roman" w:hint="default"/>
          <w:spacing w:val="2"/>
        </w:rPr>
        <w:t>)</w:t>
      </w:r>
      <w:r>
        <w:rPr>
          <w:spacing w:val="2"/>
        </w:rPr>
        <w:t>，减少股东权益。本公司不确认</w:t>
      </w:r>
      <w:r>
        <w:rPr/>
        <w:t> 权益工具的公允价值变动额。</w:t>
      </w:r>
    </w:p>
    <w:p>
      <w:pPr>
        <w:pStyle w:val="BodyText"/>
        <w:spacing w:line="357" w:lineRule="auto" w:before="56"/>
        <w:ind w:left="633" w:right="5713"/>
        <w:jc w:val="left"/>
      </w:pPr>
      <w:r>
        <w:rPr/>
        <w:t>金融负债与权益工具的区分： 金融负债，是指符合下列条件之一的负债：</w:t>
      </w:r>
    </w:p>
    <w:p>
      <w:pPr>
        <w:pStyle w:val="BodyText"/>
        <w:spacing w:line="240" w:lineRule="auto"/>
        <w:ind w:left="633" w:right="1273"/>
        <w:jc w:val="left"/>
      </w:pPr>
      <w:r>
        <w:rPr/>
        <w:t>①向其他方交付现金或其他金融资产的合同义务。</w:t>
      </w:r>
    </w:p>
    <w:p>
      <w:pPr>
        <w:pStyle w:val="BodyText"/>
        <w:spacing w:line="240" w:lineRule="auto" w:before="154"/>
        <w:ind w:left="633" w:right="1273"/>
        <w:jc w:val="left"/>
      </w:pPr>
      <w:r>
        <w:rPr/>
        <w:t>②在潜在不利条件下，与其他方交换金融资产或金融负债的合同义务。</w:t>
      </w:r>
    </w:p>
    <w:p>
      <w:pPr>
        <w:pStyle w:val="BodyText"/>
        <w:spacing w:line="357" w:lineRule="auto" w:before="154"/>
        <w:ind w:right="1140" w:firstLine="480"/>
        <w:jc w:val="both"/>
      </w:pPr>
      <w:r>
        <w:rPr/>
        <w:t>③将来须用或可用企业自身权益工具进行结算的非衍生工具合同，且企业根据该合同将 交付可变数量的自身权益工具。</w:t>
      </w:r>
    </w:p>
    <w:p>
      <w:pPr>
        <w:pStyle w:val="BodyText"/>
        <w:spacing w:line="357" w:lineRule="auto"/>
        <w:ind w:right="1140" w:firstLine="480"/>
        <w:jc w:val="both"/>
      </w:pPr>
      <w:r>
        <w:rPr/>
        <w:t>④将来须用或可用企业自身权益工具进行结算的衍生工具合同，但以固定数量的自身权 益工具交换固定金额的现金或其他金融资产的衍生工具合同除外。</w:t>
      </w:r>
    </w:p>
    <w:p>
      <w:pPr>
        <w:pStyle w:val="BodyText"/>
        <w:spacing w:line="357" w:lineRule="auto"/>
        <w:ind w:right="1135" w:firstLine="480"/>
        <w:jc w:val="both"/>
      </w:pPr>
      <w:r>
        <w:rPr/>
        <w:t>如果本公司不能无条件地避免以交付现金或其他金融资产来履行一项合同义务，则该合 同义务符合金融负债的定义。如果一项金融工具须用或可用本公司自身权益工具进行结算，</w:t>
      </w:r>
      <w:r>
        <w:rPr>
          <w:spacing w:val="-89"/>
        </w:rPr>
        <w:t> </w:t>
      </w:r>
      <w:r>
        <w:rPr>
          <w:spacing w:val="-89"/>
        </w:rPr>
      </w:r>
      <w:r>
        <w:rPr/>
        <w:t>需要考虑用于结算该工具的本公司自身权益工具，是作为现金或其他金融资产的替代品，还</w:t>
      </w:r>
      <w:r>
        <w:rPr>
          <w:spacing w:val="-91"/>
        </w:rPr>
        <w:t> </w:t>
      </w:r>
      <w:r>
        <w:rPr>
          <w:spacing w:val="-91"/>
        </w:rPr>
      </w:r>
      <w:r>
        <w:rPr/>
        <w:t>是为了使该工具持有方享有在发行方扣除所有负债后的资产中的剩余权益。如果是前者，该</w:t>
      </w:r>
      <w:r>
        <w:rPr>
          <w:spacing w:val="-91"/>
        </w:rPr>
        <w:t> </w:t>
      </w:r>
      <w:r>
        <w:rPr>
          <w:spacing w:val="-91"/>
        </w:rPr>
      </w:r>
      <w:r>
        <w:rPr/>
        <w:t>工具是本公司的金融负债；如果是后者，该工具是本公司的权益工具。</w:t>
      </w:r>
    </w:p>
    <w:p>
      <w:pPr>
        <w:pStyle w:val="BodyText"/>
        <w:spacing w:line="338" w:lineRule="auto"/>
        <w:ind w:left="633" w:right="1116"/>
        <w:jc w:val="left"/>
      </w:pPr>
      <w:r>
        <w:rPr/>
        <w:t>（</w:t>
      </w:r>
      <w:r>
        <w:rPr>
          <w:rFonts w:ascii="Times New Roman" w:hAnsi="Times New Roman" w:cs="Times New Roman" w:eastAsia="Times New Roman" w:hint="default"/>
        </w:rPr>
        <w:t>6</w:t>
      </w:r>
      <w:r>
        <w:rPr/>
        <w:t>）衍生工具及嵌入衍生工具 衍生工具于相关合同签署日以公允价值进行初始计量，并以公允价值进行后续计量。公</w:t>
      </w:r>
    </w:p>
    <w:p>
      <w:pPr>
        <w:pStyle w:val="BodyText"/>
        <w:spacing w:line="357" w:lineRule="auto" w:before="56"/>
        <w:ind w:right="1134"/>
        <w:jc w:val="both"/>
      </w:pPr>
      <w:r>
        <w:rPr/>
        <w:t>允价值为正数的衍生金融工具确认为一项资产，公允价值为负数的确认为一项负债。除指定</w:t>
      </w:r>
      <w:r>
        <w:rPr>
          <w:spacing w:val="-91"/>
        </w:rPr>
        <w:t> </w:t>
      </w:r>
      <w:r>
        <w:rPr>
          <w:spacing w:val="-91"/>
        </w:rPr>
      </w:r>
      <w:r>
        <w:rPr/>
        <w:t>为套期工具且套期高度有效的衍生工具，其公允价值变动形成的利得或损失将根据套期关系</w:t>
      </w:r>
      <w:r>
        <w:rPr>
          <w:spacing w:val="-87"/>
        </w:rPr>
        <w:t> </w:t>
      </w:r>
      <w:r>
        <w:rPr>
          <w:spacing w:val="-87"/>
        </w:rPr>
      </w:r>
      <w:r>
        <w:rPr/>
        <w:t>的性质按照套期会计的要求确定计入损益的期间外，其余衍生工具的公允价值变动计入当期</w:t>
      </w:r>
      <w:r>
        <w:rPr>
          <w:spacing w:val="-91"/>
        </w:rPr>
        <w:t> </w:t>
      </w:r>
      <w:r>
        <w:rPr>
          <w:spacing w:val="-91"/>
        </w:rPr>
      </w:r>
      <w:r>
        <w:rPr/>
        <w:t>损益。</w:t>
      </w:r>
    </w:p>
    <w:p>
      <w:pPr>
        <w:pStyle w:val="BodyText"/>
        <w:spacing w:line="357" w:lineRule="auto"/>
        <w:ind w:right="1138" w:firstLine="480"/>
        <w:jc w:val="both"/>
      </w:pPr>
      <w:r>
        <w:rPr/>
        <w:t>对包含嵌入衍生工具的混合工具，如未指定为以公允价值计量且其变动计入当期损益的 金融资产或金融负债，嵌入衍生工具与该主合同在经济特征及风险方面不存在紧密关系，且</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jc w:val="both"/>
      </w:pPr>
      <w:r>
        <w:rPr/>
        <w:t>与嵌入衍生工具条件相同，单独存在的工具符合衍生工具定义的，嵌入衍生工具从混合工具</w:t>
      </w:r>
      <w:r>
        <w:rPr>
          <w:spacing w:val="-91"/>
        </w:rPr>
        <w:t> </w:t>
      </w:r>
      <w:r>
        <w:rPr>
          <w:spacing w:val="-91"/>
        </w:rPr>
      </w:r>
      <w:r>
        <w:rPr/>
        <w:t>中分拆，作为单独的衍生金融工具处理。如果无法在取得时或后续的资产负债表日对嵌入衍</w:t>
      </w:r>
      <w:r>
        <w:rPr>
          <w:spacing w:val="-91"/>
        </w:rPr>
        <w:t> </w:t>
      </w:r>
      <w:r>
        <w:rPr>
          <w:spacing w:val="-91"/>
        </w:rPr>
      </w:r>
      <w:r>
        <w:rPr/>
        <w:t>生工具进行单独计量，则将混合工具整体指定为以公允价值计量且其变动计入当期损益的金</w:t>
      </w:r>
      <w:r>
        <w:rPr>
          <w:spacing w:val="-91"/>
        </w:rPr>
        <w:t> </w:t>
      </w:r>
      <w:r>
        <w:rPr>
          <w:spacing w:val="-91"/>
        </w:rPr>
      </w:r>
      <w:r>
        <w:rPr/>
        <w:t>融资产或金融负债。</w:t>
      </w:r>
    </w:p>
    <w:p>
      <w:pPr>
        <w:pStyle w:val="BodyText"/>
        <w:spacing w:line="338" w:lineRule="auto"/>
        <w:ind w:left="633" w:right="1116"/>
        <w:jc w:val="left"/>
      </w:pPr>
      <w:r>
        <w:rPr/>
        <w:t>（</w:t>
      </w:r>
      <w:r>
        <w:rPr>
          <w:rFonts w:ascii="Times New Roman" w:hAnsi="Times New Roman" w:cs="Times New Roman" w:eastAsia="Times New Roman" w:hint="default"/>
        </w:rPr>
        <w:t>7</w:t>
      </w:r>
      <w:r>
        <w:rPr/>
        <w:t>）金融资产的减值准备 除了以公允价值计量且其变动计入当期损益的金融资产外，公司在每个资产负债表日对</w:t>
      </w:r>
    </w:p>
    <w:p>
      <w:pPr>
        <w:pStyle w:val="BodyText"/>
        <w:spacing w:line="357" w:lineRule="auto" w:before="55"/>
        <w:ind w:left="0" w:right="1131"/>
        <w:jc w:val="right"/>
      </w:pPr>
      <w:r>
        <w:rPr/>
        <w:t>其他金融资产的账面价值进行检查，有客观证据表明金融资产发生减值的，计提减值准备。 表明金融资产发生减值的客观证据，是指金融资产初始确认后实际发生的、对该金融资 产的预计未来现金流量有影响，且企业能够对该影响进行可靠计量的事项。金融资产发生减</w:t>
      </w:r>
      <w:r>
        <w:rPr>
          <w:spacing w:val="-107"/>
        </w:rPr>
        <w:t> </w:t>
      </w:r>
      <w:r>
        <w:rPr>
          <w:spacing w:val="-107"/>
        </w:rPr>
      </w:r>
      <w:r>
        <w:rPr/>
        <w:t>值的客观证据，包括下列可观察到的情形：①发行方或债务人发生严重财务困难；②债务人</w:t>
      </w:r>
      <w:r>
        <w:rPr>
          <w:spacing w:val="-99"/>
        </w:rPr>
        <w:t> </w:t>
      </w:r>
      <w:r>
        <w:rPr>
          <w:spacing w:val="-99"/>
        </w:rPr>
      </w:r>
      <w:r>
        <w:rPr/>
        <w:t>违反了合同条款，如偿付利息或本金发生违约或逾期等；③本公司出于经济或法律等方面因</w:t>
      </w:r>
      <w:r>
        <w:rPr>
          <w:spacing w:val="-101"/>
        </w:rPr>
        <w:t> </w:t>
      </w:r>
      <w:r>
        <w:rPr>
          <w:spacing w:val="-101"/>
        </w:rPr>
      </w:r>
      <w:r>
        <w:rPr>
          <w:spacing w:val="-5"/>
        </w:rPr>
        <w:t>素的考虑，对发生财务困难的债务人作出让步；④债务人很可能倒闭或者进行其他财务重组；</w:t>
      </w:r>
    </w:p>
    <w:p>
      <w:pPr>
        <w:pStyle w:val="BodyText"/>
        <w:spacing w:line="357" w:lineRule="auto"/>
        <w:ind w:right="995"/>
        <w:jc w:val="left"/>
      </w:pPr>
      <w:r>
        <w:rPr/>
        <w:t>⑤因发行方发生重大财务困难，导致金融资产无法在活跃市场继续交易；⑥无法辨认一组金</w:t>
      </w:r>
      <w:r>
        <w:rPr>
          <w:spacing w:val="-87"/>
        </w:rPr>
        <w:t> </w:t>
      </w:r>
      <w:r>
        <w:rPr>
          <w:spacing w:val="-87"/>
        </w:rPr>
      </w:r>
      <w:r>
        <w:rPr>
          <w:spacing w:val="-2"/>
        </w:rPr>
        <w:t>融资产中的某项资产的现金流量是否已经减少，但根据公开的数据对其进行总体评价后发现，</w:t>
      </w:r>
      <w:r>
        <w:rPr/>
        <w:t> 该组金融资产自初始确认以来的预计未来现金流量确已减少且可计量，包括该组金融资产的</w:t>
      </w:r>
      <w:r>
        <w:rPr>
          <w:spacing w:val="-91"/>
        </w:rPr>
        <w:t> </w:t>
      </w:r>
      <w:r>
        <w:rPr>
          <w:spacing w:val="-91"/>
        </w:rPr>
      </w:r>
      <w:r>
        <w:rPr/>
        <w:t>债务人支付能力逐步恶化，或者债务人所在国家或地区经济出现了可能导致该组金融资产无</w:t>
      </w:r>
      <w:r>
        <w:rPr>
          <w:spacing w:val="-91"/>
        </w:rPr>
        <w:t> </w:t>
      </w:r>
      <w:r>
        <w:rPr>
          <w:spacing w:val="-91"/>
        </w:rPr>
      </w:r>
      <w:r>
        <w:rPr/>
        <w:t>法支付的状况；⑦债务人经营所处的技术、市场、经济或法律环境等发生重大不利变化，使</w:t>
      </w:r>
      <w:r>
        <w:rPr>
          <w:spacing w:val="-91"/>
        </w:rPr>
        <w:t> </w:t>
      </w:r>
      <w:r>
        <w:rPr>
          <w:spacing w:val="-91"/>
        </w:rPr>
      </w:r>
      <w:r>
        <w:rPr/>
        <w:t>权益工具投资人可能无法收回投资成本；⑧权益工具投资的公允价值发生严重或非暂时性下</w:t>
      </w:r>
      <w:r>
        <w:rPr>
          <w:spacing w:val="-89"/>
        </w:rPr>
        <w:t> </w:t>
      </w:r>
      <w:r>
        <w:rPr>
          <w:spacing w:val="-89"/>
        </w:rPr>
      </w:r>
      <w:r>
        <w:rPr/>
        <w:t>跌；⑨其他表明金融资产发生减值的客观证据。</w:t>
      </w:r>
    </w:p>
    <w:p>
      <w:pPr>
        <w:pStyle w:val="BodyText"/>
        <w:spacing w:line="357" w:lineRule="auto"/>
        <w:ind w:left="633" w:right="1116"/>
        <w:jc w:val="left"/>
      </w:pPr>
      <w:r>
        <w:rPr/>
        <w:t>①持有至到期投资、贷款和应收账款减值测试 先将单项金额重大的金融资产区分开来，单独进行减值测试；对单项金额不重大的金融</w:t>
      </w:r>
    </w:p>
    <w:p>
      <w:pPr>
        <w:pStyle w:val="BodyText"/>
        <w:spacing w:line="355" w:lineRule="auto"/>
        <w:ind w:right="1132"/>
        <w:jc w:val="both"/>
      </w:pPr>
      <w:r>
        <w:rPr/>
        <w:t>资产，可以单独进行减值测试，或包括在具有类似信用风险特征的金融资产组合中进行减值</w:t>
      </w:r>
      <w:r>
        <w:rPr>
          <w:spacing w:val="-91"/>
        </w:rPr>
        <w:t> </w:t>
      </w:r>
      <w:r>
        <w:rPr>
          <w:spacing w:val="-91"/>
        </w:rPr>
      </w:r>
      <w:r>
        <w:rPr>
          <w:spacing w:val="2"/>
        </w:rPr>
        <w:t>测试；单独测试未发生减值的金融资产</w:t>
      </w:r>
      <w:r>
        <w:rPr>
          <w:rFonts w:ascii="Times New Roman" w:hAnsi="Times New Roman" w:cs="Times New Roman" w:eastAsia="Times New Roman" w:hint="default"/>
          <w:spacing w:val="2"/>
        </w:rPr>
        <w:t>(</w:t>
      </w:r>
      <w:r>
        <w:rPr>
          <w:spacing w:val="2"/>
        </w:rPr>
        <w:t>包括单项金额重大和不重大的金融资产</w:t>
      </w:r>
      <w:r>
        <w:rPr>
          <w:rFonts w:ascii="Times New Roman" w:hAnsi="Times New Roman" w:cs="Times New Roman" w:eastAsia="Times New Roman" w:hint="default"/>
          <w:spacing w:val="2"/>
        </w:rPr>
        <w:t>)</w:t>
      </w:r>
      <w:r>
        <w:rPr>
          <w:spacing w:val="2"/>
        </w:rPr>
        <w:t>，包括在具</w:t>
      </w:r>
      <w:r>
        <w:rPr>
          <w:spacing w:val="-96"/>
        </w:rPr>
        <w:t> </w:t>
      </w:r>
      <w:r>
        <w:rPr>
          <w:spacing w:val="-96"/>
        </w:rPr>
      </w:r>
      <w:r>
        <w:rPr/>
        <w:t>有类似信用风险特征的金融资产组合中再进行减值测试。测试结果表明其发生了减值的，以</w:t>
      </w:r>
      <w:r>
        <w:rPr>
          <w:spacing w:val="-91"/>
        </w:rPr>
        <w:t> </w:t>
      </w:r>
      <w:r>
        <w:rPr>
          <w:spacing w:val="-91"/>
        </w:rPr>
      </w:r>
      <w:r>
        <w:rPr/>
        <w:t>成本或摊余成本计量的金融资产将其账面价值减记至预计未来现金流量现值，减记金额确认</w:t>
      </w:r>
      <w:r>
        <w:rPr>
          <w:spacing w:val="-87"/>
        </w:rPr>
        <w:t> </w:t>
      </w:r>
      <w:r>
        <w:rPr>
          <w:spacing w:val="-87"/>
        </w:rPr>
      </w:r>
      <w:r>
        <w:rPr/>
        <w:t>为减值损失，计入当期损益；短期应收款项的预计未来现金流量与其现值相差很小的，在确</w:t>
      </w:r>
      <w:r>
        <w:rPr>
          <w:spacing w:val="-91"/>
        </w:rPr>
        <w:t> </w:t>
      </w:r>
      <w:r>
        <w:rPr>
          <w:spacing w:val="-91"/>
        </w:rPr>
      </w:r>
      <w:r>
        <w:rPr/>
        <w:t>定相关减值损失时，不对其预计未来现金流量进行折现。在确认减值损失后，如有客观证据</w:t>
      </w:r>
      <w:r>
        <w:rPr>
          <w:spacing w:val="-91"/>
        </w:rPr>
        <w:t> </w:t>
      </w:r>
      <w:r>
        <w:rPr>
          <w:spacing w:val="-91"/>
        </w:rPr>
      </w:r>
      <w:r>
        <w:rPr/>
        <w:t>表明该金融资产价值已恢复，且客观上与确认该损失后发生的事项有关，原确认的减值损失</w:t>
      </w:r>
      <w:r>
        <w:rPr>
          <w:spacing w:val="-91"/>
        </w:rPr>
        <w:t> </w:t>
      </w:r>
      <w:r>
        <w:rPr>
          <w:spacing w:val="-91"/>
        </w:rPr>
      </w:r>
      <w:r>
        <w:rPr/>
        <w:t>予以转回，转回减值损失后的账面价值不超过假定不计提减值准备情况下该金融资产在转回</w:t>
      </w:r>
    </w:p>
    <w:p>
      <w:pPr>
        <w:spacing w:after="0" w:line="355"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日的摊余成本。</w:t>
      </w:r>
    </w:p>
    <w:p>
      <w:pPr>
        <w:pStyle w:val="BodyText"/>
        <w:spacing w:line="357" w:lineRule="auto" w:before="154"/>
        <w:ind w:left="633" w:right="1116"/>
        <w:jc w:val="left"/>
      </w:pPr>
      <w:r>
        <w:rPr/>
        <w:t>②可供出售金融资产减值 本公司于资产负债表日对各项可供出售权益工具投资单独进行检查。对于以公允价值计</w:t>
      </w:r>
    </w:p>
    <w:p>
      <w:pPr>
        <w:pStyle w:val="BodyText"/>
        <w:spacing w:line="343" w:lineRule="auto"/>
        <w:ind w:right="1131"/>
        <w:jc w:val="both"/>
      </w:pPr>
      <w:r>
        <w:rPr/>
        <w:t>量的权益工具投资，当综合相关因素判断可供出售权益工具投资公允价值下跌是严重或非暂</w:t>
      </w:r>
      <w:r>
        <w:rPr>
          <w:spacing w:val="-87"/>
        </w:rPr>
        <w:t> </w:t>
      </w:r>
      <w:r>
        <w:rPr>
          <w:spacing w:val="-87"/>
        </w:rPr>
      </w:r>
      <w:r>
        <w:rPr>
          <w:spacing w:val="-1"/>
        </w:rPr>
        <w:t>时性下跌时，表明该可供出售权益工具投资发生减值。</w:t>
      </w:r>
      <w:r>
        <w:rPr>
          <w:rFonts w:ascii="Times New Roman" w:hAnsi="Times New Roman" w:cs="Times New Roman" w:eastAsia="Times New Roman" w:hint="default"/>
          <w:spacing w:val="-1"/>
        </w:rPr>
        <w:t>(</w:t>
      </w:r>
      <w:r>
        <w:rPr>
          <w:spacing w:val="-1"/>
        </w:rPr>
        <w:t>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是指公允价值低于成</w:t>
      </w:r>
      <w:r>
        <w:rPr>
          <w:spacing w:val="-94"/>
        </w:rPr>
        <w:t> </w:t>
      </w:r>
      <w:r>
        <w:rPr/>
        <w:t>本幅度幅度超过</w:t>
      </w:r>
      <w:r>
        <w:rPr>
          <w:spacing w:val="40"/>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是指公允价值连续下跌时间达到或超过</w:t>
      </w:r>
      <w:r>
        <w:rPr>
          <w:spacing w:val="46"/>
        </w:rPr>
        <w:t> </w:t>
      </w:r>
      <w:r>
        <w:rPr>
          <w:rFonts w:ascii="Times New Roman" w:hAnsi="Times New Roman" w:cs="Times New Roman" w:eastAsia="Times New Roman" w:hint="default"/>
        </w:rPr>
        <w:t>12</w:t>
      </w:r>
      <w:r>
        <w:rPr/>
        <w:t>个月；若</w:t>
      </w:r>
      <w:r>
        <w:rPr>
          <w:spacing w:val="-115"/>
        </w:rPr>
        <w:t> </w:t>
      </w:r>
      <w:r>
        <w:rPr>
          <w:spacing w:val="-115"/>
        </w:rPr>
      </w:r>
      <w:r>
        <w:rPr/>
        <w:t>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的，或低于其成本 </w:t>
      </w:r>
      <w:r>
        <w:rPr>
          <w:spacing w:val="2"/>
        </w:rPr>
        <w:t>持续时间超过</w:t>
      </w:r>
      <w:r>
        <w:rPr>
          <w:rFonts w:ascii="Times New Roman" w:hAnsi="Times New Roman" w:cs="Times New Roman" w:eastAsia="Times New Roman" w:hint="default"/>
          <w:spacing w:val="2"/>
        </w:rPr>
        <w:t>6</w:t>
      </w:r>
      <w:r>
        <w:rPr>
          <w:spacing w:val="2"/>
        </w:rPr>
        <w:t>个月</w:t>
      </w:r>
      <w:r>
        <w:rPr>
          <w:rFonts w:ascii="Times New Roman" w:hAnsi="Times New Roman" w:cs="Times New Roman" w:eastAsia="Times New Roman" w:hint="default"/>
          <w:spacing w:val="2"/>
        </w:rPr>
        <w:t>(</w:t>
      </w:r>
      <w:r>
        <w:rPr>
          <w:spacing w:val="2"/>
        </w:rPr>
        <w:t>含</w:t>
      </w:r>
      <w:r>
        <w:rPr>
          <w:rFonts w:ascii="Times New Roman" w:hAnsi="Times New Roman" w:cs="Times New Roman" w:eastAsia="Times New Roman" w:hint="default"/>
          <w:spacing w:val="2"/>
        </w:rPr>
        <w:t>6</w:t>
      </w:r>
      <w:r>
        <w:rPr>
          <w:spacing w:val="2"/>
        </w:rPr>
        <w:t>个月</w:t>
      </w:r>
      <w:r>
        <w:rPr>
          <w:rFonts w:ascii="Times New Roman" w:hAnsi="Times New Roman" w:cs="Times New Roman" w:eastAsia="Times New Roman" w:hint="default"/>
          <w:spacing w:val="2"/>
        </w:rPr>
        <w:t>)</w:t>
      </w:r>
      <w:r>
        <w:rPr>
          <w:spacing w:val="2"/>
        </w:rPr>
        <w:t>但未超过</w:t>
      </w:r>
      <w:r>
        <w:rPr>
          <w:rFonts w:ascii="Times New Roman" w:hAnsi="Times New Roman" w:cs="Times New Roman" w:eastAsia="Times New Roman" w:hint="default"/>
          <w:spacing w:val="2"/>
        </w:rPr>
        <w:t>12</w:t>
      </w:r>
      <w:r>
        <w:rPr>
          <w:spacing w:val="2"/>
        </w:rPr>
        <w:t>个月的，本公司会综合考虑其他相关因素，诸如价</w:t>
      </w:r>
      <w:r>
        <w:rPr>
          <w:spacing w:val="-106"/>
        </w:rPr>
        <w:t> </w:t>
      </w:r>
      <w:r>
        <w:rPr>
          <w:spacing w:val="-106"/>
        </w:rPr>
      </w:r>
      <w:r>
        <w:rPr>
          <w:spacing w:val="-2"/>
        </w:rPr>
        <w:t>格波动率等，判断该权益工具投资是否发生减值。</w:t>
      </w:r>
      <w:r>
        <w:rPr>
          <w:rFonts w:ascii="Times New Roman" w:hAnsi="Times New Roman" w:cs="Times New Roman" w:eastAsia="Times New Roman" w:hint="default"/>
          <w:spacing w:val="-2"/>
        </w:rPr>
        <w:t>)</w:t>
      </w:r>
      <w:r>
        <w:rPr>
          <w:spacing w:val="-2"/>
        </w:rPr>
        <w:t>对于以成本计量的权益工具投资，公司综</w:t>
      </w:r>
      <w:r>
        <w:rPr>
          <w:spacing w:val="-81"/>
        </w:rPr>
        <w:t> </w:t>
      </w:r>
      <w:r>
        <w:rPr>
          <w:spacing w:val="-81"/>
        </w:rPr>
      </w:r>
      <w:r>
        <w:rPr/>
        <w:t>合考虑被投资单位经营所处的技术、市场、经济或法律环境等是否发生重大不利变化，判断</w:t>
      </w:r>
      <w:r>
        <w:rPr>
          <w:spacing w:val="-87"/>
        </w:rPr>
        <w:t> </w:t>
      </w:r>
      <w:r>
        <w:rPr>
          <w:spacing w:val="-87"/>
        </w:rPr>
      </w:r>
      <w:r>
        <w:rPr/>
        <w:t>该权益工具是否发生减值。</w:t>
      </w:r>
    </w:p>
    <w:p>
      <w:pPr>
        <w:pStyle w:val="BodyText"/>
        <w:spacing w:line="357" w:lineRule="auto" w:before="50"/>
        <w:ind w:right="1138" w:firstLine="480"/>
        <w:jc w:val="both"/>
      </w:pPr>
      <w:r>
        <w:rPr/>
        <w:t>以公允价值计量的可供出售金融资产发生减值时，原直接计入其他综合收益的因公允价 值下降形成的累计损失予以转出并计入减值损失。对已确认减值损失的可供出售债务工具投</w:t>
      </w:r>
      <w:r>
        <w:rPr>
          <w:spacing w:val="-91"/>
        </w:rPr>
        <w:t> </w:t>
      </w:r>
      <w:r>
        <w:rPr>
          <w:spacing w:val="-91"/>
        </w:rPr>
      </w:r>
      <w:r>
        <w:rPr/>
        <w:t>资，在期后公允价值回升且客观上与确认原减值损失后发生的事项有关的，原确认的减值损</w:t>
      </w:r>
      <w:r>
        <w:rPr>
          <w:spacing w:val="-91"/>
        </w:rPr>
        <w:t> </w:t>
      </w:r>
      <w:r>
        <w:rPr>
          <w:spacing w:val="-91"/>
        </w:rPr>
      </w:r>
      <w:r>
        <w:rPr/>
        <w:t>失予以转回并计入当期损益。对已确认减值损失的可供出售权益工具投资，期后公允价值回</w:t>
      </w:r>
      <w:r>
        <w:rPr>
          <w:spacing w:val="-91"/>
        </w:rPr>
        <w:t> </w:t>
      </w:r>
      <w:r>
        <w:rPr>
          <w:spacing w:val="-91"/>
        </w:rPr>
      </w:r>
      <w:r>
        <w:rPr/>
        <w:t>升直接计入其他综合收益。</w:t>
      </w:r>
    </w:p>
    <w:p>
      <w:pPr>
        <w:pStyle w:val="BodyText"/>
        <w:spacing w:line="357" w:lineRule="auto"/>
        <w:ind w:right="1135" w:firstLine="480"/>
        <w:jc w:val="both"/>
      </w:pPr>
      <w:r>
        <w:rPr/>
        <w:t>以成本计量的可供出售权益工具发生减值时，将该权益工具投资的账面价值，与按照类 似金融资产当时市场收益率对未来现金流量折现确定的现值之间的差额，确认为减值损失，</w:t>
      </w:r>
      <w:r>
        <w:rPr>
          <w:spacing w:val="-88"/>
        </w:rPr>
        <w:t> </w:t>
      </w:r>
      <w:r>
        <w:rPr>
          <w:spacing w:val="-88"/>
        </w:rPr>
      </w:r>
      <w:r>
        <w:rPr/>
        <w:t>计入当期损益，发生的减值损失一经确认，不予转回。</w:t>
      </w:r>
    </w:p>
    <w:p>
      <w:pPr>
        <w:pStyle w:val="BodyText"/>
        <w:spacing w:line="338" w:lineRule="auto"/>
        <w:ind w:left="633" w:right="997"/>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当本公司具有抵销已确认金融资产和金融负债的法定权利，且目前可执行该种法定权利，</w:t>
      </w:r>
    </w:p>
    <w:p>
      <w:pPr>
        <w:pStyle w:val="BodyText"/>
        <w:spacing w:line="357" w:lineRule="auto" w:before="55"/>
        <w:ind w:right="1138"/>
        <w:jc w:val="both"/>
      </w:pPr>
      <w:r>
        <w:rPr/>
        <w:t>同时本公司计划以净额结算或同时变现该金融资产和清偿该金融负债时，金融资产和金融负</w:t>
      </w:r>
      <w:r>
        <w:rPr>
          <w:spacing w:val="-91"/>
        </w:rPr>
        <w:t> </w:t>
      </w:r>
      <w:r>
        <w:rPr>
          <w:spacing w:val="-91"/>
        </w:rPr>
      </w:r>
      <w:r>
        <w:rPr/>
        <w:t>债以相互抵销后的金额在资产负债表内列示。除此以外，金融资产和金融负债在资产负债表</w:t>
      </w:r>
      <w:r>
        <w:rPr>
          <w:spacing w:val="-91"/>
        </w:rPr>
        <w:t> </w:t>
      </w:r>
      <w:r>
        <w:rPr>
          <w:spacing w:val="-91"/>
        </w:rPr>
      </w:r>
      <w:r>
        <w:rPr/>
        <w:t>内分别列示，不予相互抵销。</w:t>
      </w:r>
    </w:p>
    <w:p>
      <w:pPr>
        <w:pStyle w:val="Heading2"/>
        <w:spacing w:line="240" w:lineRule="auto" w:before="36"/>
        <w:ind w:left="635" w:right="1273"/>
        <w:jc w:val="left"/>
        <w:rPr>
          <w:b w:val="0"/>
          <w:bCs w:val="0"/>
        </w:rPr>
      </w:pPr>
      <w:r>
        <w:rPr>
          <w:rFonts w:ascii="Times New Roman" w:hAnsi="Times New Roman" w:cs="Times New Roman" w:eastAsia="Times New Roman" w:hint="default"/>
        </w:rPr>
        <w:t>11</w:t>
      </w:r>
      <w:r>
        <w:rPr/>
        <w:t>、应收票据及应收账款</w:t>
      </w:r>
      <w:r>
        <w:rPr>
          <w:b w:val="0"/>
          <w:bCs w:val="0"/>
        </w:rPr>
      </w:r>
    </w:p>
    <w:p>
      <w:pPr>
        <w:pStyle w:val="Heading2"/>
        <w:spacing w:line="240" w:lineRule="auto" w:before="135"/>
        <w:ind w:left="635" w:right="127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5"/>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4848"/>
        <w:gridCol w:w="4849"/>
      </w:tblGrid>
      <w:tr>
        <w:trPr>
          <w:trHeight w:val="71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w:t>
            </w:r>
            <w:r>
              <w:rPr>
                <w:rFonts w:ascii="宋体" w:hAnsi="宋体" w:cs="宋体" w:eastAsia="宋体" w:hint="default"/>
                <w:sz w:val="21"/>
                <w:szCs w:val="21"/>
              </w:rPr>
              <w:t>的款项；其他应</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收款</w:t>
            </w:r>
            <w:r>
              <w:rPr>
                <w:rFonts w:ascii="Times New Roman" w:hAnsi="Times New Roman" w:cs="Times New Roman" w:eastAsia="Times New Roman" w:hint="default"/>
                <w:sz w:val="21"/>
                <w:szCs w:val="21"/>
              </w:rPr>
              <w:t>——</w:t>
            </w:r>
            <w:r>
              <w:rPr>
                <w:rFonts w:ascii="宋体" w:hAnsi="宋体" w:cs="宋体" w:eastAsia="宋体" w:hint="default"/>
                <w:sz w:val="21"/>
                <w:szCs w:val="21"/>
              </w:rPr>
              <w:t>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w:t>
            </w:r>
            <w:r>
              <w:rPr>
                <w:rFonts w:ascii="宋体" w:hAnsi="宋体" w:cs="宋体" w:eastAsia="宋体" w:hint="default"/>
                <w:sz w:val="21"/>
                <w:szCs w:val="21"/>
              </w:rPr>
              <w:t>的款项。</w:t>
            </w:r>
          </w:p>
        </w:tc>
      </w:tr>
      <w:tr>
        <w:trPr>
          <w:trHeight w:val="986"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
              <w:jc w:val="left"/>
              <w:rPr>
                <w:rFonts w:ascii="宋体" w:hAnsi="宋体" w:cs="宋体" w:eastAsia="宋体" w:hint="default"/>
                <w:sz w:val="21"/>
                <w:szCs w:val="21"/>
              </w:rPr>
            </w:pPr>
            <w:r>
              <w:rPr>
                <w:rFonts w:ascii="宋体" w:hAnsi="宋体" w:cs="宋体" w:eastAsia="宋体" w:hint="default"/>
                <w:spacing w:val="-4"/>
                <w:sz w:val="21"/>
                <w:szCs w:val="21"/>
              </w:rPr>
              <w:t>经单独进行减值测试有客观证据表明发生减值的，根</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据其未来现金流量现值低于其账面价值的差额计提</w:t>
            </w:r>
            <w:r>
              <w:rPr>
                <w:rFonts w:ascii="宋体" w:hAnsi="宋体" w:cs="宋体" w:eastAsia="宋体" w:hint="default"/>
                <w:w w:val="100"/>
                <w:sz w:val="21"/>
                <w:szCs w:val="21"/>
              </w:rPr>
              <w:t> </w:t>
            </w:r>
            <w:r>
              <w:rPr>
                <w:rFonts w:ascii="宋体" w:hAnsi="宋体" w:cs="宋体" w:eastAsia="宋体" w:hint="default"/>
                <w:spacing w:val="-4"/>
                <w:sz w:val="21"/>
                <w:szCs w:val="21"/>
              </w:rPr>
              <w:t>坏账准备；经单独进行减值测试未发生减值的，将其</w:t>
            </w:r>
          </w:p>
        </w:tc>
      </w:tr>
    </w:tbl>
    <w:p>
      <w:pPr>
        <w:spacing w:after="0" w:line="271" w:lineRule="auto"/>
        <w:jc w:val="left"/>
        <w:rPr>
          <w:rFonts w:ascii="宋体" w:hAnsi="宋体" w:cs="宋体" w:eastAsia="宋体" w:hint="default"/>
          <w:sz w:val="21"/>
          <w:szCs w:val="21"/>
        </w:rPr>
        <w:sectPr>
          <w:pgSz w:w="11910" w:h="16840"/>
          <w:pgMar w:header="877" w:footer="979" w:top="1060" w:bottom="1160" w:left="980" w:right="0"/>
        </w:sectPr>
      </w:pPr>
    </w:p>
    <w:p>
      <w:pPr>
        <w:spacing w:line="240" w:lineRule="auto" w:before="1"/>
        <w:rPr>
          <w:rFonts w:ascii="宋体" w:hAnsi="宋体" w:cs="宋体" w:eastAsia="宋体" w:hint="default"/>
          <w:b/>
          <w:bCs/>
          <w:sz w:val="28"/>
          <w:szCs w:val="28"/>
        </w:rPr>
      </w:pPr>
    </w:p>
    <w:p>
      <w:pPr>
        <w:spacing w:line="694" w:lineRule="exact"/>
        <w:ind w:left="11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85.4pt;height:34.75pt;mso-position-horizontal-relative:char;mso-position-vertical-relative:line" coordorigin="0,0" coordsize="9708,695">
            <v:group style="position:absolute;left:12;top:15;width:4837;height:666" coordorigin="12,15" coordsize="4837,666">
              <v:shape style="position:absolute;left:12;top:15;width:4837;height:666" coordorigin="12,15" coordsize="4837,666" path="m12,680l4849,680,4849,15,12,15,12,680xe" filled="true" fillcolor="#d2d2d2" stroked="false">
                <v:path arrowok="t"/>
                <v:fill type="solid"/>
              </v:shape>
            </v:group>
            <v:group style="position:absolute;left:10;top:10;width:4840;height:2" coordorigin="10,10" coordsize="4840,2">
              <v:shape style="position:absolute;left:10;top:10;width:4840;height:2" coordorigin="10,10" coordsize="4840,0" path="m10,10l4849,10e" filled="false" stroked="true" strokeweight=".48pt" strokecolor="#000000">
                <v:path arrowok="t"/>
              </v:shape>
            </v:group>
            <v:group style="position:absolute;left:4859;top:10;width:4840;height:2" coordorigin="4859,10" coordsize="4840,2">
              <v:shape style="position:absolute;left:4859;top:10;width:4840;height:2" coordorigin="4859,10" coordsize="4840,0" path="m4859,10l9698,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504pt" strokecolor="#000000">
                <v:path arrowok="t"/>
              </v:shape>
            </v:group>
            <v:group style="position:absolute;left:10;top:685;width:4840;height:2" coordorigin="10,685" coordsize="4840,2">
              <v:shape style="position:absolute;left:10;top:685;width:4840;height:2" coordorigin="10,685" coordsize="4840,0" path="m10,685l4849,685e" filled="false" stroked="true" strokeweight=".48pt" strokecolor="#000000">
                <v:path arrowok="t"/>
              </v:shape>
            </v:group>
            <v:group style="position:absolute;left:4854;top:5;width:2;height:685" coordorigin="4854,5" coordsize="2,685">
              <v:shape style="position:absolute;left:4854;top:5;width:2;height:685" coordorigin="4854,5" coordsize="0,685" path="m4854,5l4854,689e" filled="false" stroked="true" strokeweight=".48001pt" strokecolor="#000000">
                <v:path arrowok="t"/>
              </v:shape>
            </v:group>
            <v:group style="position:absolute;left:4859;top:685;width:4840;height:2" coordorigin="4859,685" coordsize="4840,2">
              <v:shape style="position:absolute;left:4859;top:685;width:4840;height:2" coordorigin="4859,685" coordsize="4840,0" path="m4859,685l9698,685e" filled="false" stroked="true" strokeweight=".48pt" strokecolor="#000000">
                <v:path arrowok="t"/>
              </v:shape>
            </v:group>
            <v:group style="position:absolute;left:9703;top:5;width:2;height:685" coordorigin="9703,5" coordsize="2,685">
              <v:shape style="position:absolute;left:9703;top:5;width:2;height:685" coordorigin="9703,5" coordsize="0,685" path="m9703,5l9703,689e" filled="false" stroked="true" strokeweight=".47998pt" strokecolor="#000000">
                <v:path arrowok="t"/>
              </v:shape>
              <v:shape style="position:absolute;left:4854;top:10;width:4849;height:675" type="#_x0000_t202" filled="false" stroked="false">
                <v:textbox inset="0,0,0,0">
                  <w:txbxContent>
                    <w:p>
                      <w:pPr>
                        <w:spacing w:line="273" w:lineRule="auto" w:before="0"/>
                        <w:ind w:left="28" w:right="192" w:firstLine="0"/>
                        <w:jc w:val="left"/>
                        <w:rPr>
                          <w:rFonts w:ascii="宋体" w:hAnsi="宋体" w:cs="宋体" w:eastAsia="宋体" w:hint="default"/>
                          <w:sz w:val="21"/>
                          <w:szCs w:val="21"/>
                        </w:rPr>
                      </w:pPr>
                      <w:r>
                        <w:rPr>
                          <w:rFonts w:ascii="宋体" w:hAnsi="宋体" w:cs="宋体" w:eastAsia="宋体" w:hint="default"/>
                          <w:spacing w:val="-2"/>
                          <w:sz w:val="21"/>
                          <w:szCs w:val="21"/>
                        </w:rPr>
                        <w:t>划入具有类似信用风险特征的若干组合计提坏账准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备。</w:t>
                      </w:r>
                    </w:p>
                  </w:txbxContent>
                </v:textbox>
                <w10:wrap type="none"/>
              </v:shape>
            </v:group>
          </v:group>
        </w:pict>
      </w:r>
      <w:r>
        <w:rPr>
          <w:rFonts w:ascii="宋体" w:hAnsi="宋体" w:cs="宋体" w:eastAsia="宋体" w:hint="default"/>
          <w:position w:val="-13"/>
          <w:sz w:val="20"/>
          <w:szCs w:val="20"/>
        </w:rPr>
      </w:r>
    </w:p>
    <w:p>
      <w:pPr>
        <w:pStyle w:val="Heading2"/>
        <w:spacing w:line="240" w:lineRule="auto" w:before="34"/>
        <w:ind w:left="635" w:right="127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5"/>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4849"/>
        <w:gridCol w:w="4849"/>
      </w:tblGrid>
      <w:tr>
        <w:trPr>
          <w:trHeight w:val="401"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79"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pStyle w:val="BodyText"/>
        <w:spacing w:line="240" w:lineRule="auto" w:before="39"/>
        <w:ind w:right="1273"/>
        <w:jc w:val="left"/>
      </w:pPr>
      <w:r>
        <w:rPr/>
        <w:t>组合中，采用账龄分析法计提坏账准备的：</w:t>
      </w:r>
    </w:p>
    <w:p>
      <w:pPr>
        <w:pStyle w:val="BodyText"/>
        <w:spacing w:line="240" w:lineRule="auto" w:before="154"/>
        <w:ind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01"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1"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4"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1"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20.00%</w:t>
            </w:r>
          </w:p>
        </w:tc>
      </w:tr>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1"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39"/>
        <w:ind w:right="1273"/>
        <w:jc w:val="left"/>
      </w:pPr>
      <w:r>
        <w:rPr/>
        <w:t>组合中，采用余额百分比法计提坏账准备的：</w:t>
      </w:r>
    </w:p>
    <w:p>
      <w:pPr>
        <w:pStyle w:val="BodyText"/>
        <w:spacing w:line="338" w:lineRule="auto" w:before="154"/>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w:t>
      </w:r>
    </w:p>
    <w:p>
      <w:pPr>
        <w:pStyle w:val="BodyText"/>
        <w:spacing w:line="240" w:lineRule="auto" w:before="55"/>
        <w:ind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6"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bl>
    <w:p>
      <w:pPr>
        <w:pStyle w:val="Heading2"/>
        <w:spacing w:line="240" w:lineRule="auto" w:before="39"/>
        <w:ind w:left="635" w:right="127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25"/>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提坏账准备</w:t>
            </w:r>
          </w:p>
        </w:tc>
      </w:tr>
    </w:tbl>
    <w:p>
      <w:pPr>
        <w:spacing w:line="348" w:lineRule="auto" w:before="39"/>
        <w:ind w:left="633" w:right="619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、存货</w:t>
      </w:r>
      <w:r>
        <w:rPr>
          <w:rFonts w:ascii="宋体" w:hAnsi="宋体" w:cs="宋体" w:eastAsia="宋体" w:hint="default"/>
          <w:b/>
          <w:bCs/>
          <w:w w:val="99"/>
          <w:sz w:val="24"/>
          <w:szCs w:val="24"/>
        </w:rPr>
        <w:t> </w:t>
      </w:r>
      <w:r>
        <w:rPr>
          <w:rFonts w:ascii="宋体" w:hAnsi="宋体" w:cs="宋体" w:eastAsia="宋体" w:hint="default"/>
          <w:sz w:val="24"/>
          <w:szCs w:val="24"/>
        </w:rPr>
        <w:t>公司是否需要遵守特殊行业的披露要求 否</w:t>
      </w:r>
    </w:p>
    <w:p>
      <w:pPr>
        <w:pStyle w:val="BodyText"/>
        <w:spacing w:line="338" w:lineRule="auto" w:before="46"/>
        <w:ind w:right="997" w:firstLine="480"/>
        <w:jc w:val="left"/>
      </w:pPr>
      <w:r>
        <w:rPr/>
        <w:t>（</w:t>
      </w:r>
      <w:r>
        <w:rPr>
          <w:rFonts w:ascii="Times New Roman" w:hAnsi="Times New Roman" w:cs="Times New Roman" w:eastAsia="Times New Roman" w:hint="default"/>
        </w:rPr>
        <w:t>1</w:t>
      </w:r>
      <w:r>
        <w:rPr/>
        <w:t>）存货包括在日常活动中持有以备出售的产成品或商品、处在生产过程中的在产品、 在生产过程或提供劳务过程中耗用的材料和物料、在途物资和委托加工物资等。</w:t>
      </w:r>
    </w:p>
    <w:p>
      <w:pPr>
        <w:pStyle w:val="BodyText"/>
        <w:spacing w:line="350" w:lineRule="auto" w:before="55"/>
        <w:ind w:right="1129" w:firstLine="480"/>
        <w:jc w:val="both"/>
      </w:pPr>
      <w:r>
        <w:rPr>
          <w:spacing w:val="-3"/>
        </w:rPr>
        <w:t>（</w:t>
      </w:r>
      <w:r>
        <w:rPr>
          <w:rFonts w:ascii="Times New Roman" w:hAnsi="Times New Roman" w:cs="Times New Roman" w:eastAsia="Times New Roman" w:hint="default"/>
          <w:spacing w:val="-3"/>
        </w:rPr>
        <w:t>2</w:t>
      </w:r>
      <w:r>
        <w:rPr>
          <w:spacing w:val="-3"/>
        </w:rPr>
        <w:t>）企业取得存货按实际成本计量。①外购存货的成本即为该存货的采购成本，通过进</w:t>
      </w:r>
      <w:r>
        <w:rPr/>
        <w:t> 一步加工取得的存货成本由采购成本和加工成本构成。②债务重组取得债务人用以抵债的存</w:t>
      </w:r>
      <w:r>
        <w:rPr>
          <w:spacing w:val="-88"/>
        </w:rPr>
        <w:t> </w:t>
      </w:r>
      <w:r>
        <w:rPr>
          <w:spacing w:val="-88"/>
        </w:rPr>
      </w:r>
      <w:r>
        <w:rPr/>
        <w:t>货，以该存货的公允价值为基础确定其入账价值。③在非货币性资产交换具备商业实质和换</w:t>
      </w:r>
      <w:r>
        <w:rPr>
          <w:spacing w:val="-89"/>
        </w:rPr>
        <w:t> </w:t>
      </w:r>
      <w:r>
        <w:rPr>
          <w:spacing w:val="-89"/>
        </w:rPr>
      </w:r>
      <w:r>
        <w:rPr/>
        <w:t>入资产或换出资产的公允价值能够可靠计量的前提下，非货币性资产交换换入的存货通常以</w:t>
      </w:r>
    </w:p>
    <w:p>
      <w:pPr>
        <w:spacing w:after="0" w:line="350"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012"/>
        <w:jc w:val="both"/>
      </w:pPr>
      <w:r>
        <w:rPr/>
        <w:t>换出资产的公允价值为基础确定其入账价值，除非有确凿证据表明换入资产公允价值更加可</w:t>
      </w:r>
      <w:r>
        <w:rPr>
          <w:spacing w:val="-91"/>
        </w:rPr>
        <w:t> </w:t>
      </w:r>
      <w:r>
        <w:rPr>
          <w:spacing w:val="-91"/>
        </w:rPr>
      </w:r>
      <w:r>
        <w:rPr/>
        <w:t>靠；不满足上述前提的非货币性资产交换，以换出资产的账面价值和应支付的相关税费作为</w:t>
      </w:r>
      <w:r>
        <w:rPr>
          <w:spacing w:val="-91"/>
        </w:rPr>
        <w:t> </w:t>
      </w:r>
      <w:r>
        <w:rPr>
          <w:spacing w:val="-91"/>
        </w:rPr>
      </w:r>
      <w:r>
        <w:rPr/>
        <w:t>换入存货的成本。④以同一控制下的企业吸收合并方式取得的存货按被合并方的账面价值确</w:t>
      </w:r>
      <w:r>
        <w:rPr>
          <w:spacing w:val="-91"/>
        </w:rPr>
        <w:t> </w:t>
      </w:r>
      <w:r>
        <w:rPr>
          <w:spacing w:val="-91"/>
        </w:rPr>
      </w:r>
      <w:r>
        <w:rPr>
          <w:spacing w:val="-2"/>
        </w:rPr>
        <w:t>定其入账价值；以非同一控制下的企业吸收合并方式取得的存货按公允价值确定其入账价值。</w:t>
      </w:r>
    </w:p>
    <w:p>
      <w:pPr>
        <w:pStyle w:val="BodyText"/>
        <w:spacing w:line="240" w:lineRule="auto"/>
        <w:ind w:left="633" w:right="1273"/>
        <w:jc w:val="left"/>
      </w:pPr>
      <w:r>
        <w:rPr/>
        <w:t>（</w:t>
      </w:r>
      <w:r>
        <w:rPr>
          <w:rFonts w:ascii="Times New Roman" w:hAnsi="Times New Roman" w:cs="Times New Roman" w:eastAsia="Times New Roman" w:hint="default"/>
        </w:rPr>
        <w:t>3</w:t>
      </w:r>
      <w:r>
        <w:rPr/>
        <w:t>）企业发出存货的成本计量：采用加权平均法计价。</w:t>
      </w:r>
    </w:p>
    <w:p>
      <w:pPr>
        <w:pStyle w:val="BodyText"/>
        <w:spacing w:line="338" w:lineRule="auto" w:before="135"/>
        <w:ind w:left="633" w:right="2593"/>
        <w:jc w:val="left"/>
      </w:pPr>
      <w:r>
        <w:rPr/>
        <w:t>（</w:t>
      </w:r>
      <w:r>
        <w:rPr>
          <w:rFonts w:ascii="Times New Roman" w:hAnsi="Times New Roman" w:cs="Times New Roman" w:eastAsia="Times New Roman" w:hint="default"/>
        </w:rPr>
        <w:t>4</w:t>
      </w:r>
      <w:r>
        <w:rPr/>
        <w:t>）低值易耗品和包装物的摊销方法 低值易耗品按照一次转销法进行摊销。包装物按照一次转销法进行摊销。</w:t>
      </w:r>
    </w:p>
    <w:p>
      <w:pPr>
        <w:pStyle w:val="BodyText"/>
        <w:spacing w:line="352" w:lineRule="auto" w:before="55"/>
        <w:ind w:right="1132" w:firstLine="480"/>
        <w:jc w:val="both"/>
      </w:pPr>
      <w:r>
        <w:rPr>
          <w:spacing w:val="-3"/>
        </w:rPr>
        <w:t>（</w:t>
      </w:r>
      <w:r>
        <w:rPr>
          <w:rFonts w:ascii="Times New Roman" w:hAnsi="Times New Roman" w:cs="Times New Roman" w:eastAsia="Times New Roman" w:hint="default"/>
          <w:spacing w:val="-3"/>
        </w:rPr>
        <w:t>5</w:t>
      </w:r>
      <w:r>
        <w:rPr>
          <w:spacing w:val="-3"/>
        </w:rPr>
        <w:t>）资产负债表日，存货采用成本与可变现净值孰低计量。存货可变现净值是按存货的</w:t>
      </w:r>
      <w:r>
        <w:rPr/>
        <w:t> 估计售价减去至完工时估计将要发生的成本、估计的销售费用以及相关税费后的金额。在确</w:t>
      </w:r>
      <w:r>
        <w:rPr>
          <w:spacing w:val="-91"/>
        </w:rPr>
        <w:t> </w:t>
      </w:r>
      <w:r>
        <w:rPr>
          <w:spacing w:val="-91"/>
        </w:rPr>
      </w:r>
      <w:r>
        <w:rPr/>
        <w:t>定存货的可变现净值时，以取得的确凿证据为基础，同时考虑持有存货的目的以及资产负债</w:t>
      </w:r>
      <w:r>
        <w:rPr>
          <w:spacing w:val="-91"/>
        </w:rPr>
        <w:t> </w:t>
      </w:r>
      <w:r>
        <w:rPr>
          <w:spacing w:val="-91"/>
        </w:rPr>
      </w:r>
      <w:r>
        <w:rPr/>
        <w:t>表日后事项的影响，除有明确证据表明资产负债表日市场价格异常外，本期期末存货项目的</w:t>
      </w:r>
      <w:r>
        <w:rPr>
          <w:spacing w:val="-91"/>
        </w:rPr>
        <w:t> </w:t>
      </w:r>
      <w:r>
        <w:rPr>
          <w:spacing w:val="-91"/>
        </w:rPr>
      </w:r>
      <w:r>
        <w:rPr/>
        <w:t>可变现净值以资产负债表日市场价格为基础确定，其中：</w:t>
      </w:r>
    </w:p>
    <w:p>
      <w:pPr>
        <w:pStyle w:val="BodyText"/>
        <w:spacing w:line="357" w:lineRule="auto" w:before="41"/>
        <w:ind w:right="1136" w:firstLine="480"/>
        <w:jc w:val="both"/>
      </w:pPr>
      <w:r>
        <w:rPr/>
        <w:t>①产成品、商品和用于出售的材料等直接用于出售的商品存货，在正常生产经营过程中 以该存货的估计售价减去估计的销售费用和相关税费后的金额确定其可变现净值；</w:t>
      </w:r>
    </w:p>
    <w:p>
      <w:pPr>
        <w:pStyle w:val="BodyText"/>
        <w:spacing w:line="357" w:lineRule="auto"/>
        <w:ind w:right="1064" w:firstLine="480"/>
        <w:jc w:val="both"/>
      </w:pPr>
      <w:r>
        <w:rPr/>
        <w:t>②需要经过加工的材料存货，在正常生产经营过程中以所生产的产成品的估计售价减去 至完工时估计将要发生的成本、估计的销售费用和相关税费后的金额确定其可变现净值；资 产负债表日，同一项存货中一部分有合同价格约定、其他部分不存在合同价格的，分别确定 </w:t>
      </w:r>
      <w:r>
        <w:rPr>
          <w:spacing w:val="2"/>
        </w:rPr>
        <w:t>其可变现净值，并与其对应的成本进行比较，分别确定存货跌价准备的计提或转回的金额。</w:t>
      </w:r>
    </w:p>
    <w:p>
      <w:pPr>
        <w:pStyle w:val="BodyText"/>
        <w:spacing w:line="357" w:lineRule="auto"/>
        <w:ind w:right="1137" w:firstLine="480"/>
        <w:jc w:val="both"/>
      </w:pPr>
      <w:r>
        <w:rPr/>
        <w:t>期末按照单个存货项目计提存货跌价准备；但对于数量繁多、单价较低的存货，按照存 货类别计提存货跌价准备；与在同一地区生产和销售的产品系列相关、具有相同或者类似最</w:t>
      </w:r>
      <w:r>
        <w:rPr>
          <w:spacing w:val="-90"/>
        </w:rPr>
        <w:t> </w:t>
      </w:r>
      <w:r>
        <w:rPr>
          <w:spacing w:val="-90"/>
        </w:rPr>
      </w:r>
      <w:r>
        <w:rPr/>
        <w:t>终用途或目的，且难以与其他项目分开计量的存货，则合并计提存货跌价准备。</w:t>
      </w:r>
    </w:p>
    <w:p>
      <w:pPr>
        <w:pStyle w:val="BodyText"/>
        <w:spacing w:line="357" w:lineRule="auto"/>
        <w:ind w:right="1138" w:firstLine="480"/>
        <w:jc w:val="both"/>
      </w:pPr>
      <w:r>
        <w:rPr/>
        <w:t>计提存货跌价准备后，如果以前减记存货价值的影响因素已经消失，导致存货的可变现 净值高于其账面价值的，在原已计提的存货跌价准备金额内予以转回，转回的金额计入当期</w:t>
      </w:r>
      <w:r>
        <w:rPr>
          <w:spacing w:val="-91"/>
        </w:rPr>
        <w:t> </w:t>
      </w:r>
      <w:r>
        <w:rPr>
          <w:spacing w:val="-91"/>
        </w:rPr>
      </w:r>
      <w:r>
        <w:rPr/>
        <w:t>损益。</w:t>
      </w:r>
    </w:p>
    <w:p>
      <w:pPr>
        <w:pStyle w:val="BodyText"/>
        <w:spacing w:line="240" w:lineRule="auto"/>
        <w:ind w:left="633" w:right="1273"/>
        <w:jc w:val="left"/>
      </w:pPr>
      <w:r>
        <w:rPr/>
        <w:t>（</w:t>
      </w:r>
      <w:r>
        <w:rPr>
          <w:rFonts w:ascii="Times New Roman" w:hAnsi="Times New Roman" w:cs="Times New Roman" w:eastAsia="Times New Roman" w:hint="default"/>
        </w:rPr>
        <w:t>6</w:t>
      </w:r>
      <w:r>
        <w:rPr/>
        <w:t>）存货的盘存制度为永续盘存制。</w:t>
      </w:r>
    </w:p>
    <w:p>
      <w:pPr>
        <w:pStyle w:val="Heading2"/>
        <w:spacing w:line="240" w:lineRule="auto" w:before="135"/>
        <w:ind w:left="635" w:right="1273"/>
        <w:jc w:val="left"/>
        <w:rPr>
          <w:b w:val="0"/>
          <w:bCs w:val="0"/>
        </w:rPr>
      </w:pPr>
      <w:r>
        <w:rPr>
          <w:rFonts w:ascii="Times New Roman" w:hAnsi="Times New Roman" w:cs="Times New Roman" w:eastAsia="Times New Roman" w:hint="default"/>
        </w:rPr>
        <w:t>13</w:t>
      </w:r>
      <w:r>
        <w:rPr/>
        <w:t>、持有待售资产</w:t>
      </w:r>
      <w:r>
        <w:rPr>
          <w:b w:val="0"/>
          <w:bCs w:val="0"/>
        </w:rPr>
      </w:r>
    </w:p>
    <w:p>
      <w:pPr>
        <w:pStyle w:val="BodyText"/>
        <w:spacing w:line="338" w:lineRule="auto" w:before="135"/>
        <w:ind w:left="633" w:right="1116"/>
        <w:jc w:val="left"/>
      </w:pPr>
      <w:r>
        <w:rPr/>
        <w:t>（</w:t>
      </w:r>
      <w:r>
        <w:rPr>
          <w:rFonts w:ascii="Times New Roman" w:hAnsi="Times New Roman" w:cs="Times New Roman" w:eastAsia="Times New Roman" w:hint="default"/>
        </w:rPr>
        <w:t>1</w:t>
      </w:r>
      <w:r>
        <w:rPr/>
        <w:t>）划分为持有待售类别的条件 </w:t>
      </w:r>
      <w:r>
        <w:rPr>
          <w:spacing w:val="2"/>
        </w:rPr>
        <w:t>公司主要通过出售</w:t>
      </w:r>
      <w:r>
        <w:rPr>
          <w:rFonts w:ascii="Times New Roman" w:hAnsi="Times New Roman" w:cs="Times New Roman" w:eastAsia="Times New Roman" w:hint="default"/>
          <w:spacing w:val="2"/>
        </w:rPr>
        <w:t>(</w:t>
      </w:r>
      <w:r>
        <w:rPr>
          <w:spacing w:val="2"/>
        </w:rPr>
        <w:t>包括具有商业实质的非货币性资产交换，下同</w:t>
      </w:r>
      <w:r>
        <w:rPr>
          <w:rFonts w:ascii="Times New Roman" w:hAnsi="Times New Roman" w:cs="Times New Roman" w:eastAsia="Times New Roman" w:hint="default"/>
          <w:spacing w:val="2"/>
        </w:rPr>
        <w:t>)</w:t>
      </w:r>
      <w:r>
        <w:rPr>
          <w:spacing w:val="2"/>
        </w:rPr>
        <w:t>而非持续使用一项非</w:t>
      </w:r>
    </w:p>
    <w:p>
      <w:pPr>
        <w:pStyle w:val="BodyText"/>
        <w:spacing w:line="240" w:lineRule="auto" w:before="26"/>
        <w:ind w:right="0"/>
        <w:jc w:val="both"/>
      </w:pPr>
      <w:r>
        <w:rPr/>
        <w:t>流动资产或处置组收回其账面价值的，在满足下列条件时，将其划分为持有待售类别：</w:t>
      </w:r>
    </w:p>
    <w:p>
      <w:pPr>
        <w:spacing w:after="0" w:line="240"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633" w:right="1273"/>
        <w:jc w:val="left"/>
      </w:pPr>
      <w:r>
        <w:rPr/>
        <w:t>①根据类似交易中出售此类资产或处置组的惯例，在当前状况下即可立即出售；</w:t>
      </w:r>
    </w:p>
    <w:p>
      <w:pPr>
        <w:pStyle w:val="BodyText"/>
        <w:spacing w:line="357" w:lineRule="auto" w:before="154"/>
        <w:ind w:right="1138" w:firstLine="480"/>
        <w:jc w:val="both"/>
      </w:pPr>
      <w:r>
        <w:rPr/>
        <w:t>②出售极可能发生，即公司已经就一项出售计划作出决议且获得确定的购买承诺，预计 出售将在一年内完成。有关规定要求相关权力机构或者监督部门批准后方可出售的，公司已</w:t>
      </w:r>
      <w:r>
        <w:rPr>
          <w:spacing w:val="-91"/>
        </w:rPr>
        <w:t> </w:t>
      </w:r>
      <w:r>
        <w:rPr>
          <w:spacing w:val="-91"/>
        </w:rPr>
      </w:r>
      <w:r>
        <w:rPr/>
        <w:t>经获得批准。确定的购买承诺，是指公司与其他方签订的具有法律约束力的购买协议，该协</w:t>
      </w:r>
      <w:r>
        <w:rPr>
          <w:spacing w:val="-91"/>
        </w:rPr>
        <w:t> </w:t>
      </w:r>
      <w:r>
        <w:rPr>
          <w:spacing w:val="-91"/>
        </w:rPr>
      </w:r>
      <w:r>
        <w:rPr/>
        <w:t>议包含交易价格、时间和足够严厉的违约惩罚等重要条款，使协议出现重大调整或者撤销的</w:t>
      </w:r>
      <w:r>
        <w:rPr>
          <w:spacing w:val="-91"/>
        </w:rPr>
        <w:t> </w:t>
      </w:r>
      <w:r>
        <w:rPr>
          <w:spacing w:val="-91"/>
        </w:rPr>
      </w:r>
      <w:r>
        <w:rPr/>
        <w:t>可能性极小。</w:t>
      </w:r>
    </w:p>
    <w:p>
      <w:pPr>
        <w:pStyle w:val="BodyText"/>
        <w:spacing w:line="357" w:lineRule="auto"/>
        <w:ind w:right="1138" w:firstLine="480"/>
        <w:jc w:val="both"/>
      </w:pPr>
      <w:r>
        <w:rPr/>
        <w:t>公司因出售对子公司的投资等原因导致其丧失对子公司控制权的，当拟出售的子公司投 资满足持有待售类别划分条件时，在母公司个别财务报表中将对子公司投资整体划分为持有</w:t>
      </w:r>
      <w:r>
        <w:rPr>
          <w:spacing w:val="-91"/>
        </w:rPr>
        <w:t> </w:t>
      </w:r>
      <w:r>
        <w:rPr>
          <w:spacing w:val="-91"/>
        </w:rPr>
      </w:r>
      <w:r>
        <w:rPr/>
        <w:t>待售类别，在合并报表中将子公司所有资产和负债划分为持有待售类别。</w:t>
      </w:r>
    </w:p>
    <w:p>
      <w:pPr>
        <w:pStyle w:val="BodyText"/>
        <w:spacing w:line="357" w:lineRule="auto"/>
        <w:ind w:right="1138" w:firstLine="480"/>
        <w:jc w:val="both"/>
      </w:pPr>
      <w:r>
        <w:rPr/>
        <w:t>持有待售的非流动资产或处置组不再满足持有待售类别划分条件的，公司停止将其划分 为持有待售类别。部分资产或负债从持有待售的处置组中移除的，处置组中剩余资产或负债</w:t>
      </w:r>
      <w:r>
        <w:rPr>
          <w:spacing w:val="-91"/>
        </w:rPr>
        <w:t> </w:t>
      </w:r>
      <w:r>
        <w:rPr>
          <w:spacing w:val="-91"/>
        </w:rPr>
      </w:r>
      <w:r>
        <w:rPr/>
        <w:t>新组成的处置组仍满足持有待售划分条件的，公司将新组成的处置组划分为持有待售类别，</w:t>
      </w:r>
      <w:r>
        <w:rPr>
          <w:spacing w:val="-91"/>
        </w:rPr>
        <w:t> </w:t>
      </w:r>
      <w:r>
        <w:rPr>
          <w:spacing w:val="-91"/>
        </w:rPr>
      </w:r>
      <w:r>
        <w:rPr/>
        <w:t>否则将满足持有待售类别划分条件的非流动资产单独划分为持有待售类别。</w:t>
      </w:r>
    </w:p>
    <w:p>
      <w:pPr>
        <w:pStyle w:val="BodyText"/>
        <w:spacing w:line="357" w:lineRule="auto"/>
        <w:ind w:right="1136" w:firstLine="480"/>
        <w:jc w:val="both"/>
      </w:pPr>
      <w:r>
        <w:rPr/>
        <w:t>对于当期首次满足持有待售类别划分条件的非流动资产或处置组，不调整可比会计期间 的资产负债表。</w:t>
      </w:r>
    </w:p>
    <w:p>
      <w:pPr>
        <w:pStyle w:val="BodyText"/>
        <w:spacing w:line="338" w:lineRule="auto"/>
        <w:ind w:left="633" w:right="1116"/>
        <w:jc w:val="left"/>
      </w:pPr>
      <w:r>
        <w:rPr/>
        <w:t>（</w:t>
      </w:r>
      <w:r>
        <w:rPr>
          <w:rFonts w:ascii="Times New Roman" w:hAnsi="Times New Roman" w:cs="Times New Roman" w:eastAsia="Times New Roman" w:hint="default"/>
        </w:rPr>
        <w:t>2</w:t>
      </w:r>
      <w:r>
        <w:rPr/>
        <w:t>）持有待售类的非流动资产或处置组的初始计量及后续计量 对于取得日划分为持有待售类别的非流动资产或处置组，公司在初始计量时比较假定其</w:t>
      </w:r>
    </w:p>
    <w:p>
      <w:pPr>
        <w:pStyle w:val="BodyText"/>
        <w:spacing w:line="357" w:lineRule="auto" w:before="55"/>
        <w:ind w:right="1138"/>
        <w:jc w:val="both"/>
      </w:pPr>
      <w:r>
        <w:rPr/>
        <w:t>不划分为持有待售类别情况下的初始计量金额和公允价值减去出售费用后的净额，以两者孰</w:t>
      </w:r>
      <w:r>
        <w:rPr>
          <w:spacing w:val="-91"/>
        </w:rPr>
        <w:t> </w:t>
      </w:r>
      <w:r>
        <w:rPr>
          <w:spacing w:val="-91"/>
        </w:rPr>
      </w:r>
      <w:r>
        <w:rPr/>
        <w:t>低计量。除公司合并中取得的非流动资产或处置组外，由非流动资产或处置组以公允价值减</w:t>
      </w:r>
      <w:r>
        <w:rPr>
          <w:spacing w:val="-91"/>
        </w:rPr>
        <w:t> </w:t>
      </w:r>
      <w:r>
        <w:rPr>
          <w:spacing w:val="-91"/>
        </w:rPr>
      </w:r>
      <w:r>
        <w:rPr/>
        <w:t>去出售费用后的净额作为初始计量金额而产生的差额，计入当期损益。</w:t>
      </w:r>
    </w:p>
    <w:p>
      <w:pPr>
        <w:pStyle w:val="BodyText"/>
        <w:spacing w:line="357" w:lineRule="auto"/>
        <w:ind w:right="1135" w:firstLine="480"/>
        <w:jc w:val="both"/>
      </w:pPr>
      <w:r>
        <w:rPr/>
        <w:t>公司将非流动资产或处置组首次划分为持有待售类别前，按照相关会计准则规定计量非 流动资产或处置组中各项资产和负债的账面价值。在初始计量或资产负债表日重新计量持有</w:t>
      </w:r>
      <w:r>
        <w:rPr>
          <w:spacing w:val="-88"/>
        </w:rPr>
        <w:t> </w:t>
      </w:r>
      <w:r>
        <w:rPr>
          <w:spacing w:val="-88"/>
        </w:rPr>
      </w:r>
      <w:r>
        <w:rPr/>
        <w:t>待售的非流动资产或处置组时，其账面价值高于公允价值减去出售费用后的净额的，将账面</w:t>
      </w:r>
      <w:r>
        <w:rPr>
          <w:spacing w:val="-91"/>
        </w:rPr>
        <w:t> </w:t>
      </w:r>
      <w:r>
        <w:rPr>
          <w:spacing w:val="-91"/>
        </w:rPr>
      </w:r>
      <w:r>
        <w:rPr/>
        <w:t>价值减记至公允价值减去出售费用后的净额，减记的金额确认为资产减值损失，计入当期损</w:t>
      </w:r>
      <w:r>
        <w:rPr>
          <w:spacing w:val="-91"/>
        </w:rPr>
        <w:t> </w:t>
      </w:r>
      <w:r>
        <w:rPr>
          <w:spacing w:val="-91"/>
        </w:rPr>
      </w:r>
      <w:r>
        <w:rPr/>
        <w:t>益，同时计提持有待售资产减值准备。持有待售的非流动资产或处置组中的非流动资产不计</w:t>
      </w:r>
      <w:r>
        <w:rPr>
          <w:spacing w:val="-91"/>
        </w:rPr>
        <w:t> </w:t>
      </w:r>
      <w:r>
        <w:rPr>
          <w:spacing w:val="-91"/>
        </w:rPr>
      </w:r>
      <w:r>
        <w:rPr/>
        <w:t>提折旧或摊销，持有待售的处置组中的负债的利息和其他费用应继续予以确认。</w:t>
      </w:r>
    </w:p>
    <w:p>
      <w:pPr>
        <w:pStyle w:val="BodyText"/>
        <w:spacing w:line="348" w:lineRule="auto"/>
        <w:ind w:right="1018" w:firstLine="480"/>
        <w:jc w:val="both"/>
      </w:pPr>
      <w:r>
        <w:rPr/>
        <w:t>公司对持有待售的处置组确认资产减值损失金额时，先抵减处置组商誉的账面价值，再 </w:t>
      </w:r>
      <w:r>
        <w:rPr>
          <w:spacing w:val="-7"/>
        </w:rPr>
        <w:t>根据处置组中适用《企业会计准则第</w:t>
      </w:r>
      <w:r>
        <w:rPr>
          <w:rFonts w:ascii="Times New Roman" w:hAnsi="Times New Roman" w:cs="Times New Roman" w:eastAsia="Times New Roman" w:hint="default"/>
          <w:spacing w:val="-7"/>
        </w:rPr>
        <w:t>42</w:t>
      </w:r>
      <w:r>
        <w:rPr>
          <w:spacing w:val="-7"/>
        </w:rPr>
        <w:t>号</w:t>
      </w:r>
      <w:r>
        <w:rPr>
          <w:rFonts w:ascii="Times New Roman" w:hAnsi="Times New Roman" w:cs="Times New Roman" w:eastAsia="Times New Roman" w:hint="default"/>
          <w:spacing w:val="-7"/>
        </w:rPr>
        <w:t>——</w:t>
      </w:r>
      <w:r>
        <w:rPr>
          <w:spacing w:val="-7"/>
        </w:rPr>
        <w:t>持有待售的非流动资产、处置组和终止经营》</w:t>
      </w:r>
      <w:r>
        <w:rPr>
          <w:rFonts w:ascii="Times New Roman" w:hAnsi="Times New Roman" w:cs="Times New Roman" w:eastAsia="Times New Roman" w:hint="default"/>
          <w:spacing w:val="-7"/>
        </w:rPr>
        <w:t>(</w:t>
      </w:r>
      <w:r>
        <w:rPr>
          <w:spacing w:val="-7"/>
        </w:rPr>
        <w:t>以</w:t>
      </w:r>
      <w:r>
        <w:rPr>
          <w:spacing w:val="-101"/>
        </w:rPr>
        <w:t> </w:t>
      </w:r>
      <w:r>
        <w:rPr/>
        <w:t>下简称第</w:t>
      </w:r>
      <w:r>
        <w:rPr>
          <w:rFonts w:ascii="Times New Roman" w:hAnsi="Times New Roman" w:cs="Times New Roman" w:eastAsia="Times New Roman" w:hint="default"/>
        </w:rPr>
        <w:t>42</w:t>
      </w:r>
      <w:r>
        <w:rPr/>
        <w:t>号准则</w:t>
      </w:r>
      <w:r>
        <w:rPr>
          <w:rFonts w:ascii="Times New Roman" w:hAnsi="Times New Roman" w:cs="Times New Roman" w:eastAsia="Times New Roman" w:hint="default"/>
        </w:rPr>
        <w:t>)</w:t>
      </w:r>
      <w:r>
        <w:rPr/>
        <w:t>计量规定的各项非流动资产账面价值所占比重，按比例抵减其账面价值。</w:t>
      </w:r>
    </w:p>
    <w:p>
      <w:pPr>
        <w:spacing w:after="0" w:line="348"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997"/>
        <w:jc w:val="left"/>
      </w:pPr>
      <w:r>
        <w:rPr/>
        <w:t>公司在资产负债表日重新计量持有待售的处置组时，首先按照相关会计准则规定计量处置组</w:t>
      </w:r>
      <w:r>
        <w:rPr>
          <w:spacing w:val="-91"/>
        </w:rPr>
        <w:t> </w:t>
      </w:r>
      <w:r>
        <w:rPr>
          <w:spacing w:val="-91"/>
        </w:rPr>
      </w:r>
      <w:r>
        <w:rPr>
          <w:spacing w:val="-2"/>
        </w:rPr>
        <w:t>中不适用第</w:t>
      </w:r>
      <w:r>
        <w:rPr>
          <w:rFonts w:ascii="Times New Roman" w:hAnsi="Times New Roman" w:cs="Times New Roman" w:eastAsia="Times New Roman" w:hint="default"/>
          <w:spacing w:val="-2"/>
        </w:rPr>
        <w:t>42</w:t>
      </w:r>
      <w:r>
        <w:rPr>
          <w:spacing w:val="-2"/>
        </w:rPr>
        <w:t>号准则计量规定的资产和负债的账面价值，再按照上述相关规定进行会计处理。</w:t>
      </w:r>
    </w:p>
    <w:p>
      <w:pPr>
        <w:pStyle w:val="BodyText"/>
        <w:spacing w:line="357" w:lineRule="auto" w:before="5"/>
        <w:ind w:right="1138" w:firstLine="480"/>
        <w:jc w:val="both"/>
      </w:pPr>
      <w:r>
        <w:rPr/>
        <w:t>后续资产负债表日持有待售的非流动资产公允价值减去出售费用后的净额增加的，以前 减记的金额应当予以恢复，并在划分为持有待售类别后确认的资产减值损失金额内转回，转</w:t>
      </w:r>
      <w:r>
        <w:rPr>
          <w:spacing w:val="-91"/>
        </w:rPr>
        <w:t> </w:t>
      </w:r>
      <w:r>
        <w:rPr>
          <w:spacing w:val="-91"/>
        </w:rPr>
      </w:r>
      <w:r>
        <w:rPr/>
        <w:t>回金额计入当期损益；划分为持有待售类别前确认的资产减值损失不得转回。</w:t>
      </w:r>
    </w:p>
    <w:p>
      <w:pPr>
        <w:pStyle w:val="BodyText"/>
        <w:spacing w:line="348" w:lineRule="auto"/>
        <w:ind w:right="1134" w:firstLine="480"/>
        <w:jc w:val="both"/>
      </w:pPr>
      <w:r>
        <w:rPr/>
        <w:t>后续资产负债表日持有待售的处置组公允价值减去出售费用后的净额增加的，以前减记 的金额应当予以恢复，并在划分为持有待售类别后适用第</w:t>
      </w:r>
      <w:r>
        <w:rPr>
          <w:rFonts w:ascii="Times New Roman" w:hAnsi="Times New Roman" w:cs="Times New Roman" w:eastAsia="Times New Roman" w:hint="default"/>
        </w:rPr>
        <w:t>42</w:t>
      </w:r>
      <w:r>
        <w:rPr/>
        <w:t>号准则计量规定的非流动资产确</w:t>
      </w:r>
      <w:r>
        <w:rPr>
          <w:spacing w:val="-88"/>
        </w:rPr>
        <w:t> </w:t>
      </w:r>
      <w:r>
        <w:rPr>
          <w:spacing w:val="-88"/>
        </w:rPr>
      </w:r>
      <w:r>
        <w:rPr/>
        <w:t>认的资产减值损失金额内转回，转回金额依据处置组中除商誉外的适用第</w:t>
      </w:r>
      <w:r>
        <w:rPr>
          <w:rFonts w:ascii="Times New Roman" w:hAnsi="Times New Roman" w:cs="Times New Roman" w:eastAsia="Times New Roman" w:hint="default"/>
        </w:rPr>
        <w:t>42</w:t>
      </w:r>
      <w:r>
        <w:rPr/>
        <w:t>号准则计量规定</w:t>
      </w:r>
      <w:r>
        <w:rPr>
          <w:spacing w:val="-87"/>
        </w:rPr>
        <w:t> </w:t>
      </w:r>
      <w:r>
        <w:rPr>
          <w:spacing w:val="-87"/>
        </w:rPr>
      </w:r>
      <w:r>
        <w:rPr/>
        <w:t>的各项非流动资产账面价值所占比重，按比例增加其账面价值，同时将转回金额计入当期损</w:t>
      </w:r>
      <w:r>
        <w:rPr>
          <w:spacing w:val="-91"/>
        </w:rPr>
        <w:t> </w:t>
      </w:r>
      <w:r>
        <w:rPr>
          <w:spacing w:val="-91"/>
        </w:rPr>
      </w:r>
      <w:r>
        <w:rPr/>
        <w:t>益。已抵减的商誉账面价值以及划分为持有待售类别前确认的资产减值损失不得转回。</w:t>
      </w:r>
    </w:p>
    <w:p>
      <w:pPr>
        <w:pStyle w:val="BodyText"/>
        <w:spacing w:line="338" w:lineRule="auto" w:before="46"/>
        <w:ind w:left="633" w:right="1116"/>
        <w:jc w:val="left"/>
      </w:pPr>
      <w:r>
        <w:rPr/>
        <w:t>（</w:t>
      </w:r>
      <w:r>
        <w:rPr>
          <w:rFonts w:ascii="Times New Roman" w:hAnsi="Times New Roman" w:cs="Times New Roman" w:eastAsia="Times New Roman" w:hint="default"/>
        </w:rPr>
        <w:t>3</w:t>
      </w:r>
      <w:r>
        <w:rPr/>
        <w:t>）划分为持有待售类别的终止确认和计量 非流动资产或处置组不再满足持有待售类别的划分条件而不再继续划分为持有待售类别</w:t>
      </w:r>
    </w:p>
    <w:p>
      <w:pPr>
        <w:pStyle w:val="BodyText"/>
        <w:spacing w:line="357" w:lineRule="auto" w:before="55"/>
        <w:ind w:right="1134"/>
        <w:jc w:val="both"/>
      </w:pPr>
      <w:r>
        <w:rPr/>
        <w:t>或非流动资产从持有待售的处置组中移除时，按照以下两者孰低计量：①划分为持有待售类</w:t>
      </w:r>
      <w:r>
        <w:rPr>
          <w:spacing w:val="-88"/>
        </w:rPr>
        <w:t> </w:t>
      </w:r>
      <w:r>
        <w:rPr>
          <w:spacing w:val="-88"/>
        </w:rPr>
      </w:r>
      <w:r>
        <w:rPr/>
        <w:t>别前的账面价值，按照假定不划分为持有待售类别情况下本应确认的折旧、摊销或减值等进</w:t>
      </w:r>
      <w:r>
        <w:rPr>
          <w:spacing w:val="-91"/>
        </w:rPr>
        <w:t> </w:t>
      </w:r>
      <w:r>
        <w:rPr>
          <w:spacing w:val="-91"/>
        </w:rPr>
      </w:r>
      <w:r>
        <w:rPr/>
        <w:t>行调整后的金额；②可收回金额。</w:t>
      </w:r>
    </w:p>
    <w:p>
      <w:pPr>
        <w:pStyle w:val="BodyText"/>
        <w:spacing w:line="357" w:lineRule="auto"/>
        <w:ind w:right="1140" w:firstLine="480"/>
        <w:jc w:val="both"/>
      </w:pPr>
      <w:r>
        <w:rPr/>
        <w:t>公司终止确认持有待售的非流动资产或处置组时，将尚未确认的利得或损失计入当期损 益。</w:t>
      </w:r>
    </w:p>
    <w:p>
      <w:pPr>
        <w:spacing w:line="338" w:lineRule="auto" w:before="36"/>
        <w:ind w:left="633" w:right="111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z w:val="24"/>
          <w:szCs w:val="24"/>
        </w:rPr>
        <w:t>本部分所指的长期股权投资是指本公司对被投资单位具有控制、共同控制或重大影响的</w:t>
      </w:r>
    </w:p>
    <w:p>
      <w:pPr>
        <w:pStyle w:val="BodyText"/>
        <w:spacing w:line="350" w:lineRule="auto" w:before="55"/>
        <w:ind w:right="1131"/>
        <w:jc w:val="both"/>
      </w:pPr>
      <w:r>
        <w:rPr/>
        <w:t>长期股权投资，包括对子公司、合营企业和联营企业的权益性投资。本公司对被投资单位不</w:t>
      </w:r>
      <w:r>
        <w:rPr>
          <w:spacing w:val="-91"/>
        </w:rPr>
        <w:t> </w:t>
      </w:r>
      <w:r>
        <w:rPr>
          <w:spacing w:val="-91"/>
        </w:rPr>
      </w:r>
      <w:r>
        <w:rPr/>
        <w:t>具有控制、共同控制或重大影响的长期股权投资，作为可供出售金融资产或以公允价值计量</w:t>
      </w:r>
      <w:r>
        <w:rPr>
          <w:spacing w:val="-91"/>
        </w:rPr>
        <w:t> </w:t>
      </w:r>
      <w:r>
        <w:rPr>
          <w:spacing w:val="-91"/>
        </w:rPr>
      </w:r>
      <w:r>
        <w:rPr/>
        <w:t>且其变动计入当期损益的金融资产核算，其会计政策详见本附注三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金融工具的确认和计</w:t>
      </w:r>
      <w:r>
        <w:rPr>
          <w:spacing w:val="-110"/>
        </w:rPr>
        <w:t> </w:t>
      </w:r>
      <w:r>
        <w:rPr>
          <w:spacing w:val="-110"/>
        </w:rPr>
      </w:r>
      <w:r>
        <w:rPr/>
        <w:t>量</w:t>
      </w:r>
      <w:r>
        <w:rPr>
          <w:rFonts w:ascii="Times New Roman" w:hAnsi="Times New Roman" w:cs="Times New Roman" w:eastAsia="Times New Roman" w:hint="default"/>
        </w:rPr>
        <w:t>”</w:t>
      </w:r>
      <w:r>
        <w:rPr/>
        <w:t>。</w:t>
      </w:r>
    </w:p>
    <w:p>
      <w:pPr>
        <w:pStyle w:val="BodyText"/>
        <w:spacing w:line="338" w:lineRule="auto" w:before="14"/>
        <w:ind w:left="633" w:right="1116"/>
        <w:jc w:val="left"/>
      </w:pPr>
      <w:r>
        <w:rPr/>
        <w:t>（</w:t>
      </w:r>
      <w:r>
        <w:rPr>
          <w:rFonts w:ascii="Times New Roman" w:hAnsi="Times New Roman" w:cs="Times New Roman" w:eastAsia="Times New Roman" w:hint="default"/>
        </w:rPr>
        <w:t>1</w:t>
      </w:r>
      <w:r>
        <w:rPr/>
        <w:t>）共同控制和重大影响的判断标准 共同控制，是指按照相关约定对某项安排所共有的控制，并且该安排的相关活动必须经</w:t>
      </w:r>
    </w:p>
    <w:p>
      <w:pPr>
        <w:pStyle w:val="BodyText"/>
        <w:spacing w:line="357" w:lineRule="auto" w:before="55"/>
        <w:ind w:right="1138"/>
        <w:jc w:val="both"/>
      </w:pPr>
      <w:r>
        <w:rPr/>
        <w:t>过分享控制权的参与方一致同意后才能决策。本公司与其他合营方一同对被投资单位实施共</w:t>
      </w:r>
      <w:r>
        <w:rPr>
          <w:spacing w:val="-91"/>
        </w:rPr>
        <w:t> </w:t>
      </w:r>
      <w:r>
        <w:rPr>
          <w:spacing w:val="-91"/>
        </w:rPr>
      </w:r>
      <w:r>
        <w:rPr/>
        <w:t>同控制且对被投资单位实施共同控制且对被投资单位净资产享有权利的，被投资单位为本公</w:t>
      </w:r>
      <w:r>
        <w:rPr>
          <w:spacing w:val="-91"/>
        </w:rPr>
        <w:t> </w:t>
      </w:r>
      <w:r>
        <w:rPr>
          <w:spacing w:val="-91"/>
        </w:rPr>
      </w:r>
      <w:r>
        <w:rPr/>
        <w:t>司的合营企业。判断是否存在共同控制时，不考虑享有的保护性权利。</w:t>
      </w:r>
    </w:p>
    <w:p>
      <w:pPr>
        <w:pStyle w:val="BodyText"/>
        <w:spacing w:line="240" w:lineRule="auto"/>
        <w:ind w:left="633" w:right="1116"/>
        <w:jc w:val="left"/>
      </w:pPr>
      <w:r>
        <w:rPr/>
        <w:t>重大影响，是指对一个企业的财务和经营决策有参与决策的权力，但并不能够控制或者</w:t>
      </w:r>
    </w:p>
    <w:p>
      <w:pPr>
        <w:spacing w:after="0" w:line="240"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6"/>
        <w:jc w:val="both"/>
      </w:pPr>
      <w:r>
        <w:rPr/>
        <w:t>与其他方一起共同控制这些政策的制定。本公司能够对被投资单位施加重大影响的，被投资</w:t>
      </w:r>
      <w:r>
        <w:rPr>
          <w:spacing w:val="-89"/>
        </w:rPr>
        <w:t> </w:t>
      </w:r>
      <w:r>
        <w:rPr>
          <w:spacing w:val="-89"/>
        </w:rPr>
      </w:r>
      <w:r>
        <w:rPr/>
        <w:t>单位为本公司联营企业。在确定能否对被投资单位施加重大影响时，考虑投资方直接或间接</w:t>
      </w:r>
      <w:r>
        <w:rPr>
          <w:spacing w:val="-91"/>
        </w:rPr>
        <w:t> </w:t>
      </w:r>
      <w:r>
        <w:rPr>
          <w:spacing w:val="-91"/>
        </w:rPr>
      </w:r>
      <w:r>
        <w:rPr/>
        <w:t>持有被投资单位的表决权股份以及投资方及其他方持有的当期可执行潜在表决权在假定转换</w:t>
      </w:r>
      <w:r>
        <w:rPr>
          <w:spacing w:val="-91"/>
        </w:rPr>
        <w:t> </w:t>
      </w:r>
      <w:r>
        <w:rPr>
          <w:spacing w:val="-91"/>
        </w:rPr>
      </w:r>
      <w:r>
        <w:rPr/>
        <w:t>为对被投资方单位的股权后产生的影响，包括被投资单位发行的当期可转换的认股权证、股</w:t>
      </w:r>
      <w:r>
        <w:rPr>
          <w:spacing w:val="-91"/>
        </w:rPr>
        <w:t> </w:t>
      </w:r>
      <w:r>
        <w:rPr>
          <w:spacing w:val="-91"/>
        </w:rPr>
      </w:r>
      <w:r>
        <w:rPr/>
        <w:t>份期权及可转换公司债券等的影响。</w:t>
      </w:r>
    </w:p>
    <w:p>
      <w:pPr>
        <w:pStyle w:val="BodyText"/>
        <w:spacing w:line="240" w:lineRule="auto"/>
        <w:ind w:left="633" w:right="1273"/>
        <w:jc w:val="left"/>
      </w:pPr>
      <w:r>
        <w:rPr/>
        <w:t>（</w:t>
      </w:r>
      <w:r>
        <w:rPr>
          <w:rFonts w:ascii="Times New Roman" w:hAnsi="Times New Roman" w:cs="Times New Roman" w:eastAsia="Times New Roman" w:hint="default"/>
        </w:rPr>
        <w:t>2</w:t>
      </w:r>
      <w:r>
        <w:rPr/>
        <w:t>）长期股权投资的投资成本的确定</w:t>
      </w:r>
    </w:p>
    <w:p>
      <w:pPr>
        <w:pStyle w:val="BodyText"/>
        <w:spacing w:line="355" w:lineRule="auto" w:before="135"/>
        <w:ind w:right="1130" w:firstLine="480"/>
        <w:jc w:val="both"/>
      </w:pPr>
      <w:r>
        <w:rPr/>
        <w:t>①同一控制下的合并形成的，合并方以支付现金、转让非现金资产、承担债务或发行权 益性证券作为合并对价的，在合并日按取得被合并方所有者权益在最终控制方合并财务报表</w:t>
      </w:r>
      <w:r>
        <w:rPr>
          <w:spacing w:val="-86"/>
        </w:rPr>
        <w:t> </w:t>
      </w:r>
      <w:r>
        <w:rPr>
          <w:spacing w:val="-86"/>
        </w:rPr>
      </w:r>
      <w:r>
        <w:rPr/>
        <w:t>中的账面价值的份额作为其初始投资成本。长期股权投资初始投资成本与支付的现金、转让</w:t>
      </w:r>
      <w:r>
        <w:rPr>
          <w:spacing w:val="-91"/>
        </w:rPr>
        <w:t> </w:t>
      </w:r>
      <w:r>
        <w:rPr>
          <w:spacing w:val="-91"/>
        </w:rPr>
      </w:r>
      <w:r>
        <w:rPr/>
        <w:t>的非现金资产、所承担债务账面价值或发行股份的面值总额之间的差额调整资本公积；资本</w:t>
      </w:r>
      <w:r>
        <w:rPr>
          <w:spacing w:val="-91"/>
        </w:rPr>
        <w:t> </w:t>
      </w:r>
      <w:r>
        <w:rPr>
          <w:spacing w:val="-91"/>
        </w:rPr>
      </w:r>
      <w:r>
        <w:rPr/>
        <w:t>公积不足冲减的，调整留存收益。通过多次交易分步取得同一控制下被合并方的股权，最终</w:t>
      </w:r>
      <w:r>
        <w:rPr>
          <w:spacing w:val="-91"/>
        </w:rPr>
        <w:t> </w:t>
      </w:r>
      <w:r>
        <w:rPr>
          <w:spacing w:val="-91"/>
        </w:rPr>
      </w:r>
      <w:r>
        <w:rPr>
          <w:spacing w:val="-4"/>
        </w:rPr>
        <w:t>形成同一控制下企业合并的，应分别是否属于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进行处理：属于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w:t>
      </w:r>
      <w:r>
        <w:rPr>
          <w:spacing w:val="-97"/>
        </w:rPr>
        <w:t> </w:t>
      </w:r>
      <w:r>
        <w:rPr/>
        <w:t>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w:t>
      </w:r>
      <w:r>
        <w:rPr>
          <w:spacing w:val="-61"/>
        </w:rPr>
        <w:t> </w:t>
      </w:r>
      <w:r>
        <w:rPr>
          <w:spacing w:val="-61"/>
        </w:rPr>
      </w:r>
      <w:r>
        <w:rPr/>
        <w:t>照应享有被合并方股东权益在最终控制方合并财务报表中的账面价值的份额作为长期股权投</w:t>
      </w:r>
      <w:r>
        <w:rPr>
          <w:spacing w:val="-91"/>
        </w:rPr>
        <w:t> </w:t>
      </w:r>
      <w:r>
        <w:rPr>
          <w:spacing w:val="-91"/>
        </w:rPr>
      </w:r>
      <w:r>
        <w:rPr/>
        <w:t>资的初始投资成本，长期股权投资初始投资成本与达到合并前的长期股权投资账面价值加上</w:t>
      </w:r>
      <w:r>
        <w:rPr>
          <w:spacing w:val="-90"/>
        </w:rPr>
        <w:t> </w:t>
      </w:r>
      <w:r>
        <w:rPr>
          <w:spacing w:val="-90"/>
        </w:rPr>
      </w:r>
      <w:r>
        <w:rPr/>
        <w:t>合并日进一步取得股份新支付对价的账面价值之和的差额，调整资本公积；资本公积不足冲</w:t>
      </w:r>
      <w:r>
        <w:rPr>
          <w:spacing w:val="-91"/>
        </w:rPr>
        <w:t> </w:t>
      </w:r>
      <w:r>
        <w:rPr>
          <w:spacing w:val="-91"/>
        </w:rPr>
      </w:r>
      <w:r>
        <w:rPr/>
        <w:t>减的，调整留存收益。合并日之前持有的股权投资因采用权益法核算或为可供出售金融资产</w:t>
      </w:r>
      <w:r>
        <w:rPr>
          <w:spacing w:val="-91"/>
        </w:rPr>
        <w:t> </w:t>
      </w:r>
      <w:r>
        <w:rPr>
          <w:spacing w:val="-91"/>
        </w:rPr>
      </w:r>
      <w:r>
        <w:rPr/>
        <w:t>而确认的其他综合收益，暂不进行会计处理。</w:t>
      </w:r>
    </w:p>
    <w:p>
      <w:pPr>
        <w:pStyle w:val="BodyText"/>
        <w:spacing w:line="352" w:lineRule="auto" w:before="38"/>
        <w:ind w:right="1128" w:firstLine="480"/>
        <w:jc w:val="both"/>
      </w:pPr>
      <w:r>
        <w:rPr/>
        <w:t>②非同一控制下的企业合并形成的，公司按照购买日确定的合并成本作为长期股权投资 的初始投资成本。合并成本为购买日购买方为取得对被购买方的控制权而付出的资产、发生</w:t>
      </w:r>
      <w:r>
        <w:rPr>
          <w:spacing w:val="-91"/>
        </w:rPr>
        <w:t> </w:t>
      </w:r>
      <w:r>
        <w:rPr>
          <w:spacing w:val="-91"/>
        </w:rPr>
      </w:r>
      <w:r>
        <w:rPr/>
        <w:t>或承担的负债以及发行的权益性证券的公允价值。购买方为企业合并而发生的审计、法律服</w:t>
      </w:r>
      <w:r>
        <w:rPr>
          <w:spacing w:val="-91"/>
        </w:rPr>
        <w:t> </w:t>
      </w:r>
      <w:r>
        <w:rPr>
          <w:spacing w:val="-91"/>
        </w:rPr>
      </w:r>
      <w:r>
        <w:rPr/>
        <w:t>务、评估咨询等中介费用以及其他相关管理费用于发生时计入当期损益；购买方作为合并对</w:t>
      </w:r>
      <w:r>
        <w:rPr>
          <w:spacing w:val="-91"/>
        </w:rPr>
        <w:t> </w:t>
      </w:r>
      <w:r>
        <w:rPr>
          <w:spacing w:val="-91"/>
        </w:rPr>
      </w:r>
      <w:r>
        <w:rPr/>
        <w:t>价发行的权益性证券或债务性证券的交易费用，计入权益性证券或债务性证券的初始确认金</w:t>
      </w:r>
      <w:r>
        <w:rPr>
          <w:spacing w:val="-91"/>
        </w:rPr>
        <w:t> </w:t>
      </w:r>
      <w:r>
        <w:rPr>
          <w:spacing w:val="-91"/>
        </w:rPr>
      </w:r>
      <w:r>
        <w:rPr/>
        <w:t>额。本公司将合并协议约定的或有对价作为企业合并转移对价的一部分，按照其在购买日的</w:t>
      </w:r>
      <w:r>
        <w:rPr>
          <w:spacing w:val="-91"/>
        </w:rPr>
        <w:t> </w:t>
      </w:r>
      <w:r>
        <w:rPr>
          <w:spacing w:val="-91"/>
        </w:rPr>
      </w:r>
      <w:r>
        <w:rPr/>
        <w:t>公允价值计入企业合并成本。通过多次交易分步实现的非同一控制下企业合并，根据企业会</w:t>
      </w:r>
      <w:r>
        <w:rPr>
          <w:spacing w:val="-91"/>
        </w:rPr>
        <w:t> </w:t>
      </w:r>
      <w:r>
        <w:rPr>
          <w:spacing w:val="-91"/>
        </w:rPr>
      </w:r>
      <w:r>
        <w:rPr/>
        <w:t>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w:t>
      </w:r>
      <w:r>
        <w:rPr>
          <w:spacing w:val="-42"/>
        </w:rPr>
        <w:t> </w:t>
      </w:r>
      <w:r>
        <w:rPr/>
        <w:t>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的，按照原持有被购买方的股权投资</w:t>
      </w:r>
      <w:r>
        <w:rPr>
          <w:spacing w:val="-63"/>
        </w:rPr>
        <w:t> </w:t>
      </w:r>
      <w:r>
        <w:rPr>
          <w:spacing w:val="-63"/>
        </w:rPr>
      </w:r>
      <w:r>
        <w:rPr/>
        <w:t>账面价值加上新增投资成本之和，作为改按成本法核算的长期股权投资的初始投资成本；原</w:t>
      </w:r>
      <w:r>
        <w:rPr>
          <w:spacing w:val="-89"/>
        </w:rPr>
        <w:t> </w:t>
      </w:r>
      <w:r>
        <w:rPr>
          <w:spacing w:val="-89"/>
        </w:rPr>
      </w:r>
      <w:r>
        <w:rPr/>
        <w:t>持有的股权采用权益法核算的，相关其他综合收益暂不进行会计处理；原持有股权投资为可</w:t>
      </w:r>
    </w:p>
    <w:p>
      <w:pPr>
        <w:spacing w:after="0" w:line="352"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jc w:val="both"/>
      </w:pPr>
      <w:r>
        <w:rPr/>
        <w:t>供出售金融资产的，其公允价值与账面价值之间的差额，以及原计入其他综合收益的累计公</w:t>
      </w:r>
      <w:r>
        <w:rPr>
          <w:spacing w:val="-91"/>
        </w:rPr>
        <w:t> </w:t>
      </w:r>
      <w:r>
        <w:rPr>
          <w:spacing w:val="-91"/>
        </w:rPr>
      </w:r>
      <w:r>
        <w:rPr/>
        <w:t>允价值变动转入当期损益。</w:t>
      </w:r>
    </w:p>
    <w:p>
      <w:pPr>
        <w:pStyle w:val="BodyText"/>
        <w:spacing w:line="357" w:lineRule="auto"/>
        <w:ind w:right="1138" w:firstLine="480"/>
        <w:jc w:val="both"/>
      </w:pPr>
      <w:r>
        <w:rPr/>
        <w:t>③除企业合并形成的长期股权投资外的其他股权投资，按成本进行初始计量：以支付现 金取得的，按照实际支付的购买价款作为其初始投资成本；以发行权益性证券取得的，按照</w:t>
      </w:r>
      <w:r>
        <w:rPr>
          <w:spacing w:val="-91"/>
        </w:rPr>
        <w:t> </w:t>
      </w:r>
      <w:r>
        <w:rPr>
          <w:spacing w:val="-91"/>
        </w:rPr>
      </w:r>
      <w:r>
        <w:rPr/>
        <w:t>发行权益性证券的公允价值作为其初始投资成本，与发行权益性证券直接相关的费用，按照</w:t>
      </w:r>
    </w:p>
    <w:p>
      <w:pPr>
        <w:pStyle w:val="BodyText"/>
        <w:spacing w:line="355" w:lineRule="auto"/>
        <w:ind w:right="1135"/>
        <w:jc w:val="both"/>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金融工具列报》的有关规定确定；在非货币性资产交换具有商业</w:t>
      </w:r>
      <w:r>
        <w:rPr>
          <w:spacing w:val="-88"/>
        </w:rPr>
        <w:t> </w:t>
      </w:r>
      <w:r>
        <w:rPr>
          <w:spacing w:val="-88"/>
        </w:rPr>
      </w:r>
      <w:r>
        <w:rPr/>
        <w:t>实质和换入资产或换出资产的公允价值能够可靠计量的前提下，非货币性资产交换换入的长</w:t>
      </w:r>
      <w:r>
        <w:rPr>
          <w:spacing w:val="-91"/>
        </w:rPr>
        <w:t> </w:t>
      </w:r>
      <w:r>
        <w:rPr>
          <w:spacing w:val="-91"/>
        </w:rPr>
      </w:r>
      <w:r>
        <w:rPr/>
        <w:t>期股权投资以换出资产的公允价值和应支付的相关税费确定其初始投资成本，除非有确凿证</w:t>
      </w:r>
      <w:r>
        <w:rPr>
          <w:spacing w:val="-91"/>
        </w:rPr>
        <w:t> </w:t>
      </w:r>
      <w:r>
        <w:rPr>
          <w:spacing w:val="-91"/>
        </w:rPr>
      </w:r>
      <w:r>
        <w:rPr/>
        <w:t>据表明换入资产的公允价值更加可靠；不满足上述前提的非货币性资产交换，以换出资产的</w:t>
      </w:r>
      <w:r>
        <w:rPr>
          <w:spacing w:val="-91"/>
        </w:rPr>
        <w:t> </w:t>
      </w:r>
      <w:r>
        <w:rPr>
          <w:spacing w:val="-91"/>
        </w:rPr>
      </w:r>
      <w:r>
        <w:rPr/>
        <w:t>账面价值和应支付的相关税费作为换入长期股权投资的初始投资成本。通过债务重组取得的</w:t>
      </w:r>
      <w:r>
        <w:rPr>
          <w:spacing w:val="-91"/>
        </w:rPr>
        <w:t> </w:t>
      </w:r>
      <w:r>
        <w:rPr>
          <w:spacing w:val="-91"/>
        </w:rPr>
      </w:r>
      <w:r>
        <w:rPr/>
        <w:t>长期股权投资，其初始投资成本按照公允价值为基础确定。与取得长期股权投资直接相关的</w:t>
      </w:r>
      <w:r>
        <w:rPr>
          <w:spacing w:val="-91"/>
        </w:rPr>
        <w:t> </w:t>
      </w:r>
      <w:r>
        <w:rPr>
          <w:spacing w:val="-91"/>
        </w:rPr>
      </w:r>
      <w:r>
        <w:rPr/>
        <w:t>费用、税金及其他必要支出也计入投资成本。</w:t>
      </w:r>
    </w:p>
    <w:p>
      <w:pPr>
        <w:pStyle w:val="BodyText"/>
        <w:spacing w:line="352" w:lineRule="auto" w:before="38"/>
        <w:ind w:right="1135" w:firstLine="480"/>
        <w:jc w:val="both"/>
      </w:pPr>
      <w:r>
        <w:rPr/>
        <w:t>对于因追加投资能够对被投资单位实施重大影响或实施共同控制但不构成控制的，长期 股权投资成本为按照《企业会计准则第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金融工具确认和计量》确定的原持有股权投</w:t>
      </w:r>
      <w:r>
        <w:rPr>
          <w:spacing w:val="-90"/>
        </w:rPr>
        <w:t> </w:t>
      </w:r>
      <w:r>
        <w:rPr>
          <w:spacing w:val="-90"/>
        </w:rPr>
      </w:r>
      <w:r>
        <w:rPr/>
        <w:t>资的公允价值加上新增投资成本之和，作为改按权益法核算的初始投资成本。原持有的股权</w:t>
      </w:r>
      <w:r>
        <w:rPr>
          <w:spacing w:val="-91"/>
        </w:rPr>
        <w:t> </w:t>
      </w:r>
      <w:r>
        <w:rPr>
          <w:spacing w:val="-91"/>
        </w:rPr>
      </w:r>
      <w:r>
        <w:rPr/>
        <w:t>投资分类为可供出售金融资产的，其公允价值与账面价值之间的差额，以及原计入其他综合</w:t>
      </w:r>
      <w:r>
        <w:rPr>
          <w:spacing w:val="-91"/>
        </w:rPr>
        <w:t> </w:t>
      </w:r>
      <w:r>
        <w:rPr>
          <w:spacing w:val="-91"/>
        </w:rPr>
      </w:r>
      <w:r>
        <w:rPr/>
        <w:t>收益的累计公允价值变动应当转入改按权益法核算的当期损益。</w:t>
      </w:r>
    </w:p>
    <w:p>
      <w:pPr>
        <w:pStyle w:val="BodyText"/>
        <w:spacing w:line="240" w:lineRule="auto" w:before="41"/>
        <w:ind w:left="633" w:right="1273"/>
        <w:jc w:val="left"/>
      </w:pPr>
      <w:r>
        <w:rPr/>
        <w:t>（</w:t>
      </w:r>
      <w:r>
        <w:rPr>
          <w:rFonts w:ascii="Times New Roman" w:hAnsi="Times New Roman" w:cs="Times New Roman" w:eastAsia="Times New Roman" w:hint="default"/>
        </w:rPr>
        <w:t>3</w:t>
      </w:r>
      <w:r>
        <w:rPr/>
        <w:t>）长期股权投资的后续计量及损益确认方法</w:t>
      </w:r>
    </w:p>
    <w:p>
      <w:pPr>
        <w:pStyle w:val="BodyText"/>
        <w:spacing w:line="357" w:lineRule="auto" w:before="135"/>
        <w:ind w:left="633" w:right="1116"/>
        <w:jc w:val="left"/>
      </w:pPr>
      <w:r>
        <w:rPr/>
        <w:t>①成本法核算的长期股权投资 公司对子公司的长期股权投资，采用成本法核算。除取得投资时实际支付的价款或对价</w:t>
      </w:r>
    </w:p>
    <w:p>
      <w:pPr>
        <w:pStyle w:val="BodyText"/>
        <w:spacing w:line="357" w:lineRule="auto"/>
        <w:ind w:right="1138"/>
        <w:jc w:val="both"/>
      </w:pPr>
      <w:r>
        <w:rPr/>
        <w:t>中包含的已宣告但尚未发放的现金股利或利润外，公司按照享有被投资单位宣告发放的现金</w:t>
      </w:r>
      <w:r>
        <w:rPr>
          <w:spacing w:val="-90"/>
        </w:rPr>
        <w:t> </w:t>
      </w:r>
      <w:r>
        <w:rPr>
          <w:spacing w:val="-90"/>
        </w:rPr>
      </w:r>
      <w:r>
        <w:rPr/>
        <w:t>股利或利润确认当期投资收益。</w:t>
      </w:r>
    </w:p>
    <w:p>
      <w:pPr>
        <w:pStyle w:val="BodyText"/>
        <w:spacing w:line="357" w:lineRule="auto"/>
        <w:ind w:left="633" w:right="1116"/>
        <w:jc w:val="left"/>
      </w:pPr>
      <w:r>
        <w:rPr/>
        <w:t>②权益法核算的长期股权投资 对联营企业和合营企业的长期股权投资，采用权益法核算。 采用权益法核算的长期股权投资的初始投资成本大于投资时应享有被投资单位可辨认净</w:t>
      </w:r>
    </w:p>
    <w:p>
      <w:pPr>
        <w:pStyle w:val="BodyText"/>
        <w:spacing w:line="357" w:lineRule="auto"/>
        <w:ind w:right="1136"/>
        <w:jc w:val="both"/>
      </w:pPr>
      <w:r>
        <w:rPr/>
        <w:t>资产公允价值份额的，不调整长期股权投资的初始投资成本；长期股权投资的初始投资成本</w:t>
      </w:r>
      <w:r>
        <w:rPr>
          <w:spacing w:val="-91"/>
        </w:rPr>
        <w:t> </w:t>
      </w:r>
      <w:r>
        <w:rPr>
          <w:spacing w:val="-91"/>
        </w:rPr>
      </w:r>
      <w:r>
        <w:rPr/>
        <w:t>小于投资时应享有被投资单位可辨认净资产公允价值份额的，其差额应当计入当期损益，同</w:t>
      </w:r>
      <w:r>
        <w:rPr>
          <w:spacing w:val="-91"/>
        </w:rPr>
        <w:t> </w:t>
      </w:r>
      <w:r>
        <w:rPr>
          <w:spacing w:val="-91"/>
        </w:rPr>
      </w:r>
      <w:r>
        <w:rPr/>
        <w:t>时调整长期股权投资的成本。取得长期股权投资后，被投资单位采用的会计政策及会计期间</w:t>
      </w:r>
      <w:r>
        <w:rPr>
          <w:spacing w:val="-91"/>
        </w:rPr>
        <w:t> </w:t>
      </w:r>
      <w:r>
        <w:rPr>
          <w:spacing w:val="-91"/>
        </w:rPr>
      </w:r>
      <w:r>
        <w:rPr/>
        <w:t>与公司不一致的，按照公司的会计政策及会计期间对被投资单位的财务报表进行调整，并据</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2"/>
        <w:jc w:val="both"/>
      </w:pPr>
      <w:r>
        <w:rPr/>
        <w:t>以确认投资损益和其他综合收益等。按照应享有或应分担的被投资单位实现的净损益和其他</w:t>
      </w:r>
      <w:r>
        <w:rPr>
          <w:spacing w:val="-91"/>
        </w:rPr>
        <w:t> </w:t>
      </w:r>
      <w:r>
        <w:rPr>
          <w:spacing w:val="-91"/>
        </w:rPr>
      </w:r>
      <w:r>
        <w:rPr/>
        <w:t>综合收益的份额，分别确认投资收益和其他综合收益，同时调整长期股权投资的账面价值；</w:t>
      </w:r>
      <w:r>
        <w:rPr>
          <w:spacing w:val="-91"/>
        </w:rPr>
        <w:t> </w:t>
      </w:r>
      <w:r>
        <w:rPr>
          <w:spacing w:val="-91"/>
        </w:rPr>
      </w:r>
      <w:r>
        <w:rPr/>
        <w:t>在确认应享有被投资单位净损益的份额时，以取得投资时被投资单位各项可辨认资产等的公</w:t>
      </w:r>
      <w:r>
        <w:rPr>
          <w:spacing w:val="-91"/>
        </w:rPr>
        <w:t> </w:t>
      </w:r>
      <w:r>
        <w:rPr>
          <w:spacing w:val="-91"/>
        </w:rPr>
      </w:r>
      <w:r>
        <w:rPr/>
        <w:t>允价值为基础，对被投资单位的净利润进行调整后确认。按照被投资单位宣告分派的利润或</w:t>
      </w:r>
      <w:r>
        <w:rPr>
          <w:spacing w:val="-91"/>
        </w:rPr>
        <w:t> </w:t>
      </w:r>
      <w:r>
        <w:rPr>
          <w:spacing w:val="-91"/>
        </w:rPr>
      </w:r>
      <w:r>
        <w:rPr>
          <w:spacing w:val="-5"/>
        </w:rPr>
        <w:t>现金股利计算应享有的部分，相应减少长期股权投资的账面价值；对于被投资单位除净损益、</w:t>
      </w:r>
      <w:r>
        <w:rPr>
          <w:spacing w:val="-117"/>
        </w:rPr>
        <w:t> </w:t>
      </w:r>
      <w:r>
        <w:rPr>
          <w:spacing w:val="-117"/>
        </w:rPr>
      </w:r>
      <w:r>
        <w:rPr/>
        <w:t>其他综合收益和利润分配以外所有者权益的其他变动，调整长期股权投资的账面价值并计入</w:t>
      </w:r>
      <w:r>
        <w:rPr>
          <w:spacing w:val="-87"/>
        </w:rPr>
        <w:t> </w:t>
      </w:r>
      <w:r>
        <w:rPr>
          <w:spacing w:val="-87"/>
        </w:rPr>
      </w:r>
      <w:r>
        <w:rPr/>
        <w:t>所有者权益。公司与联营企业、合营企业之间发生的未实现内部交易损益按照享有的比例计</w:t>
      </w:r>
      <w:r>
        <w:rPr>
          <w:spacing w:val="-91"/>
        </w:rPr>
        <w:t> </w:t>
      </w:r>
      <w:r>
        <w:rPr>
          <w:spacing w:val="-91"/>
        </w:rPr>
      </w:r>
      <w:r>
        <w:rPr/>
        <w:t>算归属于公司的部分，予以抵销，在此基础上确认投资收益。与被投资单位发生的未实现内</w:t>
      </w:r>
      <w:r>
        <w:rPr>
          <w:spacing w:val="-91"/>
        </w:rPr>
        <w:t> </w:t>
      </w:r>
      <w:r>
        <w:rPr>
          <w:spacing w:val="-91"/>
        </w:rPr>
      </w:r>
      <w:r>
        <w:rPr/>
        <w:t>部交易损失，属于资产减值损失的，全额确认。</w:t>
      </w:r>
    </w:p>
    <w:p>
      <w:pPr>
        <w:pStyle w:val="BodyText"/>
        <w:spacing w:line="357" w:lineRule="auto"/>
        <w:ind w:right="995" w:firstLine="480"/>
        <w:jc w:val="left"/>
      </w:pPr>
      <w:r>
        <w:rPr/>
        <w:t>在公司确认应分担被投资单位发生亏损时，按照以下顺序进行处理：首先，冲减长期股 权投资的账面价值。其次，长期股权投资的账面价值不足以冲减的，以其他实质上构成对被</w:t>
      </w:r>
      <w:r>
        <w:rPr>
          <w:spacing w:val="-91"/>
        </w:rPr>
        <w:t> </w:t>
      </w:r>
      <w:r>
        <w:rPr>
          <w:spacing w:val="-91"/>
        </w:rPr>
      </w:r>
      <w:r>
        <w:rPr>
          <w:spacing w:val="-2"/>
        </w:rPr>
        <w:t>投资单位净投资的长期权益账面价值为限继续确认投资损失、冲减长期应收项目的账面价值。</w:t>
      </w:r>
      <w:r>
        <w:rPr/>
        <w:t> 经过上述处理，按照投资合同或协议约定企业仍承担额外义务的，按预计承担的义务确认预</w:t>
      </w:r>
      <w:r>
        <w:rPr>
          <w:spacing w:val="-88"/>
        </w:rPr>
        <w:t> </w:t>
      </w:r>
      <w:r>
        <w:rPr>
          <w:spacing w:val="-88"/>
        </w:rPr>
      </w:r>
      <w:r>
        <w:rPr/>
        <w:t>计负债，计入当期投资损失。被投资单位以后期间实现净利润的，本公司在收益弥补未确认</w:t>
      </w:r>
      <w:r>
        <w:rPr>
          <w:spacing w:val="-91"/>
        </w:rPr>
        <w:t> </w:t>
      </w:r>
      <w:r>
        <w:rPr>
          <w:spacing w:val="-91"/>
        </w:rPr>
      </w:r>
      <w:r>
        <w:rPr/>
        <w:t>的亏损分担额后，恢复确认收益分享额。</w:t>
      </w:r>
    </w:p>
    <w:p>
      <w:pPr>
        <w:pStyle w:val="BodyText"/>
        <w:spacing w:line="357" w:lineRule="auto"/>
        <w:ind w:right="1116" w:firstLine="480"/>
        <w:jc w:val="left"/>
      </w:pPr>
      <w:r>
        <w:rPr/>
        <w:t>在持有投资期间，被投资单位编制合并财务报表的，以合并财务报表中的净利润、其他 综合收益和其他所有者权益变动中归属于被投资单位的金额为基础进行核算。</w:t>
      </w:r>
    </w:p>
    <w:p>
      <w:pPr>
        <w:pStyle w:val="BodyText"/>
        <w:spacing w:line="352" w:lineRule="auto"/>
        <w:ind w:right="1134" w:firstLine="480"/>
        <w:jc w:val="both"/>
      </w:pPr>
      <w:r>
        <w:rPr/>
        <w:t>对于本公司向合营企业与联营企业投出的资产构成业务的，投资方因此取得长期股权投 资但未取得控制权的，以投出业务的公允价值作为新增长期股权投资的初始投资成本，初始</w:t>
      </w:r>
      <w:r>
        <w:rPr>
          <w:spacing w:val="-91"/>
        </w:rPr>
        <w:t> </w:t>
      </w:r>
      <w:r>
        <w:rPr>
          <w:spacing w:val="-91"/>
        </w:rPr>
      </w:r>
      <w:r>
        <w:rPr/>
        <w:t>投资成本与投出业务的账面价值之差，全额计入当期损益。本公司向合营企业或者联营企业</w:t>
      </w:r>
      <w:r>
        <w:rPr>
          <w:spacing w:val="-87"/>
        </w:rPr>
        <w:t> </w:t>
      </w:r>
      <w:r>
        <w:rPr>
          <w:spacing w:val="-87"/>
        </w:rPr>
      </w:r>
      <w:r>
        <w:rPr/>
        <w:t>出售的资产构成业务的，取得的对价与业务的账面价值之差，全额计入当期损益。本公司自</w:t>
      </w:r>
      <w:r>
        <w:rPr>
          <w:spacing w:val="-91"/>
        </w:rPr>
        <w:t> </w:t>
      </w:r>
      <w:r>
        <w:rPr>
          <w:spacing w:val="-91"/>
        </w:rPr>
      </w:r>
      <w:r>
        <w:rPr/>
        <w:t>联营及合营企业购入的资产构成业务的，按《企业会计准则第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企业合并》的规定进</w:t>
      </w:r>
      <w:r>
        <w:rPr>
          <w:spacing w:val="-87"/>
        </w:rPr>
        <w:t> </w:t>
      </w:r>
      <w:r>
        <w:rPr>
          <w:spacing w:val="-87"/>
        </w:rPr>
      </w:r>
      <w:r>
        <w:rPr/>
        <w:t>行会计处理，全额确认与交易相关的利得或损失。</w:t>
      </w:r>
    </w:p>
    <w:p>
      <w:pPr>
        <w:pStyle w:val="BodyText"/>
        <w:spacing w:line="338" w:lineRule="auto" w:before="41"/>
        <w:ind w:left="633" w:right="2593"/>
        <w:jc w:val="left"/>
      </w:pPr>
      <w:r>
        <w:rPr/>
        <w:t>（</w:t>
      </w:r>
      <w:r>
        <w:rPr>
          <w:rFonts w:ascii="Times New Roman" w:hAnsi="Times New Roman" w:cs="Times New Roman" w:eastAsia="Times New Roman" w:hint="default"/>
        </w:rPr>
        <w:t>4</w:t>
      </w:r>
      <w:r>
        <w:rPr/>
        <w:t>）长期股权投资的处置 处置长期股权投资，其账面价值与实际取得价款的差额，计入当期损益。</w:t>
      </w:r>
    </w:p>
    <w:p>
      <w:pPr>
        <w:pStyle w:val="BodyText"/>
        <w:spacing w:line="357" w:lineRule="auto" w:before="55"/>
        <w:ind w:left="633" w:right="1116"/>
        <w:jc w:val="left"/>
      </w:pPr>
      <w:r>
        <w:rPr/>
        <w:t>①权益法核算下的长期股权投资的处置 采用权益法核算的长期股权投资，处置后的剩余股权仍采用权益法核算的，在处置该项</w:t>
      </w:r>
    </w:p>
    <w:p>
      <w:pPr>
        <w:pStyle w:val="BodyText"/>
        <w:spacing w:line="357" w:lineRule="auto"/>
        <w:ind w:right="1138"/>
        <w:jc w:val="both"/>
      </w:pPr>
      <w:r>
        <w:rPr/>
        <w:t>投资时，采用与被投资单位直接处置相关资产或者负债相同的基础，按相应比例对原计入其</w:t>
      </w:r>
      <w:r>
        <w:rPr>
          <w:spacing w:val="-91"/>
        </w:rPr>
        <w:t> </w:t>
      </w:r>
      <w:r>
        <w:rPr>
          <w:spacing w:val="-91"/>
        </w:rPr>
      </w:r>
      <w:r>
        <w:rPr/>
        <w:t>他综合收益的部分进行会计处理。因被投资单位除净损益、其他综合收益和利润分配以外的</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16" w:hanging="480"/>
        <w:jc w:val="left"/>
      </w:pPr>
      <w:r>
        <w:rPr/>
        <w:t>其他所有者权益变动而确认的所有者权益，按比例结转入当期损益。 因处置部分股权投资等原因丧失了对投资单位的共同控制或者重大影响的，处置后的剩</w:t>
      </w:r>
    </w:p>
    <w:p>
      <w:pPr>
        <w:pStyle w:val="BodyText"/>
        <w:spacing w:line="357" w:lineRule="auto"/>
        <w:ind w:right="1134"/>
        <w:jc w:val="both"/>
      </w:pPr>
      <w:r>
        <w:rPr/>
        <w:t>余股权改按金融工具确认和计量准则核算，其在丧失共同控制或重大影响之日的公允价值与</w:t>
      </w:r>
      <w:r>
        <w:rPr>
          <w:spacing w:val="-91"/>
        </w:rPr>
        <w:t> </w:t>
      </w:r>
      <w:r>
        <w:rPr>
          <w:spacing w:val="-91"/>
        </w:rPr>
      </w:r>
      <w:r>
        <w:rPr/>
        <w:t>账面价值之间的差额计入当期损益。原股权投资因采用权益法核算而确认的其他综合收益，</w:t>
      </w:r>
      <w:r>
        <w:rPr>
          <w:spacing w:val="-91"/>
        </w:rPr>
        <w:t> </w:t>
      </w:r>
      <w:r>
        <w:rPr>
          <w:spacing w:val="-91"/>
        </w:rPr>
      </w:r>
      <w:r>
        <w:rPr/>
        <w:t>在终止确认权益法核算时采用与被投资单位直接处置相关资产或负债相同的基础进行会计处</w:t>
      </w:r>
      <w:r>
        <w:rPr>
          <w:spacing w:val="-91"/>
        </w:rPr>
        <w:t> </w:t>
      </w:r>
      <w:r>
        <w:rPr>
          <w:spacing w:val="-91"/>
        </w:rPr>
      </w:r>
      <w:r>
        <w:rPr/>
        <w:t>理。因被投资方除净损益、其他综合收益和利润分配以外的其他所有者权益变动而确认的所</w:t>
      </w:r>
      <w:r>
        <w:rPr>
          <w:spacing w:val="-87"/>
        </w:rPr>
        <w:t> </w:t>
      </w:r>
      <w:r>
        <w:rPr>
          <w:spacing w:val="-87"/>
        </w:rPr>
      </w:r>
      <w:r>
        <w:rPr/>
        <w:t>有者权益，在终止采用权益法核算时全部转入当期损益。</w:t>
      </w:r>
    </w:p>
    <w:p>
      <w:pPr>
        <w:pStyle w:val="BodyText"/>
        <w:spacing w:line="357" w:lineRule="auto"/>
        <w:ind w:left="633" w:right="1116"/>
        <w:jc w:val="left"/>
      </w:pPr>
      <w:r>
        <w:rPr/>
        <w:t>②成本法核算下的长期股权投资的处置 采用成本法核算的长期股权投资，处置后剩余股权仍采用成本法核算的，其在取得对被</w:t>
      </w:r>
    </w:p>
    <w:p>
      <w:pPr>
        <w:pStyle w:val="BodyText"/>
        <w:spacing w:line="357" w:lineRule="auto"/>
        <w:ind w:right="1138"/>
        <w:jc w:val="both"/>
      </w:pPr>
      <w:r>
        <w:rPr/>
        <w:t>投资单位的控制之前因采用权益法核算或者金融工具确认和计量准则核算而确认的其他综合</w:t>
      </w:r>
      <w:r>
        <w:rPr>
          <w:spacing w:val="-91"/>
        </w:rPr>
        <w:t> </w:t>
      </w:r>
      <w:r>
        <w:rPr>
          <w:spacing w:val="-91"/>
        </w:rPr>
      </w:r>
      <w:r>
        <w:rPr/>
        <w:t>收益，采用与被投资单位直接处置相关资产或者负债相同的基础进行处理，并按比例结转当</w:t>
      </w:r>
      <w:r>
        <w:rPr>
          <w:spacing w:val="-91"/>
        </w:rPr>
        <w:t> </w:t>
      </w:r>
      <w:r>
        <w:rPr>
          <w:spacing w:val="-91"/>
        </w:rPr>
      </w:r>
      <w:r>
        <w:rPr/>
        <w:t>期损益；因采用权益法核算而确认的被投资单位净资产中除净损益、其他综合收益和净利润</w:t>
      </w:r>
      <w:r>
        <w:rPr>
          <w:spacing w:val="-91"/>
        </w:rPr>
        <w:t> </w:t>
      </w:r>
      <w:r>
        <w:rPr>
          <w:spacing w:val="-91"/>
        </w:rPr>
      </w:r>
      <w:r>
        <w:rPr/>
        <w:t>分配以外的其他所有者权益变动按比例结转当期损益。</w:t>
      </w:r>
    </w:p>
    <w:p>
      <w:pPr>
        <w:pStyle w:val="BodyText"/>
        <w:spacing w:line="355" w:lineRule="auto"/>
        <w:ind w:right="1132" w:firstLine="480"/>
        <w:jc w:val="right"/>
      </w:pPr>
      <w:r>
        <w:rPr/>
        <w:t>因其他投资方增资而导致本公司持股比例下降、从而丧失控制权但能对被投资单位实施 共同控制或施加重大影响的，按照新的持股比例确认本公司应享有的被投资单位因增资扩股</w:t>
      </w:r>
      <w:r>
        <w:rPr>
          <w:spacing w:val="-106"/>
        </w:rPr>
        <w:t> </w:t>
      </w:r>
      <w:r>
        <w:rPr>
          <w:spacing w:val="-106"/>
        </w:rPr>
      </w:r>
      <w:r>
        <w:rPr/>
        <w:t>而增加净资产的份额，与应结转持股比例下降部分所对应的长期股权投资原账面价值之间的</w:t>
      </w:r>
      <w:r>
        <w:rPr>
          <w:spacing w:val="-106"/>
        </w:rPr>
        <w:t> </w:t>
      </w:r>
      <w:r>
        <w:rPr>
          <w:spacing w:val="-106"/>
        </w:rPr>
      </w:r>
      <w:r>
        <w:rPr>
          <w:spacing w:val="-5"/>
        </w:rPr>
        <w:t>差额计入当期损益；然后，按照新的持股比例视同自取得投资时即采用权益法核算进行调整。</w:t>
      </w:r>
      <w:r>
        <w:rPr/>
        <w:t> 公司因处置部分股权投资或其他原因丧失了对原有子公司控制权的，处置后的剩余股权 能够对被投资单位实施共同控制或施加重大影响的，改按权益法核算，并对该剩余股权视同</w:t>
      </w:r>
      <w:r>
        <w:rPr>
          <w:spacing w:val="-106"/>
        </w:rPr>
        <w:t> </w:t>
      </w:r>
      <w:r>
        <w:rPr>
          <w:spacing w:val="-106"/>
        </w:rPr>
      </w:r>
      <w:r>
        <w:rPr/>
        <w:t>自取得时即采用权益法核算进行调整，购买日之前持有的股权投资因采用权益法核算而确认</w:t>
      </w:r>
      <w:r>
        <w:rPr>
          <w:spacing w:val="-96"/>
        </w:rPr>
        <w:t> </w:t>
      </w:r>
      <w:r>
        <w:rPr>
          <w:spacing w:val="-96"/>
        </w:rPr>
      </w:r>
      <w:r>
        <w:rPr/>
        <w:t>的其他综合收益和其他所有者权益按比例结转；处置后的剩余股权不能对被投资单位实施共</w:t>
      </w:r>
      <w:r>
        <w:rPr>
          <w:spacing w:val="-106"/>
        </w:rPr>
        <w:t> </w:t>
      </w:r>
      <w:r>
        <w:rPr>
          <w:spacing w:val="-106"/>
        </w:rPr>
      </w:r>
      <w:r>
        <w:rPr/>
        <w:t>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w:t>
      </w:r>
      <w:r>
        <w:rPr>
          <w:spacing w:val="-102"/>
        </w:rPr>
        <w:t> </w:t>
      </w:r>
      <w:r>
        <w:rPr>
          <w:spacing w:val="-102"/>
        </w:rPr>
      </w:r>
      <w:r>
        <w:rPr/>
        <w:t>定进行会计处理，其在丧失控制之日的公允价值与账面价值间的差额计入当期损益，其他综</w:t>
      </w:r>
    </w:p>
    <w:p>
      <w:pPr>
        <w:pStyle w:val="BodyText"/>
        <w:spacing w:line="357" w:lineRule="auto" w:before="39"/>
        <w:ind w:left="633" w:right="1153" w:hanging="480"/>
        <w:jc w:val="left"/>
      </w:pPr>
      <w:r>
        <w:rPr/>
        <w:t>合收益和其他所有者权益全部结转为当期损益。 本公司通过多次交易分步处置对子公司股权投资直至丧失控制权，如果上述交易属于一</w:t>
      </w:r>
    </w:p>
    <w:p>
      <w:pPr>
        <w:pStyle w:val="BodyText"/>
        <w:spacing w:line="357" w:lineRule="auto"/>
        <w:ind w:right="0"/>
        <w:jc w:val="left"/>
      </w:pPr>
      <w:r>
        <w:rPr/>
        <w:t>揽子交易的，将各项交易作为一项处置子公司股权投资并丧失控制权的交易进行会计处理， 在丧失控制权之前每一次处置价款与所处置的股权对应的长期股权投资账面价值之间的差额，</w:t>
      </w:r>
      <w:r>
        <w:rPr>
          <w:spacing w:val="-85"/>
        </w:rPr>
        <w:t> </w:t>
      </w:r>
      <w:r>
        <w:rPr>
          <w:spacing w:val="-85"/>
        </w:rPr>
      </w:r>
      <w:r>
        <w:rPr/>
        <w:t>先确认为其他综合收益，到丧失控制权时再一并转入丧失控制权的当期损益。</w:t>
      </w:r>
    </w:p>
    <w:p>
      <w:pPr>
        <w:spacing w:after="0" w:line="357"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spacing w:line="350" w:lineRule="auto" w:before="26"/>
        <w:ind w:left="633" w:right="787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投资性房地产计量模式 成本法计量 折旧或摊销方法</w:t>
      </w:r>
    </w:p>
    <w:p>
      <w:pPr>
        <w:pStyle w:val="BodyText"/>
        <w:spacing w:line="338" w:lineRule="auto" w:before="43"/>
        <w:ind w:right="1130" w:firstLine="480"/>
        <w:jc w:val="both"/>
      </w:pPr>
      <w:r>
        <w:rPr>
          <w:spacing w:val="-3"/>
        </w:rPr>
        <w:t>（</w:t>
      </w:r>
      <w:r>
        <w:rPr>
          <w:rFonts w:ascii="Times New Roman" w:hAnsi="Times New Roman" w:cs="Times New Roman" w:eastAsia="Times New Roman" w:hint="default"/>
          <w:spacing w:val="-3"/>
        </w:rPr>
        <w:t>1</w:t>
      </w:r>
      <w:r>
        <w:rPr>
          <w:spacing w:val="-3"/>
        </w:rPr>
        <w:t>）投资性房地产是指为赚取租金或资本增值、或者两者兼有而持有的房地产。包括已</w:t>
      </w:r>
      <w:r>
        <w:rPr/>
        <w:t> </w:t>
      </w:r>
      <w:r>
        <w:rPr>
          <w:spacing w:val="-2"/>
        </w:rPr>
        <w:t>出租的土地使用权、持有并准备增值后转让的土地使用权、已出租的建筑物</w:t>
      </w:r>
      <w:r>
        <w:rPr>
          <w:rFonts w:ascii="Times New Roman" w:hAnsi="Times New Roman" w:cs="Times New Roman" w:eastAsia="Times New Roman" w:hint="default"/>
          <w:spacing w:val="-2"/>
        </w:rPr>
        <w:t>(</w:t>
      </w:r>
      <w:r>
        <w:rPr>
          <w:spacing w:val="-2"/>
        </w:rPr>
        <w:t>含自行建造或开</w:t>
      </w:r>
      <w:r>
        <w:rPr>
          <w:spacing w:val="-82"/>
        </w:rPr>
        <w:t> </w:t>
      </w:r>
      <w:r>
        <w:rPr/>
        <w:t>发活动完成后用于出租的建筑物以及正在建造或开发过程中将来用于出租的建筑物</w:t>
      </w:r>
      <w:r>
        <w:rPr>
          <w:rFonts w:ascii="Times New Roman" w:hAnsi="Times New Roman" w:cs="Times New Roman" w:eastAsia="Times New Roman" w:hint="default"/>
        </w:rPr>
        <w:t>)</w:t>
      </w:r>
      <w:r>
        <w:rPr/>
        <w:t>。</w:t>
      </w:r>
    </w:p>
    <w:p>
      <w:pPr>
        <w:pStyle w:val="BodyText"/>
        <w:spacing w:line="348" w:lineRule="auto" w:before="27"/>
        <w:ind w:right="1130" w:firstLine="480"/>
        <w:jc w:val="both"/>
      </w:pPr>
      <w:r>
        <w:rPr>
          <w:spacing w:val="-3"/>
        </w:rPr>
        <w:t>（</w:t>
      </w:r>
      <w:r>
        <w:rPr>
          <w:rFonts w:ascii="Times New Roman" w:hAnsi="Times New Roman" w:cs="Times New Roman" w:eastAsia="Times New Roman" w:hint="default"/>
          <w:spacing w:val="-3"/>
        </w:rPr>
        <w:t>2</w:t>
      </w:r>
      <w:r>
        <w:rPr>
          <w:spacing w:val="-3"/>
        </w:rPr>
        <w:t>）投资性房地产按照成本进行初始计量，采用成本模式进行后续计量。如与投资性房</w:t>
      </w:r>
      <w:r>
        <w:rPr/>
        <w:t> 地产有关的后续支出，如果与该资产有关的经济利益很可能流入且其成本能可靠地计量，则</w:t>
      </w:r>
      <w:r>
        <w:rPr>
          <w:spacing w:val="-89"/>
        </w:rPr>
        <w:t> </w:t>
      </w:r>
      <w:r>
        <w:rPr>
          <w:spacing w:val="-89"/>
        </w:rPr>
      </w:r>
      <w:r>
        <w:rPr/>
        <w:t>计入投资性房地产成本。其他后续支出，在发生时计入当期损益。</w:t>
      </w:r>
    </w:p>
    <w:p>
      <w:pPr>
        <w:pStyle w:val="BodyText"/>
        <w:spacing w:line="338" w:lineRule="auto" w:before="46"/>
        <w:ind w:right="1132" w:firstLine="480"/>
        <w:jc w:val="both"/>
      </w:pPr>
      <w:r>
        <w:rPr>
          <w:spacing w:val="-3"/>
        </w:rPr>
        <w:t>（</w:t>
      </w:r>
      <w:r>
        <w:rPr>
          <w:rFonts w:ascii="Times New Roman" w:hAnsi="Times New Roman" w:cs="Times New Roman" w:eastAsia="Times New Roman" w:hint="default"/>
          <w:spacing w:val="-3"/>
        </w:rPr>
        <w:t>3</w:t>
      </w:r>
      <w:r>
        <w:rPr>
          <w:spacing w:val="-3"/>
        </w:rPr>
        <w:t>）对成本模式计量的投资性房地产，采用与固定资产和无形资产相同的方法计提折旧</w:t>
      </w:r>
      <w:r>
        <w:rPr/>
        <w:t> 或进行摊销。</w:t>
      </w:r>
    </w:p>
    <w:p>
      <w:pPr>
        <w:pStyle w:val="BodyText"/>
        <w:spacing w:line="352" w:lineRule="auto" w:before="55"/>
        <w:ind w:right="1133" w:firstLine="480"/>
        <w:jc w:val="both"/>
      </w:pPr>
      <w:r>
        <w:rPr/>
        <w:t>（</w:t>
      </w:r>
      <w:r>
        <w:rPr>
          <w:rFonts w:ascii="Times New Roman" w:hAnsi="Times New Roman" w:cs="Times New Roman" w:eastAsia="Times New Roman" w:hint="default"/>
        </w:rPr>
        <w:t>4</w:t>
      </w:r>
      <w:r>
        <w:rPr/>
        <w:t>）</w:t>
      </w:r>
      <w:r>
        <w:rPr>
          <w:spacing w:val="27"/>
        </w:rPr>
        <w:t> </w:t>
      </w:r>
      <w:r>
        <w:rPr/>
        <w:t>投资性房地产的用途改变为自用时，自改变之日起，将该投资性房地产转换为固</w:t>
      </w:r>
      <w:r>
        <w:rPr/>
        <w:t> 定资产或无形资产，按转换前的账面价值作为转换后的入账价值。自用房地产的用途或者存</w:t>
      </w:r>
      <w:r>
        <w:rPr>
          <w:spacing w:val="-91"/>
        </w:rPr>
        <w:t> </w:t>
      </w:r>
      <w:r>
        <w:rPr>
          <w:spacing w:val="-91"/>
        </w:rPr>
      </w:r>
      <w:r>
        <w:rPr/>
        <w:t>货改变为赚取租金或资本增值时，自改变之日起，将固定资产或无形资产转换为投资性房地</w:t>
      </w:r>
      <w:r>
        <w:rPr>
          <w:spacing w:val="-91"/>
        </w:rPr>
        <w:t> </w:t>
      </w:r>
      <w:r>
        <w:rPr>
          <w:spacing w:val="-91"/>
        </w:rPr>
      </w:r>
      <w:r>
        <w:rPr/>
        <w:t>产，转换为采用成本模式计量的投资性房地产的，以转换前的账面价值作为转换后的入账价</w:t>
      </w:r>
      <w:r>
        <w:rPr>
          <w:spacing w:val="-86"/>
        </w:rPr>
        <w:t> </w:t>
      </w:r>
      <w:r>
        <w:rPr>
          <w:spacing w:val="-86"/>
        </w:rPr>
      </w:r>
      <w:r>
        <w:rPr/>
        <w:t>值；转换为以公允价值模式计量的投资性房地产的，以转换日的公允价值作为转换后的入账</w:t>
      </w:r>
      <w:r>
        <w:rPr>
          <w:spacing w:val="-91"/>
        </w:rPr>
        <w:t> </w:t>
      </w:r>
      <w:r>
        <w:rPr>
          <w:spacing w:val="-91"/>
        </w:rPr>
      </w:r>
      <w:r>
        <w:rPr/>
        <w:t>价值。</w:t>
      </w:r>
    </w:p>
    <w:p>
      <w:pPr>
        <w:pStyle w:val="BodyText"/>
        <w:spacing w:line="348" w:lineRule="auto" w:before="41"/>
        <w:ind w:right="997" w:firstLine="480"/>
        <w:jc w:val="left"/>
      </w:pPr>
      <w:r>
        <w:rPr>
          <w:spacing w:val="-6"/>
        </w:rPr>
        <w:t>（</w:t>
      </w:r>
      <w:r>
        <w:rPr>
          <w:rFonts w:ascii="Times New Roman" w:hAnsi="Times New Roman" w:cs="Times New Roman" w:eastAsia="Times New Roman" w:hint="default"/>
          <w:spacing w:val="-6"/>
        </w:rPr>
        <w:t>5</w:t>
      </w:r>
      <w:r>
        <w:rPr>
          <w:spacing w:val="-6"/>
        </w:rPr>
        <w:t>）当投资性房地产被处置、或者永久退出使用且预计不能从其处置中取得经济利益时，</w:t>
      </w:r>
      <w:r>
        <w:rPr/>
        <w:t> 终止确认该项投资性房地产。投资性房地产出售、转让、报废或毁损的处置收入扣除其账面</w:t>
      </w:r>
      <w:r>
        <w:rPr>
          <w:spacing w:val="-91"/>
        </w:rPr>
        <w:t> </w:t>
      </w:r>
      <w:r>
        <w:rPr>
          <w:spacing w:val="-91"/>
        </w:rPr>
      </w:r>
      <w:r>
        <w:rPr/>
        <w:t>价值和相关税费后计入当期损益。</w:t>
      </w:r>
    </w:p>
    <w:p>
      <w:pPr>
        <w:pStyle w:val="Heading2"/>
        <w:spacing w:line="240" w:lineRule="auto" w:before="46"/>
        <w:ind w:left="635" w:right="1273"/>
        <w:jc w:val="left"/>
        <w:rPr>
          <w:b w:val="0"/>
          <w:bCs w:val="0"/>
        </w:rPr>
      </w:pPr>
      <w:r>
        <w:rPr>
          <w:rFonts w:ascii="Times New Roman" w:hAnsi="Times New Roman" w:cs="Times New Roman" w:eastAsia="Times New Roman" w:hint="default"/>
        </w:rPr>
        <w:t>16</w:t>
      </w:r>
      <w:r>
        <w:rPr/>
        <w:t>、固定资产</w:t>
      </w:r>
      <w:r>
        <w:rPr>
          <w:b w:val="0"/>
          <w:bCs w:val="0"/>
        </w:rPr>
      </w:r>
    </w:p>
    <w:p>
      <w:pPr>
        <w:pStyle w:val="BodyText"/>
        <w:spacing w:line="338" w:lineRule="auto" w:before="135"/>
        <w:ind w:left="753" w:right="1116" w:hanging="11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）确认条件</w:t>
      </w:r>
      <w:r>
        <w:rPr>
          <w:rFonts w:ascii="宋体" w:hAnsi="宋体" w:cs="宋体" w:eastAsia="宋体" w:hint="default"/>
          <w:b/>
          <w:bCs/>
          <w:w w:val="99"/>
        </w:rPr>
        <w:t> </w:t>
      </w:r>
      <w:r>
        <w:rPr>
          <w:spacing w:val="-3"/>
        </w:rPr>
        <w:t>固定资产是指同时具有下列特征的有形资产：①为生产商品、提供劳务、出租或经营管</w:t>
      </w:r>
    </w:p>
    <w:p>
      <w:pPr>
        <w:pStyle w:val="BodyText"/>
        <w:spacing w:line="357" w:lineRule="auto" w:before="55"/>
        <w:ind w:left="633" w:right="1153" w:hanging="480"/>
        <w:jc w:val="left"/>
      </w:pPr>
      <w:r>
        <w:rPr/>
        <w:t>理持有的；②使用寿命超过一个会计年度。 固定资产同时满足下列条件的予以确认：①与该固定资产有关的经济利益很可能流入企</w:t>
      </w:r>
    </w:p>
    <w:p>
      <w:pPr>
        <w:pStyle w:val="BodyText"/>
        <w:spacing w:line="357" w:lineRule="auto"/>
        <w:ind w:right="1153"/>
        <w:jc w:val="left"/>
      </w:pPr>
      <w:r>
        <w:rPr/>
        <w:t>业；②该固定资产的成本能够可靠地计量。与固定资产有关的后续支出，符合上述确认条件 的，计入固定资产成本；不符合上述确认条件的，发生时计入当期损益。</w:t>
      </w:r>
    </w:p>
    <w:p>
      <w:pPr>
        <w:spacing w:after="0" w:line="357"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left="635" w:right="127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2.38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sz w:val="21"/>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19.00-31.67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19.00-31.67</w:t>
            </w:r>
          </w:p>
        </w:tc>
      </w:tr>
    </w:tbl>
    <w:p>
      <w:pPr>
        <w:pStyle w:val="BodyText"/>
        <w:spacing w:line="240" w:lineRule="auto" w:before="39"/>
        <w:ind w:left="573" w:right="1273"/>
        <w:jc w:val="left"/>
      </w:pPr>
      <w:r>
        <w:rPr/>
        <w:t>说明：</w:t>
      </w:r>
    </w:p>
    <w:p>
      <w:pPr>
        <w:pStyle w:val="BodyText"/>
        <w:spacing w:line="357" w:lineRule="auto" w:before="154"/>
        <w:ind w:right="1133" w:firstLine="420"/>
        <w:jc w:val="both"/>
      </w:pPr>
      <w:r>
        <w:rPr>
          <w:spacing w:val="2"/>
        </w:rPr>
        <w:t>①符合资本化条件的固定资产装修费用，在两次装修期间与固定资产尚可使用年限两者 </w:t>
      </w:r>
      <w:r>
        <w:rPr/>
        <w:t>中较短的期间内，采用年限平均法单独计提折旧。</w:t>
      </w:r>
    </w:p>
    <w:p>
      <w:pPr>
        <w:pStyle w:val="BodyText"/>
        <w:spacing w:line="357" w:lineRule="auto" w:before="37"/>
        <w:ind w:right="1133" w:firstLine="420"/>
        <w:jc w:val="both"/>
      </w:pPr>
      <w:r>
        <w:rPr>
          <w:spacing w:val="2"/>
        </w:rPr>
        <w:t>②已计提减值准备的固定资产，还应扣除已计提的固定资产减值准备累计金额计算折旧 </w:t>
      </w:r>
      <w:r>
        <w:rPr/>
        <w:t>率。</w:t>
      </w:r>
    </w:p>
    <w:p>
      <w:pPr>
        <w:pStyle w:val="BodyText"/>
        <w:spacing w:line="357" w:lineRule="auto"/>
        <w:ind w:right="1133" w:firstLine="420"/>
        <w:jc w:val="both"/>
      </w:pPr>
      <w:r>
        <w:rPr>
          <w:spacing w:val="2"/>
        </w:rPr>
        <w:t>③公司至少年度终了对固定资产的使用寿命、预计净残值和折旧方法进行复核，如发生 </w:t>
      </w:r>
      <w:r>
        <w:rPr/>
        <w:t>改变则作为会计估计变更处理。</w:t>
      </w:r>
    </w:p>
    <w:p>
      <w:pPr>
        <w:spacing w:line="338" w:lineRule="auto" w:before="3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）融资租入固定资产的认定依据、计价和折旧方法</w:t>
      </w:r>
      <w:r>
        <w:rPr>
          <w:rFonts w:ascii="宋体" w:hAnsi="宋体" w:cs="宋体" w:eastAsia="宋体" w:hint="default"/>
          <w:b/>
          <w:bCs/>
          <w:w w:val="99"/>
          <w:sz w:val="24"/>
          <w:szCs w:val="24"/>
        </w:rPr>
        <w:t> </w:t>
      </w:r>
      <w:r>
        <w:rPr>
          <w:rFonts w:ascii="宋体" w:hAnsi="宋体" w:cs="宋体" w:eastAsia="宋体" w:hint="default"/>
          <w:sz w:val="24"/>
          <w:szCs w:val="24"/>
        </w:rPr>
        <w:t>当本公司租入的固定资产符合下列一项或数项标准时，确认为融资租入固定资产：①在</w:t>
      </w:r>
    </w:p>
    <w:p>
      <w:pPr>
        <w:pStyle w:val="BodyText"/>
        <w:spacing w:line="357" w:lineRule="auto" w:before="55"/>
        <w:ind w:right="1170"/>
        <w:jc w:val="both"/>
      </w:pPr>
      <w:r>
        <w:rPr/>
        <w:t>租赁期届满时，租赁资产的所有权转移给本公司；②本公司有购买租赁资产的选择权，所订 立的购买价款预计将远低于行使选择权时租赁资产的公允价值，因而在租赁开始日就可以合 理确定本公司将会行使这种选择权；③即使资产的所有权不转移，但租赁期占租赁资产使用 寿命的大部分；④本公司在租赁开始日的最低租赁付款额现值，几乎相当于租赁开始日租赁 资产公允价值；出租人在租赁开始日的最低租赁收款额现值，几乎相当于租赁开始日租赁资 产公允价值；⑤租赁资产性质特殊，如果不作较大改造，只有本公司才能使用。</w:t>
      </w:r>
    </w:p>
    <w:p>
      <w:pPr>
        <w:pStyle w:val="BodyText"/>
        <w:spacing w:line="357" w:lineRule="auto"/>
        <w:ind w:right="1169" w:firstLine="480"/>
        <w:jc w:val="both"/>
      </w:pPr>
      <w:r>
        <w:rPr/>
        <w:t>融资租赁租入的固定资产，按租赁开始日租赁资产公允价值与最低租赁付款额的现值两 者中较低者，作为入账价值。最低租赁付款额作为长期应付款的入账价值，其差额作为未确 认融资费用。在租赁谈判和签订租赁合同过程中发生的，可归属于租赁项目的手续费、律师 费、差旅费、印花税等初始直接费用，计入租入资产价值。未确认融资费用在租赁期内各个 期间采用实际利率法进行分摊。</w:t>
      </w:r>
    </w:p>
    <w:p>
      <w:pPr>
        <w:pStyle w:val="BodyText"/>
        <w:spacing w:line="357" w:lineRule="auto"/>
        <w:ind w:right="1171" w:firstLine="480"/>
        <w:jc w:val="both"/>
      </w:pPr>
      <w:r>
        <w:rPr/>
        <w:t>融资租入的固定资产采用与自有固定资产一致的政策计提租赁资产折旧。能够合理确定 租赁期届满时将会取得租赁资产所有权的，在租赁资产尚可使用年限内计提折旧；无法合理 确定租赁期届满时能够取得租赁资产所有权的，在租赁期与租赁资产尚可使用年限两者中较 短的期间内计提折旧。</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spacing w:line="348" w:lineRule="auto" w:before="26"/>
        <w:ind w:left="633" w:right="619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17</w:t>
      </w:r>
      <w:r>
        <w:rPr>
          <w:rFonts w:ascii="宋体" w:hAnsi="宋体" w:cs="宋体" w:eastAsia="宋体" w:hint="default"/>
          <w:b/>
          <w:bCs/>
          <w:sz w:val="24"/>
          <w:szCs w:val="24"/>
        </w:rPr>
        <w:t>、在建工程</w:t>
      </w:r>
      <w:r>
        <w:rPr>
          <w:rFonts w:ascii="宋体" w:hAnsi="宋体" w:cs="宋体" w:eastAsia="宋体" w:hint="default"/>
          <w:b/>
          <w:bCs/>
          <w:w w:val="99"/>
          <w:sz w:val="24"/>
          <w:szCs w:val="24"/>
        </w:rPr>
        <w:t> </w:t>
      </w:r>
      <w:r>
        <w:rPr>
          <w:rFonts w:ascii="宋体" w:hAnsi="宋体" w:cs="宋体" w:eastAsia="宋体" w:hint="default"/>
          <w:sz w:val="24"/>
          <w:szCs w:val="24"/>
        </w:rPr>
        <w:t>公司是否需要遵守特殊行业的披露要求 否</w:t>
      </w:r>
    </w:p>
    <w:p>
      <w:pPr>
        <w:pStyle w:val="BodyText"/>
        <w:spacing w:line="338" w:lineRule="auto" w:before="46"/>
        <w:ind w:right="1130" w:firstLine="480"/>
        <w:jc w:val="both"/>
      </w:pPr>
      <w:r>
        <w:rPr>
          <w:spacing w:val="-3"/>
        </w:rPr>
        <w:t>（</w:t>
      </w:r>
      <w:r>
        <w:rPr>
          <w:rFonts w:ascii="Times New Roman" w:hAnsi="Times New Roman" w:cs="Times New Roman" w:eastAsia="Times New Roman" w:hint="default"/>
          <w:spacing w:val="-3"/>
        </w:rPr>
        <w:t>1</w:t>
      </w:r>
      <w:r>
        <w:rPr>
          <w:spacing w:val="-3"/>
        </w:rPr>
        <w:t>）在建工程同时满足经济利益很可能流入、成本能够可靠地计量则予以确认。在建工</w:t>
      </w:r>
      <w:r>
        <w:rPr/>
        <w:t> 程按建造该项资产达到预定可使用状态前所发生的实际成本计量。</w:t>
      </w:r>
    </w:p>
    <w:p>
      <w:pPr>
        <w:pStyle w:val="BodyText"/>
        <w:spacing w:line="348" w:lineRule="auto" w:before="55"/>
        <w:ind w:right="1130" w:firstLine="480"/>
        <w:jc w:val="both"/>
      </w:pPr>
      <w:r>
        <w:rPr>
          <w:spacing w:val="-3"/>
        </w:rPr>
        <w:t>（</w:t>
      </w:r>
      <w:r>
        <w:rPr>
          <w:rFonts w:ascii="Times New Roman" w:hAnsi="Times New Roman" w:cs="Times New Roman" w:eastAsia="Times New Roman" w:hint="default"/>
          <w:spacing w:val="-3"/>
        </w:rPr>
        <w:t>2</w:t>
      </w:r>
      <w:r>
        <w:rPr>
          <w:spacing w:val="-3"/>
        </w:rPr>
        <w:t>）在建工程达到预定可使用状态时，按工程实际成本转入固定资产。已达到预定可使</w:t>
      </w:r>
      <w:r>
        <w:rPr/>
        <w:t> 用状态但尚未办理竣工结算的，先按估计价值转入固定资产，待办理竣工决算后再按实际成 本调整原暂估价值，但不再调整原已计提的折旧。</w:t>
      </w:r>
    </w:p>
    <w:p>
      <w:pPr>
        <w:pStyle w:val="BodyText"/>
        <w:spacing w:line="338" w:lineRule="auto" w:before="46"/>
        <w:ind w:left="633" w:right="1116" w:firstLine="2"/>
        <w:jc w:val="left"/>
      </w:pPr>
      <w:r>
        <w:rPr>
          <w:rFonts w:ascii="Times New Roman" w:hAnsi="Times New Roman" w:cs="Times New Roman" w:eastAsia="Times New Roman" w:hint="default"/>
          <w:b/>
          <w:bCs/>
        </w:rPr>
        <w:t>18</w:t>
      </w:r>
      <w:r>
        <w:rPr>
          <w:rFonts w:ascii="宋体" w:hAnsi="宋体" w:cs="宋体" w:eastAsia="宋体" w:hint="default"/>
          <w:b/>
          <w:bCs/>
        </w:rPr>
        <w:t>、借款费用</w:t>
      </w:r>
      <w:r>
        <w:rPr>
          <w:rFonts w:ascii="宋体" w:hAnsi="宋体" w:cs="宋体" w:eastAsia="宋体" w:hint="default"/>
          <w:b/>
          <w:bCs/>
          <w:w w:val="99"/>
        </w:rPr>
        <w:t> </w:t>
      </w:r>
      <w:r>
        <w:rPr/>
        <w:t>借款费用，包括借款利息、折价或者溢价的摊销、辅助费用以及因外币借款而发生的汇</w:t>
      </w:r>
    </w:p>
    <w:p>
      <w:pPr>
        <w:pStyle w:val="BodyText"/>
        <w:spacing w:line="240" w:lineRule="auto" w:before="55"/>
        <w:ind w:right="1273"/>
        <w:jc w:val="left"/>
      </w:pPr>
      <w:r>
        <w:rPr/>
        <w:t>兑差额等。</w:t>
      </w:r>
    </w:p>
    <w:p>
      <w:pPr>
        <w:pStyle w:val="BodyText"/>
        <w:spacing w:line="338" w:lineRule="auto" w:before="154"/>
        <w:ind w:left="633" w:right="1116"/>
        <w:jc w:val="left"/>
      </w:pPr>
      <w:r>
        <w:rPr/>
        <w:t>（</w:t>
      </w:r>
      <w:r>
        <w:rPr>
          <w:rFonts w:ascii="Times New Roman" w:hAnsi="Times New Roman" w:cs="Times New Roman" w:eastAsia="Times New Roman" w:hint="default"/>
        </w:rPr>
        <w:t>1</w:t>
      </w:r>
      <w:r>
        <w:rPr/>
        <w:t>）借款费用资本化的确认原则 公司发生的借款费用，可直接归属于符合资本化条件的资产的购建或者生产的，予以资</w:t>
      </w:r>
    </w:p>
    <w:p>
      <w:pPr>
        <w:pStyle w:val="BodyText"/>
        <w:spacing w:line="357" w:lineRule="auto" w:before="55"/>
        <w:ind w:right="1116"/>
        <w:jc w:val="left"/>
      </w:pPr>
      <w:r>
        <w:rPr/>
        <w:t>本化，计入相关资产成本；其他借款费用，在发生时根据其发生额确认为费用，计入当期损</w:t>
      </w:r>
      <w:r>
        <w:rPr>
          <w:spacing w:val="-89"/>
        </w:rPr>
        <w:t> </w:t>
      </w:r>
      <w:r>
        <w:rPr>
          <w:spacing w:val="-89"/>
        </w:rPr>
      </w:r>
      <w:r>
        <w:rPr/>
        <w:t>益。</w:t>
      </w:r>
    </w:p>
    <w:p>
      <w:pPr>
        <w:pStyle w:val="BodyText"/>
        <w:spacing w:line="240" w:lineRule="auto"/>
        <w:ind w:left="633" w:right="1273"/>
        <w:jc w:val="left"/>
      </w:pPr>
      <w:r>
        <w:rPr/>
        <w:t>（</w:t>
      </w:r>
      <w:r>
        <w:rPr>
          <w:rFonts w:ascii="Times New Roman" w:hAnsi="Times New Roman" w:cs="Times New Roman" w:eastAsia="Times New Roman" w:hint="default"/>
        </w:rPr>
        <w:t>2</w:t>
      </w:r>
      <w:r>
        <w:rPr/>
        <w:t>）借款费用资本化期间</w:t>
      </w:r>
    </w:p>
    <w:p>
      <w:pPr>
        <w:pStyle w:val="BodyText"/>
        <w:spacing w:line="240" w:lineRule="auto" w:before="135"/>
        <w:ind w:left="633" w:right="1116"/>
        <w:jc w:val="left"/>
      </w:pPr>
      <w:r>
        <w:rPr>
          <w:spacing w:val="2"/>
        </w:rPr>
        <w:t>①当同时满足下列条件时，开始资本化：</w:t>
      </w:r>
      <w:r>
        <w:rPr>
          <w:rFonts w:ascii="Times New Roman" w:hAnsi="Times New Roman" w:cs="Times New Roman" w:eastAsia="Times New Roman" w:hint="default"/>
          <w:spacing w:val="2"/>
        </w:rPr>
        <w:t>1)</w:t>
      </w:r>
      <w:r>
        <w:rPr>
          <w:spacing w:val="2"/>
        </w:rPr>
        <w:t>资产支出已经发生；</w:t>
      </w:r>
      <w:r>
        <w:rPr>
          <w:rFonts w:ascii="Times New Roman" w:hAnsi="Times New Roman" w:cs="Times New Roman" w:eastAsia="Times New Roman" w:hint="default"/>
          <w:spacing w:val="2"/>
        </w:rPr>
        <w:t>2)</w:t>
      </w:r>
      <w:r>
        <w:rPr>
          <w:spacing w:val="2"/>
        </w:rPr>
        <w:t>借款费用已经发生；</w:t>
      </w:r>
    </w:p>
    <w:p>
      <w:pPr>
        <w:pStyle w:val="BodyText"/>
        <w:spacing w:line="240" w:lineRule="auto" w:before="135"/>
        <w:ind w:right="1273"/>
        <w:jc w:val="left"/>
      </w:pPr>
      <w:r>
        <w:rPr>
          <w:rFonts w:ascii="Times New Roman" w:hAnsi="Times New Roman" w:cs="Times New Roman" w:eastAsia="Times New Roman" w:hint="default"/>
        </w:rPr>
        <w:t>3)</w:t>
      </w:r>
      <w:r>
        <w:rPr/>
        <w:t>为使资产达到预定可使用或可销售状态所必要的购建或者生产活动已经开始。</w:t>
      </w:r>
    </w:p>
    <w:p>
      <w:pPr>
        <w:pStyle w:val="BodyText"/>
        <w:spacing w:line="350" w:lineRule="auto" w:before="135"/>
        <w:ind w:right="1003" w:firstLine="480"/>
        <w:jc w:val="left"/>
      </w:pPr>
      <w:r>
        <w:rPr/>
        <w:t>②暂停资本化：若符合资本化条件的资产在购建或者生产过程中发生非正常中断，并且 </w:t>
      </w:r>
      <w:r>
        <w:rPr>
          <w:spacing w:val="-5"/>
        </w:rPr>
        <w:t>中断时间连续超过</w:t>
      </w:r>
      <w:r>
        <w:rPr>
          <w:rFonts w:ascii="Times New Roman" w:hAnsi="Times New Roman" w:cs="Times New Roman" w:eastAsia="Times New Roman" w:hint="default"/>
          <w:spacing w:val="-5"/>
        </w:rPr>
        <w:t>3</w:t>
      </w:r>
      <w:r>
        <w:rPr>
          <w:spacing w:val="-5"/>
        </w:rPr>
        <w:t>个月，暂停借款费用的资本化；中断期间发生的借款费用确认为当期费用，</w:t>
      </w:r>
      <w:r>
        <w:rPr>
          <w:spacing w:val="-113"/>
        </w:rPr>
        <w:t> </w:t>
      </w:r>
      <w:r>
        <w:rPr>
          <w:spacing w:val="-113"/>
        </w:rPr>
      </w:r>
      <w:r>
        <w:rPr/>
        <w:t>直至资产的购建或者生产活动重新开始。该项中断如是所购建或生产的符合资本化条件的资</w:t>
      </w:r>
      <w:r>
        <w:rPr>
          <w:spacing w:val="-91"/>
        </w:rPr>
        <w:t> </w:t>
      </w:r>
      <w:r>
        <w:rPr>
          <w:spacing w:val="-91"/>
        </w:rPr>
      </w:r>
      <w:r>
        <w:rPr/>
        <w:t>产达到预定可使用状态或者可销售状态必要的程序，则借款费用继续资本化。</w:t>
      </w:r>
    </w:p>
    <w:p>
      <w:pPr>
        <w:pStyle w:val="BodyText"/>
        <w:spacing w:line="357" w:lineRule="auto" w:before="43"/>
        <w:ind w:right="1138" w:firstLine="480"/>
        <w:jc w:val="both"/>
      </w:pPr>
      <w:r>
        <w:rPr/>
        <w:t>③停止资本化：当所购建或者生产符合资本化条件的资产达到预定可使用或者可销售状 态时，借款费用停止资本化。当购建或者生产符合资本化的资产中部分项目分别完工且可单</w:t>
      </w:r>
      <w:r>
        <w:rPr>
          <w:spacing w:val="-91"/>
        </w:rPr>
        <w:t> </w:t>
      </w:r>
      <w:r>
        <w:rPr>
          <w:spacing w:val="-91"/>
        </w:rPr>
      </w:r>
      <w:r>
        <w:rPr/>
        <w:t>独使用时，该部分资产借款费用停止资本化。购建或者生产的资产的各部分分别完工，但必</w:t>
      </w:r>
      <w:r>
        <w:rPr>
          <w:spacing w:val="-91"/>
        </w:rPr>
        <w:t> </w:t>
      </w:r>
      <w:r>
        <w:rPr>
          <w:spacing w:val="-91"/>
        </w:rPr>
      </w:r>
      <w:r>
        <w:rPr/>
        <w:t>须等到整体完工后才可使用或者对外销售的，在该资产整体完工时停止借款费用资本化。</w:t>
      </w:r>
    </w:p>
    <w:p>
      <w:pPr>
        <w:pStyle w:val="BodyText"/>
        <w:spacing w:line="338" w:lineRule="auto"/>
        <w:ind w:left="633" w:right="1153"/>
        <w:jc w:val="left"/>
      </w:pPr>
      <w:r>
        <w:rPr/>
        <w:t>（</w:t>
      </w:r>
      <w:r>
        <w:rPr>
          <w:rFonts w:ascii="Times New Roman" w:hAnsi="Times New Roman" w:cs="Times New Roman" w:eastAsia="Times New Roman" w:hint="default"/>
        </w:rPr>
        <w:t>3</w:t>
      </w:r>
      <w:r>
        <w:rPr/>
        <w:t>）借款费用资本化率及资本化金额的计算方法 为购建或者生产符合资本化条件的资产而借入专门借款的，以专门借款当期实际发生的</w:t>
      </w:r>
    </w:p>
    <w:p>
      <w:pPr>
        <w:pStyle w:val="BodyText"/>
        <w:spacing w:line="240" w:lineRule="auto" w:before="55"/>
        <w:ind w:right="1189"/>
        <w:jc w:val="left"/>
      </w:pPr>
      <w:r>
        <w:rPr/>
        <w:t>利息费用</w:t>
      </w:r>
      <w:r>
        <w:rPr>
          <w:rFonts w:ascii="Times New Roman" w:hAnsi="Times New Roman" w:cs="Times New Roman" w:eastAsia="Times New Roman" w:hint="default"/>
        </w:rPr>
        <w:t>(</w:t>
      </w:r>
      <w:r>
        <w:rPr/>
        <w:t>包括按照实际利率法确定的折价或溢价的摊销</w:t>
      </w:r>
      <w:r>
        <w:rPr>
          <w:rFonts w:ascii="Times New Roman" w:hAnsi="Times New Roman" w:cs="Times New Roman" w:eastAsia="Times New Roman" w:hint="default"/>
        </w:rPr>
        <w:t>)</w:t>
      </w:r>
      <w:r>
        <w:rPr/>
        <w:t>，减去将尚未动用的借款资金存入</w:t>
      </w:r>
    </w:p>
    <w:p>
      <w:pPr>
        <w:spacing w:after="0" w:line="240"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5" w:lineRule="auto" w:before="26"/>
        <w:ind w:right="1171"/>
        <w:jc w:val="both"/>
      </w:pPr>
      <w:r>
        <w:rPr/>
        <w:t>银行取得的利息收入或进行暂时性投资取得的投资收益后的金额，确定应予资本化的利息金 额；为购建或者生产符合资本化条件的资产占用了一般借款的，根据累计资产支出超过专门 借款的资产支出加权平均数乘以占用一般借款的资本化率</w:t>
      </w:r>
      <w:r>
        <w:rPr>
          <w:rFonts w:ascii="Times New Roman" w:hAnsi="Times New Roman" w:cs="Times New Roman" w:eastAsia="Times New Roman" w:hint="default"/>
        </w:rPr>
        <w:t>(</w:t>
      </w:r>
      <w:r>
        <w:rPr/>
        <w:t>加权平均利率</w:t>
      </w:r>
      <w:r>
        <w:rPr>
          <w:rFonts w:ascii="Times New Roman" w:hAnsi="Times New Roman" w:cs="Times New Roman" w:eastAsia="Times New Roman" w:hint="default"/>
        </w:rPr>
        <w:t>)</w:t>
      </w:r>
      <w:r>
        <w:rPr/>
        <w:t>，计算确定一般借 款应予资本化的利息金额。在资本化期间内，每一会计期间的利息资本化金额不超过当期相 关借款实际发生的利息金额。外币专门借款本金及利息的汇兑差额，在资本化期间内予以资 本化。专门借款发生的辅助费用，在所购建或生产的符合资本化条件的资产达到预定可使用 或者可销售状态之前发生的，予以资本化；在达到预定可使用或者可销售状态之后发生的， 计入当期损益。一般借款发生的辅助费用，在发生时计入当期损益。借款存在折价或者溢价 的，按照实际利率法确定每一会计期间应摊销的折价或者溢价金额，调整每期利息金额。</w:t>
      </w:r>
    </w:p>
    <w:p>
      <w:pPr>
        <w:pStyle w:val="Heading2"/>
        <w:spacing w:line="240" w:lineRule="auto" w:before="38"/>
        <w:ind w:left="635" w:right="1273"/>
        <w:jc w:val="left"/>
        <w:rPr>
          <w:b w:val="0"/>
          <w:bCs w:val="0"/>
        </w:rPr>
      </w:pPr>
      <w:r>
        <w:rPr>
          <w:rFonts w:ascii="Times New Roman" w:hAnsi="Times New Roman" w:cs="Times New Roman" w:eastAsia="Times New Roman" w:hint="default"/>
        </w:rPr>
        <w:t>19</w:t>
      </w:r>
      <w:r>
        <w:rPr/>
        <w:t>、无形资产</w:t>
      </w:r>
      <w:r>
        <w:rPr>
          <w:b w:val="0"/>
          <w:bCs w:val="0"/>
        </w:rPr>
      </w:r>
    </w:p>
    <w:p>
      <w:pPr>
        <w:pStyle w:val="Heading2"/>
        <w:spacing w:line="240" w:lineRule="auto" w:before="135"/>
        <w:ind w:left="635" w:right="127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357" w:lineRule="auto" w:before="135"/>
        <w:ind w:left="633" w:right="1153"/>
        <w:jc w:val="left"/>
      </w:pPr>
      <w:r>
        <w:rPr/>
        <w:t>①无形资产的初始计量 无形资产按成本进行初始计量。外购无形资产的成本，包括购买价、相关税费以及直接</w:t>
      </w:r>
    </w:p>
    <w:p>
      <w:pPr>
        <w:pStyle w:val="BodyText"/>
        <w:spacing w:line="357" w:lineRule="auto"/>
        <w:ind w:right="1170"/>
        <w:jc w:val="both"/>
      </w:pPr>
      <w:r>
        <w:rPr/>
        <w:t>归属于该项资产达到预定用途所发生的其他支出。购买无形资产的价款超过正常信用条件延 期支付，实质上具有融资性质的，无形资产的成本以购买价款的现值为基础确定。债务重组 取得债务人用以抵债的无形资产，以该无形资产的公允价值为基础确定其入账价值，并将重 组债务的账面价值与该用以抵债的无形资产公允价值之间的差额，计入当期损益。在非货币 性资产交换具备商业实质且换入或换出资产的公允价值能够可靠计量的前提下，非货币性资 产交换换入的无形资产以换出资产的公允价值为基础确定其入账价值，除非有确凿证据表明 换入资产的公允价值更可靠；不满足上述前提的非货币性资产交换，以换出资产的账面价值 和应支付的相关税费作为换入无形资产的成本，不确认损益。</w:t>
      </w:r>
    </w:p>
    <w:p>
      <w:pPr>
        <w:pStyle w:val="BodyText"/>
        <w:spacing w:line="357" w:lineRule="auto"/>
        <w:ind w:right="1170" w:firstLine="480"/>
        <w:jc w:val="both"/>
      </w:pPr>
      <w:r>
        <w:rPr/>
        <w:t>与无形资产有关的支出，如果相关的经济利益很可能流入本公司且成本能可靠地计量， 则计入无形资产成本。除此之外的其他项目的支出，在发生时计入当期损益。</w:t>
      </w:r>
    </w:p>
    <w:p>
      <w:pPr>
        <w:pStyle w:val="BodyText"/>
        <w:spacing w:line="357" w:lineRule="auto" w:before="37"/>
        <w:ind w:right="1171" w:firstLine="480"/>
        <w:jc w:val="both"/>
      </w:pPr>
      <w:r>
        <w:rPr/>
        <w:t>取得的土地使用权通常作为无形资产核算。自行开发构建厂房等建筑物，相关的土地使 用权支出和建筑物建造成本分别作为无形资产和固定资产核算。如为外购的房屋及建筑物， 则将有关价款在土地使用权和建筑物之间分配，难以合理分配的，全部作为固定资产处理。</w:t>
      </w:r>
    </w:p>
    <w:p>
      <w:pPr>
        <w:pStyle w:val="BodyText"/>
        <w:spacing w:line="357" w:lineRule="auto"/>
        <w:ind w:left="633" w:right="1153"/>
        <w:jc w:val="left"/>
      </w:pPr>
      <w:r>
        <w:rPr/>
        <w:t>②无形资产使用寿命及摊销 根据无形资产的合同性权利或其他法定权利、同行业情况、历史经验、相关专家论证等</w:t>
      </w:r>
    </w:p>
    <w:p>
      <w:pPr>
        <w:pStyle w:val="BodyText"/>
        <w:spacing w:line="240" w:lineRule="auto"/>
        <w:ind w:right="0"/>
        <w:jc w:val="both"/>
      </w:pPr>
      <w:r>
        <w:rPr/>
        <w:t>综合因素判断，能合理确定无形资产为公司带来经济利益期限的，作为使用寿命有限的无形</w:t>
      </w:r>
    </w:p>
    <w:p>
      <w:pPr>
        <w:spacing w:after="0" w:line="240"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40" w:lineRule="auto" w:before="26"/>
        <w:ind w:left="0" w:right="1131"/>
        <w:jc w:val="right"/>
      </w:pPr>
      <w:r>
        <w:rPr>
          <w:spacing w:val="-5"/>
        </w:rPr>
        <w:t>资产；无法合理确定无形资产为公司带来经济利益期限的，视为使用寿命不确定的无形资产。</w:t>
      </w:r>
      <w:r>
        <w:rPr/>
        <w:t> </w:t>
      </w:r>
      <w:r>
        <w:rPr>
          <w:spacing w:val="-1"/>
        </w:rPr>
        <w:t>对使用寿命有限的无形资产，估计其使用寿命时通常考虑以下因素：</w:t>
      </w:r>
      <w:r>
        <w:rPr>
          <w:rFonts w:ascii="Times New Roman" w:hAnsi="Times New Roman" w:cs="Times New Roman" w:eastAsia="Times New Roman" w:hint="default"/>
          <w:spacing w:val="-1"/>
        </w:rPr>
        <w:t>(1)</w:t>
      </w:r>
      <w:r>
        <w:rPr>
          <w:spacing w:val="-1"/>
        </w:rPr>
        <w:t>运用该资产生产</w:t>
      </w:r>
      <w:r>
        <w:rPr/>
        <w:t> </w:t>
      </w:r>
      <w:r>
        <w:rPr>
          <w:spacing w:val="-1"/>
        </w:rPr>
        <w:t>的产品通常的寿命周期、可获得的类似资产使用寿命的信息；</w:t>
      </w:r>
      <w:r>
        <w:rPr>
          <w:rFonts w:ascii="Times New Roman" w:hAnsi="Times New Roman" w:cs="Times New Roman" w:eastAsia="Times New Roman" w:hint="default"/>
          <w:spacing w:val="-1"/>
        </w:rPr>
        <w:t>(2)</w:t>
      </w:r>
      <w:r>
        <w:rPr>
          <w:spacing w:val="-1"/>
        </w:rPr>
        <w:t>技术、工艺等方面的现阶段</w:t>
      </w:r>
      <w:r>
        <w:rPr>
          <w:spacing w:val="-87"/>
        </w:rPr>
        <w:t> </w:t>
      </w:r>
      <w:r>
        <w:rPr>
          <w:spacing w:val="-1"/>
        </w:rPr>
        <w:t>情况及对未来发展趋势的估计；</w:t>
      </w:r>
      <w:r>
        <w:rPr>
          <w:rFonts w:ascii="Times New Roman" w:hAnsi="Times New Roman" w:cs="Times New Roman" w:eastAsia="Times New Roman" w:hint="default"/>
          <w:spacing w:val="-1"/>
        </w:rPr>
        <w:t>(3)</w:t>
      </w:r>
      <w:r>
        <w:rPr>
          <w:spacing w:val="-1"/>
        </w:rPr>
        <w:t>以该资产生产的产品或提供劳务的市场需求情况；</w:t>
      </w:r>
      <w:r>
        <w:rPr>
          <w:rFonts w:ascii="Times New Roman" w:hAnsi="Times New Roman" w:cs="Times New Roman" w:eastAsia="Times New Roman" w:hint="default"/>
          <w:spacing w:val="-1"/>
        </w:rPr>
        <w:t>(4)</w:t>
      </w:r>
      <w:r>
        <w:rPr>
          <w:spacing w:val="-1"/>
        </w:rPr>
        <w:t>现在</w:t>
      </w:r>
      <w:r>
        <w:rPr/>
        <w:t> </w:t>
      </w:r>
      <w:r>
        <w:rPr>
          <w:spacing w:val="-1"/>
        </w:rPr>
        <w:t>或潜在的竞争者预期采取的行动；</w:t>
      </w:r>
      <w:r>
        <w:rPr>
          <w:rFonts w:ascii="Times New Roman" w:hAnsi="Times New Roman" w:cs="Times New Roman" w:eastAsia="Times New Roman" w:hint="default"/>
          <w:spacing w:val="-1"/>
        </w:rPr>
        <w:t>(5)</w:t>
      </w:r>
      <w:r>
        <w:rPr>
          <w:spacing w:val="-1"/>
        </w:rPr>
        <w:t>为维持该资产带来经济利益能力的预期维护支出，以及</w:t>
      </w:r>
      <w:r>
        <w:rPr>
          <w:spacing w:val="-89"/>
        </w:rPr>
        <w:t> </w:t>
      </w:r>
      <w:r>
        <w:rPr>
          <w:spacing w:val="-1"/>
        </w:rPr>
        <w:t>公司预计支付有关支出的能力；</w:t>
      </w:r>
      <w:r>
        <w:rPr>
          <w:rFonts w:ascii="Times New Roman" w:hAnsi="Times New Roman" w:cs="Times New Roman" w:eastAsia="Times New Roman" w:hint="default"/>
          <w:spacing w:val="-1"/>
        </w:rPr>
        <w:t>(6)</w:t>
      </w:r>
      <w:r>
        <w:rPr>
          <w:spacing w:val="-1"/>
        </w:rPr>
        <w:t>对该资产控制期限的相关法律规定或类似限制，如特许使</w:t>
      </w:r>
      <w:r>
        <w:rPr>
          <w:spacing w:val="-89"/>
        </w:rPr>
        <w:t> </w:t>
      </w:r>
      <w:r>
        <w:rPr>
          <w:spacing w:val="-1"/>
        </w:rPr>
        <w:t>用期、租赁期等；</w:t>
      </w:r>
      <w:r>
        <w:rPr>
          <w:rFonts w:ascii="Times New Roman" w:hAnsi="Times New Roman" w:cs="Times New Roman" w:eastAsia="Times New Roman" w:hint="default"/>
          <w:spacing w:val="-1"/>
        </w:rPr>
        <w:t>(7)</w:t>
      </w:r>
      <w:r>
        <w:rPr>
          <w:spacing w:val="-1"/>
        </w:rPr>
        <w:t>与公司持有其他资产使用寿命的关联性等。使用寿命有限的无形资产的</w:t>
      </w:r>
    </w:p>
    <w:p>
      <w:pPr>
        <w:pStyle w:val="BodyText"/>
        <w:spacing w:line="240" w:lineRule="auto" w:before="24"/>
        <w:ind w:right="1273"/>
        <w:jc w:val="left"/>
        <w:rPr>
          <w:rFonts w:ascii="Times New Roman" w:hAnsi="Times New Roman" w:cs="Times New Roman" w:eastAsia="Times New Roman" w:hint="default"/>
        </w:rPr>
      </w:pPr>
      <w:r>
        <w:rPr/>
        <w:t>使用寿命估计情况</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1"/>
        <w:gridCol w:w="2890"/>
        <w:gridCol w:w="3589"/>
      </w:tblGrid>
      <w:tr>
        <w:trPr>
          <w:trHeight w:val="341"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预计使用寿命依据</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3"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预计受益期限</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2-10</w:t>
            </w:r>
          </w:p>
        </w:tc>
      </w:tr>
      <w:tr>
        <w:trPr>
          <w:trHeight w:val="341"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预计受益期限</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2-5</w:t>
            </w:r>
          </w:p>
        </w:tc>
      </w:tr>
      <w:tr>
        <w:trPr>
          <w:trHeight w:val="343"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土地使用权证登记使用年限</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40</w:t>
            </w:r>
          </w:p>
        </w:tc>
      </w:tr>
    </w:tbl>
    <w:p>
      <w:pPr>
        <w:pStyle w:val="BodyText"/>
        <w:spacing w:line="357" w:lineRule="auto" w:before="39"/>
        <w:ind w:right="1138" w:firstLine="480"/>
        <w:jc w:val="both"/>
      </w:pPr>
      <w:r>
        <w:rPr/>
        <w:t>使用寿命有限的无形资产，在使用寿命内按照与该项无形资产有关的经济利益的预期实 现方式系统合理地摊销，无法可靠确定预期实现方式的，采用直线法摊销。使用寿命不确定</w:t>
      </w:r>
      <w:r>
        <w:rPr>
          <w:spacing w:val="-91"/>
        </w:rPr>
        <w:t> </w:t>
      </w:r>
      <w:r>
        <w:rPr>
          <w:spacing w:val="-91"/>
        </w:rPr>
      </w:r>
      <w:r>
        <w:rPr/>
        <w:t>的无形资产不予摊销，但每年均对该无形资产的使用寿命进行复核，并进行减值测试。</w:t>
      </w:r>
    </w:p>
    <w:p>
      <w:pPr>
        <w:pStyle w:val="BodyText"/>
        <w:spacing w:line="357" w:lineRule="auto"/>
        <w:ind w:right="1171" w:firstLine="480"/>
        <w:jc w:val="both"/>
      </w:pPr>
      <w:r>
        <w:rPr/>
        <w:t>本公司于每年年度终了，对使用寿命有限的无形资产的使用寿命及摊销方法进行复核， 与以前估计不同的，调整原先估计数，并按会计估计变更处理；预计某项无形资产已经不能 给企业带来未来经济利益的，将该项无形资产的账面价值全部转入当期损益。</w:t>
      </w:r>
    </w:p>
    <w:p>
      <w:pPr>
        <w:spacing w:line="338" w:lineRule="auto" w:before="36"/>
        <w:ind w:left="633" w:right="111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）内部研究开发支出会计政策</w:t>
      </w:r>
      <w:r>
        <w:rPr>
          <w:rFonts w:ascii="宋体" w:hAnsi="宋体" w:cs="宋体" w:eastAsia="宋体" w:hint="default"/>
          <w:b/>
          <w:bCs/>
          <w:w w:val="99"/>
          <w:sz w:val="24"/>
          <w:szCs w:val="24"/>
        </w:rPr>
        <w:t> </w:t>
      </w:r>
      <w:r>
        <w:rPr>
          <w:rFonts w:ascii="宋体" w:hAnsi="宋体" w:cs="宋体" w:eastAsia="宋体" w:hint="default"/>
          <w:sz w:val="24"/>
          <w:szCs w:val="24"/>
        </w:rPr>
        <w:t>内部研究开发项目的支出，区分为研究阶段支出和开发阶段支出。划分研究阶段和开发</w:t>
      </w:r>
    </w:p>
    <w:p>
      <w:pPr>
        <w:pStyle w:val="BodyText"/>
        <w:spacing w:line="357" w:lineRule="auto" w:before="55"/>
        <w:ind w:right="1138"/>
        <w:jc w:val="both"/>
      </w:pPr>
      <w:r>
        <w:rPr/>
        <w:t>阶段的标准：为获取新的技术和知识等进行的有计划的调查阶段，应确定为研究阶段，该阶</w:t>
      </w:r>
      <w:r>
        <w:rPr>
          <w:spacing w:val="-91"/>
        </w:rPr>
        <w:t> </w:t>
      </w:r>
      <w:r>
        <w:rPr>
          <w:spacing w:val="-91"/>
        </w:rPr>
      </w:r>
      <w:r>
        <w:rPr/>
        <w:t>段具有计划性和探索性等特点；在进行商业性生产或使用前，将研究成果或其他知识应用于</w:t>
      </w:r>
      <w:r>
        <w:rPr>
          <w:spacing w:val="-91"/>
        </w:rPr>
        <w:t> </w:t>
      </w:r>
      <w:r>
        <w:rPr>
          <w:spacing w:val="-91"/>
        </w:rPr>
      </w:r>
      <w:r>
        <w:rPr/>
        <w:t>某项计划或设计，以生产出新的或具有实质性改进的材料、装置、产品等阶段，应确定为开</w:t>
      </w:r>
      <w:r>
        <w:rPr>
          <w:spacing w:val="-91"/>
        </w:rPr>
        <w:t> </w:t>
      </w:r>
      <w:r>
        <w:rPr>
          <w:spacing w:val="-91"/>
        </w:rPr>
      </w:r>
      <w:r>
        <w:rPr/>
        <w:t>发阶段，该阶段具有针对性和形成成果的可能性较大等特点。</w:t>
      </w:r>
    </w:p>
    <w:p>
      <w:pPr>
        <w:pStyle w:val="BodyText"/>
        <w:spacing w:line="357" w:lineRule="auto" w:before="37"/>
        <w:ind w:right="1169" w:firstLine="480"/>
        <w:jc w:val="both"/>
      </w:pPr>
      <w:r>
        <w:rPr/>
        <w:t>内部研究开发项目研究阶段的支出，于发生时计入当期损益。内部研究开发项目开发阶 段的支出，同时满足下列条件的，确认为无形资产：①完成该无形资产以使其能够使用或出 售在技术上具有可行性；②具有完成该无形资产并使用或出售的意图；③无形资产产生经济 利益的方式，包括能够证明运用该无形资产生产的产品存在市场或无形资产自身存在市场， 无形资产将在内部使用的，可证明其有用性；④有足够的技术、财务资源和其他资源支持， 以完成该无形资产的开发，并有能力使用或出售该无形资产；⑤归属于该无形资产开发阶段 的支出能够可靠地计量。如不满足上述条件的，于发生时计入当期损益；无法区分研究阶段</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支出和开发阶段支出的，将发生的研发支出全部计入当期损益。</w:t>
      </w:r>
    </w:p>
    <w:p>
      <w:pPr>
        <w:spacing w:line="338" w:lineRule="auto" w:before="154"/>
        <w:ind w:left="633" w:right="111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r>
      <w:r>
        <w:rPr>
          <w:rFonts w:ascii="宋体" w:hAnsi="宋体" w:cs="宋体" w:eastAsia="宋体" w:hint="default"/>
          <w:b/>
          <w:bCs/>
          <w:sz w:val="24"/>
          <w:szCs w:val="24"/>
        </w:rPr>
        <w:t>、长期资产减值</w:t>
      </w:r>
      <w:r>
        <w:rPr>
          <w:rFonts w:ascii="宋体" w:hAnsi="宋体" w:cs="宋体" w:eastAsia="宋体" w:hint="default"/>
          <w:b/>
          <w:bCs/>
          <w:w w:val="99"/>
          <w:sz w:val="24"/>
          <w:szCs w:val="24"/>
        </w:rPr>
        <w:t> </w:t>
      </w:r>
      <w:r>
        <w:rPr>
          <w:rFonts w:ascii="宋体" w:hAnsi="宋体" w:cs="宋体" w:eastAsia="宋体" w:hint="default"/>
          <w:sz w:val="24"/>
          <w:szCs w:val="24"/>
        </w:rPr>
        <w:t>长期股权投资、采用成本模式计量的投资性房地产和生产性生物资产、固定资产、在建</w:t>
      </w:r>
    </w:p>
    <w:p>
      <w:pPr>
        <w:pStyle w:val="BodyText"/>
        <w:spacing w:line="240" w:lineRule="auto" w:before="55"/>
        <w:ind w:right="0"/>
        <w:jc w:val="both"/>
      </w:pPr>
      <w:r>
        <w:rPr>
          <w:spacing w:val="-5"/>
        </w:rPr>
        <w:t>工程、油气资产、无形资产、商誉等长期资产，存在下列迹象的，表明资产可能发生了减值：</w:t>
      </w:r>
    </w:p>
    <w:p>
      <w:pPr>
        <w:pStyle w:val="BodyText"/>
        <w:spacing w:line="338" w:lineRule="auto" w:before="154"/>
        <w:ind w:right="1132" w:firstLine="480"/>
        <w:jc w:val="both"/>
      </w:pPr>
      <w:r>
        <w:rPr>
          <w:spacing w:val="-3"/>
        </w:rPr>
        <w:t>（</w:t>
      </w:r>
      <w:r>
        <w:rPr>
          <w:rFonts w:ascii="Times New Roman" w:hAnsi="Times New Roman" w:cs="Times New Roman" w:eastAsia="Times New Roman" w:hint="default"/>
          <w:spacing w:val="-3"/>
        </w:rPr>
        <w:t>1</w:t>
      </w:r>
      <w:r>
        <w:rPr>
          <w:spacing w:val="-3"/>
        </w:rPr>
        <w:t>）资产的市价当期大幅度下跌，其跌幅明显高于因时间的推移或者正常使用而预计的</w:t>
      </w:r>
      <w:r>
        <w:rPr/>
        <w:t> 下跌；</w:t>
      </w:r>
    </w:p>
    <w:p>
      <w:pPr>
        <w:pStyle w:val="BodyText"/>
        <w:spacing w:line="338" w:lineRule="auto" w:before="55"/>
        <w:ind w:right="1132" w:firstLine="480"/>
        <w:jc w:val="both"/>
      </w:pPr>
      <w:r>
        <w:rPr>
          <w:spacing w:val="-3"/>
        </w:rPr>
        <w:t>（</w:t>
      </w:r>
      <w:r>
        <w:rPr>
          <w:rFonts w:ascii="Times New Roman" w:hAnsi="Times New Roman" w:cs="Times New Roman" w:eastAsia="Times New Roman" w:hint="default"/>
          <w:spacing w:val="-3"/>
        </w:rPr>
        <w:t>2</w:t>
      </w:r>
      <w:r>
        <w:rPr>
          <w:spacing w:val="-3"/>
        </w:rPr>
        <w:t>）企业经营所处的经济、技术或者法律等环境以及资产所处的市场在当期或者将在近</w:t>
      </w:r>
      <w:r>
        <w:rPr/>
        <w:t> 期发生重大变化，从而对企业产生不利影响；</w:t>
      </w:r>
    </w:p>
    <w:p>
      <w:pPr>
        <w:pStyle w:val="BodyText"/>
        <w:spacing w:line="338" w:lineRule="auto" w:before="56"/>
        <w:ind w:right="1132" w:firstLine="480"/>
        <w:jc w:val="both"/>
      </w:pPr>
      <w:r>
        <w:rPr>
          <w:spacing w:val="-3"/>
        </w:rPr>
        <w:t>（</w:t>
      </w:r>
      <w:r>
        <w:rPr>
          <w:rFonts w:ascii="Times New Roman" w:hAnsi="Times New Roman" w:cs="Times New Roman" w:eastAsia="Times New Roman" w:hint="default"/>
          <w:spacing w:val="-3"/>
        </w:rPr>
        <w:t>3</w:t>
      </w:r>
      <w:r>
        <w:rPr>
          <w:spacing w:val="-3"/>
        </w:rPr>
        <w:t>）市场利率或者其他市场投资报酬率在当期已经提高，从而影响企业计算资产预计未</w:t>
      </w:r>
      <w:r>
        <w:rPr/>
        <w:t> 来现金流量现值的折现率，导致资产可收回金额大幅度降低；</w:t>
      </w:r>
    </w:p>
    <w:p>
      <w:pPr>
        <w:pStyle w:val="BodyText"/>
        <w:spacing w:line="240" w:lineRule="auto" w:before="55"/>
        <w:ind w:left="633" w:right="1273"/>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135"/>
        <w:ind w:left="633" w:right="1273"/>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38" w:lineRule="auto" w:before="135"/>
        <w:ind w:right="1132" w:firstLine="480"/>
        <w:jc w:val="both"/>
      </w:pPr>
      <w:r>
        <w:rPr>
          <w:spacing w:val="-3"/>
        </w:rPr>
        <w:t>（</w:t>
      </w:r>
      <w:r>
        <w:rPr>
          <w:rFonts w:ascii="Times New Roman" w:hAnsi="Times New Roman" w:cs="Times New Roman" w:eastAsia="Times New Roman" w:hint="default"/>
          <w:spacing w:val="-3"/>
        </w:rPr>
        <w:t>6</w:t>
      </w:r>
      <w:r>
        <w:rPr>
          <w:spacing w:val="-3"/>
        </w:rPr>
        <w:t>）企业内部报告的证据表明资产的经济绩效已经低于或者将低于预期，如资产所创造</w:t>
      </w:r>
      <w:r>
        <w:rPr/>
        <w:t> 的净现金流量或者实现的营业利润</w:t>
      </w:r>
      <w:r>
        <w:rPr>
          <w:rFonts w:ascii="Times New Roman" w:hAnsi="Times New Roman" w:cs="Times New Roman" w:eastAsia="Times New Roman" w:hint="default"/>
        </w:rPr>
        <w:t>(</w:t>
      </w:r>
      <w:r>
        <w:rPr/>
        <w:t>或者亏损</w:t>
      </w:r>
      <w:r>
        <w:rPr>
          <w:rFonts w:ascii="Times New Roman" w:hAnsi="Times New Roman" w:cs="Times New Roman" w:eastAsia="Times New Roman" w:hint="default"/>
        </w:rPr>
        <w:t>)</w:t>
      </w:r>
      <w:r>
        <w:rPr/>
        <w:t>远远低于</w:t>
      </w:r>
      <w:r>
        <w:rPr>
          <w:rFonts w:ascii="Times New Roman" w:hAnsi="Times New Roman" w:cs="Times New Roman" w:eastAsia="Times New Roman" w:hint="default"/>
        </w:rPr>
        <w:t>(</w:t>
      </w:r>
      <w:r>
        <w:rPr/>
        <w:t>或者高于</w:t>
      </w:r>
      <w:r>
        <w:rPr>
          <w:rFonts w:ascii="Times New Roman" w:hAnsi="Times New Roman" w:cs="Times New Roman" w:eastAsia="Times New Roman" w:hint="default"/>
        </w:rPr>
        <w:t>)</w:t>
      </w:r>
      <w:r>
        <w:rPr/>
        <w:t>预计金额等；</w:t>
      </w:r>
    </w:p>
    <w:p>
      <w:pPr>
        <w:pStyle w:val="BodyText"/>
        <w:spacing w:line="338" w:lineRule="auto" w:before="27"/>
        <w:ind w:left="633" w:right="1116"/>
        <w:jc w:val="left"/>
      </w:pPr>
      <w:r>
        <w:rPr/>
        <w:t>（</w:t>
      </w:r>
      <w:r>
        <w:rPr>
          <w:rFonts w:ascii="Times New Roman" w:hAnsi="Times New Roman" w:cs="Times New Roman" w:eastAsia="Times New Roman" w:hint="default"/>
        </w:rPr>
        <w:t>7</w:t>
      </w:r>
      <w:r>
        <w:rPr/>
        <w:t>）其他表明资产可能已经发生减值的迹象。 上述长期资产于资产负债日存在减值迹象的，应当进行减值测试。减值测试结果表明资</w:t>
      </w:r>
    </w:p>
    <w:p>
      <w:pPr>
        <w:pStyle w:val="BodyText"/>
        <w:spacing w:line="352" w:lineRule="auto" w:before="55"/>
        <w:ind w:right="1138"/>
        <w:jc w:val="both"/>
      </w:pPr>
      <w:r>
        <w:rPr/>
        <w:t>产的可收回金额低于其账面价值的，按其差额计提减值准备并计入减值损失。可收回金额为</w:t>
      </w:r>
      <w:r>
        <w:rPr>
          <w:spacing w:val="-91"/>
        </w:rPr>
        <w:t> </w:t>
      </w:r>
      <w:r>
        <w:rPr>
          <w:spacing w:val="-91"/>
        </w:rPr>
      </w:r>
      <w:r>
        <w:rPr/>
        <w:t>资产的公允价值减去处置费用后的净额与资产预计未来现金流量的现值两者之间的较高者。</w:t>
      </w:r>
      <w:r>
        <w:rPr>
          <w:spacing w:val="-91"/>
        </w:rPr>
        <w:t> </w:t>
      </w:r>
      <w:r>
        <w:rPr>
          <w:spacing w:val="-91"/>
        </w:rPr>
      </w:r>
      <w:r>
        <w:rPr>
          <w:spacing w:val="2"/>
        </w:rPr>
        <w:t>公允价值的确定方法详见本附注三</w:t>
      </w:r>
      <w:r>
        <w:rPr>
          <w:rFonts w:ascii="Times New Roman" w:hAnsi="Times New Roman" w:cs="Times New Roman" w:eastAsia="Times New Roman" w:hint="default"/>
          <w:spacing w:val="2"/>
        </w:rPr>
        <w:t>(</w:t>
      </w:r>
      <w:r>
        <w:rPr>
          <w:spacing w:val="2"/>
        </w:rPr>
        <w:t>十一</w:t>
      </w:r>
      <w:r>
        <w:rPr>
          <w:rFonts w:ascii="Times New Roman" w:hAnsi="Times New Roman" w:cs="Times New Roman" w:eastAsia="Times New Roman" w:hint="default"/>
          <w:spacing w:val="2"/>
        </w:rPr>
        <w:t>)</w:t>
      </w:r>
      <w:r>
        <w:rPr>
          <w:spacing w:val="2"/>
        </w:rPr>
        <w:t>；处置费用包括与资产处置有关的法律费用、相关</w:t>
      </w:r>
      <w:r>
        <w:rPr>
          <w:spacing w:val="-105"/>
        </w:rPr>
        <w:t> </w:t>
      </w:r>
      <w:r>
        <w:rPr>
          <w:spacing w:val="-105"/>
        </w:rPr>
      </w:r>
      <w:r>
        <w:rPr/>
        <w:t>税费、搬运费以及为使资产达到可销售状态所发生的直接费用；资产预计未来现金流量的现</w:t>
      </w:r>
      <w:r>
        <w:rPr>
          <w:spacing w:val="-91"/>
        </w:rPr>
        <w:t> </w:t>
      </w:r>
      <w:r>
        <w:rPr>
          <w:spacing w:val="-91"/>
        </w:rPr>
      </w:r>
      <w:r>
        <w:rPr/>
        <w:t>值，按照资产在持续使用过程中和最终处置时所产生的预计未来现金流量，选择恰当的折现</w:t>
      </w:r>
      <w:r>
        <w:rPr>
          <w:spacing w:val="-91"/>
        </w:rPr>
        <w:t> </w:t>
      </w:r>
      <w:r>
        <w:rPr>
          <w:spacing w:val="-91"/>
        </w:rPr>
      </w:r>
      <w:r>
        <w:rPr/>
        <w:t>率对其进行折现后的金额加以确定。</w:t>
      </w:r>
    </w:p>
    <w:p>
      <w:pPr>
        <w:pStyle w:val="BodyText"/>
        <w:spacing w:line="357" w:lineRule="auto" w:before="41"/>
        <w:ind w:right="1138" w:firstLine="480"/>
        <w:jc w:val="both"/>
      </w:pPr>
      <w:r>
        <w:rPr/>
        <w:t>资产减值准备按单项资产为基础计算并确认，如果难以对单项资产的可收回金额进行估 计的，以资产组所属的资产组确定资产组的可收回金额。资产组是能够独立产生现金流入的</w:t>
      </w:r>
      <w:r>
        <w:rPr>
          <w:spacing w:val="-91"/>
        </w:rPr>
        <w:t> </w:t>
      </w:r>
      <w:r>
        <w:rPr>
          <w:spacing w:val="-91"/>
        </w:rPr>
      </w:r>
      <w:r>
        <w:rPr/>
        <w:t>最小资产组合。</w:t>
      </w:r>
    </w:p>
    <w:p>
      <w:pPr>
        <w:pStyle w:val="BodyText"/>
        <w:spacing w:line="357" w:lineRule="auto"/>
        <w:ind w:right="1133" w:firstLine="480"/>
        <w:jc w:val="both"/>
      </w:pPr>
      <w:r>
        <w:rPr/>
        <w:t>在财务报表中单独列示的商誉，在进行减值测试时，将商誉的账面价值分摊至预期从企 业合并的协同效应收益中收益的资产组或资产组组合。测试结果表明包含分摊的商誉的资产</w:t>
      </w:r>
      <w:r>
        <w:rPr>
          <w:spacing w:val="-91"/>
        </w:rPr>
        <w:t> </w:t>
      </w:r>
      <w:r>
        <w:rPr>
          <w:spacing w:val="-91"/>
        </w:rPr>
      </w:r>
      <w:r>
        <w:rPr/>
        <w:t>组或者资产组组合的可收回金额低于其账面价值的，确认相应的减值损失。减值损失金额先</w:t>
      </w:r>
      <w:r>
        <w:rPr>
          <w:spacing w:val="-91"/>
        </w:rPr>
        <w:t> </w:t>
      </w:r>
      <w:r>
        <w:rPr>
          <w:spacing w:val="-91"/>
        </w:rPr>
      </w:r>
      <w:r>
        <w:rPr/>
        <w:t>抵减分摊至该资产组或者资产组组合的商誉的账面价值，再根据资产组或者资产组组合中除</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633" w:hanging="480"/>
        <w:jc w:val="left"/>
      </w:pPr>
      <w:r>
        <w:rPr/>
        <w:t>商誉以外的其他各项资产的账面价值所占比重，按比例抵减其他各项资产的账面价值。 商誉和使用寿命不确定的无形资产至少在每年年终终了进行减值测试。 上述资产减值损失一经确认，在以后期间不予转回。</w:t>
      </w:r>
    </w:p>
    <w:p>
      <w:pPr>
        <w:spacing w:line="338" w:lineRule="auto" w:before="36"/>
        <w:ind w:left="633" w:right="111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w:t>
      </w:r>
      <w:r>
        <w:rPr>
          <w:rFonts w:ascii="宋体" w:hAnsi="宋体" w:cs="宋体" w:eastAsia="宋体" w:hint="default"/>
          <w:b/>
          <w:bCs/>
          <w:sz w:val="24"/>
          <w:szCs w:val="24"/>
        </w:rPr>
        <w:t>、长期待摊费用</w:t>
      </w:r>
      <w:r>
        <w:rPr>
          <w:rFonts w:ascii="宋体" w:hAnsi="宋体" w:cs="宋体" w:eastAsia="宋体" w:hint="default"/>
          <w:b/>
          <w:bCs/>
          <w:w w:val="99"/>
          <w:sz w:val="24"/>
          <w:szCs w:val="24"/>
        </w:rPr>
        <w:t> </w:t>
      </w:r>
      <w:r>
        <w:rPr>
          <w:rFonts w:ascii="宋体" w:hAnsi="宋体" w:cs="宋体" w:eastAsia="宋体" w:hint="default"/>
          <w:sz w:val="24"/>
          <w:szCs w:val="24"/>
        </w:rPr>
        <w:t>长期待摊费用按实际支出入账，在受益期或规定的期限内平均摊销。如果长期待摊的费</w:t>
      </w:r>
    </w:p>
    <w:p>
      <w:pPr>
        <w:pStyle w:val="BodyText"/>
        <w:spacing w:line="357" w:lineRule="auto" w:before="55"/>
        <w:ind w:right="1138"/>
        <w:jc w:val="both"/>
      </w:pPr>
      <w:r>
        <w:rPr/>
        <w:t>用项目不能使以后会计期间受益，则将尚未摊销的该项目的摊余价值全部转入当期损益。其</w:t>
      </w:r>
      <w:r>
        <w:rPr>
          <w:spacing w:val="-91"/>
        </w:rPr>
        <w:t> </w:t>
      </w:r>
      <w:r>
        <w:rPr>
          <w:spacing w:val="-91"/>
        </w:rPr>
      </w:r>
      <w:r>
        <w:rPr/>
        <w:t>中：</w:t>
      </w:r>
    </w:p>
    <w:p>
      <w:pPr>
        <w:pStyle w:val="BodyText"/>
        <w:spacing w:line="357" w:lineRule="auto"/>
        <w:ind w:left="633" w:right="1116"/>
        <w:jc w:val="left"/>
      </w:pPr>
      <w:r>
        <w:rPr/>
        <w:t>预付经营租入固定资产的租金，按租赁合同规定的期限平均摊销。 经营租赁方式租入的固定资产改良支出，按剩余租赁期与租赁资产尚可使用年限两者中</w:t>
      </w:r>
    </w:p>
    <w:p>
      <w:pPr>
        <w:pStyle w:val="BodyText"/>
        <w:spacing w:line="357" w:lineRule="auto"/>
        <w:ind w:left="633" w:right="1153" w:hanging="480"/>
        <w:jc w:val="left"/>
      </w:pPr>
      <w:r>
        <w:rPr/>
        <w:t>较短的期限平均摊销。 融资租赁方式租入的固定资产符合资本化条件的装修费用，按两次装修间隔期间、剩余</w:t>
      </w:r>
    </w:p>
    <w:p>
      <w:pPr>
        <w:pStyle w:val="BodyText"/>
        <w:spacing w:line="240" w:lineRule="auto"/>
        <w:ind w:right="1273"/>
        <w:jc w:val="left"/>
      </w:pPr>
      <w:r>
        <w:rPr/>
        <w:t>租赁期与固定资产尚可使用年限三者中较短的期限平均摊销。</w:t>
      </w:r>
    </w:p>
    <w:p>
      <w:pPr>
        <w:pStyle w:val="Heading2"/>
        <w:spacing w:line="240" w:lineRule="auto" w:before="154"/>
        <w:ind w:left="635" w:right="1273"/>
        <w:jc w:val="left"/>
        <w:rPr>
          <w:b w:val="0"/>
          <w:bCs w:val="0"/>
        </w:rPr>
      </w:pPr>
      <w:r>
        <w:rPr>
          <w:rFonts w:ascii="Times New Roman" w:hAnsi="Times New Roman" w:cs="Times New Roman" w:eastAsia="Times New Roman" w:hint="default"/>
        </w:rPr>
        <w:t>22</w:t>
      </w:r>
      <w:r>
        <w:rPr/>
        <w:t>、职工薪酬</w:t>
      </w:r>
      <w:r>
        <w:rPr>
          <w:b w:val="0"/>
          <w:bCs w:val="0"/>
        </w:rPr>
      </w:r>
    </w:p>
    <w:p>
      <w:pPr>
        <w:spacing w:line="338" w:lineRule="auto" w:before="135"/>
        <w:ind w:left="633" w:right="1116" w:hanging="2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本公司在职工提供服务的会计期间，将实际发生的职工工资、奖金、按规定的基准和比</w:t>
      </w:r>
    </w:p>
    <w:p>
      <w:pPr>
        <w:pStyle w:val="BodyText"/>
        <w:spacing w:line="357" w:lineRule="auto" w:before="56"/>
        <w:ind w:right="1132"/>
        <w:jc w:val="both"/>
      </w:pPr>
      <w:r>
        <w:rPr/>
        <w:t>例为职工缴纳的医疗保险费、工伤保险费和生育保险费等社会保险费和住房公积金，确认为</w:t>
      </w:r>
      <w:r>
        <w:rPr>
          <w:spacing w:val="-91"/>
        </w:rPr>
        <w:t> </w:t>
      </w:r>
      <w:r>
        <w:rPr>
          <w:spacing w:val="-91"/>
        </w:rPr>
      </w:r>
      <w:r>
        <w:rPr>
          <w:spacing w:val="-5"/>
        </w:rPr>
        <w:t>负债，并计入当期损益或相关资产成本。职工福利费为非货币性福利的，如能够可靠计量的，</w:t>
      </w:r>
      <w:r>
        <w:rPr/>
        <w:t> 按照公允价值计量。如果该负债预期在职工提供相关服务的年度报告期结束后十二个月内不</w:t>
      </w:r>
      <w:r>
        <w:rPr>
          <w:spacing w:val="-86"/>
        </w:rPr>
        <w:t> </w:t>
      </w:r>
      <w:r>
        <w:rPr>
          <w:spacing w:val="-86"/>
        </w:rPr>
      </w:r>
      <w:r>
        <w:rPr/>
        <w:t>能完全支付，且财务影响重大的，则该负债将以折现后的金额计量。</w:t>
      </w:r>
    </w:p>
    <w:p>
      <w:pPr>
        <w:spacing w:line="338" w:lineRule="auto" w:before="36"/>
        <w:ind w:left="633" w:right="1116" w:hanging="2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离职后福利计划包括设定提存计划和设定受益计划。其中，设定提存计划，是指向独立</w:t>
      </w:r>
    </w:p>
    <w:p>
      <w:pPr>
        <w:pStyle w:val="BodyText"/>
        <w:spacing w:line="357" w:lineRule="auto" w:before="55"/>
        <w:ind w:right="1138"/>
        <w:jc w:val="both"/>
      </w:pPr>
      <w:r>
        <w:rPr/>
        <w:t>的基金缴存固定费用后，企业不再承担进一步支付义务的离职后福利计划；设定受益计划，</w:t>
      </w:r>
      <w:r>
        <w:rPr>
          <w:spacing w:val="-91"/>
        </w:rPr>
        <w:t> </w:t>
      </w:r>
      <w:r>
        <w:rPr>
          <w:spacing w:val="-91"/>
        </w:rPr>
      </w:r>
      <w:r>
        <w:rPr/>
        <w:t>是指除设定提存计划以外的离职后福利计划。</w:t>
      </w:r>
    </w:p>
    <w:p>
      <w:pPr>
        <w:pStyle w:val="BodyText"/>
        <w:spacing w:line="357" w:lineRule="auto" w:before="37"/>
        <w:ind w:right="1171" w:firstLine="480"/>
        <w:jc w:val="both"/>
      </w:pPr>
      <w:r>
        <w:rPr/>
        <w:t>本公司按当期政府的相关规定为职工缴纳基本养老保险和失业保险，在职工为本公司提 供服务的会计期间，根据设定提存计划计算的应缴存金额确认为负债，并计入当期损益或相 关资产成本。</w:t>
      </w:r>
    </w:p>
    <w:p>
      <w:pPr>
        <w:spacing w:line="338" w:lineRule="auto" w:before="36"/>
        <w:ind w:left="633" w:right="1116" w:hanging="2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）辞退福利的会计处理方法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在本公司不能单方面撤回因解除劳动关系计划或者裁减建议所提供的辞退福利时，和本</w:t>
      </w:r>
    </w:p>
    <w:p>
      <w:pPr>
        <w:pStyle w:val="BodyText"/>
        <w:spacing w:line="240" w:lineRule="auto" w:before="55"/>
        <w:ind w:right="1116"/>
        <w:jc w:val="left"/>
      </w:pPr>
      <w:r>
        <w:rPr/>
        <w:t>公司确认与涉及支付辞退福利的重组相关的成本或费用时两者孰早日，确认辞退福利产生的</w:t>
      </w:r>
    </w:p>
    <w:p>
      <w:pPr>
        <w:spacing w:after="0" w:line="240"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16"/>
        <w:jc w:val="left"/>
      </w:pPr>
      <w:r>
        <w:rPr/>
        <w:t>职工薪酬负债，并计入当期损益。但辞退福利预期在年度报告期结束后十二个月不能完全支</w:t>
      </w:r>
      <w:r>
        <w:rPr>
          <w:spacing w:val="-91"/>
        </w:rPr>
        <w:t> </w:t>
      </w:r>
      <w:r>
        <w:rPr>
          <w:spacing w:val="-91"/>
        </w:rPr>
      </w:r>
      <w:r>
        <w:rPr/>
        <w:t>付的，按照其他长期职工薪酬处理。</w:t>
      </w:r>
    </w:p>
    <w:p>
      <w:pPr>
        <w:pStyle w:val="BodyText"/>
        <w:spacing w:line="338" w:lineRule="auto"/>
        <w:ind w:left="633" w:right="1113" w:firstLine="2"/>
        <w:jc w:val="left"/>
      </w:pPr>
      <w:r>
        <w:rPr>
          <w:rFonts w:ascii="Times New Roman" w:hAnsi="Times New Roman" w:cs="Times New Roman" w:eastAsia="Times New Roman" w:hint="default"/>
          <w:b/>
          <w:bCs/>
        </w:rPr>
        <w:t>23</w:t>
      </w:r>
      <w:r>
        <w:rPr>
          <w:rFonts w:ascii="宋体" w:hAnsi="宋体" w:cs="宋体" w:eastAsia="宋体" w:hint="default"/>
          <w:b/>
          <w:bCs/>
        </w:rPr>
        <w:t>、预计负债</w:t>
      </w:r>
      <w:r>
        <w:rPr>
          <w:rFonts w:ascii="宋体" w:hAnsi="宋体" w:cs="宋体" w:eastAsia="宋体" w:hint="default"/>
          <w:b/>
          <w:bCs/>
          <w:w w:val="99"/>
        </w:rPr>
        <w:t> </w:t>
      </w:r>
      <w:r>
        <w:rPr/>
        <w:t>当与或有事项相关的义务同时符合以下条件，将其确认为预计负债：</w:t>
      </w:r>
      <w:r>
        <w:rPr>
          <w:rFonts w:ascii="Times New Roman" w:hAnsi="Times New Roman" w:cs="Times New Roman" w:eastAsia="Times New Roman" w:hint="default"/>
        </w:rPr>
        <w:t>(1)</w:t>
      </w:r>
      <w:r>
        <w:rPr/>
        <w:t>该义务是承担的</w:t>
      </w:r>
    </w:p>
    <w:p>
      <w:pPr>
        <w:pStyle w:val="BodyText"/>
        <w:spacing w:line="338" w:lineRule="auto" w:before="27"/>
        <w:ind w:left="633" w:right="1116" w:hanging="480"/>
        <w:jc w:val="left"/>
      </w:pPr>
      <w:r>
        <w:rPr/>
        <w:t>现时义务；</w:t>
      </w:r>
      <w:r>
        <w:rPr>
          <w:rFonts w:ascii="Times New Roman" w:hAnsi="Times New Roman" w:cs="Times New Roman" w:eastAsia="Times New Roman" w:hint="default"/>
        </w:rPr>
        <w:t>(2)</w:t>
      </w:r>
      <w:r>
        <w:rPr/>
        <w:t>该义务的履行很可能导致经济利益流出；</w:t>
      </w:r>
      <w:r>
        <w:rPr>
          <w:rFonts w:ascii="Times New Roman" w:hAnsi="Times New Roman" w:cs="Times New Roman" w:eastAsia="Times New Roman" w:hint="default"/>
        </w:rPr>
        <w:t>(3)</w:t>
      </w:r>
      <w:r>
        <w:rPr/>
        <w:t>该义务的金额能够可靠地计量。 预计负债按照履行相关现时义务所需支出的最佳估计数进行初始计量，并综合考虑与或</w:t>
      </w:r>
    </w:p>
    <w:p>
      <w:pPr>
        <w:pStyle w:val="BodyText"/>
        <w:spacing w:line="357" w:lineRule="auto" w:before="55"/>
        <w:ind w:right="1116"/>
        <w:jc w:val="left"/>
      </w:pPr>
      <w:r>
        <w:rPr/>
        <w:t>有事项有关的风险、不确定性和货币时间价值等因素。货币时间价值影响重大的，通过对相</w:t>
      </w:r>
      <w:r>
        <w:rPr>
          <w:spacing w:val="-91"/>
        </w:rPr>
        <w:t> </w:t>
      </w:r>
      <w:r>
        <w:rPr>
          <w:spacing w:val="-91"/>
        </w:rPr>
      </w:r>
      <w:r>
        <w:rPr/>
        <w:t>关未来现金流出进行折现后确定最佳估计数。</w:t>
      </w:r>
    </w:p>
    <w:p>
      <w:pPr>
        <w:pStyle w:val="BodyText"/>
        <w:spacing w:line="348" w:lineRule="auto" w:before="37"/>
        <w:ind w:right="1135" w:firstLine="480"/>
        <w:jc w:val="both"/>
      </w:pPr>
      <w:r>
        <w:rPr>
          <w:spacing w:val="2"/>
        </w:rPr>
        <w:t>最佳估计数分别分以下情况处理：所需支出存在一个连续范围</w:t>
      </w:r>
      <w:r>
        <w:rPr>
          <w:rFonts w:ascii="Times New Roman" w:hAnsi="Times New Roman" w:cs="Times New Roman" w:eastAsia="Times New Roman" w:hint="default"/>
          <w:spacing w:val="2"/>
        </w:rPr>
        <w:t>(</w:t>
      </w:r>
      <w:r>
        <w:rPr>
          <w:spacing w:val="2"/>
        </w:rPr>
        <w:t>或区间</w:t>
      </w:r>
      <w:r>
        <w:rPr>
          <w:rFonts w:ascii="Times New Roman" w:hAnsi="Times New Roman" w:cs="Times New Roman" w:eastAsia="Times New Roman" w:hint="default"/>
          <w:spacing w:val="2"/>
        </w:rPr>
        <w:t>)</w:t>
      </w:r>
      <w:r>
        <w:rPr>
          <w:spacing w:val="2"/>
        </w:rPr>
        <w:t>，且该范围内各</w:t>
      </w:r>
      <w:r>
        <w:rPr/>
        <w:t> 种结果发生的可能性相同的，则最佳估计数按照该范围的中间值：即上下限金额的平均数确</w:t>
      </w:r>
      <w:r>
        <w:rPr>
          <w:spacing w:val="-91"/>
        </w:rPr>
        <w:t> </w:t>
      </w:r>
      <w:r>
        <w:rPr>
          <w:spacing w:val="-91"/>
        </w:rPr>
      </w:r>
      <w:r>
        <w:rPr>
          <w:spacing w:val="2"/>
        </w:rPr>
        <w:t>定。所需支出不存在一个连续范围</w:t>
      </w:r>
      <w:r>
        <w:rPr>
          <w:rFonts w:ascii="Times New Roman" w:hAnsi="Times New Roman" w:cs="Times New Roman" w:eastAsia="Times New Roman" w:hint="default"/>
          <w:spacing w:val="2"/>
        </w:rPr>
        <w:t>(</w:t>
      </w:r>
      <w:r>
        <w:rPr>
          <w:spacing w:val="2"/>
        </w:rPr>
        <w:t>或区间</w:t>
      </w:r>
      <w:r>
        <w:rPr>
          <w:rFonts w:ascii="Times New Roman" w:hAnsi="Times New Roman" w:cs="Times New Roman" w:eastAsia="Times New Roman" w:hint="default"/>
          <w:spacing w:val="2"/>
        </w:rPr>
        <w:t>)</w:t>
      </w:r>
      <w:r>
        <w:rPr>
          <w:spacing w:val="2"/>
        </w:rPr>
        <w:t>，或虽然存在一个连续范围但该范围内各种结果</w:t>
      </w:r>
      <w:r>
        <w:rPr>
          <w:spacing w:val="-104"/>
        </w:rPr>
        <w:t> </w:t>
      </w:r>
      <w:r>
        <w:rPr>
          <w:spacing w:val="-104"/>
        </w:rPr>
      </w:r>
      <w:r>
        <w:rPr/>
        <w:t>发生的可能性不相同的，如或有事项涉及单个项目的，则最佳估计数按照最可能发生金额确</w:t>
      </w:r>
      <w:r>
        <w:rPr>
          <w:spacing w:val="-91"/>
        </w:rPr>
        <w:t> </w:t>
      </w:r>
      <w:r>
        <w:rPr>
          <w:spacing w:val="-91"/>
        </w:rPr>
      </w:r>
      <w:r>
        <w:rPr/>
        <w:t>定；如或有事项涉及多个项目的，则最佳估计数按各种可能结果及相关概率计算确定。</w:t>
      </w:r>
    </w:p>
    <w:p>
      <w:pPr>
        <w:pStyle w:val="BodyText"/>
        <w:spacing w:line="357" w:lineRule="auto" w:before="46"/>
        <w:ind w:right="1140" w:firstLine="480"/>
        <w:jc w:val="both"/>
      </w:pPr>
      <w:r>
        <w:rPr/>
        <w:t>本公司清偿预计负债所需支出全部或部分预期由第三方补偿的，补偿金额在基本确定能 够收到时，作为资产单独确认，且确认的补偿金额不超过预计负债的账面价值。</w:t>
      </w:r>
    </w:p>
    <w:p>
      <w:pPr>
        <w:pStyle w:val="BodyText"/>
        <w:spacing w:line="357" w:lineRule="auto"/>
        <w:ind w:right="1140" w:firstLine="480"/>
        <w:jc w:val="both"/>
      </w:pPr>
      <w:r>
        <w:rPr/>
        <w:t>每个资产负债表日对预计负债的账面价值进行复核。有确凿证据表明该账面价值不能反 映当前最佳估计数的，按照当前最佳估计数对该账面价值进行调整。</w:t>
      </w:r>
    </w:p>
    <w:p>
      <w:pPr>
        <w:pStyle w:val="Heading2"/>
        <w:spacing w:line="240" w:lineRule="auto" w:before="36"/>
        <w:ind w:left="635" w:right="1273"/>
        <w:jc w:val="left"/>
        <w:rPr>
          <w:b w:val="0"/>
          <w:bCs w:val="0"/>
        </w:rPr>
      </w:pPr>
      <w:r>
        <w:rPr>
          <w:rFonts w:ascii="Times New Roman" w:hAnsi="Times New Roman" w:cs="Times New Roman" w:eastAsia="Times New Roman" w:hint="default"/>
        </w:rPr>
        <w:t>24</w:t>
      </w:r>
      <w:r>
        <w:rPr/>
        <w:t>、股份支付</w:t>
      </w:r>
      <w:r>
        <w:rPr>
          <w:b w:val="0"/>
          <w:bCs w:val="0"/>
        </w:rPr>
      </w:r>
    </w:p>
    <w:p>
      <w:pPr>
        <w:pStyle w:val="BodyText"/>
        <w:spacing w:line="338" w:lineRule="auto" w:before="135"/>
        <w:ind w:left="633" w:right="1116"/>
        <w:jc w:val="left"/>
      </w:pPr>
      <w:r>
        <w:rPr>
          <w:rFonts w:ascii="Times New Roman" w:hAnsi="Times New Roman" w:cs="Times New Roman" w:eastAsia="Times New Roman" w:hint="default"/>
        </w:rPr>
        <w:t>(1)</w:t>
      </w:r>
      <w:r>
        <w:rPr/>
        <w:t>股份支付的种类</w:t>
      </w:r>
      <w:r>
        <w:rPr>
          <w:w w:val="99"/>
        </w:rPr>
        <w:t> </w:t>
      </w:r>
      <w:r>
        <w:rPr>
          <w:spacing w:val="2"/>
        </w:rPr>
        <w:t>本公司的股份支付是为了获取职工</w:t>
      </w:r>
      <w:r>
        <w:rPr>
          <w:rFonts w:ascii="Times New Roman" w:hAnsi="Times New Roman" w:cs="Times New Roman" w:eastAsia="Times New Roman" w:hint="default"/>
          <w:spacing w:val="2"/>
        </w:rPr>
        <w:t>(</w:t>
      </w:r>
      <w:r>
        <w:rPr>
          <w:spacing w:val="2"/>
        </w:rPr>
        <w:t>或其他方</w:t>
      </w:r>
      <w:r>
        <w:rPr>
          <w:rFonts w:ascii="Times New Roman" w:hAnsi="Times New Roman" w:cs="Times New Roman" w:eastAsia="Times New Roman" w:hint="default"/>
          <w:spacing w:val="2"/>
        </w:rPr>
        <w:t>)</w:t>
      </w:r>
      <w:r>
        <w:rPr>
          <w:spacing w:val="2"/>
        </w:rPr>
        <w:t>提供服务而授予权益工具或者承担以权益</w:t>
      </w:r>
    </w:p>
    <w:p>
      <w:pPr>
        <w:pStyle w:val="BodyText"/>
        <w:spacing w:line="240" w:lineRule="auto" w:before="27"/>
        <w:ind w:right="1273"/>
        <w:jc w:val="left"/>
      </w:pPr>
      <w:r>
        <w:rPr/>
        <w:t>工具为基础确定的负债的交易。包括以权益结算的股份支付和以现金结算的股份支付。</w:t>
      </w:r>
    </w:p>
    <w:p>
      <w:pPr>
        <w:pStyle w:val="BodyText"/>
        <w:spacing w:line="240" w:lineRule="auto" w:before="154"/>
        <w:ind w:left="633" w:right="1273"/>
        <w:jc w:val="left"/>
      </w:pPr>
      <w:r>
        <w:rPr>
          <w:rFonts w:ascii="Times New Roman" w:hAnsi="Times New Roman" w:cs="Times New Roman" w:eastAsia="Times New Roman" w:hint="default"/>
        </w:rPr>
        <w:t>(2)</w:t>
      </w:r>
      <w:r>
        <w:rPr/>
        <w:t>权益工具公允价值的确定方法</w:t>
      </w:r>
    </w:p>
    <w:p>
      <w:pPr>
        <w:pStyle w:val="BodyText"/>
        <w:spacing w:line="357" w:lineRule="auto" w:before="135"/>
        <w:ind w:right="1138" w:firstLine="480"/>
        <w:jc w:val="both"/>
      </w:pPr>
      <w:r>
        <w:rPr/>
        <w:t>①存在活跃市场的，按照活跃市场中的报价确定②不存在活跃市场的，采用估值技术确 定，包括参考熟悉情况并自愿交易的各方最近进行的市场交易中使用的价格、参照实质上相</w:t>
      </w:r>
      <w:r>
        <w:rPr>
          <w:spacing w:val="-91"/>
        </w:rPr>
        <w:t> </w:t>
      </w:r>
      <w:r>
        <w:rPr>
          <w:spacing w:val="-91"/>
        </w:rPr>
      </w:r>
      <w:r>
        <w:rPr/>
        <w:t>同的其他金融工具的当前公允价值、现金流量折现法和期权定价模型等。</w:t>
      </w:r>
    </w:p>
    <w:p>
      <w:pPr>
        <w:pStyle w:val="BodyText"/>
        <w:spacing w:line="338" w:lineRule="auto"/>
        <w:ind w:left="633" w:right="1116"/>
        <w:jc w:val="left"/>
      </w:pPr>
      <w:r>
        <w:rPr/>
        <w:t>（</w:t>
      </w:r>
      <w:r>
        <w:rPr>
          <w:rFonts w:ascii="Times New Roman" w:hAnsi="Times New Roman" w:cs="Times New Roman" w:eastAsia="Times New Roman" w:hint="default"/>
        </w:rPr>
        <w:t>3</w:t>
      </w:r>
      <w:r>
        <w:rPr/>
        <w:t>）确认可行权权益工具最佳估计的依据 等待期内每个资产负债表日，本公司根据最新取得的可行权职工人数变动等后续信息做</w:t>
      </w:r>
    </w:p>
    <w:p>
      <w:pPr>
        <w:pStyle w:val="BodyText"/>
        <w:spacing w:line="357" w:lineRule="auto" w:before="55"/>
        <w:ind w:right="1116"/>
        <w:jc w:val="left"/>
      </w:pPr>
      <w:r>
        <w:rPr/>
        <w:t>出最佳估计，修正预计可行权的权益工具数量。在可行权日，最终预计可行权权益工具的数</w:t>
      </w:r>
      <w:r>
        <w:rPr>
          <w:spacing w:val="-91"/>
        </w:rPr>
        <w:t> </w:t>
      </w:r>
      <w:r>
        <w:rPr>
          <w:spacing w:val="-91"/>
        </w:rPr>
      </w:r>
      <w:r>
        <w:rPr/>
        <w:t>量应当与实际可行权数量一致。</w:t>
      </w:r>
    </w:p>
    <w:p>
      <w:pPr>
        <w:spacing w:after="0" w:line="357"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633" w:right="1273"/>
        <w:jc w:val="left"/>
      </w:pPr>
      <w:r>
        <w:rPr/>
        <w:t>（</w:t>
      </w:r>
      <w:r>
        <w:rPr>
          <w:rFonts w:ascii="Times New Roman" w:hAnsi="Times New Roman" w:cs="Times New Roman" w:eastAsia="Times New Roman" w:hint="default"/>
        </w:rPr>
        <w:t>4</w:t>
      </w:r>
      <w:r>
        <w:rPr/>
        <w:t>）股份支付的会计处理</w:t>
      </w:r>
    </w:p>
    <w:p>
      <w:pPr>
        <w:pStyle w:val="BodyText"/>
        <w:spacing w:line="357" w:lineRule="auto" w:before="135"/>
        <w:ind w:left="633" w:right="1116"/>
        <w:jc w:val="left"/>
      </w:pPr>
      <w:r>
        <w:rPr/>
        <w:t>①以权益结算的股份支付 以权益结算的股份支付换取职工提供服务的，授予后立即可行权的，在授予日按照权益</w:t>
      </w:r>
    </w:p>
    <w:p>
      <w:pPr>
        <w:pStyle w:val="BodyText"/>
        <w:spacing w:line="357" w:lineRule="auto"/>
        <w:ind w:left="0" w:right="1136"/>
        <w:jc w:val="right"/>
      </w:pPr>
      <w:r>
        <w:rPr/>
        <w:t>工具的公允价值计入相关成本或费用，相应调整资本公积；完成等待期内的服务或达到规定</w:t>
      </w:r>
      <w:r>
        <w:rPr>
          <w:spacing w:val="-102"/>
        </w:rPr>
        <w:t> </w:t>
      </w:r>
      <w:r>
        <w:rPr>
          <w:spacing w:val="-102"/>
        </w:rPr>
      </w:r>
      <w:r>
        <w:rPr/>
        <w:t>业绩条件才可行权的，在等待期内的每个资产负债表日，以对可行权权益工具数量的最佳估</w:t>
      </w:r>
      <w:r>
        <w:rPr>
          <w:spacing w:val="-102"/>
        </w:rPr>
        <w:t> </w:t>
      </w:r>
      <w:r>
        <w:rPr>
          <w:spacing w:val="-102"/>
        </w:rPr>
      </w:r>
      <w:r>
        <w:rPr/>
        <w:t>计为基础，按权益工具授予日的公允价值，将当期取得的服务计入相关成本或费用，相应调</w:t>
      </w:r>
      <w:r>
        <w:rPr>
          <w:spacing w:val="-102"/>
        </w:rPr>
        <w:t> </w:t>
      </w:r>
      <w:r>
        <w:rPr>
          <w:spacing w:val="-102"/>
        </w:rPr>
      </w:r>
      <w:r>
        <w:rPr/>
        <w:t>整资本公积，在可行权日之后不再对已确认的相关成本或费用和所有者权益总额进行调整。 以权益结算的股份支付换取其他方服务的，若其他方服务的公允价值能够可靠计量的，</w:t>
      </w:r>
      <w:r>
        <w:rPr/>
        <w:t> 按照其他方服务在取得日的公允价值计量；其他方服务的公允价值不能可靠计量但权益工具</w:t>
      </w:r>
      <w:r>
        <w:rPr>
          <w:spacing w:val="-98"/>
        </w:rPr>
        <w:t> </w:t>
      </w:r>
      <w:r>
        <w:rPr>
          <w:spacing w:val="-98"/>
        </w:rPr>
      </w:r>
      <w:r>
        <w:rPr/>
        <w:t>公允价值能够可靠计量的，按照权益工具在服务取得日的公允价值计量，计入相关成本或费</w:t>
      </w:r>
    </w:p>
    <w:p>
      <w:pPr>
        <w:pStyle w:val="BodyText"/>
        <w:spacing w:line="240" w:lineRule="auto"/>
        <w:ind w:right="1273"/>
        <w:jc w:val="left"/>
      </w:pPr>
      <w:r>
        <w:rPr/>
        <w:t>用，相应增加所有者权益。</w:t>
      </w:r>
    </w:p>
    <w:p>
      <w:pPr>
        <w:pStyle w:val="BodyText"/>
        <w:spacing w:line="357" w:lineRule="auto" w:before="154"/>
        <w:ind w:left="633" w:right="1116"/>
        <w:jc w:val="left"/>
      </w:pPr>
      <w:r>
        <w:rPr/>
        <w:t>②以现金结算的股份支付 以现金结算的股份支付换取职工服务的，授予后立即可行权的，在授予日按公司承担负</w:t>
      </w:r>
    </w:p>
    <w:p>
      <w:pPr>
        <w:pStyle w:val="BodyText"/>
        <w:spacing w:line="357" w:lineRule="auto"/>
        <w:ind w:right="1137"/>
        <w:jc w:val="both"/>
      </w:pPr>
      <w:r>
        <w:rPr/>
        <w:t>债的公允价值计入相关成本或费用，相应增加负债；完成等待期内的服务或达到规定业绩条</w:t>
      </w:r>
      <w:r>
        <w:rPr>
          <w:spacing w:val="-91"/>
        </w:rPr>
        <w:t> </w:t>
      </w:r>
      <w:r>
        <w:rPr>
          <w:spacing w:val="-91"/>
        </w:rPr>
      </w:r>
      <w:r>
        <w:rPr/>
        <w:t>件才可行权的换取职工服务的以现金结算的股份支付，在等待期内的每个资产负债表日，以</w:t>
      </w:r>
      <w:r>
        <w:rPr>
          <w:spacing w:val="-91"/>
        </w:rPr>
        <w:t> </w:t>
      </w:r>
      <w:r>
        <w:rPr>
          <w:spacing w:val="-91"/>
        </w:rPr>
      </w:r>
      <w:r>
        <w:rPr/>
        <w:t>对可行权情况的最佳估计为基础，按公司承担负债的公允价值，将当期取得的服务计入相关</w:t>
      </w:r>
      <w:r>
        <w:rPr>
          <w:spacing w:val="-91"/>
        </w:rPr>
        <w:t> </w:t>
      </w:r>
      <w:r>
        <w:rPr>
          <w:spacing w:val="-91"/>
        </w:rPr>
      </w:r>
      <w:r>
        <w:rPr/>
        <w:t>成本或费用和相应的负债。在相关负债结算前的每个资产负债表日以及结算日，对负债的公</w:t>
      </w:r>
      <w:r>
        <w:rPr>
          <w:spacing w:val="-90"/>
        </w:rPr>
        <w:t> </w:t>
      </w:r>
      <w:r>
        <w:rPr>
          <w:spacing w:val="-90"/>
        </w:rPr>
      </w:r>
      <w:r>
        <w:rPr/>
        <w:t>允价值重新计量，其变动计入当期损益。</w:t>
      </w:r>
    </w:p>
    <w:p>
      <w:pPr>
        <w:pStyle w:val="BodyText"/>
        <w:spacing w:line="357" w:lineRule="auto"/>
        <w:ind w:left="633" w:right="1116"/>
        <w:jc w:val="left"/>
      </w:pPr>
      <w:r>
        <w:rPr/>
        <w:t>③修改、终止股份支付计划 如果修改增加了所授予的权益工具的公允价值，公司按照权益工具公允价值的增加相应</w:t>
      </w:r>
    </w:p>
    <w:p>
      <w:pPr>
        <w:pStyle w:val="BodyText"/>
        <w:spacing w:line="357" w:lineRule="auto"/>
        <w:ind w:right="995"/>
        <w:jc w:val="left"/>
      </w:pPr>
      <w:r>
        <w:rPr/>
        <w:t>地确认取得服务的增加；如果修改增加了所授予的权益工具的数量，公司将增加的权益工具</w:t>
      </w:r>
      <w:r>
        <w:rPr>
          <w:spacing w:val="-91"/>
        </w:rPr>
        <w:t> </w:t>
      </w:r>
      <w:r>
        <w:rPr>
          <w:spacing w:val="-91"/>
        </w:rPr>
      </w:r>
      <w:r>
        <w:rPr>
          <w:spacing w:val="-2"/>
        </w:rPr>
        <w:t>的公允价值相应地确认为取得服务的增加；如果公司按照有利于职工的方式修改可行权条件，</w:t>
      </w:r>
      <w:r>
        <w:rPr/>
        <w:t> 公司在处理可行权条件时，考虑修改后的可行权条件。</w:t>
      </w:r>
    </w:p>
    <w:p>
      <w:pPr>
        <w:pStyle w:val="BodyText"/>
        <w:spacing w:line="357" w:lineRule="auto" w:before="37"/>
        <w:ind w:right="1138" w:firstLine="480"/>
        <w:jc w:val="both"/>
      </w:pPr>
      <w:r>
        <w:rPr/>
        <w:t>如果修改减少了授予的权益工具的公允价值，公司继续以权益工具在授予日的公允价值 为基础，确认取得服务的金额，而不考虑权益工具公允价值的减少；如果修改减少了授予的</w:t>
      </w:r>
      <w:r>
        <w:rPr>
          <w:spacing w:val="-90"/>
        </w:rPr>
        <w:t> </w:t>
      </w:r>
      <w:r>
        <w:rPr>
          <w:spacing w:val="-90"/>
        </w:rPr>
      </w:r>
      <w:r>
        <w:rPr/>
        <w:t>权益工具的数量，公司将减少部分作为已授予的权益工具的取消来进行处理；如果以不利于</w:t>
      </w:r>
      <w:r>
        <w:rPr>
          <w:spacing w:val="-91"/>
        </w:rPr>
        <w:t> </w:t>
      </w:r>
      <w:r>
        <w:rPr>
          <w:spacing w:val="-91"/>
        </w:rPr>
      </w:r>
      <w:r>
        <w:rPr/>
        <w:t>职工的方式修改了可行权条件，在处理可行权条件时，不考虑修改后的可行权条件。</w:t>
      </w:r>
    </w:p>
    <w:p>
      <w:pPr>
        <w:pStyle w:val="BodyText"/>
        <w:spacing w:line="357" w:lineRule="auto"/>
        <w:ind w:right="1132" w:firstLine="480"/>
        <w:jc w:val="both"/>
      </w:pPr>
      <w:r>
        <w:rPr/>
        <w:t>如果取消了以权益结算的股份支付，则于取消日作为加速行权处理，立即确认尚未确认 </w:t>
      </w:r>
      <w:r>
        <w:rPr>
          <w:spacing w:val="2"/>
        </w:rPr>
        <w:t>的金额</w:t>
      </w:r>
      <w:r>
        <w:rPr>
          <w:rFonts w:ascii="Times New Roman" w:hAnsi="Times New Roman" w:cs="Times New Roman" w:eastAsia="Times New Roman" w:hint="default"/>
          <w:spacing w:val="2"/>
        </w:rPr>
        <w:t>(</w:t>
      </w:r>
      <w:r>
        <w:rPr>
          <w:spacing w:val="2"/>
        </w:rPr>
        <w:t>将剩余等待期内应确认的金额立即计入当期损益，同时确认资本公积</w:t>
      </w:r>
      <w:r>
        <w:rPr>
          <w:rFonts w:ascii="Times New Roman" w:hAnsi="Times New Roman" w:cs="Times New Roman" w:eastAsia="Times New Roman" w:hint="default"/>
          <w:spacing w:val="2"/>
        </w:rPr>
        <w:t>)</w:t>
      </w:r>
      <w:r>
        <w:rPr>
          <w:spacing w:val="2"/>
        </w:rPr>
        <w:t>。职工或者其</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4"/>
        <w:jc w:val="both"/>
      </w:pPr>
      <w:r>
        <w:rPr/>
        <w:t>他方能够选择满足非可行权条件但在等待期内未满足的，作为取消以权益结算的股份支付处</w:t>
      </w:r>
      <w:r>
        <w:rPr>
          <w:spacing w:val="-91"/>
        </w:rPr>
        <w:t> </w:t>
      </w:r>
      <w:r>
        <w:rPr>
          <w:spacing w:val="-91"/>
        </w:rPr>
      </w:r>
      <w:r>
        <w:rPr/>
        <w:t>理。但是，如果授予新的权益工具，并在新权益工具授予日认定所授予权益工具用于替代被</w:t>
      </w:r>
      <w:r>
        <w:rPr>
          <w:spacing w:val="-87"/>
        </w:rPr>
        <w:t> </w:t>
      </w:r>
      <w:r>
        <w:rPr>
          <w:spacing w:val="-87"/>
        </w:rPr>
      </w:r>
      <w:r>
        <w:rPr/>
        <w:t>取消的权益工具的，则以与处理原权益工具条款和条件修改相同的方式，对被授予的替代权</w:t>
      </w:r>
      <w:r>
        <w:rPr>
          <w:spacing w:val="-91"/>
        </w:rPr>
        <w:t> </w:t>
      </w:r>
      <w:r>
        <w:rPr>
          <w:spacing w:val="-91"/>
        </w:rPr>
      </w:r>
      <w:r>
        <w:rPr/>
        <w:t>益工具进行处理。</w:t>
      </w:r>
    </w:p>
    <w:p>
      <w:pPr>
        <w:pStyle w:val="BodyText"/>
        <w:spacing w:line="338" w:lineRule="auto"/>
        <w:ind w:left="633" w:right="1116"/>
        <w:jc w:val="left"/>
      </w:pPr>
      <w:r>
        <w:rPr/>
        <w:t>（</w:t>
      </w:r>
      <w:r>
        <w:rPr>
          <w:rFonts w:ascii="Times New Roman" w:hAnsi="Times New Roman" w:cs="Times New Roman" w:eastAsia="Times New Roman" w:hint="default"/>
        </w:rPr>
        <w:t>5</w:t>
      </w:r>
      <w:r>
        <w:rPr/>
        <w:t>）涉及本公司与本公司股东或实际控制人的股份支付交易的会计处理 涉及本公司与本公司股东或实际控制人的股份支付交易，结算企业与接受服务企业中其</w:t>
      </w:r>
    </w:p>
    <w:p>
      <w:pPr>
        <w:pStyle w:val="BodyText"/>
        <w:spacing w:line="240" w:lineRule="auto" w:before="55"/>
        <w:ind w:right="0"/>
        <w:jc w:val="both"/>
      </w:pPr>
      <w:r>
        <w:rPr/>
        <w:t>一在本公司内，另一在本公司外的，在本公司合并财务报表中按照以下规定进行会计处理：</w:t>
      </w:r>
    </w:p>
    <w:p>
      <w:pPr>
        <w:pStyle w:val="BodyText"/>
        <w:spacing w:line="357" w:lineRule="auto" w:before="154"/>
        <w:ind w:right="997" w:firstLine="480"/>
        <w:jc w:val="left"/>
      </w:pPr>
      <w:r>
        <w:rPr>
          <w:spacing w:val="-3"/>
        </w:rPr>
        <w:t>①结算企业以其本身权益工具结算的，将该股份支付交易作为权益结算的股份支付处理；</w:t>
      </w:r>
      <w:r>
        <w:rPr/>
        <w:t> 除此之外，作为现金结算的股份支付处理。</w:t>
      </w:r>
    </w:p>
    <w:p>
      <w:pPr>
        <w:pStyle w:val="BodyText"/>
        <w:spacing w:line="357" w:lineRule="auto"/>
        <w:ind w:right="993" w:firstLine="480"/>
        <w:jc w:val="left"/>
      </w:pPr>
      <w:r>
        <w:rPr/>
        <w:t>结算企业是接受服务企业的投资者的，按照授予日权益工具的公允价值或应承担负债的 公允价值确认为对接受服务企业的长期股权投资，同时确认资本公积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p>
    <w:p>
      <w:pPr>
        <w:pStyle w:val="BodyText"/>
        <w:spacing w:line="357" w:lineRule="auto" w:before="5"/>
        <w:ind w:right="1138" w:firstLine="480"/>
        <w:jc w:val="both"/>
      </w:pPr>
      <w:r>
        <w:rPr/>
        <w:t>②接受服务企业没有结算义务或授予本企业职工的是其本身权益工具的，将该股份支付 交易作为权益结算的股份支付处理；接受服务企业具有结算义务且授予本企业职工的并非其</w:t>
      </w:r>
      <w:r>
        <w:rPr>
          <w:spacing w:val="-91"/>
        </w:rPr>
        <w:t> </w:t>
      </w:r>
      <w:r>
        <w:rPr>
          <w:spacing w:val="-91"/>
        </w:rPr>
      </w:r>
      <w:r>
        <w:rPr/>
        <w:t>本身权益工具的，将该股份支付交易作为现金结算的股份支付处理。本公司内各企业之间发</w:t>
      </w:r>
      <w:r>
        <w:rPr>
          <w:spacing w:val="-91"/>
        </w:rPr>
        <w:t> </w:t>
      </w:r>
      <w:r>
        <w:rPr>
          <w:spacing w:val="-91"/>
        </w:rPr>
      </w:r>
      <w:r>
        <w:rPr/>
        <w:t>生的股份支付交易，接受服务企业和结算企业不是同一企业的，在接受服务企业和结算企业</w:t>
      </w:r>
      <w:r>
        <w:rPr>
          <w:spacing w:val="-91"/>
        </w:rPr>
        <w:t> </w:t>
      </w:r>
      <w:r>
        <w:rPr>
          <w:spacing w:val="-91"/>
        </w:rPr>
      </w:r>
      <w:r>
        <w:rPr/>
        <w:t>各自的个别财务报表中对该股份支付交易的确认和计量，比照上述原则处理。</w:t>
      </w:r>
    </w:p>
    <w:p>
      <w:pPr>
        <w:spacing w:line="348" w:lineRule="auto" w:before="36"/>
        <w:ind w:left="633" w:right="619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25</w:t>
      </w:r>
      <w:r>
        <w:rPr>
          <w:rFonts w:ascii="宋体" w:hAnsi="宋体" w:cs="宋体" w:eastAsia="宋体" w:hint="default"/>
          <w:b/>
          <w:bCs/>
          <w:sz w:val="24"/>
          <w:szCs w:val="24"/>
        </w:rPr>
        <w:t>、收入</w:t>
      </w:r>
      <w:r>
        <w:rPr>
          <w:rFonts w:ascii="宋体" w:hAnsi="宋体" w:cs="宋体" w:eastAsia="宋体" w:hint="default"/>
          <w:b/>
          <w:bCs/>
          <w:w w:val="99"/>
          <w:sz w:val="24"/>
          <w:szCs w:val="24"/>
        </w:rPr>
        <w:t> </w:t>
      </w:r>
      <w:r>
        <w:rPr>
          <w:rFonts w:ascii="宋体" w:hAnsi="宋体" w:cs="宋体" w:eastAsia="宋体" w:hint="default"/>
          <w:sz w:val="24"/>
          <w:szCs w:val="24"/>
        </w:rPr>
        <w:t>公司是否需要遵守特殊行业的披露要求 否</w:t>
      </w:r>
    </w:p>
    <w:p>
      <w:pPr>
        <w:pStyle w:val="BodyText"/>
        <w:spacing w:line="240" w:lineRule="auto" w:before="46"/>
        <w:ind w:left="633" w:right="1273"/>
        <w:jc w:val="left"/>
      </w:pPr>
      <w:r>
        <w:rPr/>
        <w:t>（</w:t>
      </w:r>
      <w:r>
        <w:rPr>
          <w:rFonts w:ascii="Times New Roman" w:hAnsi="Times New Roman" w:cs="Times New Roman" w:eastAsia="Times New Roman" w:hint="default"/>
        </w:rPr>
        <w:t>1</w:t>
      </w:r>
      <w:r>
        <w:rPr/>
        <w:t>）</w:t>
      </w:r>
      <w:r>
        <w:rPr>
          <w:spacing w:val="-1"/>
        </w:rPr>
        <w:t> </w:t>
      </w:r>
      <w:r>
        <w:rPr/>
        <w:t>收入的总确认原则</w:t>
      </w:r>
    </w:p>
    <w:p>
      <w:pPr>
        <w:pStyle w:val="BodyText"/>
        <w:spacing w:line="357" w:lineRule="auto" w:before="135"/>
        <w:ind w:left="633" w:right="1193"/>
        <w:jc w:val="left"/>
      </w:pPr>
      <w:r>
        <w:rPr/>
        <w:t>① 销售商品 商品销售收入同时满足下列条件时予以确认：</w:t>
      </w:r>
      <w:r>
        <w:rPr>
          <w:rFonts w:ascii="Times New Roman" w:hAnsi="Times New Roman" w:cs="Times New Roman" w:eastAsia="Times New Roman" w:hint="default"/>
        </w:rPr>
        <w:t>1)</w:t>
      </w:r>
      <w:r>
        <w:rPr/>
        <w:t>公司已将商品所有权上的主要风险和报</w:t>
      </w:r>
    </w:p>
    <w:p>
      <w:pPr>
        <w:pStyle w:val="BodyText"/>
        <w:spacing w:line="338" w:lineRule="auto" w:before="5"/>
        <w:ind w:right="1130"/>
        <w:jc w:val="both"/>
      </w:pPr>
      <w:r>
        <w:rPr/>
        <w:t>酬转移给购买方；</w:t>
      </w:r>
      <w:r>
        <w:rPr>
          <w:rFonts w:ascii="Times New Roman" w:hAnsi="Times New Roman" w:cs="Times New Roman" w:eastAsia="Times New Roman" w:hint="default"/>
        </w:rPr>
        <w:t>2)</w:t>
      </w:r>
      <w:r>
        <w:rPr/>
        <w:t>公司既没有保留与所有权相联系的继续管理权，也没有对已售出的商品 </w:t>
      </w:r>
      <w:r>
        <w:rPr>
          <w:spacing w:val="-2"/>
        </w:rPr>
        <w:t>实施有效控制；</w:t>
      </w:r>
      <w:r>
        <w:rPr>
          <w:rFonts w:ascii="Times New Roman" w:hAnsi="Times New Roman" w:cs="Times New Roman" w:eastAsia="Times New Roman" w:hint="default"/>
          <w:spacing w:val="-2"/>
        </w:rPr>
        <w:t>3)</w:t>
      </w:r>
      <w:r>
        <w:rPr>
          <w:spacing w:val="-2"/>
        </w:rPr>
        <w:t>收入的金额能够可靠地计量；</w:t>
      </w:r>
      <w:r>
        <w:rPr>
          <w:rFonts w:ascii="Times New Roman" w:hAnsi="Times New Roman" w:cs="Times New Roman" w:eastAsia="Times New Roman" w:hint="default"/>
          <w:spacing w:val="-2"/>
        </w:rPr>
        <w:t>4)</w:t>
      </w:r>
      <w:r>
        <w:rPr>
          <w:spacing w:val="-2"/>
        </w:rPr>
        <w:t>相关的经济利益很可能流入企业；</w:t>
      </w:r>
      <w:r>
        <w:rPr>
          <w:rFonts w:ascii="Times New Roman" w:hAnsi="Times New Roman" w:cs="Times New Roman" w:eastAsia="Times New Roman" w:hint="default"/>
          <w:spacing w:val="-2"/>
        </w:rPr>
        <w:t>5)</w:t>
      </w:r>
      <w:r>
        <w:rPr>
          <w:spacing w:val="-2"/>
        </w:rPr>
        <w:t>相关的</w:t>
      </w:r>
      <w:r>
        <w:rPr>
          <w:spacing w:val="-114"/>
        </w:rPr>
        <w:t> </w:t>
      </w:r>
      <w:r>
        <w:rPr/>
        <w:t>已发生或将发生的成本能够可靠地计量时。</w:t>
      </w:r>
    </w:p>
    <w:p>
      <w:pPr>
        <w:pStyle w:val="BodyText"/>
        <w:spacing w:line="357" w:lineRule="auto" w:before="55"/>
        <w:ind w:left="633" w:right="1313"/>
        <w:jc w:val="left"/>
      </w:pPr>
      <w:r>
        <w:rPr/>
        <w:t>②提供劳务 在资产负债表日提供劳务交易的结果能够可靠估计的</w:t>
      </w:r>
      <w:r>
        <w:rPr>
          <w:rFonts w:ascii="Times New Roman" w:hAnsi="Times New Roman" w:cs="Times New Roman" w:eastAsia="Times New Roman" w:hint="default"/>
        </w:rPr>
        <w:t>(</w:t>
      </w:r>
      <w:r>
        <w:rPr/>
        <w:t>同时满足收入的金额能够可靠地</w:t>
      </w:r>
    </w:p>
    <w:p>
      <w:pPr>
        <w:pStyle w:val="BodyText"/>
        <w:spacing w:line="357" w:lineRule="auto" w:before="5"/>
        <w:ind w:right="1132"/>
        <w:jc w:val="both"/>
      </w:pPr>
      <w:r>
        <w:rPr/>
        <w:t>计量、相关经济利益很可能流入、交易的完工进度能够可靠地确定、交易中已发生和将发生 </w:t>
      </w:r>
      <w:r>
        <w:rPr>
          <w:spacing w:val="-2"/>
        </w:rPr>
        <w:t>的成本能够可靠地计量</w:t>
      </w:r>
      <w:r>
        <w:rPr>
          <w:rFonts w:ascii="Times New Roman" w:hAnsi="Times New Roman" w:cs="Times New Roman" w:eastAsia="Times New Roman" w:hint="default"/>
          <w:spacing w:val="-2"/>
        </w:rPr>
        <w:t>)</w:t>
      </w:r>
      <w:r>
        <w:rPr>
          <w:spacing w:val="-2"/>
        </w:rPr>
        <w:t>，采用完工百分比法确认提供劳务收入，并按已经提供的劳务占应提</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16" w:hanging="480"/>
        <w:jc w:val="left"/>
      </w:pPr>
      <w:r>
        <w:rPr/>
        <w:t>供劳务总量的比例确定提供劳务交易的完工进度。 在资产负债表日提供劳务交易结果不能够可靠估计的，分别下列情况处理：若已经发生</w:t>
      </w:r>
    </w:p>
    <w:p>
      <w:pPr>
        <w:pStyle w:val="BodyText"/>
        <w:spacing w:line="357" w:lineRule="auto"/>
        <w:ind w:right="1138"/>
        <w:jc w:val="both"/>
      </w:pPr>
      <w:r>
        <w:rPr/>
        <w:t>的劳务成本预计能够得到补偿的，按照已经发生的劳务成本金额确认提供劳务收入，并按相</w:t>
      </w:r>
      <w:r>
        <w:rPr>
          <w:spacing w:val="-91"/>
        </w:rPr>
        <w:t> </w:t>
      </w:r>
      <w:r>
        <w:rPr>
          <w:spacing w:val="-91"/>
        </w:rPr>
      </w:r>
      <w:r>
        <w:rPr/>
        <w:t>同金额结转劳务成本；若已经发生的劳务成本预计不能够得到补偿的，将已经发生的劳务成</w:t>
      </w:r>
      <w:r>
        <w:rPr>
          <w:spacing w:val="-91"/>
        </w:rPr>
        <w:t> </w:t>
      </w:r>
      <w:r>
        <w:rPr>
          <w:spacing w:val="-91"/>
        </w:rPr>
      </w:r>
      <w:r>
        <w:rPr/>
        <w:t>本计入当期损益，不确认提供劳务收入。</w:t>
      </w:r>
    </w:p>
    <w:p>
      <w:pPr>
        <w:pStyle w:val="BodyText"/>
        <w:spacing w:line="357" w:lineRule="auto"/>
        <w:ind w:left="633" w:right="997" w:firstLine="360"/>
        <w:jc w:val="left"/>
      </w:pPr>
      <w:r>
        <w:rPr/>
        <w:t>③让渡资产使用权 </w:t>
      </w:r>
      <w:r>
        <w:rPr>
          <w:spacing w:val="-3"/>
        </w:rPr>
        <w:t>让渡资产使用权在同时满足相关的经济利益很可能流入、收入的金额能够可靠地计量时，</w:t>
      </w:r>
    </w:p>
    <w:p>
      <w:pPr>
        <w:pStyle w:val="BodyText"/>
        <w:spacing w:line="240" w:lineRule="auto"/>
        <w:ind w:right="0"/>
        <w:jc w:val="both"/>
      </w:pPr>
      <w:r>
        <w:rPr/>
        <w:t>确认让渡资产使用权的收入。</w:t>
      </w:r>
    </w:p>
    <w:p>
      <w:pPr>
        <w:pStyle w:val="BodyText"/>
        <w:spacing w:line="338" w:lineRule="auto" w:before="154"/>
        <w:ind w:left="633" w:right="6673" w:firstLine="7"/>
        <w:jc w:val="left"/>
      </w:pPr>
      <w:r>
        <w:rPr/>
        <w:t>（</w:t>
      </w:r>
      <w:r>
        <w:rPr>
          <w:rFonts w:ascii="Times New Roman" w:hAnsi="Times New Roman" w:cs="Times New Roman" w:eastAsia="Times New Roman" w:hint="default"/>
        </w:rPr>
        <w:t>2</w:t>
      </w:r>
      <w:r>
        <w:rPr/>
        <w:t>）本公司收入的具体确认原则 本公司收入确认的具体方法如下：</w:t>
      </w:r>
    </w:p>
    <w:p>
      <w:pPr>
        <w:pStyle w:val="BodyText"/>
        <w:spacing w:line="338" w:lineRule="auto" w:before="55"/>
        <w:ind w:left="633" w:right="1116"/>
        <w:jc w:val="left"/>
      </w:pPr>
      <w:r>
        <w:rPr/>
        <w:t>①</w:t>
      </w:r>
      <w:r>
        <w:rPr>
          <w:spacing w:val="-1"/>
        </w:rPr>
        <w:t> </w:t>
      </w:r>
      <w:r>
        <w:rPr>
          <w:rFonts w:ascii="Times New Roman" w:hAnsi="Times New Roman" w:cs="Times New Roman" w:eastAsia="Times New Roman" w:hint="default"/>
        </w:rPr>
        <w:t>GIS</w:t>
      </w:r>
      <w:r>
        <w:rPr/>
        <w:t>软件产品销售收入的确认原则及方法 本公司</w:t>
      </w:r>
      <w:r>
        <w:rPr>
          <w:rFonts w:ascii="Times New Roman" w:hAnsi="Times New Roman" w:cs="Times New Roman" w:eastAsia="Times New Roman" w:hint="default"/>
        </w:rPr>
        <w:t>GIS</w:t>
      </w:r>
      <w:r>
        <w:rPr/>
        <w:t>软件产品分为</w:t>
      </w:r>
      <w:r>
        <w:rPr>
          <w:rFonts w:ascii="Times New Roman" w:hAnsi="Times New Roman" w:cs="Times New Roman" w:eastAsia="Times New Roman" w:hint="default"/>
        </w:rPr>
        <w:t>GIS</w:t>
      </w:r>
      <w:r>
        <w:rPr/>
        <w:t>通用软件产品和</w:t>
      </w:r>
      <w:r>
        <w:rPr>
          <w:rFonts w:ascii="Times New Roman" w:hAnsi="Times New Roman" w:cs="Times New Roman" w:eastAsia="Times New Roman" w:hint="default"/>
        </w:rPr>
        <w:t>GIS</w:t>
      </w:r>
      <w:r>
        <w:rPr/>
        <w:t>定制软件产品两个类别。 </w:t>
      </w:r>
      <w:r>
        <w:rPr>
          <w:rFonts w:ascii="Times New Roman" w:hAnsi="Times New Roman" w:cs="Times New Roman" w:eastAsia="Times New Roman" w:hint="default"/>
        </w:rPr>
        <w:t>1</w:t>
      </w:r>
      <w:r>
        <w:rPr/>
        <w:t>）</w:t>
      </w:r>
      <w:r>
        <w:rPr>
          <w:rFonts w:ascii="Times New Roman" w:hAnsi="Times New Roman" w:cs="Times New Roman" w:eastAsia="Times New Roman" w:hint="default"/>
        </w:rPr>
        <w:t>GIS</w:t>
      </w:r>
      <w:r>
        <w:rPr/>
        <w:t>通用软件产品销售收入的确认原则及方法 本公司在已将所销售的软件产品所有权上的主要风险或报酬转移给购货方，并不再对该</w:t>
      </w:r>
    </w:p>
    <w:p>
      <w:pPr>
        <w:pStyle w:val="BodyText"/>
        <w:spacing w:line="357" w:lineRule="auto" w:before="55"/>
        <w:ind w:right="1138"/>
        <w:jc w:val="both"/>
      </w:pPr>
      <w:r>
        <w:rPr/>
        <w:t>软件产品实施继续管理权和实际控制权，相关的收入已经取得或取得了收款的凭据且相关的</w:t>
      </w:r>
      <w:r>
        <w:rPr>
          <w:spacing w:val="-91"/>
        </w:rPr>
        <w:t> </w:t>
      </w:r>
      <w:r>
        <w:rPr>
          <w:spacing w:val="-91"/>
        </w:rPr>
      </w:r>
      <w:r>
        <w:rPr/>
        <w:t>经济利益很可能流入公司，与销售该商品有关的成本能够可靠地计量时，确认商品销售收入</w:t>
      </w:r>
      <w:r>
        <w:rPr>
          <w:spacing w:val="-91"/>
        </w:rPr>
        <w:t> </w:t>
      </w:r>
      <w:r>
        <w:rPr>
          <w:spacing w:val="-91"/>
        </w:rPr>
      </w:r>
      <w:r>
        <w:rPr/>
        <w:t>的实现。</w:t>
      </w:r>
    </w:p>
    <w:p>
      <w:pPr>
        <w:pStyle w:val="BodyText"/>
        <w:spacing w:line="357" w:lineRule="auto"/>
        <w:ind w:right="1116" w:firstLine="480"/>
        <w:jc w:val="left"/>
      </w:pPr>
      <w:r>
        <w:rPr/>
        <w:t>合同中明确规定了软件系统维护条款的，结合实际情况，若后续维护工作量较大，与维 护相关的收入在维护期满后确认；若后续维护工作量较小，在实现销售后确认全部收入。</w:t>
      </w:r>
    </w:p>
    <w:p>
      <w:pPr>
        <w:pStyle w:val="BodyText"/>
        <w:spacing w:line="348" w:lineRule="auto"/>
        <w:ind w:left="633" w:right="111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GIS</w:t>
      </w:r>
      <w:r>
        <w:rPr/>
        <w:t>定制软件收入的确认原则及方法 在同一个会计期间内开始并完成的劳务，在劳务完成时确认收入。 劳务的开始和完成分属不同的会计期间，且在资产负债表日定制软件收入和成本能够可</w:t>
      </w:r>
    </w:p>
    <w:p>
      <w:pPr>
        <w:pStyle w:val="BodyText"/>
        <w:spacing w:line="357" w:lineRule="auto" w:before="46"/>
        <w:ind w:right="1132"/>
        <w:jc w:val="both"/>
      </w:pPr>
      <w:r>
        <w:rPr>
          <w:spacing w:val="-5"/>
        </w:rPr>
        <w:t>靠地计量，与交易相关的经济利益能够流入公司，劳务的完成程度能够可靠地确定的前提下，</w:t>
      </w:r>
      <w:r>
        <w:rPr>
          <w:spacing w:val="-117"/>
        </w:rPr>
        <w:t> </w:t>
      </w:r>
      <w:r>
        <w:rPr>
          <w:spacing w:val="-117"/>
        </w:rPr>
      </w:r>
      <w:r>
        <w:rPr/>
        <w:t>采用完工百分比法确认相关的劳务收入。</w:t>
      </w:r>
    </w:p>
    <w:p>
      <w:pPr>
        <w:pStyle w:val="BodyText"/>
        <w:spacing w:line="357" w:lineRule="auto"/>
        <w:ind w:right="1116" w:firstLine="480"/>
        <w:jc w:val="left"/>
      </w:pPr>
      <w:r>
        <w:rPr/>
        <w:t>在资产负债表日根据已经为客户实施的工作量，确定定制软件合同的完工程度，并按完 工进度确认定制软件收入。</w:t>
      </w:r>
    </w:p>
    <w:p>
      <w:pPr>
        <w:pStyle w:val="BodyText"/>
        <w:spacing w:line="338" w:lineRule="auto"/>
        <w:ind w:left="633" w:right="1116"/>
        <w:jc w:val="left"/>
      </w:pPr>
      <w:r>
        <w:rPr/>
        <w:t>②</w:t>
      </w:r>
      <w:r>
        <w:rPr>
          <w:spacing w:val="-1"/>
        </w:rPr>
        <w:t> </w:t>
      </w:r>
      <w:r>
        <w:rPr>
          <w:rFonts w:ascii="Times New Roman" w:hAnsi="Times New Roman" w:cs="Times New Roman" w:eastAsia="Times New Roman" w:hint="default"/>
        </w:rPr>
        <w:t>GIS</w:t>
      </w:r>
      <w:r>
        <w:rPr/>
        <w:t>软件配套产品销售收入的确认原则及方法 本公司在已将所代理销售的软件产品所有权上的主要风险或报酬转移给购货方，并不再</w:t>
      </w:r>
    </w:p>
    <w:p>
      <w:pPr>
        <w:pStyle w:val="BodyText"/>
        <w:spacing w:line="240" w:lineRule="auto" w:before="55"/>
        <w:ind w:right="0"/>
        <w:jc w:val="both"/>
      </w:pPr>
      <w:r>
        <w:rPr/>
        <w:t>对该软件产品实施继续管理权和实际控制权，相关的收入已经取得或取得了收款的凭据且相</w:t>
      </w:r>
    </w:p>
    <w:p>
      <w:pPr>
        <w:spacing w:after="0" w:line="240"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jc w:val="both"/>
      </w:pPr>
      <w:r>
        <w:rPr/>
        <w:t>关的经济利益很可能流入公司，与销售该商品有关的成本能够可靠地计量时，确认商品销售</w:t>
      </w:r>
      <w:r>
        <w:rPr>
          <w:spacing w:val="-91"/>
        </w:rPr>
        <w:t> </w:t>
      </w:r>
      <w:r>
        <w:rPr>
          <w:spacing w:val="-91"/>
        </w:rPr>
      </w:r>
      <w:r>
        <w:rPr/>
        <w:t>收入的实现。</w:t>
      </w:r>
    </w:p>
    <w:p>
      <w:pPr>
        <w:pStyle w:val="BodyText"/>
        <w:spacing w:line="357" w:lineRule="auto"/>
        <w:ind w:left="633" w:right="1116"/>
        <w:jc w:val="left"/>
      </w:pPr>
      <w:r>
        <w:rPr/>
        <w:t>③ 具有融资性质的分期收款销售商品收入的确认原则及方法 按照应收的合同或协议价款的公允价值确定收入金额。应收的合同或协议价款与其公允</w:t>
      </w:r>
    </w:p>
    <w:p>
      <w:pPr>
        <w:pStyle w:val="BodyText"/>
        <w:spacing w:line="357" w:lineRule="auto"/>
        <w:ind w:right="1134"/>
        <w:jc w:val="both"/>
      </w:pPr>
      <w:r>
        <w:rPr/>
        <w:t>价值之间的差额，在合同或协议期间内，按照应收款项的摊余成本和实际利率计算确定的金</w:t>
      </w:r>
      <w:r>
        <w:rPr>
          <w:spacing w:val="-87"/>
        </w:rPr>
        <w:t> </w:t>
      </w:r>
      <w:r>
        <w:rPr>
          <w:spacing w:val="-87"/>
        </w:rPr>
      </w:r>
      <w:r>
        <w:rPr/>
        <w:t>额进行摊销，作为财务费用的抵减处理。</w:t>
      </w:r>
    </w:p>
    <w:p>
      <w:pPr>
        <w:pStyle w:val="Heading2"/>
        <w:spacing w:line="240" w:lineRule="auto" w:before="36"/>
        <w:ind w:left="635" w:right="1273"/>
        <w:jc w:val="left"/>
        <w:rPr>
          <w:b w:val="0"/>
          <w:bCs w:val="0"/>
        </w:rPr>
      </w:pPr>
      <w:r>
        <w:rPr>
          <w:rFonts w:ascii="Times New Roman" w:hAnsi="Times New Roman" w:cs="Times New Roman" w:eastAsia="Times New Roman" w:hint="default"/>
        </w:rPr>
        <w:t>26</w:t>
      </w:r>
      <w:r>
        <w:rPr/>
        <w:t>、政府补助</w:t>
      </w:r>
      <w:r>
        <w:rPr>
          <w:b w:val="0"/>
          <w:bCs w:val="0"/>
        </w:rPr>
      </w:r>
    </w:p>
    <w:p>
      <w:pPr>
        <w:pStyle w:val="BodyText"/>
        <w:spacing w:line="338" w:lineRule="auto" w:before="135"/>
        <w:ind w:left="633" w:right="1116"/>
        <w:jc w:val="left"/>
      </w:pPr>
      <w:r>
        <w:rPr/>
        <w:t>（</w:t>
      </w:r>
      <w:r>
        <w:rPr>
          <w:rFonts w:ascii="Times New Roman" w:hAnsi="Times New Roman" w:cs="Times New Roman" w:eastAsia="Times New Roman" w:hint="default"/>
        </w:rPr>
        <w:t>1</w:t>
      </w:r>
      <w:r>
        <w:rPr/>
        <w:t>）政府补助的分类 政府补助，是指本公司从政府无偿取得货币性资产或非货币性资产。分为与资产相关的</w:t>
      </w:r>
    </w:p>
    <w:p>
      <w:pPr>
        <w:pStyle w:val="BodyText"/>
        <w:spacing w:line="357" w:lineRule="auto" w:before="55"/>
        <w:ind w:left="633" w:right="1116" w:hanging="480"/>
        <w:jc w:val="left"/>
      </w:pPr>
      <w:r>
        <w:rPr/>
        <w:t>政府补助和与收益相关的政府补助。 与资产相关的政府补助，是指本公司取得的、用于购建或以其他方式形成长期资产的政</w:t>
      </w:r>
    </w:p>
    <w:p>
      <w:pPr>
        <w:pStyle w:val="BodyText"/>
        <w:spacing w:line="357" w:lineRule="auto"/>
        <w:ind w:right="1134"/>
        <w:jc w:val="both"/>
      </w:pPr>
      <w:r>
        <w:rPr/>
        <w:t>府补助，包括购买固定资产或无形资产的财政拨款、固定资产专门借款的财政贴息等；与收</w:t>
      </w:r>
      <w:r>
        <w:rPr>
          <w:spacing w:val="-91"/>
        </w:rPr>
        <w:t> </w:t>
      </w:r>
      <w:r>
        <w:rPr>
          <w:spacing w:val="-91"/>
        </w:rPr>
      </w:r>
      <w:r>
        <w:rPr/>
        <w:t>益相关的政府补助，是指除与资产相关的政府补助之外的政府补助。对于同时包含与资产相</w:t>
      </w:r>
      <w:r>
        <w:rPr>
          <w:spacing w:val="-91"/>
        </w:rPr>
        <w:t> </w:t>
      </w:r>
      <w:r>
        <w:rPr>
          <w:spacing w:val="-91"/>
        </w:rPr>
      </w:r>
      <w:r>
        <w:rPr/>
        <w:t>关部分和与收益相关部分的政府补助，区分不同部分分别进行会计处理；难以区分的，整体</w:t>
      </w:r>
      <w:r>
        <w:rPr>
          <w:spacing w:val="-87"/>
        </w:rPr>
        <w:t> </w:t>
      </w:r>
      <w:r>
        <w:rPr>
          <w:spacing w:val="-87"/>
        </w:rPr>
      </w:r>
      <w:r>
        <w:rPr/>
        <w:t>归类为与收益相关的政府补助。</w:t>
      </w:r>
    </w:p>
    <w:p>
      <w:pPr>
        <w:pStyle w:val="BodyText"/>
        <w:spacing w:line="240" w:lineRule="auto"/>
        <w:ind w:left="633" w:right="1273"/>
        <w:jc w:val="left"/>
      </w:pPr>
      <w:r>
        <w:rPr/>
        <w:t>本公司在进行政府补助分类时采取的具体标准为：</w:t>
      </w:r>
    </w:p>
    <w:p>
      <w:pPr>
        <w:pStyle w:val="BodyText"/>
        <w:spacing w:line="357" w:lineRule="auto" w:before="154"/>
        <w:ind w:right="1140" w:firstLine="480"/>
        <w:jc w:val="both"/>
      </w:pPr>
      <w:r>
        <w:rPr/>
        <w:t>①政府补助文件规定的补助对象用于购建或以其他方式形成长期资产，或者补助对象的 支出主要用于购建或以其他方式形成长期资产的，划分为与资产相关的政府补助。</w:t>
      </w:r>
    </w:p>
    <w:p>
      <w:pPr>
        <w:pStyle w:val="BodyText"/>
        <w:spacing w:line="357" w:lineRule="auto"/>
        <w:ind w:right="1140" w:firstLine="480"/>
        <w:jc w:val="both"/>
      </w:pPr>
      <w:r>
        <w:rPr/>
        <w:t>②根据政府补助文件获得的政府补助全部或者主要用于补偿以后期间或已发生的费用或 损失的政府补助，划分为与收益相关的政府补助。</w:t>
      </w:r>
    </w:p>
    <w:p>
      <w:pPr>
        <w:pStyle w:val="BodyText"/>
        <w:spacing w:line="348" w:lineRule="auto"/>
        <w:ind w:right="1126" w:firstLine="480"/>
        <w:jc w:val="both"/>
      </w:pPr>
      <w:r>
        <w:rPr/>
        <w:t>③若政府文件未明确规定补助对象，则采用以下方式将该政府补助款划分为与资产相关 的政府补助或与收益相关的政府补助：</w:t>
      </w:r>
      <w:r>
        <w:rPr>
          <w:rFonts w:ascii="Times New Roman" w:hAnsi="Times New Roman" w:cs="Times New Roman" w:eastAsia="Times New Roman" w:hint="default"/>
        </w:rPr>
        <w:t>1)</w:t>
      </w:r>
      <w:r>
        <w:rPr/>
        <w:t>政府文件明确了补助所针对的特定项目的，根据该</w:t>
      </w:r>
      <w:r>
        <w:rPr>
          <w:spacing w:val="-47"/>
        </w:rPr>
        <w:t> </w:t>
      </w:r>
      <w:r>
        <w:rPr>
          <w:spacing w:val="-47"/>
        </w:rPr>
      </w:r>
      <w:r>
        <w:rPr/>
        <w:t>特定项目的预算中将形成资产的支出金额和计入费用的支出金额的相对比例进行划分，对该</w:t>
      </w:r>
      <w:r>
        <w:rPr>
          <w:spacing w:val="-91"/>
        </w:rPr>
        <w:t> </w:t>
      </w:r>
      <w:r>
        <w:rPr>
          <w:spacing w:val="-91"/>
        </w:rPr>
      </w:r>
      <w:r>
        <w:rPr/>
        <w:t>划分比例需在每个资产负债表日进行复核，必要时进行变更；</w:t>
      </w:r>
      <w:r>
        <w:rPr>
          <w:rFonts w:ascii="Times New Roman" w:hAnsi="Times New Roman" w:cs="Times New Roman" w:eastAsia="Times New Roman" w:hint="default"/>
        </w:rPr>
        <w:t>2)</w:t>
      </w:r>
      <w:r>
        <w:rPr/>
        <w:t>政府文件中对用途仅作一般</w:t>
      </w:r>
      <w:r>
        <w:rPr>
          <w:spacing w:val="-52"/>
        </w:rPr>
        <w:t> </w:t>
      </w:r>
      <w:r>
        <w:rPr>
          <w:spacing w:val="-52"/>
        </w:rPr>
      </w:r>
      <w:r>
        <w:rPr/>
        <w:t>性表述，没有指明特定项目的，作为与收益相关的政府补助。</w:t>
      </w:r>
    </w:p>
    <w:p>
      <w:pPr>
        <w:pStyle w:val="BodyText"/>
        <w:spacing w:line="338" w:lineRule="auto" w:before="46"/>
        <w:ind w:left="633" w:right="1153"/>
        <w:jc w:val="left"/>
      </w:pPr>
      <w:r>
        <w:rPr/>
        <w:t>（</w:t>
      </w:r>
      <w:r>
        <w:rPr>
          <w:rFonts w:ascii="Times New Roman" w:hAnsi="Times New Roman" w:cs="Times New Roman" w:eastAsia="Times New Roman" w:hint="default"/>
        </w:rPr>
        <w:t>2</w:t>
      </w:r>
      <w:r>
        <w:rPr/>
        <w:t>）政府补助的确认时点 本公司对于政府补助通常在实际收到时，按照实收金额予以确认和计量。但对于期末有</w:t>
      </w:r>
    </w:p>
    <w:p>
      <w:pPr>
        <w:pStyle w:val="BodyText"/>
        <w:spacing w:line="357" w:lineRule="auto" w:before="55"/>
        <w:ind w:right="1171"/>
        <w:jc w:val="both"/>
      </w:pPr>
      <w:r>
        <w:rPr/>
        <w:t>确凿证据表明能够符合财政扶持政策规定的相关条件预计能够收到财政扶持资金，按照应收 的金额计量。按照应收金额计量的政府补助应同时符合以下条件：</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48" w:lineRule="auto" w:before="26"/>
        <w:ind w:right="1131" w:firstLine="480"/>
        <w:jc w:val="both"/>
      </w:pPr>
      <w:r>
        <w:rPr/>
        <w:t>①所依据的是当地财政部门正式发布并按照《政府信息公开条例》的规定予以主动公开 </w:t>
      </w:r>
      <w:r>
        <w:rPr>
          <w:spacing w:val="-1"/>
        </w:rPr>
        <w:t>的财政扶持项目及其财政资金管理办法，且该管理办法应当是普惠性的</w:t>
      </w:r>
      <w:r>
        <w:rPr>
          <w:rFonts w:ascii="Times New Roman" w:hAnsi="Times New Roman" w:cs="Times New Roman" w:eastAsia="Times New Roman" w:hint="default"/>
          <w:spacing w:val="-1"/>
        </w:rPr>
        <w:t>(</w:t>
      </w:r>
      <w:r>
        <w:rPr>
          <w:spacing w:val="-1"/>
        </w:rPr>
        <w:t>任何符合规定条件的</w:t>
      </w:r>
      <w:r>
        <w:rPr/>
        <w:t> 企业均可申请</w:t>
      </w:r>
      <w:r>
        <w:rPr>
          <w:rFonts w:ascii="Times New Roman" w:hAnsi="Times New Roman" w:cs="Times New Roman" w:eastAsia="Times New Roman" w:hint="default"/>
        </w:rPr>
        <w:t>)</w:t>
      </w:r>
      <w:r>
        <w:rPr/>
        <w:t>，而不是专门针对特定企业制定的；</w:t>
      </w:r>
    </w:p>
    <w:p>
      <w:pPr>
        <w:pStyle w:val="BodyText"/>
        <w:spacing w:line="357" w:lineRule="auto" w:before="16"/>
        <w:ind w:right="1171" w:firstLine="480"/>
        <w:jc w:val="both"/>
      </w:pPr>
      <w:r>
        <w:rPr/>
        <w:t>②应收补助款的金额已经过有权政府部门发文确认，或者可根据正式发布的财政资金管 理办法的有关规定自行合理测算，且预计其金额不存在重大不确定性；</w:t>
      </w:r>
    </w:p>
    <w:p>
      <w:pPr>
        <w:pStyle w:val="BodyText"/>
        <w:spacing w:line="357" w:lineRule="auto"/>
        <w:ind w:right="1171" w:firstLine="480"/>
        <w:jc w:val="both"/>
      </w:pPr>
      <w:r>
        <w:rPr/>
        <w:t>③相关的补助款批文中已明确承诺了拨付期限，且该款项的拨付是有相应财政预算作为 保障的，因而可以合理保证其可在规定期限内收到；</w:t>
      </w:r>
    </w:p>
    <w:p>
      <w:pPr>
        <w:pStyle w:val="BodyText"/>
        <w:spacing w:line="240" w:lineRule="auto"/>
        <w:ind w:left="633" w:right="1273"/>
        <w:jc w:val="left"/>
      </w:pPr>
      <w:r>
        <w:rPr/>
        <w:t>④根据本公司和该补助事项的具体情况，应满足的其他相关条件</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w:t>
      </w:r>
    </w:p>
    <w:p>
      <w:pPr>
        <w:pStyle w:val="BodyText"/>
        <w:spacing w:line="338" w:lineRule="auto" w:before="136"/>
        <w:ind w:left="633" w:right="1153"/>
        <w:jc w:val="left"/>
      </w:pPr>
      <w:r>
        <w:rPr/>
        <w:t>（</w:t>
      </w:r>
      <w:r>
        <w:rPr>
          <w:rFonts w:ascii="Times New Roman" w:hAnsi="Times New Roman" w:cs="Times New Roman" w:eastAsia="Times New Roman" w:hint="default"/>
        </w:rPr>
        <w:t>3</w:t>
      </w:r>
      <w:r>
        <w:rPr/>
        <w:t>）政府补助的会计处理 政府补助为货币性资产的，按收到或应收的金额计量；为非货币性资产的，按公允价值</w:t>
      </w:r>
    </w:p>
    <w:p>
      <w:pPr>
        <w:pStyle w:val="BodyText"/>
        <w:spacing w:line="357" w:lineRule="auto" w:before="55"/>
        <w:ind w:right="1153"/>
        <w:jc w:val="left"/>
      </w:pPr>
      <w:r>
        <w:rPr/>
        <w:t>计量；非货币性资产公允价值不能可靠取得的，按名义金额计量。按照名义金额计量的政府 补助，直接计入当期损益。</w:t>
      </w:r>
    </w:p>
    <w:p>
      <w:pPr>
        <w:pStyle w:val="BodyText"/>
        <w:spacing w:line="357" w:lineRule="auto"/>
        <w:ind w:left="633" w:right="1116"/>
        <w:jc w:val="left"/>
      </w:pPr>
      <w:r>
        <w:rPr/>
        <w:t>本公司对政府补助采用的是总额法，具体会计处理如下： 与资产相关的政府补助确认为递延收益，在相关资产使用寿命内按照合理、系统的方法</w:t>
      </w:r>
    </w:p>
    <w:p>
      <w:pPr>
        <w:pStyle w:val="BodyText"/>
        <w:spacing w:line="357" w:lineRule="auto"/>
        <w:ind w:right="1116"/>
        <w:jc w:val="left"/>
      </w:pPr>
      <w:r>
        <w:rPr/>
        <w:t>分期计入当期损益；相关资产在使用寿命结束前被出售、转让、报废或发生毁损的，将相关</w:t>
      </w:r>
      <w:r>
        <w:rPr>
          <w:spacing w:val="-91"/>
        </w:rPr>
        <w:t> </w:t>
      </w:r>
      <w:r>
        <w:rPr>
          <w:spacing w:val="-91"/>
        </w:rPr>
      </w:r>
      <w:r>
        <w:rPr/>
        <w:t>递延收益余额转入资产处置当期的损益。</w:t>
      </w:r>
    </w:p>
    <w:p>
      <w:pPr>
        <w:pStyle w:val="BodyText"/>
        <w:spacing w:line="357" w:lineRule="auto"/>
        <w:ind w:right="1138" w:firstLine="480"/>
        <w:jc w:val="both"/>
      </w:pPr>
      <w:r>
        <w:rPr/>
        <w:t>与收益相关的政府补助，用于补偿本公司以后期间的相关成本费用或损失的，确认为递 延收益，并在确认相关成本费用或损失的期间，计入当期损益；用于补偿企业已发生的相关</w:t>
      </w:r>
      <w:r>
        <w:rPr>
          <w:spacing w:val="-91"/>
        </w:rPr>
        <w:t> </w:t>
      </w:r>
      <w:r>
        <w:rPr>
          <w:spacing w:val="-91"/>
        </w:rPr>
      </w:r>
      <w:r>
        <w:rPr/>
        <w:t>成本费用或损失的，直接计入当期损益。</w:t>
      </w:r>
    </w:p>
    <w:p>
      <w:pPr>
        <w:pStyle w:val="BodyText"/>
        <w:spacing w:line="240" w:lineRule="auto"/>
        <w:ind w:left="633" w:right="1273"/>
        <w:jc w:val="left"/>
      </w:pPr>
      <w:r>
        <w:rPr/>
        <w:t>本公司取得的政策性优惠贷款贴息，区分以下两种情况，分别进行会计处理：</w:t>
      </w:r>
    </w:p>
    <w:p>
      <w:pPr>
        <w:pStyle w:val="BodyText"/>
        <w:spacing w:line="357" w:lineRule="auto" w:before="154"/>
        <w:ind w:right="1138" w:firstLine="480"/>
        <w:jc w:val="both"/>
      </w:pPr>
      <w:r>
        <w:rPr/>
        <w:t>①财政将贴息资金拨付给贷款银行，由贷款银行以政策性优惠利率向企业提供贷款的， 本公司以实际收到的借款金额作为借款的入账价值，按照借款本金和该政策性优惠利率计算</w:t>
      </w:r>
      <w:r>
        <w:rPr>
          <w:spacing w:val="-91"/>
        </w:rPr>
        <w:t> </w:t>
      </w:r>
      <w:r>
        <w:rPr>
          <w:spacing w:val="-91"/>
        </w:rPr>
      </w:r>
      <w:r>
        <w:rPr/>
        <w:t>相关借款费用。</w:t>
      </w:r>
    </w:p>
    <w:p>
      <w:pPr>
        <w:pStyle w:val="BodyText"/>
        <w:spacing w:line="357" w:lineRule="auto" w:before="37"/>
        <w:ind w:left="633" w:right="1633"/>
        <w:jc w:val="left"/>
      </w:pPr>
      <w:r>
        <w:rPr/>
        <w:t>②财政将贴息资金直接拨付给本公司的，本公司将对应的贴息冲减相关借款费用。 已确认的政府补助需要退回的，在需要退回的当期分以下情况进行会计处理：</w:t>
      </w:r>
    </w:p>
    <w:p>
      <w:pPr>
        <w:pStyle w:val="BodyText"/>
        <w:spacing w:line="240" w:lineRule="auto"/>
        <w:ind w:left="633" w:right="1273"/>
        <w:jc w:val="left"/>
      </w:pPr>
      <w:r>
        <w:rPr/>
        <w:t>①初始确认时冲减相关资产账面价值的，调整资产账面价值；</w:t>
      </w:r>
    </w:p>
    <w:p>
      <w:pPr>
        <w:pStyle w:val="BodyText"/>
        <w:spacing w:line="240" w:lineRule="auto" w:before="154"/>
        <w:ind w:left="633" w:right="1273"/>
        <w:jc w:val="left"/>
      </w:pPr>
      <w:r>
        <w:rPr/>
        <w:t>②存在相关递延收益的，冲减相关递延收益账面余额，超出部分计入当期损益；</w:t>
      </w:r>
    </w:p>
    <w:p>
      <w:pPr>
        <w:pStyle w:val="BodyText"/>
        <w:spacing w:line="357" w:lineRule="auto" w:before="154"/>
        <w:ind w:left="633" w:right="1153"/>
        <w:jc w:val="left"/>
      </w:pPr>
      <w:r>
        <w:rPr/>
        <w:t>③属于其他情况的，直接计入当期损益。 政府补助计入不同损益项目的区分原则为：与本公司日常活动相关的政府补助，按照经</w:t>
      </w:r>
    </w:p>
    <w:p>
      <w:pPr>
        <w:spacing w:after="0" w:line="357"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济业务实质，计入其他收益；与本公司日常活动无关的政府补助，计入营业外收支。</w:t>
      </w:r>
    </w:p>
    <w:p>
      <w:pPr>
        <w:pStyle w:val="Heading2"/>
        <w:spacing w:line="240" w:lineRule="auto" w:before="154"/>
        <w:ind w:left="635" w:right="1273"/>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338" w:lineRule="auto" w:before="135"/>
        <w:ind w:left="633" w:right="1116"/>
        <w:jc w:val="left"/>
      </w:pPr>
      <w:r>
        <w:rPr/>
        <w:t>（</w:t>
      </w:r>
      <w:r>
        <w:rPr>
          <w:rFonts w:ascii="Times New Roman" w:hAnsi="Times New Roman" w:cs="Times New Roman" w:eastAsia="Times New Roman" w:hint="default"/>
        </w:rPr>
        <w:t>1</w:t>
      </w:r>
      <w:r>
        <w:rPr/>
        <w:t>）递延所得税资产和递延所得税负债的确认和计量 本公司根据资产、负债与资产负债日的账面价值与计税基础之间的暂时性差异，采用资</w:t>
      </w:r>
    </w:p>
    <w:p>
      <w:pPr>
        <w:pStyle w:val="BodyText"/>
        <w:spacing w:line="348" w:lineRule="auto" w:before="55"/>
        <w:ind w:right="1134"/>
        <w:jc w:val="both"/>
      </w:pPr>
      <w:r>
        <w:rPr/>
        <w:t>产负债表债务法确认递延所得税。公司当期所得税和递延所得税作为所得税费用或收益计入</w:t>
      </w:r>
      <w:r>
        <w:rPr>
          <w:spacing w:val="-89"/>
        </w:rPr>
        <w:t> </w:t>
      </w:r>
      <w:r>
        <w:rPr>
          <w:spacing w:val="-89"/>
        </w:rPr>
      </w:r>
      <w:r>
        <w:rPr>
          <w:spacing w:val="-2"/>
        </w:rPr>
        <w:t>当期损益，但不包括下列情况产生的所得税：</w:t>
      </w:r>
      <w:r>
        <w:rPr>
          <w:rFonts w:ascii="Times New Roman" w:hAnsi="Times New Roman" w:cs="Times New Roman" w:eastAsia="Times New Roman" w:hint="default"/>
          <w:spacing w:val="-2"/>
        </w:rPr>
        <w:t>(1)</w:t>
      </w:r>
      <w:r>
        <w:rPr>
          <w:spacing w:val="-2"/>
        </w:rPr>
        <w:t>企业合并；</w:t>
      </w:r>
      <w:r>
        <w:rPr>
          <w:rFonts w:ascii="Times New Roman" w:hAnsi="Times New Roman" w:cs="Times New Roman" w:eastAsia="Times New Roman" w:hint="default"/>
          <w:spacing w:val="-2"/>
        </w:rPr>
        <w:t>(2)</w:t>
      </w:r>
      <w:r>
        <w:rPr>
          <w:spacing w:val="-2"/>
        </w:rPr>
        <w:t>直接在所有者权益中确认的交</w:t>
      </w:r>
      <w:r>
        <w:rPr>
          <w:spacing w:val="-78"/>
        </w:rPr>
        <w:t> </w:t>
      </w:r>
      <w:r>
        <w:rPr>
          <w:spacing w:val="-78"/>
        </w:rPr>
      </w:r>
      <w:r>
        <w:rPr/>
        <w:t>易或者事项。</w:t>
      </w:r>
    </w:p>
    <w:p>
      <w:pPr>
        <w:pStyle w:val="BodyText"/>
        <w:spacing w:line="357" w:lineRule="auto" w:before="46"/>
        <w:ind w:right="1138" w:firstLine="480"/>
        <w:jc w:val="both"/>
      </w:pPr>
      <w:r>
        <w:rPr/>
        <w:t>对于可抵扣暂时性差异、能够结转以后年度的可抵扣亏损和税款抵减，公司以很可能取 得用来抵扣可抵扣暂时性差异、可抵扣亏损和税款抵减的未来应纳税所得额为限，确认由此</w:t>
      </w:r>
      <w:r>
        <w:rPr>
          <w:spacing w:val="-91"/>
        </w:rPr>
        <w:t> </w:t>
      </w:r>
      <w:r>
        <w:rPr>
          <w:spacing w:val="-91"/>
        </w:rPr>
      </w:r>
      <w:r>
        <w:rPr/>
        <w:t>产生的递延所得税资产，除非该可抵扣暂时性差异是在以下交易中产生的：</w:t>
      </w:r>
    </w:p>
    <w:p>
      <w:pPr>
        <w:pStyle w:val="BodyText"/>
        <w:spacing w:line="240" w:lineRule="auto"/>
        <w:ind w:left="633" w:right="1273"/>
        <w:jc w:val="left"/>
      </w:pPr>
      <w:r>
        <w:rPr/>
        <w:t>①该交易不是企业合并，并且交易发生时既不影响会计利润也不影响应纳税所得额；</w:t>
      </w:r>
    </w:p>
    <w:p>
      <w:pPr>
        <w:pStyle w:val="BodyText"/>
        <w:spacing w:line="357" w:lineRule="auto" w:before="154"/>
        <w:ind w:right="1135" w:firstLine="480"/>
        <w:jc w:val="both"/>
      </w:pPr>
      <w:r>
        <w:rPr/>
        <w:t>②对于与子公司、合营企业及联营企业投资相关的可抵扣暂时性差异，同时满足下列条 件的，确认相应的递延所得税资产：暂时性差异在可预见的未来很可能转回，且未来很可能</w:t>
      </w:r>
      <w:r>
        <w:rPr>
          <w:spacing w:val="-91"/>
        </w:rPr>
        <w:t> </w:t>
      </w:r>
      <w:r>
        <w:rPr>
          <w:spacing w:val="-91"/>
        </w:rPr>
      </w:r>
      <w:r>
        <w:rPr/>
        <w:t>获得用来抵扣可抵扣暂时性差异的应纳税所得额。</w:t>
      </w:r>
    </w:p>
    <w:p>
      <w:pPr>
        <w:pStyle w:val="BodyText"/>
        <w:spacing w:line="357" w:lineRule="auto"/>
        <w:ind w:right="1140" w:firstLine="480"/>
        <w:jc w:val="both"/>
      </w:pPr>
      <w:r>
        <w:rPr/>
        <w:t>各项应纳税暂时性差异均确认相关的递延所得税负债，除非该应纳税暂时性差异是在以 下交易中产生的：</w:t>
      </w:r>
    </w:p>
    <w:p>
      <w:pPr>
        <w:pStyle w:val="BodyText"/>
        <w:spacing w:line="357" w:lineRule="auto"/>
        <w:ind w:right="1171" w:firstLine="480"/>
        <w:jc w:val="both"/>
      </w:pPr>
      <w:r>
        <w:rPr/>
        <w:t>①商誉的初始确认，或者具有以下特征的交易中产生的资产或负债的初始确认：该交易 不是企业合并，并且交易发生时既不影响会计利润也不影响应纳税所得额；</w:t>
      </w:r>
    </w:p>
    <w:p>
      <w:pPr>
        <w:pStyle w:val="BodyText"/>
        <w:spacing w:line="357" w:lineRule="auto"/>
        <w:ind w:right="1171" w:firstLine="480"/>
        <w:jc w:val="both"/>
      </w:pPr>
      <w:r>
        <w:rPr/>
        <w:t>②对于与子公司、合营企业及联营企业投资相关的应纳税暂时性差异，该暂时性差异转 回的时间能够控制并且该暂时性差异在可预见的未来很可能不会转回。</w:t>
      </w:r>
    </w:p>
    <w:p>
      <w:pPr>
        <w:pStyle w:val="BodyText"/>
        <w:spacing w:line="338" w:lineRule="auto"/>
        <w:ind w:right="1131" w:firstLine="480"/>
        <w:jc w:val="both"/>
      </w:pPr>
      <w:r>
        <w:rPr>
          <w:spacing w:val="-2"/>
        </w:rPr>
        <w:t>根据资产、负债的账面价值与其计税基础之间的差额</w:t>
      </w:r>
      <w:r>
        <w:rPr>
          <w:rFonts w:ascii="Times New Roman" w:hAnsi="Times New Roman" w:cs="Times New Roman" w:eastAsia="Times New Roman" w:hint="default"/>
          <w:spacing w:val="-2"/>
        </w:rPr>
        <w:t>(</w:t>
      </w:r>
      <w:r>
        <w:rPr>
          <w:spacing w:val="-2"/>
        </w:rPr>
        <w:t>未作为资产和负债确认的项目按照</w:t>
      </w:r>
      <w:r>
        <w:rPr/>
        <w:t> </w:t>
      </w:r>
      <w:r>
        <w:rPr>
          <w:spacing w:val="-2"/>
        </w:rPr>
        <w:t>税法规定可以确定其计税基础的，该计税基础与其账面数之间的差额</w:t>
      </w:r>
      <w:r>
        <w:rPr>
          <w:rFonts w:ascii="Times New Roman" w:hAnsi="Times New Roman" w:cs="Times New Roman" w:eastAsia="Times New Roman" w:hint="default"/>
          <w:spacing w:val="-2"/>
        </w:rPr>
        <w:t>)</w:t>
      </w:r>
      <w:r>
        <w:rPr>
          <w:spacing w:val="-2"/>
        </w:rPr>
        <w:t>，按照预期收回该资产</w:t>
      </w:r>
      <w:r>
        <w:rPr>
          <w:spacing w:val="-80"/>
        </w:rPr>
        <w:t> </w:t>
      </w:r>
      <w:r>
        <w:rPr>
          <w:spacing w:val="-80"/>
        </w:rPr>
      </w:r>
      <w:r>
        <w:rPr/>
        <w:t>或清偿该负债期间的适用税率计算确认递延所得税资产或递延所得税负债。</w:t>
      </w:r>
    </w:p>
    <w:p>
      <w:pPr>
        <w:pStyle w:val="BodyText"/>
        <w:spacing w:line="357" w:lineRule="auto" w:before="56"/>
        <w:ind w:right="1132" w:firstLine="480"/>
        <w:jc w:val="both"/>
      </w:pPr>
      <w:r>
        <w:rPr/>
        <w:t>确认递延所得税资产以很可能取得用来抵扣可抵扣暂时性差异的应纳税所得额为限。资 产负债表日，有确凿证据表明未来期间很可能获得足够的应纳税所得额用来抵扣可抵扣暂时 性差异的，确认以前会计期间未确认的递延所得税资产。对递延所得税资产的账面价值进行 复核，如果未来期间很可能无法获得足够的应纳税所得额用以抵扣递延所得税资产的利益， </w:t>
      </w:r>
      <w:r>
        <w:rPr>
          <w:spacing w:val="-5"/>
        </w:rPr>
        <w:t>则减记递延所得税资产的账面价值。在很可能获得足够的应纳税所得额时，转回减记的金额。</w:t>
      </w:r>
    </w:p>
    <w:p>
      <w:pPr>
        <w:pStyle w:val="BodyText"/>
        <w:spacing w:line="240" w:lineRule="auto"/>
        <w:ind w:left="633" w:right="1116"/>
        <w:jc w:val="left"/>
      </w:pPr>
      <w:r>
        <w:rPr>
          <w:spacing w:val="-3"/>
        </w:rPr>
        <w:t>（</w:t>
      </w:r>
      <w:r>
        <w:rPr>
          <w:rFonts w:ascii="Times New Roman" w:hAnsi="Times New Roman" w:cs="Times New Roman" w:eastAsia="Times New Roman" w:hint="default"/>
          <w:spacing w:val="-3"/>
        </w:rPr>
        <w:t>2</w:t>
      </w:r>
      <w:r>
        <w:rPr>
          <w:spacing w:val="-3"/>
        </w:rPr>
        <w:t>）当拥有以净额结算的法定权利，且意图以净额结算或取得资产、清偿负债同时进行</w:t>
      </w:r>
    </w:p>
    <w:p>
      <w:pPr>
        <w:spacing w:after="0" w:line="240"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53" w:hanging="480"/>
        <w:jc w:val="left"/>
      </w:pPr>
      <w:r>
        <w:rPr/>
        <w:t>时，本公司当期所得税资产及当期所得税负债以抵销后的净额列报。 当拥有以净额结算当期所得税资产及当期所得税负债的法定权利，且递延所得税资产及</w:t>
      </w:r>
    </w:p>
    <w:p>
      <w:pPr>
        <w:pStyle w:val="BodyText"/>
        <w:spacing w:line="357" w:lineRule="auto"/>
        <w:ind w:right="1171"/>
        <w:jc w:val="both"/>
      </w:pPr>
      <w:r>
        <w:rPr/>
        <w:t>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Heading2"/>
        <w:spacing w:line="240" w:lineRule="auto" w:before="36"/>
        <w:ind w:left="635" w:right="1273"/>
        <w:jc w:val="left"/>
        <w:rPr>
          <w:b w:val="0"/>
          <w:bCs w:val="0"/>
        </w:rPr>
      </w:pPr>
      <w:r>
        <w:rPr>
          <w:rFonts w:ascii="Times New Roman" w:hAnsi="Times New Roman" w:cs="Times New Roman" w:eastAsia="Times New Roman" w:hint="default"/>
        </w:rPr>
        <w:t>28</w:t>
      </w:r>
      <w:r>
        <w:rPr/>
        <w:t>、租赁</w:t>
      </w:r>
      <w:r>
        <w:rPr>
          <w:b w:val="0"/>
          <w:bCs w:val="0"/>
        </w:rPr>
      </w:r>
    </w:p>
    <w:p>
      <w:pPr>
        <w:pStyle w:val="Heading2"/>
        <w:spacing w:line="240" w:lineRule="auto" w:before="135"/>
        <w:ind w:left="635" w:right="127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357" w:lineRule="auto" w:before="136"/>
        <w:ind w:right="1132" w:firstLine="480"/>
        <w:jc w:val="both"/>
      </w:pPr>
      <w:r>
        <w:rPr/>
        <w:t>①出租人：公司出租资产收取的租赁费，在不扣除免租期的整个租赁期内，按直线法进 </w:t>
      </w:r>
      <w:r>
        <w:rPr>
          <w:spacing w:val="-5"/>
        </w:rPr>
        <w:t>行分摊，确认为租赁相关收入。公司支付的与租赁交易相关的初始直接费用，计入当期费用；</w:t>
      </w:r>
      <w:r>
        <w:rPr/>
        <w:t> 如金额较大的，则予以资本化，在这个租赁期间内按照与租赁相关收入确认相同的基础分期 计入当期收益。公司承担了应由承租方承担的与租赁相关的费用时，公司将该部分费用从租 金收入总额扣除，按扣除后的租金费用在租赁期内分配。或有租金于实际发生时计入当期损 益。</w:t>
      </w:r>
    </w:p>
    <w:p>
      <w:pPr>
        <w:pStyle w:val="BodyText"/>
        <w:spacing w:line="357" w:lineRule="auto"/>
        <w:ind w:right="995" w:firstLine="480"/>
        <w:jc w:val="left"/>
      </w:pPr>
      <w:r>
        <w:rPr/>
        <w:t>②承租人：公司租入资产所支付的租赁费，在不扣除免租期的整个租赁期内，按直线法 进行分摊，计入当期费用。公司支付的与租赁交易相关的初始直接费用，计入当期费用；资</w:t>
      </w:r>
      <w:r>
        <w:rPr>
          <w:spacing w:val="-91"/>
        </w:rPr>
        <w:t> </w:t>
      </w:r>
      <w:r>
        <w:rPr>
          <w:spacing w:val="-91"/>
        </w:rPr>
      </w:r>
      <w:r>
        <w:rPr>
          <w:spacing w:val="-2"/>
        </w:rPr>
        <w:t>产出租方承担了应由公司承担的与租赁相关的费用时，公司将该部分费用从租金总额中扣除，</w:t>
      </w:r>
      <w:r>
        <w:rPr/>
        <w:t> </w:t>
      </w:r>
      <w:r>
        <w:rPr>
          <w:spacing w:val="-5"/>
        </w:rPr>
        <w:t>按扣除后的租金费用在租赁期内分摊，计入当期费用。或有租金于实际发生时计入当期损益。</w:t>
      </w:r>
    </w:p>
    <w:p>
      <w:pPr>
        <w:spacing w:line="338" w:lineRule="auto" w:before="36"/>
        <w:ind w:left="633" w:right="1116" w:hanging="2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）融资租赁的会计处理方法</w:t>
      </w:r>
      <w:r>
        <w:rPr>
          <w:rFonts w:ascii="宋体" w:hAnsi="宋体" w:cs="宋体" w:eastAsia="宋体" w:hint="default"/>
          <w:b/>
          <w:bCs/>
          <w:w w:val="99"/>
          <w:sz w:val="24"/>
          <w:szCs w:val="24"/>
        </w:rPr>
        <w:t> </w:t>
      </w:r>
      <w:r>
        <w:rPr>
          <w:rFonts w:ascii="宋体" w:hAnsi="宋体" w:cs="宋体" w:eastAsia="宋体" w:hint="default"/>
          <w:sz w:val="24"/>
          <w:szCs w:val="24"/>
        </w:rPr>
        <w:t>出租人：在租赁期开始日本公司按最低租赁收款额与初始直接费用之和作为应收融资租</w:t>
      </w:r>
    </w:p>
    <w:p>
      <w:pPr>
        <w:pStyle w:val="BodyText"/>
        <w:spacing w:line="357" w:lineRule="auto" w:before="55"/>
        <w:ind w:right="1135"/>
        <w:jc w:val="both"/>
      </w:pPr>
      <w:r>
        <w:rPr/>
        <w:t>赁款的入账价值，同时记录未担保余值；将最低租赁收款额、初始直接费用及未担保余值之</w:t>
      </w:r>
      <w:r>
        <w:rPr>
          <w:spacing w:val="-89"/>
        </w:rPr>
        <w:t> </w:t>
      </w:r>
      <w:r>
        <w:rPr>
          <w:spacing w:val="-89"/>
        </w:rPr>
      </w:r>
      <w:r>
        <w:rPr/>
        <w:t>和与其现值之和的差额确认为未实现融资收益。未实现融资收益在租赁期内各个期间采用实</w:t>
      </w:r>
      <w:r>
        <w:rPr>
          <w:spacing w:val="-91"/>
        </w:rPr>
        <w:t> </w:t>
      </w:r>
      <w:r>
        <w:rPr>
          <w:spacing w:val="-91"/>
        </w:rPr>
      </w:r>
      <w:r>
        <w:rPr/>
        <w:t>际利率法计算确认当期的融资收入。应收融资租赁款扣除未实现融资收益后的余额分别长期</w:t>
      </w:r>
      <w:r>
        <w:rPr>
          <w:spacing w:val="-91"/>
        </w:rPr>
        <w:t> </w:t>
      </w:r>
      <w:r>
        <w:rPr>
          <w:spacing w:val="-91"/>
        </w:rPr>
      </w:r>
      <w:r>
        <w:rPr/>
        <w:t>债权和一年内到期的长期债权列示。或有租金于实际发生时计入当期损益。</w:t>
      </w:r>
    </w:p>
    <w:p>
      <w:pPr>
        <w:pStyle w:val="BodyText"/>
        <w:spacing w:line="357" w:lineRule="auto"/>
        <w:ind w:right="1138" w:firstLine="480"/>
        <w:jc w:val="both"/>
      </w:pPr>
      <w:r>
        <w:rPr/>
        <w:t>承租人：在租赁期开始日本公司将租赁资产公允价值与最低租赁付款额现值两者中较低 者作为租入资产的入账价值，将最低租赁付款额作为长期应付款的入账价值，其差额作为未</w:t>
      </w:r>
      <w:r>
        <w:rPr>
          <w:spacing w:val="-91"/>
        </w:rPr>
        <w:t> </w:t>
      </w:r>
      <w:r>
        <w:rPr>
          <w:spacing w:val="-91"/>
        </w:rPr>
      </w:r>
      <w:r>
        <w:rPr/>
        <w:t>确认融资费用。初始直接费用计入租入资产价值。未确认融资费用在租赁期内各个期间采用</w:t>
      </w:r>
      <w:r>
        <w:rPr>
          <w:spacing w:val="-91"/>
        </w:rPr>
        <w:t> </w:t>
      </w:r>
      <w:r>
        <w:rPr>
          <w:spacing w:val="-91"/>
        </w:rPr>
      </w:r>
      <w:r>
        <w:rPr/>
        <w:t>实际利率法计算确认当期的融资费用。最低租赁付款额扣除未确认融资费用后的余额分别长</w:t>
      </w:r>
      <w:r>
        <w:rPr>
          <w:spacing w:val="-91"/>
        </w:rPr>
        <w:t> </w:t>
      </w:r>
      <w:r>
        <w:rPr>
          <w:spacing w:val="-91"/>
        </w:rPr>
      </w:r>
      <w:r>
        <w:rPr/>
        <w:t>期负债和一年内到期的长期负债列示。或有租金于实际发生时计入当期损益。</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left="635" w:right="1273"/>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pStyle w:val="BodyText"/>
        <w:spacing w:line="338" w:lineRule="auto" w:before="135"/>
        <w:ind w:left="633" w:right="1116"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）库存股</w:t>
      </w:r>
      <w:r>
        <w:rPr>
          <w:rFonts w:ascii="宋体" w:hAnsi="宋体" w:cs="宋体" w:eastAsia="宋体" w:hint="default"/>
          <w:b/>
          <w:bCs/>
          <w:w w:val="99"/>
        </w:rPr>
        <w:t> </w:t>
      </w:r>
      <w:r>
        <w:rPr/>
        <w:t>因减少注册资本或奖励职工等原因回购本公司股份，在注销或者转让之前，作为库存股</w:t>
      </w:r>
    </w:p>
    <w:p>
      <w:pPr>
        <w:pStyle w:val="BodyText"/>
        <w:spacing w:line="357" w:lineRule="auto" w:before="55"/>
        <w:ind w:right="1132"/>
        <w:jc w:val="both"/>
      </w:pPr>
      <w:r>
        <w:rPr/>
        <w:t>管理，按实际支付的金额作为库存股成本，减少所有者权益，同时进行备查登记。如果转让</w:t>
      </w:r>
      <w:r>
        <w:rPr>
          <w:spacing w:val="-91"/>
        </w:rPr>
        <w:t> </w:t>
      </w:r>
      <w:r>
        <w:rPr>
          <w:spacing w:val="-91"/>
        </w:rPr>
      </w:r>
      <w:r>
        <w:rPr>
          <w:spacing w:val="-5"/>
        </w:rPr>
        <w:t>库存股，按实际收到的金额与库存股账面金额的差额，计入资本公积，资本公积不足冲减的，</w:t>
      </w:r>
      <w:r>
        <w:rPr/>
        <w:t> 冲减留存收益。如果注销库存股，按股票面值和注销股数减少股本，按注销库存股的账面余</w:t>
      </w:r>
      <w:r>
        <w:rPr>
          <w:spacing w:val="-91"/>
        </w:rPr>
        <w:t> </w:t>
      </w:r>
      <w:r>
        <w:rPr>
          <w:spacing w:val="-91"/>
        </w:rPr>
      </w:r>
      <w:r>
        <w:rPr/>
        <w:t>额与面值的差额，冲减资本公积，资本公积不足冲减的，冲减留存收益。回购、转让或注销</w:t>
      </w:r>
      <w:r>
        <w:rPr>
          <w:spacing w:val="-91"/>
        </w:rPr>
        <w:t> </w:t>
      </w:r>
      <w:r>
        <w:rPr>
          <w:spacing w:val="-91"/>
        </w:rPr>
      </w:r>
      <w:r>
        <w:rPr/>
        <w:t>本公司股份时，不确认利得或损失。</w:t>
      </w:r>
    </w:p>
    <w:p>
      <w:pPr>
        <w:pStyle w:val="BodyText"/>
        <w:spacing w:line="338" w:lineRule="auto" w:before="37"/>
        <w:ind w:left="633" w:right="1116"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）限制性股票</w:t>
      </w:r>
      <w:r>
        <w:rPr>
          <w:rFonts w:ascii="宋体" w:hAnsi="宋体" w:cs="宋体" w:eastAsia="宋体" w:hint="default"/>
          <w:b/>
          <w:bCs/>
          <w:w w:val="99"/>
        </w:rPr>
        <w:t> </w:t>
      </w:r>
      <w:r>
        <w:rPr/>
        <w:t>股权激励计划中，本公司授予被激励对象限制性股票，被激励对象先认购股票，如果后</w:t>
      </w:r>
    </w:p>
    <w:p>
      <w:pPr>
        <w:pStyle w:val="BodyText"/>
        <w:spacing w:line="357" w:lineRule="auto" w:before="55"/>
        <w:ind w:right="1012"/>
        <w:jc w:val="both"/>
      </w:pPr>
      <w:r>
        <w:rPr/>
        <w:t>续未达到股权激励计划规定的解锁条件，则本公司按照事先约定的价格回购股票。向职工发</w:t>
      </w:r>
      <w:r>
        <w:rPr>
          <w:spacing w:val="-91"/>
        </w:rPr>
        <w:t> </w:t>
      </w:r>
      <w:r>
        <w:rPr>
          <w:spacing w:val="-91"/>
        </w:rPr>
      </w:r>
      <w:r>
        <w:rPr/>
        <w:t>行的限制性股票按有关规定履行了注册登记等增资手续的，在授予日，本公司根据收到的职</w:t>
      </w:r>
      <w:r>
        <w:rPr>
          <w:spacing w:val="-91"/>
        </w:rPr>
        <w:t> </w:t>
      </w:r>
      <w:r>
        <w:rPr>
          <w:spacing w:val="-91"/>
        </w:rPr>
      </w:r>
      <w:r>
        <w:rPr/>
        <w:t>工缴纳的认股款确认股本和资本公积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；同时就回购义务确认库存股和其他应付款。</w:t>
      </w:r>
    </w:p>
    <w:p>
      <w:pPr>
        <w:pStyle w:val="Heading2"/>
        <w:spacing w:line="240" w:lineRule="auto" w:before="5"/>
        <w:ind w:left="635" w:right="1273"/>
        <w:jc w:val="left"/>
        <w:rPr>
          <w:b w:val="0"/>
          <w:bCs w:val="0"/>
        </w:rPr>
      </w:pPr>
      <w:r>
        <w:rPr/>
        <w:t>（</w:t>
      </w:r>
      <w:r>
        <w:rPr>
          <w:rFonts w:ascii="Times New Roman" w:hAnsi="Times New Roman" w:cs="Times New Roman" w:eastAsia="Times New Roman" w:hint="default"/>
        </w:rPr>
        <w:t>3</w:t>
      </w:r>
      <w:r>
        <w:rPr/>
        <w:t>）终止经营</w:t>
      </w:r>
      <w:r>
        <w:rPr>
          <w:b w:val="0"/>
          <w:bCs w:val="0"/>
        </w:rPr>
      </w:r>
    </w:p>
    <w:p>
      <w:pPr>
        <w:pStyle w:val="BodyText"/>
        <w:spacing w:line="357" w:lineRule="auto" w:before="135"/>
        <w:ind w:left="633" w:right="1116"/>
        <w:jc w:val="left"/>
      </w:pPr>
      <w:r>
        <w:rPr/>
        <w:t>①终止经营的条件 终止经营，是指公司满足下列条件之一的、能够单独区分的组成部分，且该组成部分已</w:t>
      </w:r>
    </w:p>
    <w:p>
      <w:pPr>
        <w:pStyle w:val="BodyText"/>
        <w:spacing w:line="240" w:lineRule="auto"/>
        <w:ind w:right="0"/>
        <w:jc w:val="both"/>
      </w:pPr>
      <w:r>
        <w:rPr/>
        <w:t>经处置或划分为持有待售类别：</w:t>
      </w:r>
    </w:p>
    <w:p>
      <w:pPr>
        <w:pStyle w:val="BodyText"/>
        <w:spacing w:line="240" w:lineRule="auto" w:before="154"/>
        <w:ind w:left="633" w:right="1273"/>
        <w:jc w:val="left"/>
      </w:pPr>
      <w:r>
        <w:rPr>
          <w:rFonts w:ascii="Times New Roman" w:hAnsi="Times New Roman" w:cs="Times New Roman" w:eastAsia="Times New Roman" w:hint="default"/>
        </w:rPr>
        <w:t>1)</w:t>
      </w:r>
      <w:r>
        <w:rPr/>
        <w:t>该组成部分代表一项独立的主要业务或一个单独的主要经营地区；</w:t>
      </w:r>
    </w:p>
    <w:p>
      <w:pPr>
        <w:pStyle w:val="BodyText"/>
        <w:spacing w:line="338" w:lineRule="auto" w:before="135"/>
        <w:ind w:right="1153" w:firstLine="480"/>
        <w:jc w:val="left"/>
      </w:pPr>
      <w:r>
        <w:rPr>
          <w:rFonts w:ascii="Times New Roman" w:hAnsi="Times New Roman" w:cs="Times New Roman" w:eastAsia="Times New Roman" w:hint="default"/>
        </w:rPr>
        <w:t>2)</w:t>
      </w:r>
      <w:r>
        <w:rPr/>
        <w:t>该组成部分是拟对一项独立的主要业务或一个单独的主要经营地区进行处置的一项相</w:t>
      </w:r>
      <w:r>
        <w:rPr>
          <w:spacing w:val="2"/>
          <w:w w:val="99"/>
        </w:rPr>
        <w:t> </w:t>
      </w:r>
      <w:r>
        <w:rPr/>
        <w:t>关联计划的一部分；</w:t>
      </w:r>
    </w:p>
    <w:p>
      <w:pPr>
        <w:pStyle w:val="BodyText"/>
        <w:spacing w:line="240" w:lineRule="auto" w:before="55"/>
        <w:ind w:left="633" w:right="1273"/>
        <w:jc w:val="left"/>
      </w:pPr>
      <w:r>
        <w:rPr>
          <w:rFonts w:ascii="Times New Roman" w:hAnsi="Times New Roman" w:cs="Times New Roman" w:eastAsia="Times New Roman" w:hint="default"/>
        </w:rPr>
        <w:t>3)</w:t>
      </w:r>
      <w:r>
        <w:rPr/>
        <w:t>该组成部分是专为转售而取得的子公司。</w:t>
      </w:r>
    </w:p>
    <w:p>
      <w:pPr>
        <w:pStyle w:val="BodyText"/>
        <w:spacing w:line="357" w:lineRule="auto" w:before="135"/>
        <w:ind w:left="633" w:right="1116"/>
        <w:jc w:val="left"/>
      </w:pPr>
      <w:r>
        <w:rPr/>
        <w:t>②终止经营的列报 拟结束使用而非出售的处置组满足终止经营定义中有关组成部分的，自停止使用日起作</w:t>
      </w:r>
    </w:p>
    <w:p>
      <w:pPr>
        <w:pStyle w:val="BodyText"/>
        <w:spacing w:line="357" w:lineRule="auto" w:before="37"/>
        <w:ind w:right="1134"/>
        <w:jc w:val="both"/>
      </w:pPr>
      <w:r>
        <w:rPr/>
        <w:t>为终止经营列报；因出售对子公司的投资等原因导致其丧失对子公司控制权，且该子公司符</w:t>
      </w:r>
      <w:r>
        <w:rPr>
          <w:spacing w:val="-91"/>
        </w:rPr>
        <w:t> </w:t>
      </w:r>
      <w:r>
        <w:rPr>
          <w:spacing w:val="-91"/>
        </w:rPr>
      </w:r>
      <w:r>
        <w:rPr/>
        <w:t>合终止经营定义的，在合并报表中列报相关终止经营损益；在利润表中将终止经营处置损益</w:t>
      </w:r>
      <w:r>
        <w:rPr>
          <w:spacing w:val="-87"/>
        </w:rPr>
        <w:t> </w:t>
      </w:r>
      <w:r>
        <w:rPr>
          <w:spacing w:val="-87"/>
        </w:rPr>
      </w:r>
      <w:r>
        <w:rPr/>
        <w:t>的调整金额作为终止经营损益列报。</w:t>
      </w:r>
    </w:p>
    <w:p>
      <w:pPr>
        <w:pStyle w:val="BodyText"/>
        <w:spacing w:line="357" w:lineRule="auto"/>
        <w:ind w:right="995" w:firstLine="480"/>
        <w:jc w:val="left"/>
      </w:pPr>
      <w:r>
        <w:rPr/>
        <w:t>非流动资产或处置组不再划分为持有待售类别或非流动资产从持有待售的处置组中移除 </w:t>
      </w:r>
      <w:r>
        <w:rPr>
          <w:spacing w:val="-2"/>
        </w:rPr>
        <w:t>的，公司在当期利润表中将非流动资产或处置组的账面价值调整金额作为持续经营损益列报。</w:t>
      </w:r>
      <w:r>
        <w:rPr/>
        <w:t> 公司的子公司、共同经营、合营企业、联营企业以及部分对合营企业或联营企业的投资不再</w:t>
      </w:r>
    </w:p>
    <w:p>
      <w:pPr>
        <w:spacing w:after="0" w:line="357"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16"/>
        <w:jc w:val="left"/>
      </w:pPr>
      <w:r>
        <w:rPr/>
        <w:t>继续划分为持有待售类别或从持有待售的处置组中移除的，公司在当期财务报表中相应调整</w:t>
      </w:r>
      <w:r>
        <w:rPr>
          <w:spacing w:val="-91"/>
        </w:rPr>
        <w:t> </w:t>
      </w:r>
      <w:r>
        <w:rPr>
          <w:spacing w:val="-91"/>
        </w:rPr>
      </w:r>
      <w:r>
        <w:rPr/>
        <w:t>各个划分为持有待售类别后可比会计期间的比较数据。</w:t>
      </w:r>
    </w:p>
    <w:p>
      <w:pPr>
        <w:pStyle w:val="BodyText"/>
        <w:spacing w:line="357" w:lineRule="auto"/>
        <w:ind w:right="1138" w:firstLine="480"/>
        <w:jc w:val="both"/>
      </w:pPr>
      <w:r>
        <w:rPr/>
        <w:t>不符合终止经营定义的持有待售的非流动资产或处置组，其减值损失或转回金额及处置 损益作为持续经营损益列报。终止经营的减值损失或转回金额等经营损益及处置损益作为终</w:t>
      </w:r>
      <w:r>
        <w:rPr>
          <w:spacing w:val="-91"/>
        </w:rPr>
        <w:t> </w:t>
      </w:r>
      <w:r>
        <w:rPr>
          <w:spacing w:val="-91"/>
        </w:rPr>
      </w:r>
      <w:r>
        <w:rPr/>
        <w:t>止经营损益列报。</w:t>
      </w:r>
    </w:p>
    <w:p>
      <w:pPr>
        <w:pStyle w:val="BodyText"/>
        <w:spacing w:line="357" w:lineRule="auto"/>
        <w:ind w:right="995" w:firstLine="480"/>
        <w:jc w:val="left"/>
      </w:pPr>
      <w:r>
        <w:rPr/>
        <w:t>对于当期列报的终止经营，公司在当期财务报表中，将原来作为持续经营损益列报的信 </w:t>
      </w:r>
      <w:r>
        <w:rPr>
          <w:spacing w:val="-2"/>
        </w:rPr>
        <w:t>息重新作为可比会计期间的终止经营损益列报。终止经营不再满足持有待售类别划分条件的，</w:t>
      </w:r>
      <w:r>
        <w:rPr/>
        <w:t> 公司在当期财务报表中，将原来作为终止经营损益列报的信息重新作为可比会计期间的持续</w:t>
      </w:r>
      <w:r>
        <w:rPr>
          <w:spacing w:val="-91"/>
        </w:rPr>
        <w:t> </w:t>
      </w:r>
      <w:r>
        <w:rPr>
          <w:spacing w:val="-91"/>
        </w:rPr>
      </w:r>
      <w:r>
        <w:rPr/>
        <w:t>经营损益列报。</w:t>
      </w:r>
    </w:p>
    <w:p>
      <w:pPr>
        <w:pStyle w:val="Heading2"/>
        <w:spacing w:line="240" w:lineRule="auto" w:before="36"/>
        <w:ind w:left="635" w:right="1273"/>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pStyle w:val="Heading2"/>
        <w:spacing w:line="240" w:lineRule="auto" w:before="135"/>
        <w:ind w:left="635" w:right="127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135"/>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48" w:lineRule="auto" w:before="135"/>
        <w:ind w:left="633" w:right="1121"/>
        <w:jc w:val="left"/>
      </w:pPr>
      <w:r>
        <w:rPr/>
        <w:t>①因企业会计准则及其他法律法规修订引起的会计政策变更 </w:t>
      </w: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2018</w:t>
      </w:r>
      <w:r>
        <w:rPr/>
        <w:t>年度一般企业财务报表格式的通知》 </w:t>
      </w: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日发布了《财政部关于修订印发</w:t>
      </w:r>
      <w:r>
        <w:rPr>
          <w:rFonts w:ascii="Times New Roman" w:hAnsi="Times New Roman" w:cs="Times New Roman" w:eastAsia="Times New Roman" w:hint="default"/>
          <w:spacing w:val="-2"/>
        </w:rPr>
        <w:t>2018</w:t>
      </w:r>
      <w:r>
        <w:rPr>
          <w:spacing w:val="-2"/>
        </w:rPr>
        <w:t>年度一般企业财务报表格式的</w:t>
      </w:r>
    </w:p>
    <w:p>
      <w:pPr>
        <w:pStyle w:val="BodyText"/>
        <w:spacing w:line="338" w:lineRule="auto" w:before="16"/>
        <w:ind w:right="997"/>
        <w:jc w:val="left"/>
      </w:pPr>
      <w:r>
        <w:rPr/>
        <w:t>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[2018]15</w:t>
      </w:r>
      <w:r>
        <w:rPr/>
        <w:t>号，以下简称</w:t>
      </w:r>
      <w:r>
        <w:rPr>
          <w:rFonts w:ascii="Times New Roman" w:hAnsi="Times New Roman" w:cs="Times New Roman" w:eastAsia="Times New Roman" w:hint="default"/>
        </w:rPr>
        <w:t>“</w:t>
      </w:r>
      <w:r>
        <w:rPr/>
        <w:t>新修订的财务报表格式</w:t>
      </w:r>
      <w:r>
        <w:rPr>
          <w:rFonts w:ascii="Times New Roman" w:hAnsi="Times New Roman" w:cs="Times New Roman" w:eastAsia="Times New Roman" w:hint="default"/>
        </w:rPr>
        <w:t>”)</w:t>
      </w:r>
      <w:r>
        <w:rPr/>
        <w:t>。新修订的财务报表格式主要将 </w:t>
      </w:r>
      <w:r>
        <w:rPr>
          <w:spacing w:val="-2"/>
        </w:rPr>
        <w:t>资产负债表中的部分项目合并列报，在利润表中将原</w:t>
      </w:r>
      <w:r>
        <w:rPr>
          <w:rFonts w:ascii="Times New Roman" w:hAnsi="Times New Roman" w:cs="Times New Roman" w:eastAsia="Times New Roman" w:hint="default"/>
          <w:spacing w:val="-2"/>
        </w:rPr>
        <w:t>“</w:t>
      </w:r>
      <w:r>
        <w:rPr>
          <w:spacing w:val="-2"/>
        </w:rPr>
        <w:t>管理费用</w:t>
      </w:r>
      <w:r>
        <w:rPr>
          <w:rFonts w:ascii="Times New Roman" w:hAnsi="Times New Roman" w:cs="Times New Roman" w:eastAsia="Times New Roman" w:hint="default"/>
          <w:spacing w:val="-2"/>
        </w:rPr>
        <w:t>”</w:t>
      </w:r>
      <w:r>
        <w:rPr>
          <w:spacing w:val="-2"/>
        </w:rPr>
        <w:t>中的研发费用分拆单独列示，</w:t>
      </w:r>
      <w:r>
        <w:rPr>
          <w:spacing w:val="-92"/>
        </w:rPr>
        <w:t> </w:t>
      </w:r>
      <w:r>
        <w:rPr>
          <w:spacing w:val="-92"/>
        </w:rPr>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项目，反映企业进行研究与开发过程中发生的费用化支出。</w:t>
      </w:r>
    </w:p>
    <w:p>
      <w:pPr>
        <w:pStyle w:val="BodyText"/>
        <w:spacing w:line="338" w:lineRule="auto" w:before="27"/>
        <w:ind w:right="1131" w:firstLine="480"/>
        <w:jc w:val="both"/>
      </w:pPr>
      <w:r>
        <w:rPr/>
        <w:t>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财务报表列报》等相关规定，对此项会计政策变 </w:t>
      </w:r>
      <w:r>
        <w:rPr>
          <w:spacing w:val="-1"/>
        </w:rPr>
        <w:t>更采用追溯调整法，</w:t>
      </w:r>
      <w:r>
        <w:rPr>
          <w:rFonts w:ascii="Times New Roman" w:hAnsi="Times New Roman" w:cs="Times New Roman" w:eastAsia="Times New Roman" w:hint="default"/>
          <w:spacing w:val="-1"/>
        </w:rPr>
        <w:t>2018/2017</w:t>
      </w:r>
      <w:r>
        <w:rPr>
          <w:spacing w:val="-1"/>
        </w:rPr>
        <w:t>年度比较财务报表已重新表述。对</w:t>
      </w:r>
      <w:r>
        <w:rPr>
          <w:rFonts w:ascii="Times New Roman" w:hAnsi="Times New Roman" w:cs="Times New Roman" w:eastAsia="Times New Roman" w:hint="default"/>
          <w:spacing w:val="-1"/>
        </w:rPr>
        <w:t>2017</w:t>
      </w:r>
      <w:r>
        <w:rPr>
          <w:spacing w:val="-1"/>
        </w:rPr>
        <w:t>年度合并财务报表相关</w:t>
      </w:r>
      <w:r>
        <w:rPr>
          <w:spacing w:val="-102"/>
        </w:rPr>
        <w:t> </w:t>
      </w:r>
      <w:r>
        <w:rPr>
          <w:spacing w:val="3"/>
        </w:rPr>
        <w:t>损益项目的影响为增加</w:t>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”175,436,778.11</w:t>
      </w:r>
      <w:r>
        <w:rPr>
          <w:spacing w:val="3"/>
        </w:rPr>
        <w:t>元，减少</w:t>
      </w:r>
      <w:r>
        <w:rPr>
          <w:rFonts w:ascii="Times New Roman" w:hAnsi="Times New Roman" w:cs="Times New Roman" w:eastAsia="Times New Roman" w:hint="default"/>
          <w:spacing w:val="3"/>
        </w:rPr>
        <w:t>“</w:t>
      </w:r>
      <w:r>
        <w:rPr>
          <w:spacing w:val="3"/>
        </w:rPr>
        <w:t>管理费用</w:t>
      </w:r>
      <w:r>
        <w:rPr>
          <w:rFonts w:ascii="Times New Roman" w:hAnsi="Times New Roman" w:cs="Times New Roman" w:eastAsia="Times New Roman" w:hint="default"/>
          <w:spacing w:val="3"/>
        </w:rPr>
        <w:t>”175,436,778.11</w:t>
      </w:r>
      <w:r>
        <w:rPr>
          <w:spacing w:val="3"/>
        </w:rPr>
        <w:t>元；对</w:t>
      </w:r>
      <w:r>
        <w:rPr>
          <w:spacing w:val="-90"/>
        </w:rPr>
        <w:t> </w:t>
      </w:r>
      <w:r>
        <w:rPr>
          <w:spacing w:val="-90"/>
        </w:rPr>
      </w:r>
      <w:r>
        <w:rPr>
          <w:rFonts w:ascii="Times New Roman" w:hAnsi="Times New Roman" w:cs="Times New Roman" w:eastAsia="Times New Roman" w:hint="default"/>
        </w:rPr>
        <w:t>2017</w:t>
      </w:r>
      <w:r>
        <w:rPr/>
        <w:t>年度母公司财务报表相关损益项目的影响为增加</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”46,120,735.94</w:t>
      </w:r>
      <w:r>
        <w:rPr/>
        <w:t>元，减少</w:t>
      </w:r>
      <w:r>
        <w:rPr>
          <w:rFonts w:ascii="Times New Roman" w:hAnsi="Times New Roman" w:cs="Times New Roman" w:eastAsia="Times New Roman" w:hint="default"/>
        </w:rPr>
        <w:t>“</w:t>
      </w:r>
      <w:r>
        <w:rPr/>
        <w:t>管理</w:t>
      </w:r>
      <w:r>
        <w:rPr>
          <w:spacing w:val="-105"/>
        </w:rPr>
        <w:t> </w:t>
      </w:r>
      <w:r>
        <w:rPr/>
        <w:t>费用</w:t>
      </w:r>
      <w:r>
        <w:rPr>
          <w:rFonts w:ascii="Times New Roman" w:hAnsi="Times New Roman" w:cs="Times New Roman" w:eastAsia="Times New Roman" w:hint="default"/>
        </w:rPr>
        <w:t>”46,120,735.94</w:t>
      </w:r>
      <w:r>
        <w:rPr/>
        <w:t>元。</w:t>
      </w:r>
    </w:p>
    <w:p>
      <w:pPr>
        <w:pStyle w:val="BodyText"/>
        <w:spacing w:line="338" w:lineRule="auto" w:before="27"/>
        <w:ind w:left="633" w:right="1116"/>
        <w:jc w:val="left"/>
      </w:pPr>
      <w:r>
        <w:rPr>
          <w:rFonts w:ascii="Times New Roman" w:hAnsi="Times New Roman" w:cs="Times New Roman" w:eastAsia="Times New Roman" w:hint="default"/>
        </w:rPr>
        <w:t>2)</w:t>
      </w:r>
      <w:r>
        <w:rPr/>
        <w:t>执行财政部发布的《关于</w:t>
      </w:r>
      <w:r>
        <w:rPr>
          <w:rFonts w:ascii="Times New Roman" w:hAnsi="Times New Roman" w:cs="Times New Roman" w:eastAsia="Times New Roman" w:hint="default"/>
        </w:rPr>
        <w:t>2018</w:t>
      </w:r>
      <w:r>
        <w:rPr/>
        <w:t>年度一般企业财务报表格式有关问题的解读》</w:t>
      </w:r>
      <w:r>
        <w:rPr>
          <w:w w:val="99"/>
        </w:rPr>
        <w:t> </w:t>
      </w: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日发布了《关于</w:t>
      </w:r>
      <w:r>
        <w:rPr>
          <w:rFonts w:ascii="Times New Roman" w:hAnsi="Times New Roman" w:cs="Times New Roman" w:eastAsia="Times New Roman" w:hint="default"/>
        </w:rPr>
        <w:t>2018</w:t>
      </w:r>
      <w:r>
        <w:rPr/>
        <w:t>年度一般企业财务报表格式有关问题的解读》</w:t>
      </w:r>
    </w:p>
    <w:p>
      <w:pPr>
        <w:pStyle w:val="BodyText"/>
        <w:spacing w:line="348" w:lineRule="auto" w:before="27"/>
        <w:ind w:right="1137"/>
        <w:jc w:val="both"/>
      </w:pPr>
      <w:r>
        <w:rPr>
          <w:rFonts w:ascii="Times New Roman" w:hAnsi="Times New Roman" w:cs="Times New Roman" w:eastAsia="Times New Roman" w:hint="default"/>
          <w:spacing w:val="2"/>
        </w:rPr>
        <w:t>(</w:t>
      </w:r>
      <w:r>
        <w:rPr>
          <w:spacing w:val="2"/>
        </w:rPr>
        <w:t>以下简称《解读》</w:t>
      </w:r>
      <w:r>
        <w:rPr>
          <w:rFonts w:ascii="Times New Roman" w:hAnsi="Times New Roman" w:cs="Times New Roman" w:eastAsia="Times New Roman" w:hint="default"/>
          <w:spacing w:val="2"/>
        </w:rPr>
        <w:t>)</w:t>
      </w:r>
      <w:r>
        <w:rPr>
          <w:spacing w:val="2"/>
        </w:rPr>
        <w:t>。《解读》规定：企业作为个人所得税的扣缴义务人，根据《中华人民</w:t>
      </w:r>
      <w:r>
        <w:rPr>
          <w:spacing w:val="-100"/>
        </w:rPr>
        <w:t> </w:t>
      </w:r>
      <w:r>
        <w:rPr>
          <w:spacing w:val="-100"/>
        </w:rPr>
      </w:r>
      <w:r>
        <w:rPr/>
        <w:t>共和国个人所得税法》收到的扣缴税款手续费，应作为其他与日常活动相关的项目在利润表</w:t>
      </w:r>
      <w:r>
        <w:rPr>
          <w:spacing w:val="-91"/>
        </w:rPr>
        <w:t> </w:t>
      </w:r>
      <w:r>
        <w:rPr>
          <w:spacing w:val="-91"/>
        </w:rPr>
      </w:r>
      <w:r>
        <w:rPr/>
        <w:t>的</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项目中填列。</w:t>
      </w:r>
    </w:p>
    <w:p>
      <w:pPr>
        <w:pStyle w:val="BodyText"/>
        <w:spacing w:line="240" w:lineRule="auto" w:before="16"/>
        <w:ind w:left="633" w:right="1116"/>
        <w:jc w:val="left"/>
      </w:pPr>
      <w:r>
        <w:rPr/>
        <w:t>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财务报表列报》等相关规定，对此项会计政策变</w:t>
      </w:r>
    </w:p>
    <w:p>
      <w:pPr>
        <w:spacing w:after="0" w:line="240"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right="1130"/>
        <w:jc w:val="both"/>
      </w:pPr>
      <w:r>
        <w:rPr>
          <w:spacing w:val="-1"/>
        </w:rPr>
        <w:t>更采用追溯调整法，</w:t>
      </w:r>
      <w:r>
        <w:rPr>
          <w:rFonts w:ascii="Times New Roman" w:hAnsi="Times New Roman" w:cs="Times New Roman" w:eastAsia="Times New Roman" w:hint="default"/>
          <w:spacing w:val="-1"/>
        </w:rPr>
        <w:t>2018/2017</w:t>
      </w:r>
      <w:r>
        <w:rPr>
          <w:spacing w:val="-1"/>
        </w:rPr>
        <w:t>年度比较财务报表已重新表述。对</w:t>
      </w:r>
      <w:r>
        <w:rPr>
          <w:rFonts w:ascii="Times New Roman" w:hAnsi="Times New Roman" w:cs="Times New Roman" w:eastAsia="Times New Roman" w:hint="default"/>
          <w:spacing w:val="-1"/>
        </w:rPr>
        <w:t>2017</w:t>
      </w:r>
      <w:r>
        <w:rPr>
          <w:spacing w:val="-1"/>
        </w:rPr>
        <w:t>年度合并财务报表相关</w:t>
      </w:r>
      <w:r>
        <w:rPr>
          <w:spacing w:val="-101"/>
        </w:rPr>
        <w:t> </w:t>
      </w:r>
      <w:r>
        <w:rPr>
          <w:spacing w:val="-1"/>
        </w:rPr>
        <w:t>损益项目的影响为增加</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”1,956,176.48</w:t>
      </w:r>
      <w:r>
        <w:rPr>
          <w:spacing w:val="-1"/>
        </w:rPr>
        <w:t>元，减少</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”1,956,176.48</w:t>
      </w:r>
      <w:r>
        <w:rPr>
          <w:spacing w:val="-1"/>
        </w:rPr>
        <w:t>元。对</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32"/>
        </w:rPr>
        <w:t> </w:t>
      </w:r>
      <w:r>
        <w:rPr>
          <w:spacing w:val="6"/>
        </w:rPr>
        <w:t>年度母公司财务报表相关损益项目的影响为增加</w:t>
      </w:r>
      <w:r>
        <w:rPr>
          <w:rFonts w:ascii="Times New Roman" w:hAnsi="Times New Roman" w:cs="Times New Roman" w:eastAsia="Times New Roman" w:hint="default"/>
          <w:spacing w:val="6"/>
        </w:rPr>
        <w:t>“</w:t>
      </w:r>
      <w:r>
        <w:rPr>
          <w:spacing w:val="6"/>
        </w:rPr>
        <w:t>其他收益</w:t>
      </w:r>
      <w:r>
        <w:rPr>
          <w:rFonts w:ascii="Times New Roman" w:hAnsi="Times New Roman" w:cs="Times New Roman" w:eastAsia="Times New Roman" w:hint="default"/>
          <w:spacing w:val="6"/>
        </w:rPr>
        <w:t>”664,873.63</w:t>
      </w:r>
      <w:r>
        <w:rPr>
          <w:spacing w:val="6"/>
        </w:rPr>
        <w:t>元，减少</w:t>
      </w:r>
      <w:r>
        <w:rPr>
          <w:rFonts w:ascii="Times New Roman" w:hAnsi="Times New Roman" w:cs="Times New Roman" w:eastAsia="Times New Roman" w:hint="default"/>
          <w:spacing w:val="6"/>
        </w:rPr>
        <w:t>“</w:t>
      </w:r>
      <w:r>
        <w:rPr>
          <w:spacing w:val="6"/>
        </w:rPr>
        <w:t>营业外收</w:t>
      </w:r>
      <w:r>
        <w:rPr>
          <w:spacing w:val="-96"/>
        </w:rPr>
        <w:t> </w:t>
      </w:r>
      <w:r>
        <w:rPr>
          <w:spacing w:val="-96"/>
        </w:rPr>
      </w:r>
      <w:r>
        <w:rPr/>
        <w:t>入</w:t>
      </w:r>
      <w:r>
        <w:rPr>
          <w:rFonts w:ascii="Times New Roman" w:hAnsi="Times New Roman" w:cs="Times New Roman" w:eastAsia="Times New Roman" w:hint="default"/>
        </w:rPr>
        <w:t>”6</w:t>
      </w:r>
      <w:r>
        <w:rPr>
          <w:rFonts w:ascii="Times New Roman" w:hAnsi="Times New Roman" w:cs="Times New Roman" w:eastAsia="Times New Roman" w:hint="default"/>
        </w:rPr>
        <w:t>64,873.63</w:t>
      </w:r>
      <w:r>
        <w:rPr/>
        <w:t>元。</w:t>
      </w:r>
    </w:p>
    <w:p>
      <w:pPr>
        <w:pStyle w:val="Heading2"/>
        <w:spacing w:line="240" w:lineRule="auto" w:before="27"/>
        <w:ind w:left="635" w:right="127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pStyle w:val="BodyText"/>
        <w:spacing w:line="240" w:lineRule="auto" w:before="135"/>
        <w:ind w:left="633"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left="633" w:right="1116" w:firstLine="2"/>
        <w:jc w:val="left"/>
      </w:pPr>
      <w:r>
        <w:rPr>
          <w:rFonts w:ascii="Times New Roman" w:hAnsi="Times New Roman" w:cs="Times New Roman" w:eastAsia="Times New Roman" w:hint="default"/>
          <w:b/>
          <w:bCs/>
        </w:rPr>
        <w:t>31</w:t>
      </w:r>
      <w:r>
        <w:rPr>
          <w:rFonts w:ascii="宋体" w:hAnsi="宋体" w:cs="宋体" w:eastAsia="宋体" w:hint="default"/>
          <w:b/>
          <w:bCs/>
        </w:rPr>
        <w:t>、其他</w:t>
      </w:r>
      <w:r>
        <w:rPr>
          <w:rFonts w:ascii="宋体" w:hAnsi="宋体" w:cs="宋体" w:eastAsia="宋体" w:hint="default"/>
          <w:b/>
          <w:bCs/>
          <w:w w:val="99"/>
        </w:rPr>
        <w:t> </w:t>
      </w:r>
      <w:r>
        <w:rPr/>
        <w:t>本公司在运用会计政策过程中，由于经营活动内在的不确定性，本公司需要对无法准确</w:t>
      </w:r>
    </w:p>
    <w:p>
      <w:pPr>
        <w:pStyle w:val="BodyText"/>
        <w:spacing w:line="357" w:lineRule="auto" w:before="56"/>
        <w:ind w:right="1136"/>
        <w:jc w:val="both"/>
      </w:pPr>
      <w:r>
        <w:rPr/>
        <w:t>计量的报表项目的账面价值进行判断、估计和假设。这些判断、估计和假设是基于本公司管</w:t>
      </w:r>
      <w:r>
        <w:rPr>
          <w:spacing w:val="-91"/>
        </w:rPr>
        <w:t> </w:t>
      </w:r>
      <w:r>
        <w:rPr>
          <w:spacing w:val="-91"/>
        </w:rPr>
      </w:r>
      <w:r>
        <w:rPr/>
        <w:t>理层过去的历史经验，并在考虑其他相关因素的基础上做出的。这些判断、估计和假设会影</w:t>
      </w:r>
      <w:r>
        <w:rPr>
          <w:spacing w:val="-91"/>
        </w:rPr>
        <w:t> </w:t>
      </w:r>
      <w:r>
        <w:rPr>
          <w:spacing w:val="-91"/>
        </w:rPr>
      </w:r>
      <w:r>
        <w:rPr/>
        <w:t>响收入、费用、资产和负债的报告金额以及资产负债表日或有负债的披露。然而，这些估计</w:t>
      </w:r>
      <w:r>
        <w:rPr>
          <w:spacing w:val="-91"/>
        </w:rPr>
        <w:t> </w:t>
      </w:r>
      <w:r>
        <w:rPr>
          <w:spacing w:val="-91"/>
        </w:rPr>
      </w:r>
      <w:r>
        <w:rPr/>
        <w:t>的不确定性所导致的实际结果可能与本公司管理层当前的估计存在差异，进而造成对未来受</w:t>
      </w:r>
      <w:r>
        <w:rPr>
          <w:spacing w:val="-91"/>
        </w:rPr>
        <w:t> </w:t>
      </w:r>
      <w:r>
        <w:rPr>
          <w:spacing w:val="-91"/>
        </w:rPr>
      </w:r>
      <w:r>
        <w:rPr/>
        <w:t>影响的资产或负债的账面金额进行重大调整。本公司对前述判断、估计和假设在持续经营的</w:t>
      </w:r>
      <w:r>
        <w:rPr>
          <w:spacing w:val="-89"/>
        </w:rPr>
        <w:t> </w:t>
      </w:r>
      <w:r>
        <w:rPr>
          <w:spacing w:val="-89"/>
        </w:rPr>
      </w:r>
      <w:r>
        <w:rPr/>
        <w:t>基础上进行定期复核，会计估计的变更仅影响变更当期的，其影响数在变更当期予以确认；</w:t>
      </w:r>
      <w:r>
        <w:rPr>
          <w:spacing w:val="-91"/>
        </w:rPr>
        <w:t> </w:t>
      </w:r>
      <w:r>
        <w:rPr>
          <w:spacing w:val="-91"/>
        </w:rPr>
      </w:r>
      <w:r>
        <w:rPr/>
        <w:t>既影响变更当期又影响未来期间的，其影响数在变更当期和未来期间予以确认。于资产负债</w:t>
      </w:r>
      <w:r>
        <w:rPr>
          <w:spacing w:val="-91"/>
        </w:rPr>
        <w:t> </w:t>
      </w:r>
      <w:r>
        <w:rPr>
          <w:spacing w:val="-91"/>
        </w:rPr>
      </w:r>
      <w:r>
        <w:rPr/>
        <w:t>表日，本公司需对财务报表项目金额进行判断、估计和假设的重要领域如下：</w:t>
      </w:r>
    </w:p>
    <w:p>
      <w:pPr>
        <w:pStyle w:val="BodyText"/>
        <w:spacing w:line="240" w:lineRule="auto"/>
        <w:ind w:left="633" w:right="1273"/>
        <w:jc w:val="left"/>
      </w:pPr>
      <w:r>
        <w:rPr/>
        <w:t>（</w:t>
      </w:r>
      <w:r>
        <w:rPr>
          <w:rFonts w:ascii="Times New Roman" w:hAnsi="Times New Roman" w:cs="Times New Roman" w:eastAsia="Times New Roman" w:hint="default"/>
        </w:rPr>
        <w:t>1</w:t>
      </w:r>
      <w:r>
        <w:rPr/>
        <w:t>）租赁的分类</w:t>
      </w:r>
    </w:p>
    <w:p>
      <w:pPr>
        <w:pStyle w:val="BodyText"/>
        <w:spacing w:line="350" w:lineRule="auto" w:before="135"/>
        <w:ind w:right="1134" w:firstLine="480"/>
        <w:jc w:val="both"/>
      </w:pPr>
      <w:r>
        <w:rPr/>
        <w:t>本公司根据《企业会计准则第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 赁，在进行归类时，管理层需要对是否已将与租出资产所有权有关的全部风险和报酬实质上</w:t>
      </w:r>
      <w:r>
        <w:rPr>
          <w:spacing w:val="-91"/>
        </w:rPr>
        <w:t> </w:t>
      </w:r>
      <w:r>
        <w:rPr>
          <w:spacing w:val="-91"/>
        </w:rPr>
      </w:r>
      <w:r>
        <w:rPr/>
        <w:t>转移给承租人，或者本公司是否已经实质上承担与租入资产所有权有关的全部风险和报酬，</w:t>
      </w:r>
      <w:r>
        <w:rPr>
          <w:spacing w:val="-87"/>
        </w:rPr>
        <w:t> </w:t>
      </w:r>
      <w:r>
        <w:rPr>
          <w:spacing w:val="-87"/>
        </w:rPr>
      </w:r>
      <w:r>
        <w:rPr/>
        <w:t>作出分析和判断。</w:t>
      </w:r>
    </w:p>
    <w:p>
      <w:pPr>
        <w:pStyle w:val="BodyText"/>
        <w:spacing w:line="338" w:lineRule="auto" w:before="43"/>
        <w:ind w:left="633" w:right="1116"/>
        <w:jc w:val="left"/>
      </w:pPr>
      <w:r>
        <w:rPr/>
        <w:t>（</w:t>
      </w:r>
      <w:r>
        <w:rPr>
          <w:rFonts w:ascii="Times New Roman" w:hAnsi="Times New Roman" w:cs="Times New Roman" w:eastAsia="Times New Roman" w:hint="default"/>
        </w:rPr>
        <w:t>2</w:t>
      </w:r>
      <w:r>
        <w:rPr/>
        <w:t>）坏账准备计提 本公司根据应收款项的会计政策，采用备抵法核算坏账损失。应收款项减值基于对应收</w:t>
      </w:r>
    </w:p>
    <w:p>
      <w:pPr>
        <w:pStyle w:val="BodyText"/>
        <w:spacing w:line="357" w:lineRule="auto" w:before="56"/>
        <w:ind w:right="1138"/>
        <w:jc w:val="both"/>
      </w:pPr>
      <w:r>
        <w:rPr/>
        <w:t>款项可收回性的评估，涉及管理层的判断和估计。实际的应收款项减值结果与原先估计的差</w:t>
      </w:r>
      <w:r>
        <w:rPr>
          <w:spacing w:val="-91"/>
        </w:rPr>
        <w:t> </w:t>
      </w:r>
      <w:r>
        <w:rPr>
          <w:spacing w:val="-91"/>
        </w:rPr>
      </w:r>
      <w:r>
        <w:rPr/>
        <w:t>异将在估计被改变的期间影响应收款项的账面价值及应收款项坏账准备的计提或转回。</w:t>
      </w:r>
    </w:p>
    <w:p>
      <w:pPr>
        <w:pStyle w:val="BodyText"/>
        <w:spacing w:line="338" w:lineRule="auto"/>
        <w:ind w:left="633" w:right="1116"/>
        <w:jc w:val="left"/>
      </w:pPr>
      <w:r>
        <w:rPr/>
        <w:t>（</w:t>
      </w:r>
      <w:r>
        <w:rPr>
          <w:rFonts w:ascii="Times New Roman" w:hAnsi="Times New Roman" w:cs="Times New Roman" w:eastAsia="Times New Roman" w:hint="default"/>
        </w:rPr>
        <w:t>3</w:t>
      </w:r>
      <w:r>
        <w:rPr/>
        <w:t>）存货跌价准备 本公司根据存货会计政策，按照成本与可变现净值孰低计量，对成本高于可变现净值及</w:t>
      </w:r>
    </w:p>
    <w:p>
      <w:pPr>
        <w:pStyle w:val="BodyText"/>
        <w:spacing w:line="357" w:lineRule="auto" w:before="55"/>
        <w:ind w:right="1135"/>
        <w:jc w:val="both"/>
      </w:pPr>
      <w:r>
        <w:rPr/>
        <w:t>陈旧和滞销的存货，计提存货跌价准备。存货减值至可变现净值是基于评估存货的可售性及</w:t>
      </w:r>
      <w:r>
        <w:rPr>
          <w:spacing w:val="-91"/>
        </w:rPr>
        <w:t> </w:t>
      </w:r>
      <w:r>
        <w:rPr>
          <w:spacing w:val="-91"/>
        </w:rPr>
      </w:r>
      <w:r>
        <w:rPr/>
        <w:t>其可变现净值。鉴定存货减值要求管理层在取得确凿证据，并且考虑持有存货的目的、资产</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jc w:val="both"/>
      </w:pPr>
      <w:r>
        <w:rPr/>
        <w:t>负债表日后事项的影响等因素的基础上作出判断和估计。实际的结果与原先估计的差异将在</w:t>
      </w:r>
      <w:r>
        <w:rPr>
          <w:spacing w:val="-91"/>
        </w:rPr>
        <w:t> </w:t>
      </w:r>
      <w:r>
        <w:rPr>
          <w:spacing w:val="-91"/>
        </w:rPr>
      </w:r>
      <w:r>
        <w:rPr/>
        <w:t>估计被改变的期间影响存货的账面价值及存货跌价准备的计提或转回。</w:t>
      </w:r>
    </w:p>
    <w:p>
      <w:pPr>
        <w:pStyle w:val="BodyText"/>
        <w:spacing w:line="338" w:lineRule="auto"/>
        <w:ind w:left="633" w:right="1116"/>
        <w:jc w:val="left"/>
      </w:pPr>
      <w:r>
        <w:rPr/>
        <w:t>（</w:t>
      </w:r>
      <w:r>
        <w:rPr>
          <w:rFonts w:ascii="Times New Roman" w:hAnsi="Times New Roman" w:cs="Times New Roman" w:eastAsia="Times New Roman" w:hint="default"/>
        </w:rPr>
        <w:t>4</w:t>
      </w:r>
      <w:r>
        <w:rPr/>
        <w:t>）金融工具公允价值 对不存在活跃交易市场的金融工具，本公司通过各种估值方法确定其公允价值。这些估</w:t>
      </w:r>
    </w:p>
    <w:p>
      <w:pPr>
        <w:pStyle w:val="BodyText"/>
        <w:spacing w:line="357" w:lineRule="auto" w:before="55"/>
        <w:ind w:right="1138"/>
        <w:jc w:val="both"/>
      </w:pPr>
      <w:r>
        <w:rPr/>
        <w:t>值方法包括贴现现金流模型分析等。估值时本公司需对未来现金流量、信用风险、市场波动</w:t>
      </w:r>
      <w:r>
        <w:rPr>
          <w:spacing w:val="-91"/>
        </w:rPr>
        <w:t> </w:t>
      </w:r>
      <w:r>
        <w:rPr>
          <w:spacing w:val="-91"/>
        </w:rPr>
      </w:r>
      <w:r>
        <w:rPr/>
        <w:t>率和相关性等方面进行估计，并选择适当的折现率。这些相关假设具有不确定性，其变化会</w:t>
      </w:r>
      <w:r>
        <w:rPr>
          <w:spacing w:val="-91"/>
        </w:rPr>
        <w:t> </w:t>
      </w:r>
      <w:r>
        <w:rPr>
          <w:spacing w:val="-91"/>
        </w:rPr>
      </w:r>
      <w:r>
        <w:rPr/>
        <w:t>对金融工具的公允价值产生影响。</w:t>
      </w:r>
    </w:p>
    <w:p>
      <w:pPr>
        <w:pStyle w:val="BodyText"/>
        <w:spacing w:line="338" w:lineRule="auto"/>
        <w:ind w:left="633" w:right="1116"/>
        <w:jc w:val="left"/>
      </w:pPr>
      <w:r>
        <w:rPr/>
        <w:t>（</w:t>
      </w:r>
      <w:r>
        <w:rPr>
          <w:rFonts w:ascii="Times New Roman" w:hAnsi="Times New Roman" w:cs="Times New Roman" w:eastAsia="Times New Roman" w:hint="default"/>
        </w:rPr>
        <w:t>5</w:t>
      </w:r>
      <w:r>
        <w:rPr/>
        <w:t>）可供出售金融资产减值 本公司确定可供出售金融资产是否减值在很大程度上依赖于管理层的判断和假设，以确</w:t>
      </w:r>
    </w:p>
    <w:p>
      <w:pPr>
        <w:pStyle w:val="BodyText"/>
        <w:spacing w:line="357" w:lineRule="auto" w:before="55"/>
        <w:ind w:right="995"/>
        <w:jc w:val="left"/>
      </w:pPr>
      <w:r>
        <w:rPr/>
        <w:t>定是否需要在利润表中确认其减值损失。在进行判断和作出假设的过程中，本公司需评估该</w:t>
      </w:r>
      <w:r>
        <w:rPr>
          <w:spacing w:val="-91"/>
        </w:rPr>
        <w:t> </w:t>
      </w:r>
      <w:r>
        <w:rPr>
          <w:spacing w:val="-91"/>
        </w:rPr>
      </w:r>
      <w:r>
        <w:rPr>
          <w:spacing w:val="-2"/>
        </w:rPr>
        <w:t>项投资的公允价值低于成本的程度和持续期间，以及被投资对象的财务状况和短期业务展望，</w:t>
      </w:r>
      <w:r>
        <w:rPr/>
        <w:t> 包括行业状况、技术变革、信用评级、违约率和对手方的风险。</w:t>
      </w:r>
    </w:p>
    <w:p>
      <w:pPr>
        <w:pStyle w:val="BodyText"/>
        <w:spacing w:line="338" w:lineRule="auto"/>
        <w:ind w:left="633" w:right="1116"/>
        <w:jc w:val="left"/>
      </w:pPr>
      <w:r>
        <w:rPr/>
        <w:t>（</w:t>
      </w:r>
      <w:r>
        <w:rPr>
          <w:rFonts w:ascii="Times New Roman" w:hAnsi="Times New Roman" w:cs="Times New Roman" w:eastAsia="Times New Roman" w:hint="default"/>
        </w:rPr>
        <w:t>6</w:t>
      </w:r>
      <w:r>
        <w:rPr/>
        <w:t>）非金融非流动资产减值 本公司于资产负债表日对除金融资产之外的非流动资产判断是否存在可能发生减值的迹</w:t>
      </w:r>
    </w:p>
    <w:p>
      <w:pPr>
        <w:pStyle w:val="BodyText"/>
        <w:spacing w:line="357" w:lineRule="auto" w:before="55"/>
        <w:ind w:right="1135"/>
        <w:jc w:val="both"/>
      </w:pPr>
      <w:r>
        <w:rPr/>
        <w:t>象。对使用寿命不确定的无形资产，除每年进行的减值测试外，当其存在减值迹象时，也进</w:t>
      </w:r>
      <w:r>
        <w:rPr>
          <w:spacing w:val="-91"/>
        </w:rPr>
        <w:t> </w:t>
      </w:r>
      <w:r>
        <w:rPr>
          <w:spacing w:val="-91"/>
        </w:rPr>
      </w:r>
      <w:r>
        <w:rPr/>
        <w:t>行减值测试。其他除金融资产之外的非流动资产，当存在迹象表明其账面金额不可收回时，</w:t>
      </w:r>
      <w:r>
        <w:rPr>
          <w:spacing w:val="-89"/>
        </w:rPr>
        <w:t> </w:t>
      </w:r>
      <w:r>
        <w:rPr>
          <w:spacing w:val="-89"/>
        </w:rPr>
      </w:r>
      <w:r>
        <w:rPr/>
        <w:t>进行减值测试。</w:t>
      </w:r>
    </w:p>
    <w:p>
      <w:pPr>
        <w:pStyle w:val="BodyText"/>
        <w:spacing w:line="357" w:lineRule="auto"/>
        <w:ind w:right="1140" w:firstLine="480"/>
        <w:jc w:val="both"/>
      </w:pPr>
      <w:r>
        <w:rPr/>
        <w:t>当资产或资产组的账面价值高于可收回金额，即公允价值减去处置费用后的净额和预计 未来现金流量的现值中的较高者，表明发生了减值。</w:t>
      </w:r>
    </w:p>
    <w:p>
      <w:pPr>
        <w:pStyle w:val="BodyText"/>
        <w:spacing w:line="352" w:lineRule="auto"/>
        <w:ind w:right="1138" w:firstLine="480"/>
        <w:jc w:val="both"/>
      </w:pPr>
      <w:r>
        <w:rPr/>
        <w:t>公允价值减去处置费用后的净额，参考公平交易中类似资产的销售协议价格或可观察到 的市场价格，减去可直接归属于该资产处置的增量成本确定。在预计未来现金流量现值时，</w:t>
      </w:r>
      <w:r>
        <w:rPr>
          <w:spacing w:val="-91"/>
        </w:rPr>
        <w:t> </w:t>
      </w:r>
      <w:r>
        <w:rPr>
          <w:spacing w:val="-91"/>
        </w:rPr>
      </w:r>
      <w:r>
        <w:rPr>
          <w:spacing w:val="2"/>
        </w:rPr>
        <w:t>需要对该资产</w:t>
      </w:r>
      <w:r>
        <w:rPr>
          <w:rFonts w:ascii="Times New Roman" w:hAnsi="Times New Roman" w:cs="Times New Roman" w:eastAsia="Times New Roman" w:hint="default"/>
          <w:spacing w:val="2"/>
        </w:rPr>
        <w:t>(</w:t>
      </w:r>
      <w:r>
        <w:rPr>
          <w:spacing w:val="2"/>
        </w:rPr>
        <w:t>或资产组</w:t>
      </w:r>
      <w:r>
        <w:rPr>
          <w:rFonts w:ascii="Times New Roman" w:hAnsi="Times New Roman" w:cs="Times New Roman" w:eastAsia="Times New Roman" w:hint="default"/>
          <w:spacing w:val="2"/>
        </w:rPr>
        <w:t>)</w:t>
      </w:r>
      <w:r>
        <w:rPr>
          <w:spacing w:val="2"/>
        </w:rPr>
        <w:t>的产量、售价、相关经营成本以及计算现值时使用的折现率等作出</w:t>
      </w:r>
      <w:r>
        <w:rPr>
          <w:spacing w:val="-104"/>
        </w:rPr>
        <w:t> </w:t>
      </w:r>
      <w:r>
        <w:rPr>
          <w:spacing w:val="-104"/>
        </w:rPr>
      </w:r>
      <w:r>
        <w:rPr/>
        <w:t>重大判断。本公司在估计可收回金额时会采用所有能够获得的相关资料，包括根据合理和可</w:t>
      </w:r>
      <w:r>
        <w:rPr>
          <w:spacing w:val="-91"/>
        </w:rPr>
        <w:t> </w:t>
      </w:r>
      <w:r>
        <w:rPr>
          <w:spacing w:val="-91"/>
        </w:rPr>
      </w:r>
      <w:r>
        <w:rPr/>
        <w:t>支持的假设所作出有关产量、售价和相关经营成本的预测。</w:t>
      </w:r>
    </w:p>
    <w:p>
      <w:pPr>
        <w:pStyle w:val="BodyText"/>
        <w:spacing w:line="357" w:lineRule="auto" w:before="41"/>
        <w:ind w:right="1138" w:firstLine="480"/>
        <w:jc w:val="both"/>
      </w:pPr>
      <w:r>
        <w:rPr/>
        <w:t>本公司至少每年评估商誉是否发生减值，要求对分配了商誉的资产组的使用价值进行估 计。估计使用价值时，本公司需要估计未来来自资产组的现金流量，同时选择恰当的折现率</w:t>
      </w:r>
      <w:r>
        <w:rPr>
          <w:spacing w:val="-91"/>
        </w:rPr>
        <w:t> </w:t>
      </w:r>
      <w:r>
        <w:rPr>
          <w:spacing w:val="-91"/>
        </w:rPr>
      </w:r>
      <w:r>
        <w:rPr/>
        <w:t>计算未来现金流量的现值。</w:t>
      </w:r>
    </w:p>
    <w:p>
      <w:pPr>
        <w:pStyle w:val="BodyText"/>
        <w:spacing w:line="338" w:lineRule="auto"/>
        <w:ind w:left="633" w:right="1116"/>
        <w:jc w:val="left"/>
      </w:pPr>
      <w:r>
        <w:rPr/>
        <w:t>（</w:t>
      </w:r>
      <w:r>
        <w:rPr>
          <w:rFonts w:ascii="Times New Roman" w:hAnsi="Times New Roman" w:cs="Times New Roman" w:eastAsia="Times New Roman" w:hint="default"/>
        </w:rPr>
        <w:t>7</w:t>
      </w:r>
      <w:r>
        <w:rPr/>
        <w:t>）折旧和摊销 本公司对投资性房地产、固定资产和无形资产在考虑其残值后，在使用寿命内按直线法</w:t>
      </w:r>
    </w:p>
    <w:p>
      <w:pPr>
        <w:spacing w:after="0" w:line="338"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jc w:val="both"/>
      </w:pPr>
      <w:r>
        <w:rPr/>
        <w:t>计提折旧和摊销。本公司定期复核使用寿命，以决定将计入每个报告期的折旧和摊销费用数</w:t>
      </w:r>
      <w:r>
        <w:rPr>
          <w:spacing w:val="-91"/>
        </w:rPr>
        <w:t> </w:t>
      </w:r>
      <w:r>
        <w:rPr>
          <w:spacing w:val="-91"/>
        </w:rPr>
      </w:r>
      <w:r>
        <w:rPr/>
        <w:t>额。使用寿命是本公司根据对同类资产的以往经验并结合预期的技术更新而确定的。如果以</w:t>
      </w:r>
      <w:r>
        <w:rPr>
          <w:spacing w:val="-91"/>
        </w:rPr>
        <w:t> </w:t>
      </w:r>
      <w:r>
        <w:rPr>
          <w:spacing w:val="-91"/>
        </w:rPr>
      </w:r>
      <w:r>
        <w:rPr/>
        <w:t>前的估计发生重大变化，则会在未来期间对折旧和摊销费用进行调整。</w:t>
      </w:r>
    </w:p>
    <w:p>
      <w:pPr>
        <w:pStyle w:val="BodyText"/>
        <w:spacing w:line="338" w:lineRule="auto"/>
        <w:ind w:left="633" w:right="1116"/>
        <w:jc w:val="left"/>
      </w:pPr>
      <w:r>
        <w:rPr/>
        <w:t>（</w:t>
      </w:r>
      <w:r>
        <w:rPr>
          <w:rFonts w:ascii="Times New Roman" w:hAnsi="Times New Roman" w:cs="Times New Roman" w:eastAsia="Times New Roman" w:hint="default"/>
        </w:rPr>
        <w:t>8</w:t>
      </w:r>
      <w:r>
        <w:rPr/>
        <w:t>）递延所得税资产 在很有可能有足够的应纳税利润来抵扣亏损的限度内，本公司就所有未利用的税务亏损</w:t>
      </w:r>
    </w:p>
    <w:p>
      <w:pPr>
        <w:pStyle w:val="BodyText"/>
        <w:spacing w:line="357" w:lineRule="auto" w:before="55"/>
        <w:ind w:right="1138"/>
        <w:jc w:val="both"/>
      </w:pPr>
      <w:r>
        <w:rPr/>
        <w:t>确认递延所得税资产。这需要本公司管理层运用大量的判断来估计未来应纳税利润发生的时</w:t>
      </w:r>
      <w:r>
        <w:rPr>
          <w:spacing w:val="-91"/>
        </w:rPr>
        <w:t> </w:t>
      </w:r>
      <w:r>
        <w:rPr>
          <w:spacing w:val="-91"/>
        </w:rPr>
      </w:r>
      <w:r>
        <w:rPr/>
        <w:t>间和金额，结合纳税筹划策略，以决定应确认的递延所得税资产的金额。</w:t>
      </w:r>
    </w:p>
    <w:p>
      <w:pPr>
        <w:pStyle w:val="BodyText"/>
        <w:spacing w:line="338" w:lineRule="auto"/>
        <w:ind w:left="633" w:right="997"/>
        <w:jc w:val="left"/>
      </w:pPr>
      <w:r>
        <w:rPr/>
        <w:t>（</w:t>
      </w:r>
      <w:r>
        <w:rPr>
          <w:rFonts w:ascii="Times New Roman" w:hAnsi="Times New Roman" w:cs="Times New Roman" w:eastAsia="Times New Roman" w:hint="default"/>
        </w:rPr>
        <w:t>9</w:t>
      </w:r>
      <w:r>
        <w:rPr/>
        <w:t>）所得税 </w:t>
      </w:r>
      <w:r>
        <w:rPr>
          <w:spacing w:val="-3"/>
        </w:rPr>
        <w:t>本公司在正常的经营活动中，有部分交易其最终的税务处理和计算存在一定的不确定性。</w:t>
      </w:r>
    </w:p>
    <w:p>
      <w:pPr>
        <w:pStyle w:val="BodyText"/>
        <w:spacing w:line="357" w:lineRule="auto" w:before="55"/>
        <w:ind w:right="1134"/>
        <w:jc w:val="both"/>
      </w:pPr>
      <w:r>
        <w:rPr/>
        <w:t>部分项目是否能够在税前列支需要税收主管机关的审批。如果这些税务事项的最终认定结果</w:t>
      </w:r>
      <w:r>
        <w:rPr>
          <w:spacing w:val="-91"/>
        </w:rPr>
        <w:t> </w:t>
      </w:r>
      <w:r>
        <w:rPr>
          <w:spacing w:val="-91"/>
        </w:rPr>
      </w:r>
      <w:r>
        <w:rPr/>
        <w:t>同最初估计的金额存在差异，则该差异将对其最终认定期间的当期所得税和递延所得税产生</w:t>
      </w:r>
      <w:r>
        <w:rPr>
          <w:spacing w:val="-87"/>
        </w:rPr>
        <w:t> </w:t>
      </w:r>
      <w:r>
        <w:rPr>
          <w:spacing w:val="-87"/>
        </w:rPr>
      </w:r>
      <w:r>
        <w:rPr/>
        <w:t>影响。</w:t>
      </w:r>
    </w:p>
    <w:p>
      <w:pPr>
        <w:pStyle w:val="BodyText"/>
        <w:spacing w:line="338" w:lineRule="auto"/>
        <w:ind w:left="633" w:right="1116"/>
        <w:jc w:val="left"/>
      </w:pPr>
      <w:r>
        <w:rPr/>
        <w:t>（</w:t>
      </w:r>
      <w:r>
        <w:rPr>
          <w:rFonts w:ascii="Times New Roman" w:hAnsi="Times New Roman" w:cs="Times New Roman" w:eastAsia="Times New Roman" w:hint="default"/>
        </w:rPr>
        <w:t>10</w:t>
      </w:r>
      <w:r>
        <w:rPr/>
        <w:t>）预计负债 本公司根据合约条款、现有知识及历史经验，对产品质量保证、预计合同亏损、延迟交</w:t>
      </w:r>
    </w:p>
    <w:p>
      <w:pPr>
        <w:pStyle w:val="BodyText"/>
        <w:spacing w:line="357" w:lineRule="auto" w:before="55"/>
        <w:ind w:right="1138"/>
        <w:jc w:val="both"/>
      </w:pPr>
      <w:r>
        <w:rPr/>
        <w:t>货违约金等估计并计提相应准备。在该等或有事项已经形成一项现时义务，且履行该等现时</w:t>
      </w:r>
      <w:r>
        <w:rPr>
          <w:spacing w:val="-91"/>
        </w:rPr>
        <w:t> </w:t>
      </w:r>
      <w:r>
        <w:rPr>
          <w:spacing w:val="-91"/>
        </w:rPr>
      </w:r>
      <w:r>
        <w:rPr/>
        <w:t>义务很可能导致经济利益流出本公司的情况下，本公司对或有事项按履行相关现时义务所需</w:t>
      </w:r>
      <w:r>
        <w:rPr>
          <w:spacing w:val="-91"/>
        </w:rPr>
        <w:t> </w:t>
      </w:r>
      <w:r>
        <w:rPr>
          <w:spacing w:val="-91"/>
        </w:rPr>
      </w:r>
      <w:r>
        <w:rPr/>
        <w:t>支出的最佳估计数确认为预计负债。预计负债的确认和计量在很大程度上依赖于管理层的判</w:t>
      </w:r>
      <w:r>
        <w:rPr>
          <w:spacing w:val="-91"/>
        </w:rPr>
        <w:t> </w:t>
      </w:r>
      <w:r>
        <w:rPr>
          <w:spacing w:val="-91"/>
        </w:rPr>
      </w:r>
      <w:r>
        <w:rPr/>
        <w:t>断。在进行判断过程中本公司需评估该等或有事项相关的风险、不确定性及货币时间价值等</w:t>
      </w:r>
      <w:r>
        <w:rPr>
          <w:spacing w:val="-91"/>
        </w:rPr>
        <w:t> </w:t>
      </w:r>
      <w:r>
        <w:rPr>
          <w:spacing w:val="-91"/>
        </w:rPr>
      </w:r>
      <w:r>
        <w:rPr/>
        <w:t>因素。</w:t>
      </w:r>
    </w:p>
    <w:p>
      <w:pPr>
        <w:pStyle w:val="BodyText"/>
        <w:spacing w:line="357" w:lineRule="auto"/>
        <w:ind w:right="1131" w:firstLine="480"/>
        <w:jc w:val="both"/>
      </w:pPr>
      <w:r>
        <w:rPr>
          <w:spacing w:val="-6"/>
        </w:rPr>
        <w:t>其中，本公司会就出售、维修及改造所售商品向客户提供的售后质量维修承诺预计负债。</w:t>
      </w:r>
      <w:r>
        <w:rPr/>
        <w:t> 预计负债时已考虑本公司近期的维修经验数据，但近期的维修经验可能无法反映将来的维修</w:t>
      </w:r>
      <w:r>
        <w:rPr>
          <w:spacing w:val="-91"/>
        </w:rPr>
        <w:t> </w:t>
      </w:r>
      <w:r>
        <w:rPr>
          <w:spacing w:val="-91"/>
        </w:rPr>
      </w:r>
      <w:r>
        <w:rPr/>
        <w:t>情况。这项准备的任何增加或减少，均可能影响未来年度的损益。</w:t>
      </w:r>
    </w:p>
    <w:p>
      <w:pPr>
        <w:pStyle w:val="BodyText"/>
        <w:spacing w:line="338" w:lineRule="auto"/>
        <w:ind w:left="633" w:right="1116"/>
        <w:jc w:val="left"/>
      </w:pPr>
      <w:r>
        <w:rPr/>
        <w:t>（</w:t>
      </w:r>
      <w:r>
        <w:rPr>
          <w:rFonts w:ascii="Times New Roman" w:hAnsi="Times New Roman" w:cs="Times New Roman" w:eastAsia="Times New Roman" w:hint="default"/>
        </w:rPr>
        <w:t>11</w:t>
      </w:r>
      <w:r>
        <w:rPr/>
        <w:t>）公允价值计量 本公司的某些资产和负债在财务报表中按公允价值计量。在对某项资产或负债的公允价</w:t>
      </w:r>
    </w:p>
    <w:p>
      <w:pPr>
        <w:pStyle w:val="BodyText"/>
        <w:spacing w:line="357" w:lineRule="auto" w:before="55"/>
        <w:ind w:right="1138"/>
        <w:jc w:val="both"/>
      </w:pPr>
      <w:r>
        <w:rPr/>
        <w:t>值作出估计时，本公司采用可获得的可观察市场数据；如果无法获得第一层次输入值，则聘</w:t>
      </w:r>
      <w:r>
        <w:rPr>
          <w:spacing w:val="-91"/>
        </w:rPr>
        <w:t> </w:t>
      </w:r>
      <w:r>
        <w:rPr>
          <w:spacing w:val="-91"/>
        </w:rPr>
      </w:r>
      <w:r>
        <w:rPr/>
        <w:t>用第三方有资质的评估机构进行估值，在此过程中本公司管理层与其紧密合作，以确定适当</w:t>
      </w:r>
      <w:r>
        <w:rPr>
          <w:spacing w:val="-91"/>
        </w:rPr>
        <w:t> </w:t>
      </w:r>
      <w:r>
        <w:rPr>
          <w:spacing w:val="-91"/>
        </w:rPr>
      </w:r>
      <w:r>
        <w:rPr/>
        <w:t>的估值技术和相关模型的输入值。</w:t>
      </w:r>
    </w:p>
    <w:p>
      <w:pPr>
        <w:spacing w:after="0" w:line="357" w:lineRule="auto"/>
        <w:jc w:val="both"/>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left="635" w:right="1273"/>
        <w:jc w:val="left"/>
        <w:rPr>
          <w:b w:val="0"/>
          <w:bCs w:val="0"/>
        </w:rPr>
      </w:pPr>
      <w:r>
        <w:rPr/>
        <w:t>六、税项</w:t>
      </w:r>
      <w:r>
        <w:rPr>
          <w:b w:val="0"/>
          <w:bCs w:val="0"/>
        </w:rPr>
      </w:r>
    </w:p>
    <w:p>
      <w:pPr>
        <w:pStyle w:val="Heading2"/>
        <w:spacing w:line="240" w:lineRule="auto" w:before="154"/>
        <w:ind w:left="635" w:right="127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5"/>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63" w:hRule="exact"/>
        </w:trPr>
        <w:tc>
          <w:tcPr>
            <w:tcW w:w="3231" w:type="dxa"/>
            <w:tcBorders>
              <w:top w:val="single" w:sz="4" w:space="0" w:color="000000"/>
              <w:left w:val="single" w:sz="4" w:space="0" w:color="000000"/>
              <w:bottom w:val="nil" w:sz="6" w:space="0" w:color="auto"/>
              <w:right w:val="single" w:sz="4" w:space="0" w:color="000000"/>
            </w:tcBorders>
            <w:shd w:val="clear" w:color="auto" w:fill="D2D2D2"/>
          </w:tcPr>
          <w:p>
            <w:pPr/>
          </w:p>
        </w:tc>
        <w:tc>
          <w:tcPr>
            <w:tcW w:w="3233" w:type="dxa"/>
            <w:vMerge w:val="restart"/>
            <w:tcBorders>
              <w:top w:val="single" w:sz="4" w:space="0" w:color="000000"/>
              <w:left w:val="single" w:sz="10" w:space="0" w:color="D2D2D2"/>
              <w:right w:val="single" w:sz="4" w:space="0" w:color="000000"/>
            </w:tcBorders>
          </w:tcPr>
          <w:p>
            <w:pPr>
              <w:pStyle w:val="TableParagraph"/>
              <w:spacing w:line="271" w:lineRule="auto" w:before="30"/>
              <w:ind w:left="1077" w:right="31" w:hanging="1049"/>
              <w:jc w:val="left"/>
              <w:rPr>
                <w:rFonts w:ascii="宋体" w:hAnsi="宋体" w:cs="宋体" w:eastAsia="宋体" w:hint="default"/>
                <w:sz w:val="21"/>
                <w:szCs w:val="21"/>
              </w:rPr>
            </w:pPr>
            <w:r>
              <w:rPr>
                <w:rFonts w:ascii="宋体" w:hAnsi="宋体" w:cs="宋体" w:eastAsia="宋体" w:hint="default"/>
                <w:spacing w:val="-2"/>
                <w:sz w:val="21"/>
                <w:szCs w:val="21"/>
              </w:rPr>
              <w:t>销售货物或提供应税劳务过程中产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生的增值额</w:t>
            </w:r>
          </w:p>
        </w:tc>
        <w:tc>
          <w:tcPr>
            <w:tcW w:w="3234" w:type="dxa"/>
            <w:vMerge w:val="restart"/>
            <w:tcBorders>
              <w:top w:val="single" w:sz="4" w:space="0" w:color="000000"/>
              <w:left w:val="single" w:sz="4" w:space="0" w:color="000000"/>
              <w:right w:val="single" w:sz="4" w:space="0" w:color="000000"/>
            </w:tcBorders>
          </w:tcPr>
          <w:p>
            <w:pPr>
              <w:pStyle w:val="TableParagraph"/>
              <w:spacing w:line="240" w:lineRule="auto" w:before="186"/>
              <w:ind w:left="10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宋体" w:hAnsi="宋体" w:cs="宋体" w:eastAsia="宋体" w:hint="default"/>
                <w:sz w:val="21"/>
                <w:szCs w:val="21"/>
              </w:rPr>
              <w:t>等</w:t>
            </w:r>
          </w:p>
        </w:tc>
      </w:tr>
      <w:tr>
        <w:trPr>
          <w:trHeight w:val="391" w:hRule="exact"/>
        </w:trPr>
        <w:tc>
          <w:tcPr>
            <w:tcW w:w="3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233" w:type="dxa"/>
            <w:vMerge/>
            <w:tcBorders>
              <w:left w:val="single" w:sz="10" w:space="0" w:color="D2D2D2"/>
              <w:right w:val="single" w:sz="4" w:space="0" w:color="000000"/>
            </w:tcBorders>
          </w:tcPr>
          <w:p>
            <w:pPr/>
          </w:p>
        </w:tc>
        <w:tc>
          <w:tcPr>
            <w:tcW w:w="3234" w:type="dxa"/>
            <w:vMerge/>
            <w:tcBorders>
              <w:left w:val="single" w:sz="4" w:space="0" w:color="000000"/>
              <w:right w:val="single" w:sz="4" w:space="0" w:color="000000"/>
            </w:tcBorders>
          </w:tcPr>
          <w:p>
            <w:pPr/>
          </w:p>
        </w:tc>
      </w:tr>
      <w:tr>
        <w:trPr>
          <w:trHeight w:val="161" w:hRule="exact"/>
        </w:trPr>
        <w:tc>
          <w:tcPr>
            <w:tcW w:w="3231" w:type="dxa"/>
            <w:tcBorders>
              <w:top w:val="nil" w:sz="6" w:space="0" w:color="auto"/>
              <w:left w:val="single" w:sz="4" w:space="0" w:color="000000"/>
              <w:bottom w:val="single" w:sz="4" w:space="0" w:color="000000"/>
              <w:right w:val="single" w:sz="4" w:space="0" w:color="000000"/>
            </w:tcBorders>
            <w:shd w:val="clear" w:color="auto" w:fill="D2D2D2"/>
          </w:tcPr>
          <w:p>
            <w:pPr/>
          </w:p>
        </w:tc>
        <w:tc>
          <w:tcPr>
            <w:tcW w:w="3233" w:type="dxa"/>
            <w:vMerge/>
            <w:tcBorders>
              <w:left w:val="single" w:sz="10" w:space="0" w:color="D2D2D2"/>
              <w:bottom w:val="single" w:sz="4" w:space="0" w:color="000000"/>
              <w:right w:val="single" w:sz="4" w:space="0" w:color="000000"/>
            </w:tcBorders>
          </w:tcPr>
          <w:p>
            <w:pPr/>
          </w:p>
        </w:tc>
        <w:tc>
          <w:tcPr>
            <w:tcW w:w="3234" w:type="dxa"/>
            <w:vMerge/>
            <w:tcBorders>
              <w:left w:val="single" w:sz="4" w:space="0" w:color="000000"/>
              <w:bottom w:val="single" w:sz="4" w:space="0" w:color="000000"/>
              <w:right w:val="single" w:sz="4" w:space="0" w:color="000000"/>
            </w:tcBorders>
          </w:tcPr>
          <w:p>
            <w:pP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应缴流转税税额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25%</w:t>
            </w:r>
          </w:p>
        </w:tc>
      </w:tr>
      <w:tr>
        <w:trPr>
          <w:trHeight w:val="1025" w:hRule="exact"/>
        </w:trPr>
        <w:tc>
          <w:tcPr>
            <w:tcW w:w="32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房产税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17" w:firstLine="12"/>
              <w:jc w:val="both"/>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10%-30%</w:t>
            </w:r>
            <w:r>
              <w:rPr>
                <w:rFonts w:ascii="宋体" w:hAnsi="宋体" w:cs="宋体" w:eastAsia="宋体" w:hint="default"/>
                <w:sz w:val="21"/>
                <w:szCs w:val="21"/>
              </w:rPr>
              <w:t>后余值的</w:t>
            </w:r>
            <w:r>
              <w:rPr>
                <w:rFonts w:ascii="宋体" w:hAnsi="宋体" w:cs="宋体" w:eastAsia="宋体" w:hint="default"/>
                <w:spacing w:val="-45"/>
                <w:sz w:val="21"/>
                <w:szCs w:val="21"/>
              </w:rPr>
              <w:t> </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计缴；从租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计征的，按租金收入的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应缴流转税税额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3%</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地方教育附加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应缴流转税税额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p>
        </w:tc>
      </w:tr>
    </w:tbl>
    <w:p>
      <w:pPr>
        <w:pStyle w:val="Heading2"/>
        <w:spacing w:line="240" w:lineRule="auto" w:before="39"/>
        <w:ind w:left="635" w:right="1273"/>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338" w:lineRule="auto" w:before="135"/>
        <w:ind w:left="633" w:right="997"/>
        <w:jc w:val="left"/>
      </w:pPr>
      <w:r>
        <w:rPr/>
        <w:t>（</w:t>
      </w:r>
      <w:r>
        <w:rPr>
          <w:rFonts w:ascii="Times New Roman" w:hAnsi="Times New Roman" w:cs="Times New Roman" w:eastAsia="Times New Roman" w:hint="default"/>
        </w:rPr>
        <w:t>1</w:t>
      </w:r>
      <w:r>
        <w:rPr/>
        <w:t>）增值税优惠及批文 </w:t>
      </w:r>
      <w:r>
        <w:rPr>
          <w:spacing w:val="2"/>
        </w:rPr>
        <w:t>根据财政部、国家税务总局《关于软件产品增值税政策的通知》（财税</w:t>
      </w:r>
      <w:r>
        <w:rPr>
          <w:rFonts w:ascii="Times New Roman" w:hAnsi="Times New Roman" w:cs="Times New Roman" w:eastAsia="Times New Roman" w:hint="default"/>
          <w:spacing w:val="2"/>
        </w:rPr>
        <w:t>[2011]100</w:t>
      </w:r>
      <w:r>
        <w:rPr>
          <w:spacing w:val="2"/>
        </w:rPr>
        <w:t>号），</w:t>
      </w:r>
      <w:r>
        <w:rPr/>
      </w:r>
    </w:p>
    <w:p>
      <w:pPr>
        <w:pStyle w:val="BodyText"/>
        <w:spacing w:line="357" w:lineRule="auto" w:before="27"/>
        <w:ind w:right="1116"/>
        <w:jc w:val="left"/>
      </w:pPr>
      <w:r>
        <w:rPr/>
        <w:t>本公司、本公司之子公司超图信息、上海南康、北京安图、上海数慧、地图慧科技软件产品</w:t>
      </w:r>
      <w:r>
        <w:rPr>
          <w:spacing w:val="-89"/>
        </w:rPr>
        <w:t> </w:t>
      </w:r>
      <w:r>
        <w:rPr>
          <w:spacing w:val="-89"/>
        </w:rPr>
      </w:r>
      <w:r>
        <w:rPr/>
        <w:t>销售，享受增值税实际税负超过</w:t>
      </w:r>
      <w:r>
        <w:rPr>
          <w:rFonts w:ascii="Times New Roman" w:hAnsi="Times New Roman" w:cs="Times New Roman" w:eastAsia="Times New Roman" w:hint="default"/>
        </w:rPr>
        <w:t>3%</w:t>
      </w:r>
      <w:r>
        <w:rPr/>
        <w:t>的部分实行即征即退政策。</w:t>
      </w:r>
    </w:p>
    <w:p>
      <w:pPr>
        <w:pStyle w:val="BodyText"/>
        <w:spacing w:line="338" w:lineRule="auto" w:before="6"/>
        <w:ind w:right="1114" w:firstLine="480"/>
        <w:jc w:val="left"/>
      </w:pPr>
      <w:r>
        <w:rPr/>
        <w:t>根据财税</w:t>
      </w:r>
      <w:r>
        <w:rPr>
          <w:rFonts w:ascii="Times New Roman" w:hAnsi="Times New Roman" w:cs="Times New Roman" w:eastAsia="Times New Roman" w:hint="default"/>
        </w:rPr>
        <w:t>[2011]111</w:t>
      </w:r>
      <w:r>
        <w:rPr/>
        <w:t>号、财税</w:t>
      </w:r>
      <w:r>
        <w:rPr>
          <w:rFonts w:ascii="Times New Roman" w:hAnsi="Times New Roman" w:cs="Times New Roman" w:eastAsia="Times New Roman" w:hint="default"/>
        </w:rPr>
        <w:t>[2012]71</w:t>
      </w:r>
      <w:r>
        <w:rPr/>
        <w:t>号和财税</w:t>
      </w:r>
      <w:r>
        <w:rPr>
          <w:rFonts w:ascii="Times New Roman" w:hAnsi="Times New Roman" w:cs="Times New Roman" w:eastAsia="Times New Roman" w:hint="default"/>
        </w:rPr>
        <w:t>[2013]37</w:t>
      </w:r>
      <w:r>
        <w:rPr/>
        <w:t>号、财税</w:t>
      </w:r>
      <w:r>
        <w:rPr>
          <w:rFonts w:ascii="Times New Roman" w:hAnsi="Times New Roman" w:cs="Times New Roman" w:eastAsia="Times New Roman" w:hint="default"/>
        </w:rPr>
        <w:t>[2016]36</w:t>
      </w:r>
      <w:r>
        <w:rPr/>
        <w:t>号规定，试点纳 税人提供技术转让、技术开发和与之相关的技术咨询、技术服务免征增值税。</w:t>
      </w:r>
    </w:p>
    <w:p>
      <w:pPr>
        <w:pStyle w:val="BodyText"/>
        <w:spacing w:line="240" w:lineRule="auto" w:before="55"/>
        <w:ind w:left="633" w:right="1273"/>
        <w:jc w:val="left"/>
      </w:pPr>
      <w:r>
        <w:rPr/>
        <w:t>（</w:t>
      </w:r>
      <w:r>
        <w:rPr>
          <w:rFonts w:ascii="Times New Roman" w:hAnsi="Times New Roman" w:cs="Times New Roman" w:eastAsia="Times New Roman" w:hint="default"/>
        </w:rPr>
        <w:t>2</w:t>
      </w:r>
      <w:r>
        <w:rPr/>
        <w:t>）所得税优惠及批文</w:t>
      </w:r>
    </w:p>
    <w:p>
      <w:pPr>
        <w:spacing w:line="240" w:lineRule="auto" w:before="5"/>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737"/>
        <w:gridCol w:w="1681"/>
        <w:gridCol w:w="2012"/>
        <w:gridCol w:w="1692"/>
        <w:gridCol w:w="2309"/>
        <w:gridCol w:w="1229"/>
      </w:tblGrid>
      <w:tr>
        <w:trPr>
          <w:trHeight w:val="9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优惠政策</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取得日期</w:t>
            </w:r>
            <w:r>
              <w:rPr>
                <w:rFonts w:ascii="宋体" w:hAnsi="宋体" w:cs="宋体" w:eastAsia="宋体" w:hint="default"/>
                <w:sz w:val="21"/>
                <w:szCs w:val="21"/>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81" w:right="81" w:hanging="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年度企</w:t>
            </w:r>
            <w:r>
              <w:rPr>
                <w:rFonts w:ascii="宋体" w:hAnsi="宋体" w:cs="宋体" w:eastAsia="宋体" w:hint="default"/>
                <w:b/>
                <w:bCs/>
                <w:w w:val="100"/>
                <w:sz w:val="21"/>
                <w:szCs w:val="21"/>
              </w:rPr>
              <w:t> </w:t>
            </w:r>
            <w:r>
              <w:rPr>
                <w:rFonts w:ascii="宋体" w:hAnsi="宋体" w:cs="宋体" w:eastAsia="宋体" w:hint="default"/>
                <w:b/>
                <w:bCs/>
                <w:sz w:val="21"/>
                <w:szCs w:val="21"/>
              </w:rPr>
              <w:t>业所得税税</w:t>
            </w:r>
            <w:r>
              <w:rPr>
                <w:rFonts w:ascii="宋体" w:hAnsi="宋体" w:cs="宋体" w:eastAsia="宋体" w:hint="default"/>
                <w:b/>
                <w:bCs/>
                <w:w w:val="100"/>
                <w:sz w:val="21"/>
                <w:szCs w:val="21"/>
              </w:rPr>
              <w:t> </w:t>
            </w:r>
            <w:r>
              <w:rPr>
                <w:rFonts w:ascii="宋体" w:hAnsi="宋体" w:cs="宋体" w:eastAsia="宋体" w:hint="default"/>
                <w:b/>
                <w:bCs/>
                <w:sz w:val="21"/>
                <w:szCs w:val="21"/>
              </w:rPr>
              <w:t>率</w:t>
            </w:r>
            <w:r>
              <w:rPr>
                <w:rFonts w:ascii="宋体" w:hAnsi="宋体" w:cs="宋体" w:eastAsia="宋体" w:hint="default"/>
                <w:sz w:val="21"/>
                <w:szCs w:val="21"/>
              </w:rPr>
            </w:r>
          </w:p>
        </w:tc>
      </w:tr>
      <w:tr>
        <w:trPr>
          <w:trHeight w:val="65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48" w:hanging="192"/>
              <w:jc w:val="left"/>
              <w:rPr>
                <w:rFonts w:ascii="Times New Roman" w:hAnsi="Times New Roman" w:cs="Times New Roman" w:eastAsia="Times New Roman" w:hint="default"/>
                <w:sz w:val="21"/>
                <w:szCs w:val="21"/>
              </w:rPr>
            </w:pPr>
            <w:r>
              <w:rPr>
                <w:rFonts w:ascii="宋体" w:hAnsi="宋体" w:cs="宋体" w:eastAsia="宋体" w:hint="default"/>
                <w:sz w:val="21"/>
                <w:szCs w:val="21"/>
              </w:rPr>
              <w:t>国家规划布局内的重</w:t>
            </w:r>
            <w:r>
              <w:rPr>
                <w:rFonts w:ascii="宋体" w:hAnsi="宋体" w:cs="宋体" w:eastAsia="宋体" w:hint="default"/>
                <w:w w:val="100"/>
                <w:sz w:val="21"/>
                <w:szCs w:val="21"/>
              </w:rPr>
              <w:t> </w:t>
            </w:r>
            <w:r>
              <w:rPr>
                <w:rFonts w:ascii="宋体" w:hAnsi="宋体" w:cs="宋体" w:eastAsia="宋体" w:hint="default"/>
                <w:sz w:val="21"/>
                <w:szCs w:val="21"/>
              </w:rPr>
              <w:t>点软件企业</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69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10%</w:t>
            </w:r>
          </w:p>
        </w:tc>
      </w:tr>
      <w:tr>
        <w:trPr>
          <w:trHeight w:val="65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南京国图</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48" w:hanging="192"/>
              <w:jc w:val="left"/>
              <w:rPr>
                <w:rFonts w:ascii="Times New Roman" w:hAnsi="Times New Roman" w:cs="Times New Roman" w:eastAsia="Times New Roman" w:hint="default"/>
                <w:sz w:val="21"/>
                <w:szCs w:val="21"/>
              </w:rPr>
            </w:pPr>
            <w:r>
              <w:rPr>
                <w:rFonts w:ascii="宋体" w:hAnsi="宋体" w:cs="宋体" w:eastAsia="宋体" w:hint="default"/>
                <w:sz w:val="21"/>
                <w:szCs w:val="21"/>
              </w:rPr>
              <w:t>国家规划布局内的重</w:t>
            </w:r>
            <w:r>
              <w:rPr>
                <w:rFonts w:ascii="宋体" w:hAnsi="宋体" w:cs="宋体" w:eastAsia="宋体" w:hint="default"/>
                <w:w w:val="100"/>
                <w:sz w:val="21"/>
                <w:szCs w:val="21"/>
              </w:rPr>
              <w:t> </w:t>
            </w:r>
            <w:r>
              <w:rPr>
                <w:rFonts w:ascii="宋体" w:hAnsi="宋体" w:cs="宋体" w:eastAsia="宋体" w:hint="default"/>
                <w:sz w:val="21"/>
                <w:szCs w:val="21"/>
              </w:rPr>
              <w:t>点软件企业</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69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10%</w:t>
            </w:r>
          </w:p>
        </w:tc>
      </w:tr>
      <w:tr>
        <w:trPr>
          <w:trHeight w:val="34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169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8" w:right="0"/>
              <w:jc w:val="left"/>
              <w:rPr>
                <w:rFonts w:ascii="Times New Roman" w:hAnsi="Times New Roman" w:cs="Times New Roman" w:eastAsia="Times New Roman" w:hint="default"/>
                <w:sz w:val="21"/>
                <w:szCs w:val="21"/>
              </w:rPr>
            </w:pPr>
            <w:r>
              <w:rPr>
                <w:rFonts w:ascii="Times New Roman"/>
                <w:sz w:val="21"/>
              </w:rPr>
              <w:t>0%</w:t>
            </w:r>
          </w:p>
        </w:tc>
      </w:tr>
      <w:tr>
        <w:trPr>
          <w:trHeight w:val="34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15%</w:t>
            </w:r>
          </w:p>
        </w:tc>
      </w:tr>
      <w:tr>
        <w:trPr>
          <w:trHeight w:val="34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上海南康</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15%</w:t>
            </w:r>
          </w:p>
        </w:tc>
      </w:tr>
      <w:tr>
        <w:trPr>
          <w:trHeight w:val="34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6</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北京安图</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15%</w:t>
            </w:r>
          </w:p>
        </w:tc>
      </w:tr>
      <w:tr>
        <w:trPr>
          <w:trHeight w:val="34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7</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上海数慧</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15%</w:t>
            </w:r>
          </w:p>
        </w:tc>
      </w:tr>
      <w:tr>
        <w:trPr>
          <w:trHeight w:val="34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地图慧科技</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15%</w:t>
            </w:r>
          </w:p>
        </w:tc>
      </w:tr>
    </w:tbl>
    <w:p>
      <w:pPr>
        <w:spacing w:line="386" w:lineRule="auto" w:before="64"/>
        <w:ind w:left="153" w:right="1189" w:firstLine="196"/>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注</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根据财政部、国家税务总局、发展改革委、工业和信息化部联合下发的《关于软件和集成电路产业</w:t>
      </w:r>
      <w:r>
        <w:rPr>
          <w:rFonts w:ascii="宋体" w:hAnsi="宋体" w:cs="宋体" w:eastAsia="宋体" w:hint="default"/>
          <w:w w:val="100"/>
          <w:sz w:val="21"/>
          <w:szCs w:val="21"/>
        </w:rPr>
        <w:t> </w:t>
      </w:r>
      <w:r>
        <w:rPr>
          <w:rFonts w:ascii="宋体" w:hAnsi="宋体" w:cs="宋体" w:eastAsia="宋体" w:hint="default"/>
          <w:spacing w:val="-3"/>
          <w:sz w:val="21"/>
          <w:szCs w:val="21"/>
        </w:rPr>
        <w:t>企业所得税优惠政策有关问题的通知》（财税</w:t>
      </w:r>
      <w:r>
        <w:rPr>
          <w:rFonts w:ascii="Times New Roman" w:hAnsi="Times New Roman" w:cs="Times New Roman" w:eastAsia="Times New Roman" w:hint="default"/>
          <w:spacing w:val="-3"/>
          <w:sz w:val="21"/>
          <w:szCs w:val="21"/>
        </w:rPr>
        <w:t>[2016]49</w:t>
      </w:r>
      <w:r>
        <w:rPr>
          <w:rFonts w:ascii="宋体" w:hAnsi="宋体" w:cs="宋体" w:eastAsia="宋体" w:hint="default"/>
          <w:spacing w:val="-3"/>
          <w:sz w:val="21"/>
          <w:szCs w:val="21"/>
        </w:rPr>
        <w:t>号），本公司、南京国图符合</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国家规划布局内的重</w:t>
      </w:r>
    </w:p>
    <w:p>
      <w:pPr>
        <w:spacing w:after="0" w:line="386" w:lineRule="auto"/>
        <w:jc w:val="left"/>
        <w:rPr>
          <w:rFonts w:ascii="宋体" w:hAnsi="宋体" w:cs="宋体" w:eastAsia="宋体" w:hint="default"/>
          <w:sz w:val="21"/>
          <w:szCs w:val="21"/>
        </w:rPr>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386" w:lineRule="auto" w:before="175"/>
        <w:ind w:left="153" w:right="1128" w:firstLine="0"/>
        <w:jc w:val="both"/>
        <w:rPr>
          <w:rFonts w:ascii="宋体" w:hAnsi="宋体" w:cs="宋体" w:eastAsia="宋体" w:hint="default"/>
          <w:sz w:val="21"/>
          <w:szCs w:val="21"/>
        </w:rPr>
      </w:pPr>
      <w:r>
        <w:rPr>
          <w:rFonts w:ascii="宋体" w:hAnsi="宋体" w:cs="宋体" w:eastAsia="宋体" w:hint="default"/>
          <w:spacing w:val="-4"/>
          <w:sz w:val="21"/>
          <w:szCs w:val="21"/>
        </w:rPr>
        <w:t>点软件企业</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条件，依据国家税务总局下发《企业所得税优惠政策事项办理办法》（国家税务总局公告</w:t>
      </w:r>
      <w:r>
        <w:rPr>
          <w:rFonts w:ascii="Times New Roman" w:hAnsi="Times New Roman" w:cs="Times New Roman" w:eastAsia="Times New Roman" w:hint="default"/>
          <w:spacing w:val="-4"/>
          <w:sz w:val="21"/>
          <w:szCs w:val="21"/>
        </w:rPr>
        <w:t>2015</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pacing w:val="17"/>
          <w:sz w:val="21"/>
          <w:szCs w:val="21"/>
        </w:rPr>
      </w:r>
      <w:r>
        <w:rPr>
          <w:rFonts w:ascii="宋体" w:hAnsi="宋体" w:cs="宋体" w:eastAsia="宋体" w:hint="default"/>
          <w:spacing w:val="-1"/>
          <w:sz w:val="21"/>
          <w:szCs w:val="21"/>
        </w:rPr>
        <w:t>年第</w:t>
      </w:r>
      <w:r>
        <w:rPr>
          <w:rFonts w:ascii="Times New Roman" w:hAnsi="Times New Roman" w:cs="Times New Roman" w:eastAsia="Times New Roman" w:hint="default"/>
          <w:spacing w:val="-1"/>
          <w:sz w:val="21"/>
          <w:szCs w:val="21"/>
        </w:rPr>
        <w:t>76</w:t>
      </w:r>
      <w:r>
        <w:rPr>
          <w:rFonts w:ascii="宋体" w:hAnsi="宋体" w:cs="宋体" w:eastAsia="宋体" w:hint="default"/>
          <w:spacing w:val="-1"/>
          <w:sz w:val="21"/>
          <w:szCs w:val="21"/>
        </w:rPr>
        <w:t>号）关于国家规划布局内的如当年未享受免税优惠的，可减按</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的税率征收企业所得税的规定，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本公司、南京国图</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年度减按</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的税率缴纳企业所得税。</w:t>
      </w:r>
    </w:p>
    <w:p>
      <w:pPr>
        <w:spacing w:line="386" w:lineRule="auto" w:before="35"/>
        <w:ind w:left="153" w:right="1189" w:firstLine="196"/>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注</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根据香港税收条例相关规定，仅对来源于香港的收入或者利润征收利得税。超图国际之收入来源于</w:t>
      </w:r>
      <w:r>
        <w:rPr>
          <w:rFonts w:ascii="宋体" w:hAnsi="宋体" w:cs="宋体" w:eastAsia="宋体" w:hint="default"/>
          <w:spacing w:val="-3"/>
          <w:w w:val="100"/>
          <w:sz w:val="21"/>
          <w:szCs w:val="21"/>
        </w:rPr>
        <w:t> </w:t>
      </w:r>
      <w:r>
        <w:rPr>
          <w:rFonts w:ascii="宋体" w:hAnsi="宋体" w:cs="宋体" w:eastAsia="宋体" w:hint="default"/>
          <w:sz w:val="21"/>
          <w:szCs w:val="21"/>
        </w:rPr>
        <w:t>香港境外，免于在香港缴纳利得税。</w:t>
      </w:r>
    </w:p>
    <w:p>
      <w:pPr>
        <w:spacing w:after="0" w:line="386" w:lineRule="auto"/>
        <w:jc w:val="left"/>
        <w:rPr>
          <w:rFonts w:ascii="宋体" w:hAnsi="宋体" w:cs="宋体" w:eastAsia="宋体" w:hint="default"/>
          <w:sz w:val="21"/>
          <w:szCs w:val="21"/>
        </w:rPr>
        <w:sectPr>
          <w:pgSz w:w="11910" w:h="16840"/>
          <w:pgMar w:header="877" w:footer="979" w:top="1060" w:bottom="1160" w:left="980" w:right="0"/>
        </w:sectPr>
      </w:pPr>
    </w:p>
    <w:p>
      <w:pPr>
        <w:pStyle w:val="Heading2"/>
        <w:spacing w:line="240" w:lineRule="auto" w:before="39"/>
        <w:ind w:right="-21"/>
        <w:jc w:val="left"/>
        <w:rPr>
          <w:b w:val="0"/>
          <w:bCs w:val="0"/>
        </w:rPr>
      </w:pPr>
      <w:r>
        <w:rPr/>
        <w:t>七、合并财务报表项目注释</w:t>
      </w:r>
      <w:r>
        <w:rPr>
          <w:b w:val="0"/>
          <w:bCs w:val="0"/>
        </w:rPr>
      </w:r>
    </w:p>
    <w:p>
      <w:pPr>
        <w:pStyle w:val="Heading2"/>
        <w:spacing w:line="240" w:lineRule="auto" w:before="154"/>
        <w:ind w:right="-21"/>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3045" w:space="5515"/>
            <w:col w:w="2370"/>
          </w:cols>
        </w:sectPr>
      </w:pPr>
    </w:p>
    <w:p>
      <w:pPr>
        <w:spacing w:line="240" w:lineRule="auto" w:before="11"/>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04"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238,987.28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270,372.74</w:t>
            </w:r>
          </w:p>
        </w:tc>
      </w:tr>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752,125,234.25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547,540,697.54</w:t>
            </w:r>
          </w:p>
        </w:tc>
      </w:tr>
      <w:tr>
        <w:trPr>
          <w:trHeight w:val="401"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14,393,161.95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13,869,441.15</w:t>
            </w:r>
          </w:p>
        </w:tc>
      </w:tr>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766,757,383.48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561,680,511.43</w:t>
            </w:r>
          </w:p>
        </w:tc>
      </w:tr>
      <w:tr>
        <w:trPr>
          <w:trHeight w:val="401"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17,851,703.00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13,411,590.47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BodyText"/>
        <w:spacing w:line="345" w:lineRule="auto" w:before="39"/>
        <w:ind w:right="-19"/>
        <w:jc w:val="left"/>
        <w:rPr>
          <w:rFonts w:ascii="宋体" w:hAnsi="宋体" w:cs="宋体" w:eastAsia="宋体" w:hint="default"/>
        </w:rPr>
      </w:pPr>
      <w:r>
        <w:rPr/>
        <w:t>其他说明： 期末其他货币资金中含使用受到限制的保函保证金</w:t>
      </w:r>
      <w:r>
        <w:rPr>
          <w:rFonts w:ascii="Times New Roman" w:hAnsi="Times New Roman" w:cs="Times New Roman" w:eastAsia="Times New Roman" w:hint="default"/>
        </w:rPr>
        <w:t>14,393,161.95</w:t>
      </w:r>
      <w:r>
        <w:rPr/>
        <w:t>元。 外币货币资金明细情况详见本附注七</w:t>
      </w:r>
      <w:r>
        <w:rPr>
          <w:spacing w:val="-24"/>
        </w:rPr>
        <w:t> </w:t>
      </w:r>
      <w:r>
        <w:rPr/>
        <w:t>、</w:t>
      </w:r>
      <w:r>
        <w:rPr>
          <w:rFonts w:ascii="Times New Roman" w:hAnsi="Times New Roman" w:cs="Times New Roman" w:eastAsia="Times New Roman" w:hint="default"/>
        </w:rPr>
        <w:t>51</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 </w:t>
      </w:r>
      <w:r>
        <w:rPr>
          <w:rFonts w:ascii="Times New Roman" w:hAnsi="Times New Roman" w:cs="Times New Roman" w:eastAsia="Times New Roman" w:hint="default"/>
          <w:b/>
          <w:bCs/>
        </w:rPr>
        <w:t>2</w:t>
      </w:r>
      <w:r>
        <w:rPr>
          <w:rFonts w:ascii="宋体" w:hAnsi="宋体" w:cs="宋体" w:eastAsia="宋体" w:hint="default"/>
          <w:b/>
          <w:bCs/>
        </w:rPr>
        <w:t>、应收票据及应收账款</w:t>
      </w:r>
      <w:r>
        <w:rPr>
          <w:rFonts w:ascii="宋体" w:hAnsi="宋体" w:cs="宋体" w:eastAsia="宋体" w:hint="default"/>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7424" w:space="1136"/>
            <w:col w:w="2370"/>
          </w:cols>
        </w:sectPr>
      </w:pPr>
    </w:p>
    <w:p>
      <w:pPr>
        <w:spacing w:line="240" w:lineRule="auto" w:before="10"/>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6,485,178.00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4,117,040.00</w:t>
            </w:r>
          </w:p>
        </w:tc>
      </w:tr>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502,891,808.25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413,357,441.58</w:t>
            </w:r>
          </w:p>
        </w:tc>
      </w:tr>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509,376,986.25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417,474,481.58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Heading2"/>
        <w:spacing w:line="240" w:lineRule="auto" w:before="39"/>
        <w:ind w:right="-11"/>
        <w:jc w:val="left"/>
        <w:rPr>
          <w:b w:val="0"/>
          <w:bCs w:val="0"/>
        </w:rPr>
      </w:pPr>
      <w:r>
        <w:rPr/>
        <w:t>（</w:t>
      </w:r>
      <w:r>
        <w:rPr>
          <w:rFonts w:ascii="Times New Roman" w:hAnsi="Times New Roman" w:cs="Times New Roman" w:eastAsia="Times New Roman" w:hint="default"/>
        </w:rPr>
        <w:t>1</w:t>
      </w:r>
      <w:r>
        <w:rPr/>
        <w:t>）应收票据</w:t>
      </w:r>
      <w:r>
        <w:rPr>
          <w:b w:val="0"/>
          <w:bCs w:val="0"/>
        </w:rPr>
      </w:r>
    </w:p>
    <w:p>
      <w:pPr>
        <w:pStyle w:val="BodyText"/>
        <w:spacing w:line="240" w:lineRule="auto" w:before="136"/>
        <w:ind w:right="-11"/>
        <w:jc w:val="left"/>
      </w:pPr>
      <w:r>
        <w:rPr>
          <w:rFonts w:ascii="Times New Roman" w:hAnsi="Times New Roman" w:cs="Times New Roman" w:eastAsia="Times New Roman" w:hint="default"/>
          <w:spacing w:val="-1"/>
        </w:rPr>
        <w:t>1)</w:t>
      </w:r>
      <w:r>
        <w:rPr>
          <w:spacing w:val="-1"/>
        </w:rPr>
        <w:t>应收票据分类列示</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273" w:space="6287"/>
            <w:col w:w="2370"/>
          </w:cols>
        </w:sectPr>
      </w:pPr>
    </w:p>
    <w:p>
      <w:pPr>
        <w:spacing w:line="240" w:lineRule="auto" w:before="10"/>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01"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5,285,178.00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3,887,140.00</w:t>
            </w:r>
          </w:p>
        </w:tc>
      </w:tr>
      <w:tr>
        <w:trPr>
          <w:trHeight w:val="401"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1,200,000.00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229,900.00</w:t>
            </w:r>
          </w:p>
        </w:tc>
      </w:tr>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6,485,178.00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4,117,040.00</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2</w:t>
      </w:r>
      <w:r>
        <w:rPr/>
        <w:t>）应收账款</w:t>
      </w:r>
      <w:r>
        <w:rPr>
          <w:b w:val="0"/>
          <w:bCs w:val="0"/>
        </w:rPr>
      </w:r>
    </w:p>
    <w:p>
      <w:pPr>
        <w:pStyle w:val="BodyText"/>
        <w:spacing w:line="240" w:lineRule="auto" w:before="135"/>
        <w:ind w:right="1273"/>
        <w:jc w:val="left"/>
      </w:pPr>
      <w:r>
        <w:rPr>
          <w:rFonts w:ascii="Times New Roman" w:hAnsi="Times New Roman" w:cs="Times New Roman" w:eastAsia="Times New Roman" w:hint="default"/>
        </w:rPr>
        <w:t>1)</w:t>
      </w:r>
      <w:r>
        <w:rPr/>
        <w:t>应收账款分类披露</w:t>
      </w:r>
    </w:p>
    <w:p>
      <w:pPr>
        <w:spacing w:after="0" w:line="240" w:lineRule="auto"/>
        <w:jc w:val="left"/>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4"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1" w:right="57"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10" w:space="0" w:color="D2D2D2"/>
              <w:right w:val="single" w:sz="12" w:space="0" w:color="D2D2D2"/>
            </w:tcBorders>
          </w:tcPr>
          <w:p>
            <w:pPr>
              <w:pStyle w:val="TableParagraph"/>
              <w:spacing w:line="260" w:lineRule="exact"/>
              <w:ind w:left="3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2" w:type="dxa"/>
            <w:vMerge/>
            <w:tcBorders>
              <w:left w:val="single" w:sz="10" w:space="0" w:color="D2D2D2"/>
              <w:bottom w:val="nil" w:sz="6" w:space="0" w:color="auto"/>
              <w:right w:val="single" w:sz="12" w:space="0" w:color="D2D2D2"/>
            </w:tcBorders>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1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578,896</w:t>
            </w:r>
          </w:p>
          <w:p>
            <w:pPr>
              <w:pStyle w:val="TableParagraph"/>
              <w:spacing w:line="240" w:lineRule="auto" w:before="68"/>
              <w:ind w:left="105" w:right="0"/>
              <w:jc w:val="left"/>
              <w:rPr>
                <w:rFonts w:ascii="Times New Roman" w:hAnsi="Times New Roman" w:cs="Times New Roman" w:eastAsia="Times New Roman" w:hint="default"/>
                <w:sz w:val="21"/>
                <w:szCs w:val="21"/>
              </w:rPr>
            </w:pPr>
            <w:r>
              <w:rPr>
                <w:rFonts w:ascii="Times New Roman"/>
                <w:sz w:val="21"/>
              </w:rPr>
              <w:t>,647.27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76,004,</w:t>
            </w:r>
          </w:p>
          <w:p>
            <w:pPr>
              <w:pStyle w:val="TableParagraph"/>
              <w:spacing w:line="240" w:lineRule="auto" w:before="68"/>
              <w:ind w:left="151" w:right="0"/>
              <w:jc w:val="left"/>
              <w:rPr>
                <w:rFonts w:ascii="Times New Roman" w:hAnsi="Times New Roman" w:cs="Times New Roman" w:eastAsia="Times New Roman" w:hint="default"/>
                <w:sz w:val="21"/>
                <w:szCs w:val="21"/>
              </w:rPr>
            </w:pPr>
            <w:r>
              <w:rPr>
                <w:rFonts w:ascii="Times New Roman"/>
                <w:sz w:val="21"/>
              </w:rPr>
              <w:t>839.02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13.13%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502,891</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,808.25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5" w:right="0"/>
              <w:jc w:val="left"/>
              <w:rPr>
                <w:rFonts w:ascii="Times New Roman" w:hAnsi="Times New Roman" w:cs="Times New Roman" w:eastAsia="Times New Roman" w:hint="default"/>
                <w:sz w:val="21"/>
                <w:szCs w:val="21"/>
              </w:rPr>
            </w:pPr>
            <w:r>
              <w:rPr>
                <w:rFonts w:ascii="Times New Roman"/>
                <w:sz w:val="21"/>
              </w:rPr>
              <w:t>471,40</w:t>
            </w:r>
          </w:p>
          <w:p>
            <w:pPr>
              <w:pStyle w:val="TableParagraph"/>
              <w:spacing w:line="240" w:lineRule="auto" w:before="68"/>
              <w:ind w:left="98" w:right="0"/>
              <w:jc w:val="left"/>
              <w:rPr>
                <w:rFonts w:ascii="Times New Roman" w:hAnsi="Times New Roman" w:cs="Times New Roman" w:eastAsia="Times New Roman" w:hint="default"/>
                <w:sz w:val="21"/>
                <w:szCs w:val="21"/>
              </w:rPr>
            </w:pPr>
            <w:r>
              <w:rPr>
                <w:rFonts w:ascii="Times New Roman"/>
                <w:sz w:val="21"/>
              </w:rPr>
              <w:t>0,250.</w:t>
            </w:r>
          </w:p>
          <w:p>
            <w:pPr>
              <w:pStyle w:val="TableParagraph"/>
              <w:spacing w:line="240" w:lineRule="auto" w:before="70"/>
              <w:ind w:left="412" w:right="0"/>
              <w:jc w:val="left"/>
              <w:rPr>
                <w:rFonts w:ascii="Times New Roman" w:hAnsi="Times New Roman" w:cs="Times New Roman" w:eastAsia="Times New Roman" w:hint="default"/>
                <w:sz w:val="21"/>
                <w:szCs w:val="21"/>
              </w:rPr>
            </w:pPr>
            <w:r>
              <w:rPr>
                <w:rFonts w:ascii="Times New Roman"/>
                <w:sz w:val="21"/>
              </w:rPr>
              <w:t>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58,042,8</w:t>
            </w:r>
          </w:p>
          <w:p>
            <w:pPr>
              <w:pStyle w:val="TableParagraph"/>
              <w:spacing w:line="240" w:lineRule="auto" w:before="68"/>
              <w:ind w:left="309" w:right="0"/>
              <w:jc w:val="left"/>
              <w:rPr>
                <w:rFonts w:ascii="Times New Roman" w:hAnsi="Times New Roman" w:cs="Times New Roman" w:eastAsia="Times New Roman" w:hint="default"/>
                <w:sz w:val="21"/>
                <w:szCs w:val="21"/>
              </w:rPr>
            </w:pPr>
            <w:r>
              <w:rPr>
                <w:rFonts w:ascii="Times New Roman"/>
                <w:sz w:val="21"/>
              </w:rPr>
              <w:t>09.08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413,357,4</w:t>
            </w:r>
          </w:p>
          <w:p>
            <w:pPr>
              <w:pStyle w:val="TableParagraph"/>
              <w:spacing w:line="240" w:lineRule="auto" w:before="68"/>
              <w:ind w:left="427" w:right="0"/>
              <w:jc w:val="left"/>
              <w:rPr>
                <w:rFonts w:ascii="Times New Roman" w:hAnsi="Times New Roman" w:cs="Times New Roman" w:eastAsia="Times New Roman" w:hint="default"/>
                <w:sz w:val="21"/>
                <w:szCs w:val="21"/>
              </w:rPr>
            </w:pPr>
            <w:r>
              <w:rPr>
                <w:rFonts w:ascii="Times New Roman"/>
                <w:sz w:val="21"/>
              </w:rPr>
              <w:t>41.58</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578,896</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,647.27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76,004,</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839.02</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13.13%</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502,891</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,808.25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471,40</w:t>
            </w:r>
          </w:p>
          <w:p>
            <w:pPr>
              <w:pStyle w:val="TableParagraph"/>
              <w:spacing w:line="240" w:lineRule="auto" w:before="70"/>
              <w:ind w:left="98" w:right="0"/>
              <w:jc w:val="left"/>
              <w:rPr>
                <w:rFonts w:ascii="Times New Roman" w:hAnsi="Times New Roman" w:cs="Times New Roman" w:eastAsia="Times New Roman" w:hint="default"/>
                <w:sz w:val="21"/>
                <w:szCs w:val="21"/>
              </w:rPr>
            </w:pPr>
            <w:r>
              <w:rPr>
                <w:rFonts w:ascii="Times New Roman"/>
                <w:sz w:val="21"/>
              </w:rPr>
              <w:t>0,250.</w:t>
            </w:r>
          </w:p>
          <w:p>
            <w:pPr>
              <w:pStyle w:val="TableParagraph"/>
              <w:spacing w:line="240" w:lineRule="auto" w:before="71"/>
              <w:ind w:left="412" w:right="0"/>
              <w:jc w:val="left"/>
              <w:rPr>
                <w:rFonts w:ascii="Times New Roman" w:hAnsi="Times New Roman" w:cs="Times New Roman" w:eastAsia="Times New Roman" w:hint="default"/>
                <w:sz w:val="21"/>
                <w:szCs w:val="21"/>
              </w:rPr>
            </w:pPr>
            <w:r>
              <w:rPr>
                <w:rFonts w:ascii="Times New Roman"/>
                <w:sz w:val="21"/>
              </w:rPr>
              <w:t>66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58,042,8</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09.08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12.31%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413,357,4</w:t>
            </w:r>
          </w:p>
          <w:p>
            <w:pPr>
              <w:pStyle w:val="TableParagraph"/>
              <w:spacing w:line="240" w:lineRule="auto" w:before="70"/>
              <w:ind w:left="427" w:right="0"/>
              <w:jc w:val="left"/>
              <w:rPr>
                <w:rFonts w:ascii="Times New Roman" w:hAnsi="Times New Roman" w:cs="Times New Roman" w:eastAsia="Times New Roman" w:hint="default"/>
                <w:sz w:val="21"/>
                <w:szCs w:val="21"/>
              </w:rPr>
            </w:pPr>
            <w:r>
              <w:rPr>
                <w:rFonts w:ascii="Times New Roman"/>
                <w:sz w:val="21"/>
              </w:rPr>
              <w:t>41.58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20"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pStyle w:val="BodyText"/>
        <w:spacing w:line="240" w:lineRule="auto" w:before="39"/>
        <w:ind w:right="-20"/>
        <w:jc w:val="left"/>
      </w:pPr>
      <w:r>
        <w:rPr/>
        <w:t>期末单项金额重大并单项计提坏账准备的应收账款：</w:t>
      </w:r>
    </w:p>
    <w:p>
      <w:pPr>
        <w:pStyle w:val="BodyText"/>
        <w:spacing w:line="338" w:lineRule="auto" w:before="154"/>
        <w:ind w:right="2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组合中，按账龄分析法计提坏账准备的应收账款：</w:t>
      </w:r>
    </w:p>
    <w:p>
      <w:pPr>
        <w:pStyle w:val="BodyText"/>
        <w:spacing w:line="240" w:lineRule="auto" w:before="5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5674" w:space="2886"/>
            <w:col w:w="2370"/>
          </w:cols>
        </w:sectPr>
      </w:pP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206"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89"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78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473,485,741.74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23,674,287.11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51,061,394.40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10,212,278.88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24,462,476.20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12,231,238.10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29,887,034.93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29,887,034.93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578,896,647.27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76,004,839.02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13.13%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BodyText"/>
        <w:spacing w:line="357" w:lineRule="auto" w:before="39"/>
        <w:ind w:right="2741"/>
        <w:jc w:val="left"/>
      </w:pPr>
      <w:r>
        <w:rPr/>
        <w:t>确定该组合依据的说明： 以账龄为信用风险组合确认依据 组合中，采用余额百分比法计提坏账准备的应收账款：</w:t>
      </w:r>
    </w:p>
    <w:p>
      <w:pPr>
        <w:pStyle w:val="BodyText"/>
        <w:spacing w:line="348" w:lineRule="auto" w:before="37"/>
        <w:ind w:right="32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组合中，采用其他方法计提坏账准备的应收账款： 无</w:t>
      </w:r>
    </w:p>
    <w:p>
      <w:pPr>
        <w:pStyle w:val="BodyText"/>
        <w:spacing w:line="240" w:lineRule="auto" w:before="46"/>
        <w:ind w:right="274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35"/>
        <w:ind w:right="-20"/>
        <w:jc w:val="left"/>
      </w:pPr>
      <w:r>
        <w:rPr/>
        <w:t>本期计提坏账准备金额</w:t>
      </w:r>
      <w:r>
        <w:rPr>
          <w:spacing w:val="-60"/>
        </w:rPr>
        <w:t> </w:t>
      </w:r>
      <w:r>
        <w:rPr>
          <w:rFonts w:ascii="Times New Roman" w:hAnsi="Times New Roman" w:cs="Times New Roman" w:eastAsia="Times New Roman" w:hint="default"/>
        </w:rPr>
        <w:t>17,962,029.94 </w:t>
      </w:r>
      <w:r>
        <w:rPr/>
        <w:t>元；本期收回或转回坏账准备金额</w:t>
      </w:r>
      <w:r>
        <w:rPr>
          <w:spacing w:val="-59"/>
        </w:rPr>
        <w:t> </w:t>
      </w:r>
      <w:r>
        <w:rPr>
          <w:rFonts w:ascii="Times New Roman" w:hAnsi="Times New Roman" w:cs="Times New Roman" w:eastAsia="Times New Roman" w:hint="default"/>
        </w:rPr>
        <w:t>0.00 </w:t>
      </w:r>
      <w:r>
        <w:rPr/>
        <w:t>元。</w:t>
      </w:r>
    </w:p>
    <w:p>
      <w:pPr>
        <w:pStyle w:val="BodyText"/>
        <w:spacing w:line="240" w:lineRule="auto" w:before="97"/>
        <w:ind w:right="2741"/>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9"/>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675" w:space="154"/>
            <w:col w:w="2101"/>
          </w:cols>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4849"/>
        <w:gridCol w:w="4849"/>
      </w:tblGrid>
      <w:tr>
        <w:trPr>
          <w:trHeight w:val="401"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长期无法收回的小额应收款项</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554,342.64</w:t>
            </w:r>
          </w:p>
        </w:tc>
      </w:tr>
    </w:tbl>
    <w:p>
      <w:pPr>
        <w:pStyle w:val="BodyText"/>
        <w:spacing w:line="240" w:lineRule="auto" w:before="39"/>
        <w:ind w:right="127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5"/>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693"/>
        <w:gridCol w:w="1608"/>
        <w:gridCol w:w="1284"/>
        <w:gridCol w:w="2086"/>
        <w:gridCol w:w="1988"/>
      </w:tblGrid>
      <w:tr>
        <w:trPr>
          <w:trHeight w:val="65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89"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占应收账款期末余额</w:t>
            </w:r>
            <w:r>
              <w:rPr>
                <w:rFonts w:ascii="宋体" w:hAnsi="宋体" w:cs="宋体" w:eastAsia="宋体" w:hint="default"/>
                <w:w w:val="100"/>
                <w:sz w:val="21"/>
                <w:szCs w:val="21"/>
              </w:rPr>
              <w:t> </w:t>
            </w:r>
            <w:r>
              <w:rPr>
                <w:rFonts w:ascii="宋体" w:hAnsi="宋体" w:cs="宋体" w:eastAsia="宋体" w:hint="default"/>
                <w:sz w:val="21"/>
                <w:szCs w:val="21"/>
              </w:rPr>
              <w:t>合计数的比例</w:t>
            </w:r>
            <w:r>
              <w:rPr>
                <w:rFonts w:ascii="Times New Roman" w:hAnsi="Times New Roman" w:cs="Times New Roman" w:eastAsia="Times New Roman" w:hint="default"/>
                <w:sz w:val="21"/>
                <w:szCs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47,118,280.04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21"/>
                <w:szCs w:val="21"/>
              </w:rPr>
            </w:pPr>
            <w:r>
              <w:rPr>
                <w:rFonts w:ascii="Times New Roman"/>
                <w:sz w:val="21"/>
              </w:rPr>
              <w:t>8.14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2,355,914.00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060" w:bottom="1160" w:left="980" w:right="0"/>
        </w:sectPr>
      </w:pPr>
    </w:p>
    <w:p>
      <w:pPr>
        <w:pStyle w:val="Heading2"/>
        <w:spacing w:line="240" w:lineRule="auto" w:before="39"/>
        <w:ind w:right="-19"/>
        <w:jc w:val="left"/>
        <w:rPr>
          <w:b w:val="0"/>
          <w:bCs w:val="0"/>
        </w:rPr>
      </w:pPr>
      <w:r>
        <w:rPr>
          <w:rFonts w:ascii="Times New Roman" w:hAnsi="Times New Roman" w:cs="Times New Roman" w:eastAsia="Times New Roman" w:hint="default"/>
        </w:rPr>
        <w:t>3</w:t>
      </w:r>
      <w:r>
        <w:rPr/>
        <w:t>、预付款项</w:t>
      </w:r>
      <w:r>
        <w:rPr>
          <w:b w:val="0"/>
          <w:bCs w:val="0"/>
        </w:rPr>
      </w:r>
    </w:p>
    <w:p>
      <w:pPr>
        <w:pStyle w:val="Heading2"/>
        <w:spacing w:line="240" w:lineRule="auto" w:before="135"/>
        <w:ind w:right="-19"/>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925" w:space="5635"/>
            <w:col w:w="2370"/>
          </w:cols>
        </w:sectPr>
      </w:pP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37"/>
        <w:gridCol w:w="1942"/>
        <w:gridCol w:w="1940"/>
        <w:gridCol w:w="1940"/>
        <w:gridCol w:w="1940"/>
      </w:tblGrid>
      <w:tr>
        <w:trPr>
          <w:trHeight w:val="207" w:hRule="exact"/>
        </w:trPr>
        <w:tc>
          <w:tcPr>
            <w:tcW w:w="1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9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82"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37" w:type="dxa"/>
            <w:vMerge/>
            <w:tcBorders>
              <w:left w:val="single" w:sz="4" w:space="0" w:color="000000"/>
              <w:bottom w:val="nil" w:sz="6" w:space="0" w:color="auto"/>
              <w:right w:val="single" w:sz="4" w:space="0" w:color="000000"/>
            </w:tcBorders>
            <w:shd w:val="clear" w:color="auto" w:fill="D2D2D2"/>
          </w:tcPr>
          <w:p>
            <w:pP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6" w:hRule="exact"/>
        </w:trPr>
        <w:tc>
          <w:tcPr>
            <w:tcW w:w="1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8,786,783.94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93.96%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7,448,868.10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85.39%</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564,991.00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6.04%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1,273,997.40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14.61%</w:t>
            </w: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2"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9,351,774.94</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94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pacing w:val="-1"/>
                <w:sz w:val="21"/>
              </w:rPr>
              <w:t>8,722,865.50</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338" w:lineRule="auto" w:before="39"/>
        <w:ind w:right="4274"/>
        <w:jc w:val="left"/>
      </w:pPr>
      <w:r>
        <w:rPr/>
        <w:t>账龄超过</w:t>
      </w:r>
      <w:r>
        <w:rPr>
          <w:spacing w:val="-61"/>
        </w:rPr>
        <w:t> </w:t>
      </w:r>
      <w:r>
        <w:rPr>
          <w:rFonts w:ascii="Times New Roman" w:hAnsi="Times New Roman" w:cs="Times New Roman" w:eastAsia="Times New Roman" w:hint="default"/>
        </w:rPr>
        <w:t>1 </w:t>
      </w:r>
      <w:r>
        <w:rPr/>
        <w:t>年且金额重要的预付款项未及时结算原因的说明： 预付账款未到结算期。</w:t>
      </w:r>
    </w:p>
    <w:p>
      <w:pPr>
        <w:pStyle w:val="Heading2"/>
        <w:spacing w:line="240" w:lineRule="auto" w:before="55"/>
        <w:ind w:right="127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7"/>
          <w:szCs w:val="7"/>
        </w:rPr>
      </w:pPr>
    </w:p>
    <w:tbl>
      <w:tblPr>
        <w:tblW w:w="0" w:type="auto"/>
        <w:jc w:val="left"/>
        <w:tblInd w:w="138" w:type="dxa"/>
        <w:tblLayout w:type="fixed"/>
        <w:tblCellMar>
          <w:top w:w="0" w:type="dxa"/>
          <w:left w:w="0" w:type="dxa"/>
          <w:bottom w:w="0" w:type="dxa"/>
          <w:right w:w="0" w:type="dxa"/>
        </w:tblCellMar>
        <w:tblLook w:val="01E0"/>
      </w:tblPr>
      <w:tblGrid>
        <w:gridCol w:w="3130"/>
        <w:gridCol w:w="1649"/>
        <w:gridCol w:w="1128"/>
        <w:gridCol w:w="2084"/>
        <w:gridCol w:w="1668"/>
      </w:tblGrid>
      <w:tr>
        <w:trPr>
          <w:trHeight w:val="656"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2" w:right="8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占预付款项期末余额</w:t>
            </w:r>
            <w:r>
              <w:rPr>
                <w:rFonts w:ascii="宋体" w:hAnsi="宋体" w:cs="宋体" w:eastAsia="宋体" w:hint="default"/>
                <w:w w:val="100"/>
                <w:sz w:val="21"/>
                <w:szCs w:val="21"/>
              </w:rPr>
              <w:t> </w:t>
            </w:r>
            <w:r>
              <w:rPr>
                <w:rFonts w:ascii="宋体" w:hAnsi="宋体" w:cs="宋体" w:eastAsia="宋体" w:hint="default"/>
                <w:sz w:val="21"/>
                <w:szCs w:val="21"/>
              </w:rPr>
              <w:t>合计数的比例</w:t>
            </w:r>
            <w:r>
              <w:rPr>
                <w:rFonts w:ascii="Times New Roman" w:hAnsi="Times New Roman" w:cs="Times New Roman" w:eastAsia="Times New Roman" w:hint="default"/>
                <w:sz w:val="21"/>
                <w:szCs w:val="21"/>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4"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9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缘石信息科技（上海）有限公司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690,000.00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847"/>
              <w:jc w:val="right"/>
              <w:rPr>
                <w:rFonts w:ascii="Times New Roman" w:hAnsi="Times New Roman" w:cs="Times New Roman" w:eastAsia="Times New Roman" w:hint="default"/>
                <w:sz w:val="21"/>
                <w:szCs w:val="21"/>
              </w:rPr>
            </w:pPr>
            <w:r>
              <w:rPr>
                <w:rFonts w:ascii="Times New Roman"/>
                <w:sz w:val="21"/>
              </w:rPr>
              <w:t>7.38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5"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北京大希科技有限公司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685,617.63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847"/>
              <w:jc w:val="right"/>
              <w:rPr>
                <w:rFonts w:ascii="Times New Roman" w:hAnsi="Times New Roman" w:cs="Times New Roman" w:eastAsia="Times New Roman" w:hint="default"/>
                <w:sz w:val="21"/>
                <w:szCs w:val="21"/>
              </w:rPr>
            </w:pPr>
            <w:r>
              <w:rPr>
                <w:rFonts w:ascii="Times New Roman"/>
                <w:sz w:val="21"/>
              </w:rPr>
              <w:t>7.33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内蒙古华强通讯技术有限公司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600,000.00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847"/>
              <w:jc w:val="right"/>
              <w:rPr>
                <w:rFonts w:ascii="Times New Roman" w:hAnsi="Times New Roman" w:cs="Times New Roman" w:eastAsia="Times New Roman" w:hint="default"/>
                <w:sz w:val="21"/>
                <w:szCs w:val="21"/>
              </w:rPr>
            </w:pPr>
            <w:r>
              <w:rPr>
                <w:rFonts w:ascii="Times New Roman"/>
                <w:sz w:val="21"/>
              </w:rPr>
              <w:t>6.42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上海蓝宗电子科技有限公司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375,360.00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847"/>
              <w:jc w:val="right"/>
              <w:rPr>
                <w:rFonts w:ascii="Times New Roman" w:hAnsi="Times New Roman" w:cs="Times New Roman" w:eastAsia="Times New Roman" w:hint="default"/>
                <w:sz w:val="21"/>
                <w:szCs w:val="21"/>
              </w:rPr>
            </w:pPr>
            <w:r>
              <w:rPr>
                <w:rFonts w:ascii="Times New Roman"/>
                <w:sz w:val="21"/>
              </w:rPr>
              <w:t>4.01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安徽星空图信息科技有限公司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237,660.00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847"/>
              <w:jc w:val="right"/>
              <w:rPr>
                <w:rFonts w:ascii="Times New Roman" w:hAnsi="Times New Roman" w:cs="Times New Roman" w:eastAsia="Times New Roman" w:hint="default"/>
                <w:sz w:val="21"/>
                <w:szCs w:val="21"/>
              </w:rPr>
            </w:pPr>
            <w:r>
              <w:rPr>
                <w:rFonts w:ascii="Times New Roman"/>
                <w:sz w:val="21"/>
              </w:rPr>
              <w:t>2.54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595"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2" w:right="0"/>
              <w:jc w:val="center"/>
              <w:rPr>
                <w:rFonts w:ascii="Times New Roman" w:hAnsi="Times New Roman" w:cs="Times New Roman" w:eastAsia="Times New Roman" w:hint="default"/>
                <w:sz w:val="21"/>
                <w:szCs w:val="21"/>
              </w:rPr>
            </w:pPr>
            <w:r>
              <w:rPr>
                <w:rFonts w:ascii="Times New Roman"/>
                <w:sz w:val="21"/>
              </w:rPr>
              <w:t>2,588,637.63</w:t>
            </w:r>
          </w:p>
        </w:tc>
        <w:tc>
          <w:tcPr>
            <w:tcW w:w="1128"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794"/>
              <w:jc w:val="right"/>
              <w:rPr>
                <w:rFonts w:ascii="Times New Roman" w:hAnsi="Times New Roman" w:cs="Times New Roman" w:eastAsia="Times New Roman" w:hint="default"/>
                <w:sz w:val="21"/>
                <w:szCs w:val="21"/>
              </w:rPr>
            </w:pPr>
            <w:r>
              <w:rPr>
                <w:rFonts w:ascii="Times New Roman"/>
                <w:sz w:val="21"/>
              </w:rPr>
              <w:t>27.68</w:t>
            </w:r>
          </w:p>
        </w:tc>
        <w:tc>
          <w:tcPr>
            <w:tcW w:w="16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240" w:lineRule="auto" w:before="39"/>
        <w:ind w:right="0"/>
        <w:jc w:val="left"/>
      </w:pPr>
      <w:r>
        <w:rPr/>
        <w:t>其他说明：无</w:t>
      </w:r>
    </w:p>
    <w:p>
      <w:pPr>
        <w:pStyle w:val="Heading2"/>
        <w:spacing w:line="240" w:lineRule="auto" w:before="154"/>
        <w:ind w:right="0"/>
        <w:jc w:val="left"/>
        <w:rPr>
          <w:b w:val="0"/>
          <w:bCs w:val="0"/>
        </w:rPr>
      </w:pPr>
      <w:r>
        <w:rPr>
          <w:rFonts w:ascii="Times New Roman" w:hAnsi="Times New Roman" w:cs="Times New Roman" w:eastAsia="Times New Roman" w:hint="default"/>
          <w:w w:val="95"/>
        </w:rPr>
        <w:t>4</w:t>
      </w:r>
      <w:r>
        <w:rPr>
          <w:w w:val="95"/>
        </w:rPr>
        <w:t>、其他应收款</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1718" w:space="6842"/>
            <w:col w:w="2370"/>
          </w:cols>
        </w:sectPr>
      </w:pPr>
    </w:p>
    <w:p>
      <w:pPr>
        <w:spacing w:line="240" w:lineRule="auto" w:before="10"/>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996" w:right="0"/>
              <w:jc w:val="left"/>
              <w:rPr>
                <w:rFonts w:ascii="Times New Roman" w:hAnsi="Times New Roman" w:cs="Times New Roman" w:eastAsia="Times New Roman" w:hint="default"/>
                <w:sz w:val="21"/>
                <w:szCs w:val="21"/>
              </w:rPr>
            </w:pPr>
            <w:r>
              <w:rPr>
                <w:rFonts w:ascii="Times New Roman"/>
                <w:sz w:val="21"/>
              </w:rPr>
              <w:t>84,986,855.92</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92" w:right="0"/>
              <w:jc w:val="left"/>
              <w:rPr>
                <w:rFonts w:ascii="Times New Roman" w:hAnsi="Times New Roman" w:cs="Times New Roman" w:eastAsia="Times New Roman" w:hint="default"/>
                <w:sz w:val="21"/>
                <w:szCs w:val="21"/>
              </w:rPr>
            </w:pPr>
            <w:r>
              <w:rPr>
                <w:rFonts w:ascii="Times New Roman"/>
                <w:sz w:val="21"/>
              </w:rPr>
              <w:t>76,867,761.00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3219"/>
        <w:gridCol w:w="3244"/>
        <w:gridCol w:w="3234"/>
      </w:tblGrid>
      <w:tr>
        <w:trPr>
          <w:trHeight w:val="404"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996" w:right="0"/>
              <w:jc w:val="left"/>
              <w:rPr>
                <w:rFonts w:ascii="Times New Roman" w:hAnsi="Times New Roman" w:cs="Times New Roman" w:eastAsia="Times New Roman" w:hint="default"/>
                <w:sz w:val="21"/>
                <w:szCs w:val="21"/>
              </w:rPr>
            </w:pPr>
            <w:r>
              <w:rPr>
                <w:rFonts w:ascii="Times New Roman"/>
                <w:sz w:val="21"/>
              </w:rPr>
              <w:t>84,986,855.92</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92" w:right="0"/>
              <w:jc w:val="left"/>
              <w:rPr>
                <w:rFonts w:ascii="Times New Roman" w:hAnsi="Times New Roman" w:cs="Times New Roman" w:eastAsia="Times New Roman" w:hint="default"/>
                <w:sz w:val="21"/>
                <w:szCs w:val="21"/>
              </w:rPr>
            </w:pPr>
            <w:r>
              <w:rPr>
                <w:rFonts w:ascii="Times New Roman"/>
                <w:sz w:val="21"/>
              </w:rPr>
              <w:t>76,867,761.00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060" w:bottom="1160" w:left="980" w:right="0"/>
        </w:sectPr>
      </w:pPr>
    </w:p>
    <w:p>
      <w:pPr>
        <w:pStyle w:val="Heading2"/>
        <w:spacing w:line="240" w:lineRule="auto" w:before="39"/>
        <w:ind w:right="-10"/>
        <w:jc w:val="left"/>
        <w:rPr>
          <w:b w:val="0"/>
          <w:bCs w:val="0"/>
        </w:rPr>
      </w:pPr>
      <w:r>
        <w:rPr/>
        <w:t>（</w:t>
      </w:r>
      <w:r>
        <w:rPr>
          <w:rFonts w:ascii="Times New Roman" w:hAnsi="Times New Roman" w:cs="Times New Roman" w:eastAsia="Times New Roman" w:hint="default"/>
        </w:rPr>
        <w:t>1</w:t>
      </w:r>
      <w:r>
        <w:rPr/>
        <w:t>）其他应收款</w:t>
      </w:r>
      <w:r>
        <w:rPr>
          <w:b w:val="0"/>
          <w:bCs w:val="0"/>
        </w:rPr>
      </w:r>
    </w:p>
    <w:p>
      <w:pPr>
        <w:pStyle w:val="BodyText"/>
        <w:spacing w:line="240" w:lineRule="auto" w:before="135"/>
        <w:ind w:right="-10"/>
        <w:jc w:val="left"/>
      </w:pPr>
      <w:r>
        <w:rPr>
          <w:rFonts w:ascii="Times New Roman" w:hAnsi="Times New Roman" w:cs="Times New Roman" w:eastAsia="Times New Roman" w:hint="default"/>
          <w:spacing w:val="-1"/>
        </w:rPr>
        <w:t>1)</w:t>
      </w:r>
      <w:r>
        <w:rPr>
          <w:spacing w:val="-1"/>
        </w:rPr>
        <w:t>其他应收款分类披露</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513" w:space="6047"/>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2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6"/>
              <w:ind w:left="271" w:right="57"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10" w:space="0" w:color="D2D2D2"/>
              <w:right w:val="single" w:sz="12" w:space="0" w:color="D2D2D2"/>
            </w:tcBorders>
          </w:tcPr>
          <w:p>
            <w:pPr>
              <w:pStyle w:val="TableParagraph"/>
              <w:spacing w:line="260" w:lineRule="exact"/>
              <w:ind w:left="3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2" w:type="dxa"/>
            <w:vMerge/>
            <w:tcBorders>
              <w:left w:val="single" w:sz="10" w:space="0" w:color="D2D2D2"/>
              <w:bottom w:val="nil" w:sz="6" w:space="0" w:color="auto"/>
              <w:right w:val="single" w:sz="12" w:space="0" w:color="D2D2D2"/>
            </w:tcBorders>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Times New Roman"/>
                <w:spacing w:val="-3"/>
                <w:sz w:val="21"/>
              </w:rPr>
              <w:t>119,211</w:t>
            </w:r>
          </w:p>
          <w:p>
            <w:pPr>
              <w:pStyle w:val="TableParagraph"/>
              <w:spacing w:line="240" w:lineRule="auto" w:before="71"/>
              <w:ind w:left="105" w:right="0"/>
              <w:jc w:val="left"/>
              <w:rPr>
                <w:rFonts w:ascii="Times New Roman" w:hAnsi="Times New Roman" w:cs="Times New Roman" w:eastAsia="Times New Roman" w:hint="default"/>
                <w:sz w:val="21"/>
                <w:szCs w:val="21"/>
              </w:rPr>
            </w:pPr>
            <w:r>
              <w:rPr>
                <w:rFonts w:ascii="Times New Roman"/>
                <w:sz w:val="21"/>
              </w:rPr>
              <w:t>,068.36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34,224,</w:t>
            </w:r>
          </w:p>
          <w:p>
            <w:pPr>
              <w:pStyle w:val="TableParagraph"/>
              <w:spacing w:line="240" w:lineRule="auto" w:before="71"/>
              <w:ind w:left="151" w:right="0"/>
              <w:jc w:val="left"/>
              <w:rPr>
                <w:rFonts w:ascii="Times New Roman" w:hAnsi="Times New Roman" w:cs="Times New Roman" w:eastAsia="Times New Roman" w:hint="default"/>
                <w:sz w:val="21"/>
                <w:szCs w:val="21"/>
              </w:rPr>
            </w:pPr>
            <w:r>
              <w:rPr>
                <w:rFonts w:ascii="Times New Roman"/>
                <w:sz w:val="21"/>
              </w:rPr>
              <w:t>212.44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28.71%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84,986,</w:t>
            </w:r>
          </w:p>
          <w:p>
            <w:pPr>
              <w:pStyle w:val="TableParagraph"/>
              <w:spacing w:line="240" w:lineRule="auto" w:before="71"/>
              <w:ind w:left="177" w:right="0"/>
              <w:jc w:val="left"/>
              <w:rPr>
                <w:rFonts w:ascii="Times New Roman" w:hAnsi="Times New Roman" w:cs="Times New Roman" w:eastAsia="Times New Roman" w:hint="default"/>
                <w:sz w:val="21"/>
                <w:szCs w:val="21"/>
              </w:rPr>
            </w:pPr>
            <w:r>
              <w:rPr>
                <w:rFonts w:ascii="Times New Roman"/>
                <w:sz w:val="21"/>
              </w:rPr>
              <w:t>855.92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106,37</w:t>
            </w:r>
          </w:p>
          <w:p>
            <w:pPr>
              <w:pStyle w:val="TableParagraph"/>
              <w:spacing w:line="240" w:lineRule="auto" w:before="71"/>
              <w:ind w:left="98" w:right="0"/>
              <w:jc w:val="left"/>
              <w:rPr>
                <w:rFonts w:ascii="Times New Roman" w:hAnsi="Times New Roman" w:cs="Times New Roman" w:eastAsia="Times New Roman" w:hint="default"/>
                <w:sz w:val="21"/>
                <w:szCs w:val="21"/>
              </w:rPr>
            </w:pPr>
            <w:r>
              <w:rPr>
                <w:rFonts w:ascii="Times New Roman"/>
                <w:sz w:val="21"/>
              </w:rPr>
              <w:t>6,577.</w:t>
            </w:r>
          </w:p>
          <w:p>
            <w:pPr>
              <w:pStyle w:val="TableParagraph"/>
              <w:spacing w:line="240" w:lineRule="auto" w:before="70"/>
              <w:ind w:left="412" w:right="0"/>
              <w:jc w:val="left"/>
              <w:rPr>
                <w:rFonts w:ascii="Times New Roman" w:hAnsi="Times New Roman" w:cs="Times New Roman" w:eastAsia="Times New Roman" w:hint="default"/>
                <w:sz w:val="21"/>
                <w:szCs w:val="21"/>
              </w:rPr>
            </w:pPr>
            <w:r>
              <w:rPr>
                <w:rFonts w:ascii="Times New Roman"/>
                <w:sz w:val="21"/>
              </w:rPr>
              <w:t>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29,508,8</w:t>
            </w:r>
          </w:p>
          <w:p>
            <w:pPr>
              <w:pStyle w:val="TableParagraph"/>
              <w:spacing w:line="240" w:lineRule="auto" w:before="71"/>
              <w:ind w:left="309" w:right="0"/>
              <w:jc w:val="left"/>
              <w:rPr>
                <w:rFonts w:ascii="Times New Roman" w:hAnsi="Times New Roman" w:cs="Times New Roman" w:eastAsia="Times New Roman" w:hint="default"/>
                <w:sz w:val="21"/>
                <w:szCs w:val="21"/>
              </w:rPr>
            </w:pPr>
            <w:r>
              <w:rPr>
                <w:rFonts w:ascii="Times New Roman"/>
                <w:sz w:val="21"/>
              </w:rPr>
              <w:t>16.73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27.74%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76,867,76</w:t>
            </w:r>
          </w:p>
          <w:p>
            <w:pPr>
              <w:pStyle w:val="TableParagraph"/>
              <w:spacing w:line="240" w:lineRule="auto" w:before="71"/>
              <w:ind w:left="533" w:right="0"/>
              <w:jc w:val="left"/>
              <w:rPr>
                <w:rFonts w:ascii="Times New Roman" w:hAnsi="Times New Roman" w:cs="Times New Roman" w:eastAsia="Times New Roman" w:hint="default"/>
                <w:sz w:val="21"/>
                <w:szCs w:val="21"/>
              </w:rPr>
            </w:pPr>
            <w:r>
              <w:rPr>
                <w:rFonts w:ascii="Times New Roman"/>
                <w:sz w:val="21"/>
              </w:rPr>
              <w:t>1.00</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Times New Roman"/>
                <w:spacing w:val="-3"/>
                <w:sz w:val="21"/>
              </w:rPr>
              <w:t>119,211</w:t>
            </w:r>
          </w:p>
          <w:p>
            <w:pPr>
              <w:pStyle w:val="TableParagraph"/>
              <w:spacing w:line="240" w:lineRule="auto" w:before="68"/>
              <w:ind w:left="105" w:right="0"/>
              <w:jc w:val="left"/>
              <w:rPr>
                <w:rFonts w:ascii="Times New Roman" w:hAnsi="Times New Roman" w:cs="Times New Roman" w:eastAsia="Times New Roman" w:hint="default"/>
                <w:sz w:val="21"/>
                <w:szCs w:val="21"/>
              </w:rPr>
            </w:pPr>
            <w:r>
              <w:rPr>
                <w:rFonts w:ascii="Times New Roman"/>
                <w:sz w:val="21"/>
              </w:rPr>
              <w:t>,068.36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34,224,</w:t>
            </w:r>
          </w:p>
          <w:p>
            <w:pPr>
              <w:pStyle w:val="TableParagraph"/>
              <w:spacing w:line="240" w:lineRule="auto" w:before="68"/>
              <w:ind w:left="151" w:right="0"/>
              <w:jc w:val="left"/>
              <w:rPr>
                <w:rFonts w:ascii="Times New Roman" w:hAnsi="Times New Roman" w:cs="Times New Roman" w:eastAsia="Times New Roman" w:hint="default"/>
                <w:sz w:val="21"/>
                <w:szCs w:val="21"/>
              </w:rPr>
            </w:pPr>
            <w:r>
              <w:rPr>
                <w:rFonts w:ascii="Times New Roman"/>
                <w:sz w:val="21"/>
              </w:rPr>
              <w:t>212.44</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28.71%</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84,986,</w:t>
            </w:r>
          </w:p>
          <w:p>
            <w:pPr>
              <w:pStyle w:val="TableParagraph"/>
              <w:spacing w:line="240" w:lineRule="auto" w:before="68"/>
              <w:ind w:left="177" w:right="0"/>
              <w:jc w:val="left"/>
              <w:rPr>
                <w:rFonts w:ascii="Times New Roman" w:hAnsi="Times New Roman" w:cs="Times New Roman" w:eastAsia="Times New Roman" w:hint="default"/>
                <w:sz w:val="21"/>
                <w:szCs w:val="21"/>
              </w:rPr>
            </w:pPr>
            <w:r>
              <w:rPr>
                <w:rFonts w:ascii="Times New Roman"/>
                <w:sz w:val="21"/>
              </w:rPr>
              <w:t>855.92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106,37</w:t>
            </w:r>
          </w:p>
          <w:p>
            <w:pPr>
              <w:pStyle w:val="TableParagraph"/>
              <w:spacing w:line="240" w:lineRule="auto" w:before="68"/>
              <w:ind w:left="98" w:right="0"/>
              <w:jc w:val="left"/>
              <w:rPr>
                <w:rFonts w:ascii="Times New Roman" w:hAnsi="Times New Roman" w:cs="Times New Roman" w:eastAsia="Times New Roman" w:hint="default"/>
                <w:sz w:val="21"/>
                <w:szCs w:val="21"/>
              </w:rPr>
            </w:pPr>
            <w:r>
              <w:rPr>
                <w:rFonts w:ascii="Times New Roman"/>
                <w:sz w:val="21"/>
              </w:rPr>
              <w:t>6,577.</w:t>
            </w:r>
          </w:p>
          <w:p>
            <w:pPr>
              <w:pStyle w:val="TableParagraph"/>
              <w:spacing w:line="240" w:lineRule="auto" w:before="70"/>
              <w:ind w:left="412" w:right="0"/>
              <w:jc w:val="left"/>
              <w:rPr>
                <w:rFonts w:ascii="Times New Roman" w:hAnsi="Times New Roman" w:cs="Times New Roman" w:eastAsia="Times New Roman" w:hint="default"/>
                <w:sz w:val="21"/>
                <w:szCs w:val="21"/>
              </w:rPr>
            </w:pPr>
            <w:r>
              <w:rPr>
                <w:rFonts w:ascii="Times New Roman"/>
                <w:sz w:val="21"/>
              </w:rPr>
              <w:t>73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29,508,8</w:t>
            </w:r>
          </w:p>
          <w:p>
            <w:pPr>
              <w:pStyle w:val="TableParagraph"/>
              <w:spacing w:line="240" w:lineRule="auto" w:before="68"/>
              <w:ind w:left="309" w:right="0"/>
              <w:jc w:val="left"/>
              <w:rPr>
                <w:rFonts w:ascii="Times New Roman" w:hAnsi="Times New Roman" w:cs="Times New Roman" w:eastAsia="Times New Roman" w:hint="default"/>
                <w:sz w:val="21"/>
                <w:szCs w:val="21"/>
              </w:rPr>
            </w:pPr>
            <w:r>
              <w:rPr>
                <w:rFonts w:ascii="Times New Roman"/>
                <w:sz w:val="21"/>
              </w:rPr>
              <w:t>16.73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27.74%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76,867,76</w:t>
            </w:r>
          </w:p>
          <w:p>
            <w:pPr>
              <w:pStyle w:val="TableParagraph"/>
              <w:spacing w:line="240" w:lineRule="auto" w:before="68"/>
              <w:ind w:left="533" w:right="0"/>
              <w:jc w:val="left"/>
              <w:rPr>
                <w:rFonts w:ascii="Times New Roman" w:hAnsi="Times New Roman" w:cs="Times New Roman" w:eastAsia="Times New Roman" w:hint="default"/>
                <w:sz w:val="21"/>
                <w:szCs w:val="21"/>
              </w:rPr>
            </w:pPr>
            <w:r>
              <w:rPr>
                <w:rFonts w:ascii="Times New Roman"/>
                <w:sz w:val="21"/>
              </w:rPr>
              <w:t>1.00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240" w:lineRule="auto" w:before="39"/>
        <w:ind w:right="-20"/>
        <w:jc w:val="left"/>
      </w:pPr>
      <w:r>
        <w:rPr/>
        <w:t>期末单项金额重大并单项计提坏账准备的其他应收款：</w:t>
      </w:r>
    </w:p>
    <w:p>
      <w:pPr>
        <w:pStyle w:val="BodyText"/>
        <w:spacing w:line="338" w:lineRule="auto" w:before="154"/>
        <w:ind w:right="2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组合中，按账龄分析法计提坏账准备的其他应收款：</w:t>
      </w:r>
    </w:p>
    <w:p>
      <w:pPr>
        <w:pStyle w:val="BodyText"/>
        <w:spacing w:line="240" w:lineRule="auto" w:before="5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5914" w:space="2646"/>
            <w:col w:w="2370"/>
          </w:cols>
        </w:sectPr>
      </w:pP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8"/>
        <w:gridCol w:w="2404"/>
        <w:gridCol w:w="2393"/>
        <w:gridCol w:w="2393"/>
      </w:tblGrid>
      <w:tr>
        <w:trPr>
          <w:trHeight w:val="20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0"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7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6"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56,474,687.27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2,823,734.37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33,171,481.61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6,634,296.32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9,597,435.47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4,798,717.74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19,967,464.01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19,967,464.01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119,211,068.36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34,224,212.44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28.71%</w:t>
            </w:r>
          </w:p>
        </w:tc>
      </w:tr>
    </w:tbl>
    <w:p>
      <w:pPr>
        <w:pStyle w:val="BodyText"/>
        <w:spacing w:line="357" w:lineRule="auto" w:before="39"/>
        <w:ind w:right="4753"/>
        <w:jc w:val="left"/>
      </w:pPr>
      <w:r>
        <w:rPr/>
        <w:t>确定该组合依据的说明： 以账龄为信用风险组合确认依据。 组合中，采用余额百分比法计提坏账准备的其他应收款：</w:t>
      </w:r>
    </w:p>
    <w:p>
      <w:pPr>
        <w:pStyle w:val="BodyText"/>
        <w:spacing w:line="338" w:lineRule="auto"/>
        <w:ind w:right="5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组合中，采用其他方法计提坏账准备的其他应收款：</w:t>
      </w:r>
    </w:p>
    <w:p>
      <w:pPr>
        <w:pStyle w:val="BodyText"/>
        <w:spacing w:line="240" w:lineRule="auto" w:before="55"/>
        <w:ind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BodyText"/>
        <w:spacing w:line="240" w:lineRule="auto" w:before="135"/>
        <w:ind w:right="1273"/>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79" w:top="1060" w:bottom="1160" w:left="980" w:right="0"/>
        </w:sectPr>
      </w:pPr>
    </w:p>
    <w:p>
      <w:pPr>
        <w:pStyle w:val="BodyText"/>
        <w:spacing w:line="240" w:lineRule="auto" w:before="26"/>
        <w:ind w:right="-20"/>
        <w:jc w:val="left"/>
      </w:pPr>
      <w:r>
        <w:rPr/>
        <w:t>本期计提坏账准备金额</w:t>
      </w:r>
      <w:r>
        <w:rPr>
          <w:spacing w:val="-60"/>
        </w:rPr>
        <w:t> </w:t>
      </w:r>
      <w:r>
        <w:rPr>
          <w:rFonts w:ascii="Times New Roman" w:hAnsi="Times New Roman" w:cs="Times New Roman" w:eastAsia="Times New Roman" w:hint="default"/>
        </w:rPr>
        <w:t>4,715,395.71 </w:t>
      </w:r>
      <w:r>
        <w:rPr/>
        <w:t>元；本期收回或转回坏账准备金额</w:t>
      </w:r>
      <w:r>
        <w:rPr>
          <w:spacing w:val="-59"/>
        </w:rPr>
        <w:t> </w:t>
      </w:r>
      <w:r>
        <w:rPr>
          <w:rFonts w:ascii="Times New Roman" w:hAnsi="Times New Roman" w:cs="Times New Roman" w:eastAsia="Times New Roman" w:hint="default"/>
        </w:rPr>
        <w:t>0.00 </w:t>
      </w:r>
      <w:r>
        <w:rPr/>
        <w:t>元。</w:t>
      </w:r>
    </w:p>
    <w:p>
      <w:pPr>
        <w:pStyle w:val="BodyText"/>
        <w:spacing w:line="240" w:lineRule="auto" w:before="135"/>
        <w:ind w:right="-20"/>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BodyText"/>
        <w:spacing w:line="240" w:lineRule="auto" w:before="0"/>
        <w:ind w:left="118" w:right="0"/>
        <w:jc w:val="left"/>
      </w:pPr>
      <w:r>
        <w:rPr/>
        <w:t>单位： 元</w:t>
      </w:r>
    </w:p>
    <w:p>
      <w:pPr>
        <w:spacing w:after="0" w:line="240" w:lineRule="auto"/>
        <w:jc w:val="left"/>
        <w:sectPr>
          <w:type w:val="continuous"/>
          <w:pgSz w:w="11910" w:h="16840"/>
          <w:pgMar w:top="1060" w:bottom="1160" w:left="980" w:right="0"/>
          <w:cols w:num="2" w:equalWidth="0">
            <w:col w:w="8555" w:space="40"/>
            <w:col w:w="2335"/>
          </w:cols>
        </w:sectPr>
      </w:pP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86,953,301.44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81,398,063.52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28,770,180.47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23,110,272.50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3,487,586.45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1,868,241.71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119,211,068.36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106,376,577.73</w:t>
            </w:r>
          </w:p>
        </w:tc>
      </w:tr>
    </w:tbl>
    <w:p>
      <w:pPr>
        <w:pStyle w:val="BodyText"/>
        <w:spacing w:line="240" w:lineRule="auto" w:before="39"/>
        <w:ind w:right="1273"/>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3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9"/>
        <w:gridCol w:w="1418"/>
        <w:gridCol w:w="1416"/>
        <w:gridCol w:w="1274"/>
        <w:gridCol w:w="1594"/>
        <w:gridCol w:w="1596"/>
      </w:tblGrid>
      <w:tr>
        <w:trPr>
          <w:trHeight w:val="1025"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 w:right="51"/>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86" w:right="53" w:hanging="629"/>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715"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30"/>
              <w:jc w:val="left"/>
              <w:rPr>
                <w:rFonts w:ascii="宋体" w:hAnsi="宋体" w:cs="宋体" w:eastAsia="宋体" w:hint="default"/>
                <w:sz w:val="21"/>
                <w:szCs w:val="21"/>
              </w:rPr>
            </w:pPr>
            <w:r>
              <w:rPr>
                <w:rFonts w:ascii="宋体" w:hAnsi="宋体" w:cs="宋体" w:eastAsia="宋体" w:hint="default"/>
                <w:spacing w:val="-2"/>
                <w:sz w:val="21"/>
                <w:szCs w:val="21"/>
              </w:rPr>
              <w:t>芜湖市公共资源交易中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2,248,152.58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333,498.12</w:t>
            </w:r>
          </w:p>
        </w:tc>
      </w:tr>
      <w:tr>
        <w:trPr>
          <w:trHeight w:val="71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上海市房屋状况信息中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1,267,500.00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409,000.00</w:t>
            </w:r>
          </w:p>
        </w:tc>
      </w:tr>
      <w:tr>
        <w:trPr>
          <w:trHeight w:val="716"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30"/>
              <w:jc w:val="left"/>
              <w:rPr>
                <w:rFonts w:ascii="宋体" w:hAnsi="宋体" w:cs="宋体" w:eastAsia="宋体" w:hint="default"/>
                <w:sz w:val="21"/>
                <w:szCs w:val="21"/>
              </w:rPr>
            </w:pPr>
            <w:r>
              <w:rPr>
                <w:rFonts w:ascii="宋体" w:hAnsi="宋体" w:cs="宋体" w:eastAsia="宋体" w:hint="default"/>
                <w:spacing w:val="-2"/>
                <w:sz w:val="21"/>
                <w:szCs w:val="21"/>
              </w:rPr>
              <w:t>江苏省基础地理信息中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1,145,000.00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57,250.00</w:t>
            </w:r>
          </w:p>
        </w:tc>
      </w:tr>
      <w:tr>
        <w:trPr>
          <w:trHeight w:val="71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北京东方园林环境股份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应收房租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1,013,081.28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50,654.06</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烟台市不动产登记中心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Times New Roman" w:hAnsi="Times New Roman" w:cs="Times New Roman" w:eastAsia="Times New Roman" w:hint="default"/>
                <w:sz w:val="21"/>
                <w:szCs w:val="21"/>
              </w:rPr>
            </w:pPr>
            <w:r>
              <w:rPr>
                <w:rFonts w:ascii="Times New Roman"/>
                <w:sz w:val="21"/>
              </w:rPr>
              <w:t>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Times New Roman" w:hAnsi="Times New Roman" w:cs="Times New Roman" w:eastAsia="Times New Roman" w:hint="default"/>
                <w:sz w:val="21"/>
                <w:szCs w:val="21"/>
              </w:rPr>
            </w:pPr>
            <w:r>
              <w:rPr>
                <w:rFonts w:ascii="Times New Roman"/>
                <w:sz w:val="21"/>
              </w:rPr>
              <w:t>6,673,733.86</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1,050,402.18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BodyText"/>
        <w:spacing w:line="348" w:lineRule="auto" w:before="39"/>
        <w:ind w:right="-20"/>
        <w:jc w:val="left"/>
      </w:pPr>
      <w:r>
        <w:rPr>
          <w:rFonts w:ascii="Times New Roman" w:hAnsi="Times New Roman" w:cs="Times New Roman" w:eastAsia="Times New Roman" w:hint="default"/>
          <w:b/>
          <w:bCs/>
        </w:rPr>
        <w:t>5</w:t>
      </w:r>
      <w:r>
        <w:rPr>
          <w:rFonts w:ascii="宋体" w:hAnsi="宋体" w:cs="宋体" w:eastAsia="宋体" w:hint="default"/>
          <w:b/>
          <w:bCs/>
        </w:rPr>
        <w:t>、存货</w:t>
      </w:r>
      <w:r>
        <w:rPr>
          <w:rFonts w:ascii="宋体" w:hAnsi="宋体" w:cs="宋体" w:eastAsia="宋体" w:hint="default"/>
          <w:b/>
          <w:bCs/>
          <w:w w:val="99"/>
        </w:rPr>
        <w:t> </w:t>
      </w:r>
      <w:r>
        <w:rPr/>
        <w:t>公司是否需要遵守房地产行业的披露要求 否</w:t>
      </w:r>
    </w:p>
    <w:p>
      <w:pPr>
        <w:pStyle w:val="Heading2"/>
        <w:spacing w:line="240" w:lineRule="auto" w:before="46"/>
        <w:ind w:right="-2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474" w:space="4086"/>
            <w:col w:w="2370"/>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7,475,463.38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7,475,463.38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center"/>
              <w:rPr>
                <w:rFonts w:ascii="Times New Roman" w:hAnsi="Times New Roman" w:cs="Times New Roman" w:eastAsia="Times New Roman" w:hint="default"/>
                <w:sz w:val="21"/>
                <w:szCs w:val="21"/>
              </w:rPr>
            </w:pPr>
            <w:r>
              <w:rPr>
                <w:rFonts w:ascii="Times New Roman"/>
                <w:sz w:val="21"/>
              </w:rPr>
              <w:t>10,552,114.06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center"/>
              <w:rPr>
                <w:rFonts w:ascii="Times New Roman" w:hAnsi="Times New Roman" w:cs="Times New Roman" w:eastAsia="Times New Roman" w:hint="default"/>
                <w:sz w:val="21"/>
                <w:szCs w:val="21"/>
              </w:rPr>
            </w:pPr>
            <w:r>
              <w:rPr>
                <w:rFonts w:ascii="Times New Roman"/>
                <w:sz w:val="21"/>
              </w:rPr>
              <w:t>10,552,114.06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7,475,463.38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7,475,463.38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center"/>
              <w:rPr>
                <w:rFonts w:ascii="Times New Roman" w:hAnsi="Times New Roman" w:cs="Times New Roman" w:eastAsia="Times New Roman" w:hint="default"/>
                <w:sz w:val="21"/>
                <w:szCs w:val="21"/>
              </w:rPr>
            </w:pPr>
            <w:r>
              <w:rPr>
                <w:rFonts w:ascii="Times New Roman"/>
                <w:sz w:val="21"/>
              </w:rPr>
              <w:t>10,552,114.06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center"/>
              <w:rPr>
                <w:rFonts w:ascii="Times New Roman" w:hAnsi="Times New Roman" w:cs="Times New Roman" w:eastAsia="Times New Roman" w:hint="default"/>
                <w:sz w:val="21"/>
                <w:szCs w:val="21"/>
              </w:rPr>
            </w:pPr>
            <w:r>
              <w:rPr>
                <w:rFonts w:ascii="Times New Roman"/>
                <w:sz w:val="21"/>
              </w:rPr>
              <w:t>10,552,114.06</w:t>
            </w:r>
          </w:p>
        </w:tc>
      </w:tr>
    </w:tbl>
    <w:p>
      <w:pPr>
        <w:pStyle w:val="BodyText"/>
        <w:spacing w:line="338" w:lineRule="auto" w:before="39"/>
        <w:ind w:right="1117"/>
        <w:jc w:val="left"/>
      </w:pPr>
      <w:r>
        <w:rPr>
          <w:spacing w:val="-5"/>
        </w:rPr>
        <w:t>公司是否需遵守《深圳证券交易所行业信息披露指引第</w:t>
      </w:r>
      <w:r>
        <w:rPr/>
        <w:t> </w:t>
      </w: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spacing w:val="-7"/>
        </w:rPr>
        <w:t>号</w:t>
      </w:r>
      <w:r>
        <w:rPr>
          <w:rFonts w:ascii="Times New Roman" w:hAnsi="Times New Roman" w:cs="Times New Roman" w:eastAsia="Times New Roman" w:hint="default"/>
          <w:spacing w:val="-7"/>
        </w:rPr>
        <w:t>—</w:t>
      </w:r>
      <w:r>
        <w:rPr>
          <w:spacing w:val="-7"/>
        </w:rPr>
        <w:t>上市公司从事种业、种植业务》</w:t>
      </w:r>
      <w:r>
        <w:rPr/>
        <w:t> 的披露要求</w:t>
      </w:r>
    </w:p>
    <w:p>
      <w:pPr>
        <w:spacing w:after="0" w:line="338" w:lineRule="auto"/>
        <w:jc w:val="left"/>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1273"/>
        <w:jc w:val="left"/>
      </w:pPr>
      <w:r>
        <w:rPr/>
        <w:t>否</w:t>
      </w:r>
    </w:p>
    <w:p>
      <w:pPr>
        <w:pStyle w:val="BodyText"/>
        <w:spacing w:line="338" w:lineRule="auto" w:before="154"/>
        <w:ind w:right="1114"/>
        <w:jc w:val="left"/>
      </w:pPr>
      <w:r>
        <w:rPr/>
        <w:t>公司需遵守《深圳证券交易所行业信息披露指引第</w:t>
      </w:r>
      <w:r>
        <w:rPr>
          <w:spacing w:val="-7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上市公司从事珠宝相关业务》的</w:t>
      </w:r>
      <w:r>
        <w:rPr/>
        <w:t> 披露要求</w:t>
      </w:r>
    </w:p>
    <w:p>
      <w:pPr>
        <w:pStyle w:val="BodyText"/>
        <w:spacing w:line="240" w:lineRule="auto" w:before="55"/>
        <w:ind w:right="1273"/>
        <w:jc w:val="left"/>
      </w:pPr>
      <w:r>
        <w:rPr/>
        <w:t>否</w:t>
      </w:r>
    </w:p>
    <w:p>
      <w:pPr>
        <w:spacing w:line="338" w:lineRule="auto" w:before="154"/>
        <w:ind w:left="441" w:right="3985" w:hanging="288"/>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）存货跌价准备</w:t>
      </w:r>
      <w:r>
        <w:rPr>
          <w:rFonts w:ascii="宋体" w:hAnsi="宋体" w:cs="宋体" w:eastAsia="宋体" w:hint="default"/>
          <w:b/>
          <w:bCs/>
          <w:w w:val="99"/>
          <w:sz w:val="24"/>
          <w:szCs w:val="24"/>
        </w:rPr>
        <w:t> </w:t>
      </w:r>
      <w:r>
        <w:rPr>
          <w:rFonts w:ascii="宋体" w:hAnsi="宋体" w:cs="宋体" w:eastAsia="宋体" w:hint="default"/>
          <w:sz w:val="24"/>
          <w:szCs w:val="24"/>
        </w:rPr>
        <w:t>期末未发现存货存在明显减值迹象，故未计提存货跌价准备。</w:t>
      </w:r>
    </w:p>
    <w:p>
      <w:pPr>
        <w:spacing w:line="338" w:lineRule="auto" w:before="55"/>
        <w:ind w:left="573" w:right="5332" w:hanging="42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）存货期末余额含有借款费用资本化金额的说明</w:t>
      </w:r>
      <w:r>
        <w:rPr>
          <w:rFonts w:ascii="宋体" w:hAnsi="宋体" w:cs="宋体" w:eastAsia="宋体" w:hint="default"/>
          <w:b/>
          <w:bCs/>
          <w:w w:val="99"/>
          <w:sz w:val="24"/>
          <w:szCs w:val="24"/>
        </w:rPr>
        <w:t> </w:t>
      </w:r>
      <w:r>
        <w:rPr>
          <w:rFonts w:ascii="宋体" w:hAnsi="宋体" w:cs="宋体" w:eastAsia="宋体" w:hint="default"/>
          <w:sz w:val="24"/>
          <w:szCs w:val="24"/>
        </w:rPr>
        <w:t>期末存货余额中无资本化利息金额。</w:t>
      </w:r>
    </w:p>
    <w:p>
      <w:pPr>
        <w:spacing w:line="338" w:lineRule="auto" w:before="56"/>
        <w:ind w:left="441" w:right="5573" w:hanging="288"/>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）期末建造合同形成的已完工未结算资产情况</w:t>
      </w:r>
      <w:r>
        <w:rPr>
          <w:rFonts w:ascii="宋体" w:hAnsi="宋体" w:cs="宋体" w:eastAsia="宋体" w:hint="default"/>
          <w:b/>
          <w:bCs/>
          <w:w w:val="99"/>
          <w:sz w:val="24"/>
          <w:szCs w:val="24"/>
        </w:rPr>
        <w:t> </w:t>
      </w:r>
      <w:r>
        <w:rPr>
          <w:rFonts w:ascii="宋体" w:hAnsi="宋体" w:cs="宋体" w:eastAsia="宋体" w:hint="default"/>
          <w:sz w:val="24"/>
          <w:szCs w:val="24"/>
        </w:rPr>
        <w:t>本公司无建造合同。</w:t>
      </w:r>
    </w:p>
    <w:p>
      <w:pPr>
        <w:pStyle w:val="Heading2"/>
        <w:spacing w:line="240" w:lineRule="auto" w:before="55"/>
        <w:ind w:right="1273"/>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392,000,000.00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91"/>
              <w:jc w:val="left"/>
              <w:rPr>
                <w:rFonts w:ascii="宋体" w:hAnsi="宋体" w:cs="宋体" w:eastAsia="宋体" w:hint="default"/>
                <w:sz w:val="21"/>
                <w:szCs w:val="21"/>
              </w:rPr>
            </w:pPr>
            <w:r>
              <w:rPr>
                <w:rFonts w:ascii="宋体" w:hAnsi="宋体" w:cs="宋体" w:eastAsia="宋体" w:hint="default"/>
                <w:spacing w:val="-2"/>
                <w:sz w:val="21"/>
                <w:szCs w:val="21"/>
              </w:rPr>
              <w:t>待抵扣</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待认证进项税额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增值税留</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6,555,437.58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2,847,392.11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226,555,437.58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394,847,392.11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357" w:lineRule="auto" w:before="39"/>
        <w:ind w:left="153" w:right="-20" w:firstLine="0"/>
        <w:jc w:val="left"/>
        <w:rPr>
          <w:rFonts w:ascii="宋体" w:hAnsi="宋体" w:cs="宋体" w:eastAsia="宋体" w:hint="default"/>
          <w:sz w:val="24"/>
          <w:szCs w:val="24"/>
        </w:rPr>
      </w:pPr>
      <w:r>
        <w:rPr>
          <w:rFonts w:ascii="宋体" w:hAnsi="宋体" w:cs="宋体" w:eastAsia="宋体" w:hint="default"/>
          <w:sz w:val="24"/>
          <w:szCs w:val="24"/>
        </w:rPr>
        <w:t>其他说明： 期末未发现其他流动资产存在明显减值迹象，故未计提减值准备。 </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、可供出售金融资产</w:t>
      </w:r>
      <w:r>
        <w:rPr>
          <w:rFonts w:ascii="宋体" w:hAnsi="宋体" w:cs="宋体" w:eastAsia="宋体" w:hint="default"/>
          <w:sz w:val="24"/>
          <w:szCs w:val="24"/>
        </w:rPr>
      </w:r>
    </w:p>
    <w:p>
      <w:pPr>
        <w:pStyle w:val="Heading2"/>
        <w:spacing w:line="240" w:lineRule="auto" w:before="5"/>
        <w:ind w:right="-2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7114" w:space="1446"/>
            <w:col w:w="2370"/>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5"/>
        <w:gridCol w:w="1198"/>
        <w:gridCol w:w="1195"/>
        <w:gridCol w:w="1249"/>
        <w:gridCol w:w="1368"/>
        <w:gridCol w:w="1366"/>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3,012,996.27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3,012,996.27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3,012,996.27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3,012,996.27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3,012,996.27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3,012,996.27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3,012,155.43</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2"/>
        <w:gridCol w:w="869"/>
        <w:gridCol w:w="871"/>
        <w:gridCol w:w="869"/>
        <w:gridCol w:w="871"/>
        <w:gridCol w:w="869"/>
        <w:gridCol w:w="871"/>
        <w:gridCol w:w="869"/>
        <w:gridCol w:w="872"/>
      </w:tblGrid>
      <w:tr>
        <w:trPr>
          <w:trHeight w:val="401"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165"/>
              <w:ind w:left="214" w:right="108"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5" w:right="108"/>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165"/>
              <w:ind w:left="115" w:right="110"/>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58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2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15" w:right="0"/>
              <w:jc w:val="left"/>
              <w:rPr>
                <w:rFonts w:ascii="宋体" w:hAnsi="宋体" w:cs="宋体" w:eastAsia="宋体" w:hint="default"/>
                <w:sz w:val="21"/>
                <w:szCs w:val="21"/>
              </w:rPr>
            </w:pPr>
            <w:r>
              <w:rPr>
                <w:rFonts w:ascii="宋体" w:hAnsi="宋体" w:cs="宋体" w:eastAsia="宋体" w:hint="default"/>
                <w:sz w:val="21"/>
                <w:szCs w:val="21"/>
              </w:rPr>
              <w:t>本期增</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15" w:right="0"/>
              <w:jc w:val="left"/>
              <w:rPr>
                <w:rFonts w:ascii="宋体" w:hAnsi="宋体" w:cs="宋体" w:eastAsia="宋体" w:hint="default"/>
                <w:sz w:val="21"/>
                <w:szCs w:val="21"/>
              </w:rPr>
            </w:pPr>
            <w:r>
              <w:rPr>
                <w:rFonts w:ascii="宋体" w:hAnsi="宋体" w:cs="宋体" w:eastAsia="宋体" w:hint="default"/>
                <w:sz w:val="21"/>
                <w:szCs w:val="21"/>
              </w:rPr>
              <w:t>本期减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20"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21"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15" w:right="0"/>
              <w:jc w:val="left"/>
              <w:rPr>
                <w:rFonts w:ascii="宋体" w:hAnsi="宋体" w:cs="宋体" w:eastAsia="宋体" w:hint="default"/>
                <w:sz w:val="21"/>
                <w:szCs w:val="21"/>
              </w:rPr>
            </w:pPr>
            <w:r>
              <w:rPr>
                <w:rFonts w:ascii="宋体" w:hAnsi="宋体" w:cs="宋体" w:eastAsia="宋体" w:hint="default"/>
                <w:sz w:val="21"/>
                <w:szCs w:val="21"/>
              </w:rPr>
              <w:t>本期增</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15" w:right="0"/>
              <w:jc w:val="left"/>
              <w:rPr>
                <w:rFonts w:ascii="宋体" w:hAnsi="宋体" w:cs="宋体" w:eastAsia="宋体" w:hint="default"/>
                <w:sz w:val="21"/>
                <w:szCs w:val="21"/>
              </w:rPr>
            </w:pPr>
            <w:r>
              <w:rPr>
                <w:rFonts w:ascii="宋体" w:hAnsi="宋体" w:cs="宋体" w:eastAsia="宋体" w:hint="default"/>
                <w:sz w:val="21"/>
                <w:szCs w:val="21"/>
              </w:rPr>
              <w:t>本期减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20"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36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w w:val="100"/>
                <w:sz w:val="21"/>
                <w:szCs w:val="21"/>
              </w:rPr>
              <w:t>例</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
              <w:jc w:val="left"/>
              <w:rPr>
                <w:rFonts w:ascii="宋体" w:hAnsi="宋体" w:cs="宋体" w:eastAsia="宋体" w:hint="default"/>
                <w:sz w:val="21"/>
                <w:szCs w:val="21"/>
              </w:rPr>
            </w:pPr>
            <w:r>
              <w:rPr>
                <w:rFonts w:ascii="宋体" w:hAnsi="宋体" w:cs="宋体" w:eastAsia="宋体" w:hint="default"/>
                <w:sz w:val="21"/>
                <w:szCs w:val="21"/>
              </w:rPr>
              <w:t>北斗导</w:t>
            </w:r>
            <w:r>
              <w:rPr>
                <w:rFonts w:ascii="宋体" w:hAnsi="宋体" w:cs="宋体" w:eastAsia="宋体" w:hint="default"/>
                <w:spacing w:val="-102"/>
                <w:sz w:val="21"/>
                <w:szCs w:val="21"/>
              </w:rPr>
              <w:t> </w:t>
            </w:r>
            <w:r>
              <w:rPr>
                <w:rFonts w:ascii="宋体" w:hAnsi="宋体" w:cs="宋体" w:eastAsia="宋体" w:hint="default"/>
                <w:sz w:val="21"/>
                <w:szCs w:val="21"/>
              </w:rPr>
              <w:t>航位置</w:t>
            </w:r>
            <w:r>
              <w:rPr>
                <w:rFonts w:ascii="宋体" w:hAnsi="宋体" w:cs="宋体" w:eastAsia="宋体" w:hint="default"/>
                <w:spacing w:val="-102"/>
                <w:sz w:val="21"/>
                <w:szCs w:val="21"/>
              </w:rPr>
              <w:t> </w:t>
            </w:r>
            <w:r>
              <w:rPr>
                <w:rFonts w:ascii="宋体" w:hAnsi="宋体" w:cs="宋体" w:eastAsia="宋体" w:hint="default"/>
                <w:spacing w:val="-10"/>
                <w:sz w:val="21"/>
                <w:szCs w:val="21"/>
              </w:rPr>
              <w:t>服务（北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0"/>
                <w:sz w:val="21"/>
                <w:szCs w:val="21"/>
              </w:rPr>
              <w:t>京）有限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3,000,00</w:t>
            </w:r>
          </w:p>
          <w:p>
            <w:pPr>
              <w:pStyle w:val="TableParagraph"/>
              <w:spacing w:line="240" w:lineRule="auto" w:before="70"/>
              <w:ind w:left="470" w:right="0"/>
              <w:jc w:val="left"/>
              <w:rPr>
                <w:rFonts w:ascii="Times New Roman" w:hAnsi="Times New Roman" w:cs="Times New Roman" w:eastAsia="Times New Roman" w:hint="default"/>
                <w:sz w:val="21"/>
                <w:szCs w:val="21"/>
              </w:rPr>
            </w:pPr>
            <w:r>
              <w:rPr>
                <w:rFonts w:ascii="Times New Roman"/>
                <w:sz w:val="21"/>
              </w:rPr>
              <w:t>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3,000,00</w:t>
            </w:r>
          </w:p>
          <w:p>
            <w:pPr>
              <w:pStyle w:val="TableParagraph"/>
              <w:spacing w:line="240" w:lineRule="auto" w:before="70"/>
              <w:ind w:left="470" w:right="0"/>
              <w:jc w:val="left"/>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95" w:right="0"/>
              <w:jc w:val="left"/>
              <w:rPr>
                <w:rFonts w:ascii="Times New Roman" w:hAnsi="Times New Roman" w:cs="Times New Roman" w:eastAsia="Times New Roman" w:hint="default"/>
                <w:sz w:val="21"/>
                <w:szCs w:val="21"/>
              </w:rPr>
            </w:pPr>
            <w:r>
              <w:rPr>
                <w:rFonts w:ascii="Times New Roman"/>
                <w:sz w:val="21"/>
              </w:rPr>
              <w:t>1.00%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5"/>
              <w:ind w:left="24" w:right="72"/>
              <w:jc w:val="both"/>
              <w:rPr>
                <w:rFonts w:ascii="Times New Roman" w:hAnsi="Times New Roman" w:cs="Times New Roman" w:eastAsia="Times New Roman" w:hint="default"/>
                <w:sz w:val="21"/>
                <w:szCs w:val="21"/>
              </w:rPr>
            </w:pPr>
            <w:r>
              <w:rPr>
                <w:rFonts w:ascii="Times New Roman"/>
                <w:sz w:val="21"/>
              </w:rPr>
              <w:t>Sawayak</w:t>
            </w:r>
            <w:r>
              <w:rPr>
                <w:rFonts w:ascii="Times New Roman"/>
                <w:w w:val="100"/>
                <w:sz w:val="21"/>
              </w:rPr>
              <w:t> </w:t>
            </w:r>
            <w:r>
              <w:rPr>
                <w:rFonts w:ascii="Times New Roman"/>
                <w:sz w:val="21"/>
              </w:rPr>
              <w:t>aShinkin</w:t>
            </w:r>
            <w:r>
              <w:rPr>
                <w:rFonts w:ascii="Times New Roman"/>
                <w:w w:val="100"/>
                <w:sz w:val="21"/>
              </w:rPr>
              <w:t> </w:t>
            </w:r>
            <w:r>
              <w:rPr>
                <w:rFonts w:ascii="Times New Roman"/>
                <w:sz w:val="21"/>
              </w:rPr>
              <w:t>Bank</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5,788.30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400.40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6,188.70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120.22</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城南信</w:t>
            </w:r>
            <w:r>
              <w:rPr>
                <w:rFonts w:ascii="宋体" w:hAnsi="宋体" w:cs="宋体" w:eastAsia="宋体" w:hint="default"/>
                <w:spacing w:val="-102"/>
                <w:sz w:val="21"/>
                <w:szCs w:val="21"/>
              </w:rPr>
              <w:t> </w:t>
            </w:r>
            <w:r>
              <w:rPr>
                <w:rFonts w:ascii="宋体" w:hAnsi="宋体" w:cs="宋体" w:eastAsia="宋体" w:hint="default"/>
                <w:sz w:val="21"/>
                <w:szCs w:val="21"/>
              </w:rPr>
              <w:t>用金库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5,788.30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400.40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6,188.70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120.21</w:t>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94"/>
              <w:jc w:val="both"/>
              <w:rPr>
                <w:rFonts w:ascii="宋体" w:hAnsi="宋体" w:cs="宋体" w:eastAsia="宋体" w:hint="default"/>
                <w:sz w:val="21"/>
                <w:szCs w:val="21"/>
              </w:rPr>
            </w:pPr>
            <w:r>
              <w:rPr>
                <w:rFonts w:ascii="宋体" w:hAnsi="宋体" w:cs="宋体" w:eastAsia="宋体" w:hint="default"/>
                <w:sz w:val="21"/>
                <w:szCs w:val="21"/>
              </w:rPr>
              <w:t>东京中</w:t>
            </w:r>
            <w:r>
              <w:rPr>
                <w:rFonts w:ascii="宋体" w:hAnsi="宋体" w:cs="宋体" w:eastAsia="宋体" w:hint="default"/>
                <w:spacing w:val="-102"/>
                <w:sz w:val="21"/>
                <w:szCs w:val="21"/>
              </w:rPr>
              <w:t> </w:t>
            </w:r>
            <w:r>
              <w:rPr>
                <w:rFonts w:ascii="宋体" w:hAnsi="宋体" w:cs="宋体" w:eastAsia="宋体" w:hint="default"/>
                <w:sz w:val="21"/>
                <w:szCs w:val="21"/>
              </w:rPr>
              <w:t>小企业</w:t>
            </w:r>
            <w:r>
              <w:rPr>
                <w:rFonts w:ascii="宋体" w:hAnsi="宋体" w:cs="宋体" w:eastAsia="宋体" w:hint="default"/>
                <w:spacing w:val="-102"/>
                <w:sz w:val="21"/>
                <w:szCs w:val="21"/>
              </w:rPr>
              <w:t> </w:t>
            </w:r>
            <w:r>
              <w:rPr>
                <w:rFonts w:ascii="宋体" w:hAnsi="宋体" w:cs="宋体" w:eastAsia="宋体" w:hint="default"/>
                <w:sz w:val="21"/>
                <w:szCs w:val="21"/>
              </w:rPr>
              <w:t>经友会</w:t>
            </w:r>
            <w:r>
              <w:rPr>
                <w:rFonts w:ascii="宋体" w:hAnsi="宋体" w:cs="宋体" w:eastAsia="宋体" w:hint="default"/>
                <w:spacing w:val="-102"/>
                <w:sz w:val="21"/>
                <w:szCs w:val="21"/>
              </w:rPr>
              <w:t> </w:t>
            </w:r>
            <w:r>
              <w:rPr>
                <w:rFonts w:ascii="宋体" w:hAnsi="宋体" w:cs="宋体" w:eastAsia="宋体" w:hint="default"/>
                <w:sz w:val="21"/>
                <w:szCs w:val="21"/>
              </w:rPr>
              <w:t>事业协</w:t>
            </w:r>
            <w:r>
              <w:rPr>
                <w:rFonts w:ascii="宋体" w:hAnsi="宋体" w:cs="宋体" w:eastAsia="宋体" w:hint="default"/>
                <w:spacing w:val="-102"/>
                <w:sz w:val="21"/>
                <w:szCs w:val="21"/>
              </w:rPr>
              <w:t> </w:t>
            </w:r>
            <w:r>
              <w:rPr>
                <w:rFonts w:ascii="宋体" w:hAnsi="宋体" w:cs="宋体" w:eastAsia="宋体" w:hint="default"/>
                <w:sz w:val="21"/>
                <w:szCs w:val="21"/>
              </w:rPr>
              <w:t>同组合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7"/>
              <w:jc w:val="right"/>
              <w:rPr>
                <w:rFonts w:ascii="Times New Roman" w:hAnsi="Times New Roman" w:cs="Times New Roman" w:eastAsia="Times New Roman" w:hint="default"/>
                <w:sz w:val="21"/>
                <w:szCs w:val="21"/>
              </w:rPr>
            </w:pPr>
            <w:r>
              <w:rPr>
                <w:rFonts w:ascii="Times New Roman"/>
                <w:sz w:val="21"/>
              </w:rPr>
              <w:t>578.83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0"/>
              <w:jc w:val="right"/>
              <w:rPr>
                <w:rFonts w:ascii="Times New Roman" w:hAnsi="Times New Roman" w:cs="Times New Roman" w:eastAsia="Times New Roman" w:hint="default"/>
                <w:sz w:val="21"/>
                <w:szCs w:val="21"/>
              </w:rPr>
            </w:pPr>
            <w:r>
              <w:rPr>
                <w:rFonts w:ascii="Times New Roman"/>
                <w:sz w:val="21"/>
              </w:rPr>
              <w:t>40.04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9"/>
              <w:jc w:val="right"/>
              <w:rPr>
                <w:rFonts w:ascii="Times New Roman" w:hAnsi="Times New Roman" w:cs="Times New Roman" w:eastAsia="Times New Roman" w:hint="default"/>
                <w:sz w:val="21"/>
                <w:szCs w:val="21"/>
              </w:rPr>
            </w:pPr>
            <w:r>
              <w:rPr>
                <w:rFonts w:ascii="Times New Roman"/>
                <w:sz w:val="21"/>
              </w:rPr>
              <w:t>618.87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95" w:right="0"/>
              <w:jc w:val="left"/>
              <w:rPr>
                <w:rFonts w:ascii="Times New Roman" w:hAnsi="Times New Roman" w:cs="Times New Roman" w:eastAsia="Times New Roman" w:hint="default"/>
                <w:sz w:val="21"/>
                <w:szCs w:val="21"/>
              </w:rPr>
            </w:pPr>
            <w:r>
              <w:rPr>
                <w:rFonts w:ascii="Times New Roman"/>
                <w:sz w:val="21"/>
              </w:rPr>
              <w:t>0.01%</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3,012,15</w:t>
            </w:r>
          </w:p>
          <w:p>
            <w:pPr>
              <w:pStyle w:val="TableParagraph"/>
              <w:spacing w:line="240" w:lineRule="auto" w:before="70"/>
              <w:ind w:left="470" w:right="0"/>
              <w:jc w:val="left"/>
              <w:rPr>
                <w:rFonts w:ascii="Times New Roman" w:hAnsi="Times New Roman" w:cs="Times New Roman" w:eastAsia="Times New Roman" w:hint="default"/>
                <w:sz w:val="21"/>
                <w:szCs w:val="21"/>
              </w:rPr>
            </w:pPr>
            <w:r>
              <w:rPr>
                <w:rFonts w:ascii="Times New Roman"/>
                <w:sz w:val="21"/>
              </w:rPr>
              <w:t>5.43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840.84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3,012,99</w:t>
            </w:r>
          </w:p>
          <w:p>
            <w:pPr>
              <w:pStyle w:val="TableParagraph"/>
              <w:spacing w:line="240" w:lineRule="auto" w:before="70"/>
              <w:ind w:left="470" w:right="0"/>
              <w:jc w:val="left"/>
              <w:rPr>
                <w:rFonts w:ascii="Times New Roman" w:hAnsi="Times New Roman" w:cs="Times New Roman" w:eastAsia="Times New Roman" w:hint="default"/>
                <w:sz w:val="21"/>
                <w:szCs w:val="21"/>
              </w:rPr>
            </w:pPr>
            <w:r>
              <w:rPr>
                <w:rFonts w:ascii="Times New Roman"/>
                <w:sz w:val="21"/>
              </w:rPr>
              <w:t>6.27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240.43</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8</w:t>
      </w:r>
      <w:r>
        <w:rPr/>
        <w:t>、长期股权投资</w:t>
      </w:r>
      <w:r>
        <w:rPr>
          <w:b w:val="0"/>
          <w:bCs w:val="0"/>
        </w:rPr>
      </w:r>
    </w:p>
    <w:p>
      <w:pPr>
        <w:pStyle w:val="BodyText"/>
        <w:spacing w:line="240" w:lineRule="auto" w:before="135"/>
        <w:ind w:left="0" w:right="1130"/>
        <w:jc w:val="right"/>
      </w:pPr>
      <w:r>
        <w:rPr/>
        <w:t>单位： 元</w:t>
      </w:r>
    </w:p>
    <w:p>
      <w:pPr>
        <w:spacing w:line="240" w:lineRule="auto" w:before="1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182" w:right="74"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7" w:right="72"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33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9" w:right="74"/>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9" w:right="75"/>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一、联营企业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7"/>
              <w:jc w:val="both"/>
              <w:rPr>
                <w:rFonts w:ascii="宋体" w:hAnsi="宋体" w:cs="宋体" w:eastAsia="宋体" w:hint="default"/>
                <w:sz w:val="21"/>
                <w:szCs w:val="21"/>
              </w:rPr>
            </w:pPr>
            <w:r>
              <w:rPr>
                <w:rFonts w:ascii="宋体" w:hAnsi="宋体" w:cs="宋体" w:eastAsia="宋体" w:hint="default"/>
                <w:sz w:val="21"/>
                <w:szCs w:val="21"/>
              </w:rPr>
              <w:t>浙江中</w:t>
            </w:r>
            <w:r>
              <w:rPr>
                <w:rFonts w:ascii="宋体" w:hAnsi="宋体" w:cs="宋体" w:eastAsia="宋体" w:hint="default"/>
                <w:spacing w:val="-102"/>
                <w:sz w:val="21"/>
                <w:szCs w:val="21"/>
              </w:rPr>
              <w:t> </w:t>
            </w:r>
            <w:r>
              <w:rPr>
                <w:rFonts w:ascii="宋体" w:hAnsi="宋体" w:cs="宋体" w:eastAsia="宋体" w:hint="default"/>
                <w:sz w:val="21"/>
                <w:szCs w:val="21"/>
              </w:rPr>
              <w:t>科数城</w:t>
            </w:r>
            <w:r>
              <w:rPr>
                <w:rFonts w:ascii="宋体" w:hAnsi="宋体" w:cs="宋体" w:eastAsia="宋体" w:hint="default"/>
                <w:spacing w:val="-102"/>
                <w:sz w:val="21"/>
                <w:szCs w:val="21"/>
              </w:rPr>
              <w:t> </w:t>
            </w:r>
            <w:r>
              <w:rPr>
                <w:rFonts w:ascii="宋体" w:hAnsi="宋体" w:cs="宋体" w:eastAsia="宋体" w:hint="default"/>
                <w:sz w:val="21"/>
                <w:szCs w:val="21"/>
              </w:rPr>
              <w:t>软件有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1,948,82</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0.21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13,553.7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1,962,37</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3.91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1" w:right="0"/>
              <w:jc w:val="left"/>
              <w:rPr>
                <w:rFonts w:ascii="Times New Roman" w:hAnsi="Times New Roman" w:cs="Times New Roman" w:eastAsia="Times New Roman" w:hint="default"/>
                <w:sz w:val="21"/>
                <w:szCs w:val="21"/>
              </w:rPr>
            </w:pPr>
            <w:r>
              <w:rPr>
                <w:rFonts w:ascii="Times New Roman"/>
                <w:sz w:val="21"/>
              </w:rPr>
              <w:t>1,948,82</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0.21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13,553.7</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1" w:right="0"/>
              <w:jc w:val="left"/>
              <w:rPr>
                <w:rFonts w:ascii="Times New Roman" w:hAnsi="Times New Roman" w:cs="Times New Roman" w:eastAsia="Times New Roman" w:hint="default"/>
                <w:sz w:val="21"/>
                <w:szCs w:val="21"/>
              </w:rPr>
            </w:pPr>
            <w:r>
              <w:rPr>
                <w:rFonts w:ascii="Times New Roman"/>
                <w:sz w:val="21"/>
              </w:rPr>
              <w:t>1,962,37</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3.91</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72" w:lineRule="auto" w:before="79"/>
        <w:ind w:right="3793"/>
        <w:jc w:val="left"/>
        <w:rPr>
          <w:rFonts w:ascii="宋体" w:hAnsi="宋体" w:cs="宋体" w:eastAsia="宋体" w:hint="default"/>
        </w:rPr>
      </w:pPr>
      <w:r>
        <w:rPr/>
        <w:t>其他说明 期末未发现长期股权投资存在明显减值迹象，故未计提减值准备。 </w:t>
      </w:r>
      <w:r>
        <w:rPr>
          <w:rFonts w:ascii="Times New Roman" w:hAnsi="Times New Roman" w:cs="Times New Roman" w:eastAsia="Times New Roman" w:hint="default"/>
          <w:b/>
          <w:bCs/>
        </w:rPr>
        <w:t>9</w:t>
      </w:r>
      <w:r>
        <w:rPr>
          <w:rFonts w:ascii="宋体" w:hAnsi="宋体" w:cs="宋体" w:eastAsia="宋体" w:hint="default"/>
          <w:b/>
          <w:bCs/>
        </w:rPr>
        <w:t>、投资性房地产</w:t>
      </w:r>
      <w:r>
        <w:rPr>
          <w:rFonts w:ascii="宋体" w:hAnsi="宋体" w:cs="宋体" w:eastAsia="宋体" w:hint="default"/>
        </w:rPr>
      </w:r>
    </w:p>
    <w:p>
      <w:pPr>
        <w:pStyle w:val="Heading2"/>
        <w:spacing w:line="322" w:lineRule="exact"/>
        <w:ind w:right="127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pStyle w:val="BodyText"/>
        <w:spacing w:line="240" w:lineRule="auto" w:before="135"/>
        <w:ind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146,471,896.22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146,471,896.22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1,056,116.04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1,056,116.04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4" w:right="35" w:firstLine="42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）存货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固定</w:t>
            </w:r>
            <w:r>
              <w:rPr>
                <w:rFonts w:ascii="宋体" w:hAnsi="宋体" w:cs="宋体" w:eastAsia="宋体" w:hint="default"/>
                <w:spacing w:val="-3"/>
                <w:w w:val="100"/>
                <w:sz w:val="21"/>
                <w:szCs w:val="21"/>
              </w:rPr>
              <w:t> </w:t>
            </w:r>
            <w:r>
              <w:rPr>
                <w:rFonts w:ascii="宋体" w:hAnsi="宋体" w:cs="宋体" w:eastAsia="宋体" w:hint="default"/>
                <w:sz w:val="21"/>
                <w:szCs w:val="21"/>
              </w:rPr>
              <w:t>资产</w:t>
            </w:r>
            <w:r>
              <w:rPr>
                <w:rFonts w:ascii="Times New Roman" w:hAnsi="Times New Roman" w:cs="Times New Roman" w:eastAsia="Times New Roman" w:hint="default"/>
                <w:sz w:val="21"/>
                <w:szCs w:val="21"/>
              </w:rPr>
              <w:t>\</w:t>
            </w:r>
            <w:r>
              <w:rPr>
                <w:rFonts w:ascii="宋体" w:hAnsi="宋体" w:cs="宋体" w:eastAsia="宋体" w:hint="default"/>
                <w:sz w:val="21"/>
                <w:szCs w:val="21"/>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1,056,116.04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1,056,116.04</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88"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8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）其他转出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147,528,012.26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147,528,012.26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9"/>
              <w:jc w:val="left"/>
              <w:rPr>
                <w:rFonts w:ascii="宋体" w:hAnsi="宋体" w:cs="宋体" w:eastAsia="宋体" w:hint="default"/>
                <w:sz w:val="21"/>
                <w:szCs w:val="21"/>
              </w:rPr>
            </w:pPr>
            <w:r>
              <w:rPr>
                <w:rFonts w:ascii="宋体" w:hAnsi="宋体" w:cs="宋体" w:eastAsia="宋体" w:hint="default"/>
                <w:spacing w:val="-5"/>
                <w:sz w:val="21"/>
                <w:szCs w:val="21"/>
              </w:rPr>
              <w:t>二、累计折旧和累计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摊销</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24,932,016.85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24,932,016.85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4,265,611.79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4,265,611.79</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3,937,344.52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3,937,344.52</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760" w:right="0"/>
              <w:jc w:val="left"/>
              <w:rPr>
                <w:rFonts w:ascii="宋体" w:hAnsi="宋体" w:cs="宋体" w:eastAsia="宋体" w:hint="default"/>
                <w:sz w:val="21"/>
                <w:szCs w:val="21"/>
              </w:rPr>
            </w:pPr>
            <w:r>
              <w:rPr>
                <w:rFonts w:ascii="宋体" w:hAnsi="宋体" w:cs="宋体" w:eastAsia="宋体" w:hint="default"/>
                <w:sz w:val="21"/>
                <w:szCs w:val="21"/>
              </w:rPr>
              <w:t>固定资产转</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328,267.27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328,267.27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29,197,628.64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29,197,628.64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118,330,383.62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118,330,383.62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121,539,879.37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121,539,879.37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pStyle w:val="Heading2"/>
        <w:spacing w:line="240" w:lineRule="auto" w:before="39"/>
        <w:ind w:right="0"/>
        <w:jc w:val="left"/>
        <w:rPr>
          <w:b w:val="0"/>
          <w:bCs w:val="0"/>
        </w:rPr>
      </w:pPr>
      <w:r>
        <w:rPr>
          <w:w w:val="95"/>
        </w:rPr>
        <w:t>（</w:t>
      </w:r>
      <w:r>
        <w:rPr>
          <w:rFonts w:ascii="Times New Roman" w:hAnsi="Times New Roman" w:cs="Times New Roman" w:eastAsia="Times New Roman" w:hint="default"/>
          <w:w w:val="95"/>
        </w:rPr>
        <w:t>2</w:t>
      </w:r>
      <w:r>
        <w:rPr>
          <w:w w:val="95"/>
        </w:rPr>
        <w:t>）采用公允价值计量模式的投资性房地产</w:t>
      </w:r>
      <w:r>
        <w:rPr>
          <w:b w:val="0"/>
          <w:bCs w:val="0"/>
        </w:rPr>
      </w:r>
    </w:p>
    <w:p>
      <w:pPr>
        <w:pStyle w:val="BodyText"/>
        <w:spacing w:line="240" w:lineRule="auto" w:before="13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2"/>
        <w:spacing w:line="240" w:lineRule="auto" w:before="135"/>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86"/>
        <w:ind w:right="0"/>
        <w:jc w:val="left"/>
      </w:pPr>
      <w:r>
        <w:rPr/>
        <w:t>单位： 元</w:t>
      </w:r>
    </w:p>
    <w:p>
      <w:pPr>
        <w:spacing w:after="0" w:line="240" w:lineRule="auto"/>
        <w:jc w:val="left"/>
        <w:sectPr>
          <w:type w:val="continuous"/>
          <w:pgSz w:w="11910" w:h="16840"/>
          <w:pgMar w:top="1060" w:bottom="1160" w:left="980" w:right="0"/>
          <w:cols w:num="2" w:equalWidth="0">
            <w:col w:w="4851" w:space="3709"/>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2"/>
        <w:gridCol w:w="3198"/>
        <w:gridCol w:w="3188"/>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162,324,519.98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165,287,617.58</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162,324,519.98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165,287,617.58</w:t>
            </w:r>
          </w:p>
        </w:tc>
      </w:tr>
    </w:tbl>
    <w:p>
      <w:pPr>
        <w:spacing w:line="240" w:lineRule="auto" w:before="12"/>
        <w:rPr>
          <w:rFonts w:ascii="宋体" w:hAnsi="宋体" w:cs="宋体" w:eastAsia="宋体" w:hint="default"/>
          <w:sz w:val="23"/>
          <w:szCs w:val="23"/>
        </w:rPr>
      </w:pPr>
    </w:p>
    <w:p>
      <w:pPr>
        <w:pStyle w:val="Heading2"/>
        <w:spacing w:line="240" w:lineRule="auto" w:before="26"/>
        <w:ind w:right="127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30"/>
        <w:jc w:val="right"/>
      </w:pPr>
      <w:r>
        <w:rPr/>
        <w:t>单位： 元</w:t>
      </w:r>
    </w:p>
    <w:p>
      <w:pPr>
        <w:spacing w:line="240" w:lineRule="auto" w:before="1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10" w:space="0" w:color="D0CECE"/>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58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913" w:type="dxa"/>
            <w:tcBorders>
              <w:top w:val="single" w:sz="4" w:space="0" w:color="000000"/>
              <w:left w:val="single" w:sz="4" w:space="0" w:color="000000"/>
              <w:bottom w:val="single" w:sz="4" w:space="0" w:color="000000"/>
              <w:right w:val="single" w:sz="13" w:space="0" w:color="D2D2D2"/>
            </w:tcBorders>
            <w:shd w:val="clear" w:color="auto" w:fill="D0CECE"/>
          </w:tcPr>
          <w:p>
            <w:pPr>
              <w:pStyle w:val="TableParagraph"/>
              <w:spacing w:line="240" w:lineRule="auto" w:before="28"/>
              <w:ind w:left="268"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1916" w:type="dxa"/>
            <w:tcBorders>
              <w:top w:val="single" w:sz="4" w:space="0" w:color="000000"/>
              <w:left w:val="single" w:sz="12" w:space="0" w:color="D0CECE"/>
              <w:bottom w:val="single" w:sz="4" w:space="0" w:color="000000"/>
              <w:right w:val="single" w:sz="4" w:space="0" w:color="000000"/>
            </w:tcBorders>
            <w:shd w:val="clear" w:color="auto" w:fill="D2D2D2"/>
          </w:tcPr>
          <w:p>
            <w:pPr>
              <w:pStyle w:val="TableParagraph"/>
              <w:spacing w:line="240" w:lineRule="auto" w:before="28"/>
              <w:ind w:right="9"/>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181,057,776.81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7,723,501.26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47,594,361.87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236,375,639.94</w:t>
            </w: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24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166,317.76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1,692,935.00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13,482,726.74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15,341,979.50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166,317.76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1,692,935.00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13,482,726.74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15,341,979.50</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4" w:right="91"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w:t>
            </w:r>
            <w:r>
              <w:rPr>
                <w:rFonts w:ascii="宋体" w:hAnsi="宋体" w:cs="宋体" w:eastAsia="宋体" w:hint="default"/>
                <w:w w:val="100"/>
                <w:sz w:val="21"/>
                <w:szCs w:val="21"/>
              </w:rPr>
              <w:t> </w:t>
            </w:r>
            <w:r>
              <w:rPr>
                <w:rFonts w:ascii="宋体" w:hAnsi="宋体" w:cs="宋体" w:eastAsia="宋体" w:hint="default"/>
                <w:sz w:val="21"/>
                <w:szCs w:val="21"/>
              </w:rPr>
              <w:t>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91"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3,654,418.44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999,494.41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3,775,604.05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8,429,516.90</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2,598,302.40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999,494.41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3,775,604.05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7,373,400.86</w:t>
            </w:r>
          </w:p>
        </w:tc>
      </w:tr>
      <w:tr>
        <w:trPr>
          <w:trHeight w:val="716" w:hRule="exact"/>
        </w:trPr>
        <w:tc>
          <w:tcPr>
            <w:tcW w:w="19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auto" w:before="30"/>
              <w:ind w:left="24" w:right="91"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）转为投资</w:t>
            </w:r>
            <w:r>
              <w:rPr>
                <w:rFonts w:ascii="宋体" w:hAnsi="宋体" w:cs="宋体" w:eastAsia="宋体" w:hint="default"/>
                <w:w w:val="100"/>
                <w:sz w:val="21"/>
                <w:szCs w:val="21"/>
              </w:rPr>
              <w:t> </w:t>
            </w:r>
            <w:r>
              <w:rPr>
                <w:rFonts w:ascii="宋体" w:hAnsi="宋体" w:cs="宋体" w:eastAsia="宋体" w:hint="default"/>
                <w:sz w:val="21"/>
                <w:szCs w:val="21"/>
              </w:rPr>
              <w:t>性房地产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1,056,116.04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1,056,116.04</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177,569,676.13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8,416,941.85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57,301,484.56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243,288,102.54</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35,350,867.37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5,801,190.97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29,935,964.02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71,088,022.36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5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6,761,085.93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630,054.27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8,502,038.71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15,893,178.91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6,761,085.93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630,054.27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8,502,038.71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15,893,178.91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2,926,569.67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949,519.69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2,141,529.35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6,017,618.71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2,598,302.40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949,519.69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2,141,529.35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5,689,351.44</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56" w:lineRule="auto" w:before="30"/>
              <w:ind w:left="22" w:right="91"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）转为投资</w:t>
            </w:r>
            <w:r>
              <w:rPr>
                <w:rFonts w:ascii="宋体" w:hAnsi="宋体" w:cs="宋体" w:eastAsia="宋体" w:hint="default"/>
                <w:w w:val="100"/>
                <w:sz w:val="21"/>
                <w:szCs w:val="21"/>
              </w:rPr>
              <w:t> </w:t>
            </w:r>
            <w:r>
              <w:rPr>
                <w:rFonts w:ascii="宋体" w:hAnsi="宋体" w:cs="宋体" w:eastAsia="宋体" w:hint="default"/>
                <w:sz w:val="21"/>
                <w:szCs w:val="21"/>
              </w:rPr>
              <w:t>性房地产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328,267.27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328,267.27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39,185,383.63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5,481,725.55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36,296,473.38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80,963,582.56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138,384,292.50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2,935,216.30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21,005,011.18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162,324,519.98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4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145,706,909.44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1,922,310.29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17,658,397.85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165,287,617.58</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西安办公楼</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64" w:right="0"/>
              <w:jc w:val="left"/>
              <w:rPr>
                <w:rFonts w:ascii="Times New Roman" w:hAnsi="Times New Roman" w:cs="Times New Roman" w:eastAsia="Times New Roman" w:hint="default"/>
                <w:sz w:val="21"/>
                <w:szCs w:val="21"/>
              </w:rPr>
            </w:pPr>
            <w:r>
              <w:rPr>
                <w:rFonts w:ascii="Times New Roman"/>
                <w:sz w:val="21"/>
              </w:rPr>
              <w:t>11,003,860.80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16" w:right="0"/>
              <w:jc w:val="left"/>
              <w:rPr>
                <w:rFonts w:ascii="Times New Roman" w:hAnsi="Times New Roman" w:cs="Times New Roman" w:eastAsia="Times New Roman" w:hint="default"/>
                <w:sz w:val="21"/>
                <w:szCs w:val="21"/>
              </w:rPr>
            </w:pPr>
            <w:r>
              <w:rPr>
                <w:rFonts w:ascii="Times New Roman"/>
                <w:sz w:val="21"/>
              </w:rPr>
              <w:t>997,635.48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5" w:right="0"/>
              <w:jc w:val="left"/>
              <w:rPr>
                <w:rFonts w:ascii="Times New Roman" w:hAnsi="Times New Roman" w:cs="Times New Roman" w:eastAsia="Times New Roman" w:hint="default"/>
                <w:sz w:val="21"/>
                <w:szCs w:val="21"/>
              </w:rPr>
            </w:pPr>
            <w:r>
              <w:rPr>
                <w:rFonts w:ascii="Times New Roman"/>
                <w:sz w:val="21"/>
              </w:rPr>
              <w:t>10,006,225.32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正在办理中</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11</w:t>
      </w:r>
      <w:r>
        <w:rPr/>
        <w:t>、在建工程</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66,760,134.37</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14,912,976.25</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66,760,134.37</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14,912,976.25</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1</w:t>
      </w:r>
      <w:r>
        <w:rPr/>
        <w:t>）在建工程情况</w:t>
      </w:r>
      <w:r>
        <w:rPr>
          <w:b w:val="0"/>
          <w:bCs w:val="0"/>
        </w:rPr>
      </w:r>
    </w:p>
    <w:p>
      <w:pPr>
        <w:pStyle w:val="BodyText"/>
        <w:spacing w:line="240" w:lineRule="auto" w:before="136"/>
        <w:ind w:left="0" w:right="1130"/>
        <w:jc w:val="right"/>
      </w:pPr>
      <w:r>
        <w:rPr/>
        <w:t>单位： 元</w:t>
      </w:r>
    </w:p>
    <w:p>
      <w:pPr>
        <w:spacing w:line="240" w:lineRule="auto" w:before="1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成都办公楼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52,481,134.37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7" w:right="0"/>
              <w:jc w:val="center"/>
              <w:rPr>
                <w:rFonts w:ascii="Times New Roman" w:hAnsi="Times New Roman" w:cs="Times New Roman" w:eastAsia="Times New Roman" w:hint="default"/>
                <w:sz w:val="21"/>
                <w:szCs w:val="21"/>
              </w:rPr>
            </w:pPr>
            <w:r>
              <w:rPr>
                <w:rFonts w:ascii="Times New Roman"/>
                <w:sz w:val="21"/>
              </w:rPr>
              <w:t>52,481,134.37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center"/>
              <w:rPr>
                <w:rFonts w:ascii="Times New Roman" w:hAnsi="Times New Roman" w:cs="Times New Roman" w:eastAsia="Times New Roman" w:hint="default"/>
                <w:sz w:val="21"/>
                <w:szCs w:val="21"/>
              </w:rPr>
            </w:pPr>
            <w:r>
              <w:rPr>
                <w:rFonts w:ascii="Times New Roman"/>
                <w:sz w:val="21"/>
              </w:rPr>
              <w:t>14,912,976.25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center"/>
              <w:rPr>
                <w:rFonts w:ascii="Times New Roman" w:hAnsi="Times New Roman" w:cs="Times New Roman" w:eastAsia="Times New Roman" w:hint="default"/>
                <w:sz w:val="21"/>
                <w:szCs w:val="21"/>
              </w:rPr>
            </w:pPr>
            <w:r>
              <w:rPr>
                <w:rFonts w:ascii="Times New Roman"/>
                <w:sz w:val="21"/>
              </w:rPr>
              <w:t>14,912,976.25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浙江办公楼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14,279,000.00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Times New Roman" w:hAnsi="Times New Roman" w:cs="Times New Roman" w:eastAsia="Times New Roman" w:hint="default"/>
                <w:sz w:val="21"/>
                <w:szCs w:val="21"/>
              </w:rPr>
            </w:pPr>
            <w:r>
              <w:rPr>
                <w:rFonts w:ascii="Times New Roman"/>
                <w:sz w:val="21"/>
              </w:rPr>
              <w:t>14,279,000.00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66,760,134.37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7" w:right="0"/>
              <w:jc w:val="center"/>
              <w:rPr>
                <w:rFonts w:ascii="Times New Roman" w:hAnsi="Times New Roman" w:cs="Times New Roman" w:eastAsia="Times New Roman" w:hint="default"/>
                <w:sz w:val="21"/>
                <w:szCs w:val="21"/>
              </w:rPr>
            </w:pPr>
            <w:r>
              <w:rPr>
                <w:rFonts w:ascii="Times New Roman"/>
                <w:sz w:val="21"/>
              </w:rPr>
              <w:t>66,760,134.37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center"/>
              <w:rPr>
                <w:rFonts w:ascii="Times New Roman" w:hAnsi="Times New Roman" w:cs="Times New Roman" w:eastAsia="Times New Roman" w:hint="default"/>
                <w:sz w:val="21"/>
                <w:szCs w:val="21"/>
              </w:rPr>
            </w:pPr>
            <w:r>
              <w:rPr>
                <w:rFonts w:ascii="Times New Roman"/>
                <w:sz w:val="21"/>
              </w:rPr>
              <w:t>14,912,976.25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center"/>
              <w:rPr>
                <w:rFonts w:ascii="Times New Roman" w:hAnsi="Times New Roman" w:cs="Times New Roman" w:eastAsia="Times New Roman" w:hint="default"/>
                <w:sz w:val="21"/>
                <w:szCs w:val="21"/>
              </w:rPr>
            </w:pPr>
            <w:r>
              <w:rPr>
                <w:rFonts w:ascii="Times New Roman"/>
                <w:sz w:val="21"/>
              </w:rPr>
              <w:t>14,912,976.25</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79" w:top="1060" w:bottom="1160" w:left="980" w:right="0"/>
        </w:sectPr>
      </w:pPr>
    </w:p>
    <w:p>
      <w:pPr>
        <w:pStyle w:val="Heading2"/>
        <w:spacing w:line="240" w:lineRule="auto" w:before="26"/>
        <w:ind w:right="0"/>
        <w:jc w:val="left"/>
        <w:rPr>
          <w:b w:val="0"/>
          <w:bCs w:val="0"/>
        </w:rPr>
      </w:pPr>
      <w:r>
        <w:rPr>
          <w:rFonts w:ascii="Times New Roman" w:hAnsi="Times New Roman" w:cs="Times New Roman" w:eastAsia="Times New Roman" w:hint="default"/>
        </w:rPr>
        <w:t>12</w:t>
      </w:r>
      <w:r>
        <w:rPr/>
        <w:t>、无形资产</w:t>
      </w:r>
      <w:r>
        <w:rPr>
          <w:b w:val="0"/>
          <w:bCs w:val="0"/>
        </w:rPr>
      </w:r>
    </w:p>
    <w:p>
      <w:pPr>
        <w:pStyle w:val="Heading2"/>
        <w:spacing w:line="240" w:lineRule="auto" w:before="135"/>
        <w:ind w:right="0"/>
        <w:jc w:val="left"/>
        <w:rPr>
          <w:b w:val="0"/>
          <w:bCs w:val="0"/>
        </w:rPr>
      </w:pPr>
      <w:r>
        <w:rPr>
          <w:w w:val="95"/>
        </w:rPr>
        <w:t>（</w:t>
      </w:r>
      <w:r>
        <w:rPr>
          <w:rFonts w:ascii="Times New Roman" w:hAnsi="Times New Roman" w:cs="Times New Roman" w:eastAsia="Times New Roman" w:hint="default"/>
          <w:w w:val="95"/>
        </w:rPr>
        <w:t>1</w:t>
      </w:r>
      <w:r>
        <w:rPr>
          <w:w w:val="95"/>
        </w:rPr>
        <w:t>）无形资产情况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5"/>
          <w:szCs w:val="25"/>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201" w:space="6359"/>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D0CECE"/>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软件</w:t>
            </w:r>
          </w:p>
        </w:tc>
        <w:tc>
          <w:tcPr>
            <w:tcW w:w="1594" w:type="dxa"/>
            <w:tcBorders>
              <w:top w:val="single" w:sz="4" w:space="0" w:color="000000"/>
              <w:left w:val="single" w:sz="12" w:space="0" w:color="D0CECE"/>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23,702,309.02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5,959,100.00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166,302,577.36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195,963,986.38</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12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50,443,735.24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50,443,735.24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1,095,254.84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1,095,254.84</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62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49,348,480.40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49,348,480.40</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firstLine="612"/>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126"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5,959,100.00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40,070,288.74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46,029,388.74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5,959,100.00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40,070,288.74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46,029,388.74</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23,702,309.02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176,676,023.86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200,378,332.88</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888,836.58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2,867,593.05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71,469,755.18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75,226,184.81</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2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592,462.92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756,146.06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27,992,180.82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29,340,789.80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592,462.92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756,146.06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27,992,180.82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29,340,789.80</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2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3,623,739.11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29,382,593.45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33,006,332.56</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3,623,739.11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29,382,593.45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33,006,332.56</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481,299.50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70,079,342.55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71,560,642.05</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12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12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22,221,009.52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106,596,681.31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128,817,690.83</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22,813,472.44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60" w:right="0"/>
              <w:jc w:val="left"/>
              <w:rPr>
                <w:rFonts w:ascii="Times New Roman" w:hAnsi="Times New Roman" w:cs="Times New Roman" w:eastAsia="Times New Roman" w:hint="default"/>
                <w:sz w:val="21"/>
                <w:szCs w:val="21"/>
              </w:rPr>
            </w:pPr>
            <w:r>
              <w:rPr>
                <w:rFonts w:ascii="Times New Roman"/>
                <w:sz w:val="21"/>
              </w:rPr>
              <w:t>3,091,506.95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94,832,822.18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120,737,801.57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pStyle w:val="BodyText"/>
        <w:spacing w:line="240" w:lineRule="auto" w:before="39"/>
        <w:ind w:right="-19"/>
        <w:jc w:val="left"/>
      </w:pPr>
      <w:r>
        <w:rPr/>
        <w:t>本期末通过公司内部研发形成的无形资产占无形资产余额的比例</w:t>
      </w:r>
      <w:r>
        <w:rPr>
          <w:spacing w:val="-60"/>
        </w:rPr>
        <w:t> </w:t>
      </w:r>
      <w:r>
        <w:rPr>
          <w:rFonts w:ascii="Times New Roman" w:hAnsi="Times New Roman" w:cs="Times New Roman" w:eastAsia="Times New Roman" w:hint="default"/>
        </w:rPr>
        <w:t>74.66%</w:t>
      </w:r>
      <w:r>
        <w:rPr/>
        <w:t>。</w:t>
      </w:r>
    </w:p>
    <w:p>
      <w:pPr>
        <w:pStyle w:val="Heading2"/>
        <w:spacing w:line="240" w:lineRule="auto" w:before="135"/>
        <w:ind w:right="-19"/>
        <w:jc w:val="left"/>
        <w:rPr>
          <w:b w:val="0"/>
          <w:bCs w:val="0"/>
        </w:rPr>
      </w:pPr>
      <w:r>
        <w:rPr>
          <w:rFonts w:ascii="Times New Roman" w:hAnsi="Times New Roman" w:cs="Times New Roman" w:eastAsia="Times New Roman" w:hint="default"/>
        </w:rPr>
        <w:t>13</w:t>
      </w:r>
      <w:r>
        <w:rPr/>
        <w:t>、开发支出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7915" w:space="645"/>
            <w:col w:w="2370"/>
          </w:cols>
        </w:sectPr>
      </w:pP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4"/>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iObjects</w:t>
            </w:r>
            <w:r>
              <w:rPr>
                <w:rFonts w:ascii="Times New Roman"/>
                <w:w w:val="100"/>
                <w:sz w:val="21"/>
              </w:rPr>
              <w:t> </w:t>
            </w:r>
            <w:r>
              <w:rPr>
                <w:rFonts w:ascii="Times New Roman"/>
                <w:sz w:val="21"/>
              </w:rPr>
              <w:t>10X</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4,270,674.6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4,270,674.6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1</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iServer</w:t>
            </w:r>
            <w:r>
              <w:rPr>
                <w:rFonts w:ascii="Times New Roman"/>
                <w:w w:val="100"/>
                <w:sz w:val="21"/>
              </w:rPr>
              <w:t> </w:t>
            </w:r>
            <w:r>
              <w:rPr>
                <w:rFonts w:ascii="Times New Roman"/>
                <w:sz w:val="21"/>
              </w:rPr>
              <w:t>10X</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3,352,665.3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3,352,665.3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9</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iDesktop</w:t>
            </w:r>
            <w:r>
              <w:rPr>
                <w:rFonts w:ascii="Times New Roman"/>
                <w:w w:val="100"/>
                <w:sz w:val="21"/>
              </w:rPr>
              <w:t> </w:t>
            </w:r>
            <w:r>
              <w:rPr>
                <w:rFonts w:ascii="Times New Roman"/>
                <w:sz w:val="21"/>
              </w:rPr>
              <w:t>10X</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1,606,774.3</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1,606,774.3</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w w:val="100"/>
                <w:sz w:val="21"/>
              </w:rPr>
              <w:t> </w:t>
            </w:r>
            <w:r>
              <w:rPr>
                <w:rFonts w:ascii="Times New Roman"/>
                <w:sz w:val="21"/>
              </w:rPr>
              <w:t>iMobile</w:t>
            </w:r>
            <w:r>
              <w:rPr>
                <w:rFonts w:ascii="Times New Roman"/>
                <w:w w:val="100"/>
                <w:sz w:val="21"/>
              </w:rPr>
              <w:t> </w:t>
            </w:r>
            <w:r>
              <w:rPr>
                <w:rFonts w:ascii="Times New Roman"/>
                <w:sz w:val="21"/>
              </w:rPr>
              <w:t>10X</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1,395,749.3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1,395,749.3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6</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5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iPortal</w:t>
            </w:r>
            <w:r>
              <w:rPr>
                <w:rFonts w:ascii="Times New Roman"/>
                <w:spacing w:val="-2"/>
                <w:sz w:val="21"/>
              </w:rPr>
              <w:t> </w:t>
            </w:r>
            <w:r>
              <w:rPr>
                <w:rFonts w:ascii="Times New Roman"/>
                <w:sz w:val="21"/>
              </w:rPr>
              <w:t>10X</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808,287.69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808,287.69</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iManager</w:t>
            </w:r>
            <w:r>
              <w:rPr>
                <w:rFonts w:ascii="Times New Roman"/>
                <w:w w:val="100"/>
                <w:sz w:val="21"/>
              </w:rPr>
              <w:t> </w:t>
            </w:r>
            <w:r>
              <w:rPr>
                <w:rFonts w:ascii="Times New Roman"/>
                <w:sz w:val="21"/>
              </w:rPr>
              <w:t>10X</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792,246.77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792,246.77</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2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iEdge</w:t>
            </w:r>
            <w:r>
              <w:rPr>
                <w:rFonts w:ascii="Times New Roman"/>
                <w:spacing w:val="-1"/>
                <w:sz w:val="21"/>
              </w:rPr>
              <w:t> </w:t>
            </w:r>
            <w:r>
              <w:rPr>
                <w:rFonts w:ascii="Times New Roman"/>
                <w:sz w:val="21"/>
              </w:rPr>
              <w:t>10X</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767,446.00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767,446.00</w:t>
            </w: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64"/>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iServer</w:t>
            </w:r>
            <w:r>
              <w:rPr>
                <w:rFonts w:ascii="Times New Roman"/>
                <w:spacing w:val="-2"/>
                <w:sz w:val="21"/>
              </w:rPr>
              <w:t> </w:t>
            </w:r>
            <w:r>
              <w:rPr>
                <w:rFonts w:ascii="Times New Roman"/>
                <w:sz w:val="21"/>
              </w:rPr>
              <w:t>and</w:t>
            </w:r>
            <w:r>
              <w:rPr>
                <w:rFonts w:ascii="Times New Roman"/>
                <w:w w:val="100"/>
                <w:sz w:val="21"/>
              </w:rPr>
              <w:t> </w:t>
            </w:r>
            <w:r>
              <w:rPr>
                <w:rFonts w:ascii="Times New Roman"/>
                <w:sz w:val="21"/>
              </w:rPr>
              <w:t>iExpress</w:t>
            </w:r>
            <w:r>
              <w:rPr>
                <w:rFonts w:ascii="Times New Roman"/>
                <w:w w:val="100"/>
                <w:sz w:val="21"/>
              </w:rPr>
              <w:t> </w:t>
            </w:r>
            <w:r>
              <w:rPr>
                <w:rFonts w:ascii="Times New Roman"/>
                <w:sz w:val="21"/>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2,839,837.4</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9,831,600.1</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12,671,437.</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61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1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iServer</w:t>
            </w:r>
            <w:r>
              <w:rPr>
                <w:rFonts w:ascii="Times New Roman"/>
                <w:spacing w:val="-3"/>
                <w:sz w:val="21"/>
              </w:rPr>
              <w:t> </w:t>
            </w:r>
            <w:r>
              <w:rPr>
                <w:rFonts w:ascii="Times New Roman"/>
                <w:sz w:val="21"/>
              </w:rPr>
              <w:t>9X</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2,267,264.1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2,267,264.1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7"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SGS</w:t>
            </w:r>
            <w:r>
              <w:rPr>
                <w:rFonts w:ascii="Times New Roman"/>
                <w:spacing w:val="1"/>
                <w:sz w:val="21"/>
              </w:rPr>
              <w:t> </w:t>
            </w:r>
            <w:r>
              <w:rPr>
                <w:rFonts w:ascii="Times New Roman"/>
                <w:sz w:val="21"/>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1,411,126.5</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1,776,023.9</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3,187,150.4</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7" w:lineRule="auto" w:before="96"/>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iDesktop</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1,193,409.5</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4,213,700.5</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5,407,110.1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4"/>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iObjects</w:t>
            </w:r>
            <w:r>
              <w:rPr>
                <w:rFonts w:ascii="Times New Roman"/>
                <w:w w:val="100"/>
                <w:sz w:val="21"/>
              </w:rPr>
              <w:t> </w:t>
            </w:r>
            <w:r>
              <w:rPr>
                <w:rFonts w:ascii="Times New Roman"/>
                <w:sz w:val="21"/>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1,172,379.0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12,791,529.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13,963,908.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iDesktop</w:t>
            </w:r>
            <w:r>
              <w:rPr>
                <w:rFonts w:ascii="Times New Roman"/>
                <w:w w:val="100"/>
                <w:sz w:val="21"/>
              </w:rPr>
              <w:t> </w:t>
            </w:r>
            <w:r>
              <w:rPr>
                <w:rFonts w:ascii="Times New Roman"/>
                <w:sz w:val="21"/>
              </w:rPr>
              <w:t>9X</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499,335.74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499,335.74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5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iMobile</w:t>
            </w:r>
            <w:r>
              <w:rPr>
                <w:rFonts w:ascii="Times New Roman"/>
                <w:spacing w:val="-1"/>
                <w:sz w:val="21"/>
              </w:rPr>
              <w:t> </w:t>
            </w:r>
            <w:r>
              <w:rPr>
                <w:rFonts w:ascii="Times New Roman"/>
                <w:sz w:val="21"/>
              </w:rPr>
              <w:t>9X</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455,367.34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455,367.34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iPortal</w:t>
            </w:r>
            <w:r>
              <w:rPr>
                <w:rFonts w:ascii="Times New Roman"/>
                <w:spacing w:val="-3"/>
                <w:sz w:val="21"/>
              </w:rPr>
              <w:t> </w:t>
            </w:r>
            <w:r>
              <w:rPr>
                <w:rFonts w:ascii="Times New Roman"/>
                <w:sz w:val="21"/>
              </w:rPr>
              <w:t>9X</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431,353.64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431,353.64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45"/>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iMobile</w:t>
            </w:r>
            <w:r>
              <w:rPr>
                <w:rFonts w:ascii="Times New Roman"/>
                <w:spacing w:val="-1"/>
                <w:sz w:val="21"/>
              </w:rPr>
              <w:t> </w:t>
            </w:r>
            <w:r>
              <w:rPr>
                <w:rFonts w:ascii="Times New Roman"/>
                <w:sz w:val="21"/>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236,605.60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3,401,614.2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3,638,219.8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iExpress</w:t>
            </w:r>
            <w:r>
              <w:rPr>
                <w:rFonts w:ascii="Times New Roman"/>
                <w:w w:val="100"/>
                <w:sz w:val="21"/>
              </w:rPr>
              <w:t> </w:t>
            </w:r>
            <w:r>
              <w:rPr>
                <w:rFonts w:ascii="Times New Roman"/>
                <w:sz w:val="21"/>
              </w:rPr>
              <w:t>9X</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203,766.49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203,766.49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iPortal 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192,200.93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2,443,265.1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2,635,466.0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iManager</w:t>
            </w:r>
            <w:r>
              <w:rPr>
                <w:rFonts w:ascii="Times New Roman"/>
                <w:w w:val="100"/>
                <w:sz w:val="21"/>
              </w:rPr>
              <w:t> </w:t>
            </w:r>
            <w:r>
              <w:rPr>
                <w:rFonts w:ascii="Times New Roman"/>
                <w:sz w:val="21"/>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138,232.05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2,006,457.9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2,144,690.0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iObjects</w:t>
            </w:r>
            <w:r>
              <w:rPr>
                <w:rFonts w:ascii="Times New Roman"/>
                <w:w w:val="100"/>
                <w:sz w:val="21"/>
              </w:rPr>
              <w:t> </w:t>
            </w:r>
            <w:r>
              <w:rPr>
                <w:rFonts w:ascii="Times New Roman"/>
                <w:sz w:val="21"/>
              </w:rPr>
              <w:t>9X</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75,796.09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75,796.09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75"/>
              <w:ind w:left="22" w:right="148"/>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iExpress</w:t>
            </w:r>
            <w:r>
              <w:rPr>
                <w:rFonts w:ascii="Times New Roman"/>
                <w:w w:val="100"/>
                <w:sz w:val="21"/>
              </w:rPr>
              <w:t> </w:t>
            </w:r>
            <w:r>
              <w:rPr>
                <w:rFonts w:ascii="Times New Roman"/>
                <w:sz w:val="21"/>
              </w:rPr>
              <w:t>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1,767,614.4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1,767,614.4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73" w:lineRule="auto" w:before="28"/>
              <w:ind w:left="22" w:right="185"/>
              <w:jc w:val="left"/>
              <w:rPr>
                <w:rFonts w:ascii="宋体" w:hAnsi="宋体" w:cs="宋体" w:eastAsia="宋体" w:hint="default"/>
                <w:sz w:val="21"/>
                <w:szCs w:val="21"/>
              </w:rPr>
            </w:pPr>
            <w:r>
              <w:rPr>
                <w:rFonts w:ascii="宋体" w:hAnsi="宋体" w:cs="宋体" w:eastAsia="宋体" w:hint="default"/>
                <w:sz w:val="21"/>
                <w:szCs w:val="21"/>
              </w:rPr>
              <w:t>费用化研</w:t>
            </w:r>
            <w:r>
              <w:rPr>
                <w:rFonts w:ascii="宋体" w:hAnsi="宋体" w:cs="宋体" w:eastAsia="宋体" w:hint="default"/>
                <w:w w:val="100"/>
                <w:sz w:val="21"/>
                <w:szCs w:val="21"/>
              </w:rPr>
              <w:t> </w:t>
            </w:r>
            <w:r>
              <w:rPr>
                <w:rFonts w:ascii="宋体" w:hAnsi="宋体" w:cs="宋体" w:eastAsia="宋体" w:hint="default"/>
                <w:sz w:val="21"/>
                <w:szCs w:val="21"/>
              </w:rPr>
              <w:t>发支出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198,373,55</w:t>
            </w:r>
          </w:p>
          <w:p>
            <w:pPr>
              <w:pStyle w:val="TableParagraph"/>
              <w:spacing w:line="240" w:lineRule="auto" w:before="70"/>
              <w:ind w:left="665" w:right="0"/>
              <w:jc w:val="left"/>
              <w:rPr>
                <w:rFonts w:ascii="Times New Roman" w:hAnsi="Times New Roman" w:cs="Times New Roman" w:eastAsia="Times New Roman" w:hint="default"/>
                <w:sz w:val="21"/>
                <w:szCs w:val="21"/>
              </w:rPr>
            </w:pPr>
            <w:r>
              <w:rPr>
                <w:rFonts w:ascii="Times New Roman"/>
                <w:sz w:val="21"/>
              </w:rPr>
              <w:t>3.53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198,373,55</w:t>
            </w:r>
          </w:p>
          <w:p>
            <w:pPr>
              <w:pStyle w:val="TableParagraph"/>
              <w:spacing w:line="240" w:lineRule="auto" w:before="70"/>
              <w:ind w:left="665" w:right="0"/>
              <w:jc w:val="left"/>
              <w:rPr>
                <w:rFonts w:ascii="Times New Roman" w:hAnsi="Times New Roman" w:cs="Times New Roman" w:eastAsia="Times New Roman" w:hint="default"/>
                <w:sz w:val="21"/>
                <w:szCs w:val="21"/>
              </w:rPr>
            </w:pPr>
            <w:r>
              <w:rPr>
                <w:rFonts w:ascii="Times New Roman"/>
                <w:sz w:val="21"/>
              </w:rPr>
              <w:t>3.53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11,116,674.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249,599,20</w:t>
            </w:r>
          </w:p>
          <w:p>
            <w:pPr>
              <w:pStyle w:val="TableParagraph"/>
              <w:spacing w:line="240" w:lineRule="auto" w:before="70"/>
              <w:ind w:left="665" w:right="0"/>
              <w:jc w:val="left"/>
              <w:rPr>
                <w:rFonts w:ascii="Times New Roman" w:hAnsi="Times New Roman" w:cs="Times New Roman" w:eastAsia="Times New Roman" w:hint="default"/>
                <w:sz w:val="21"/>
                <w:szCs w:val="21"/>
              </w:rPr>
            </w:pPr>
            <w:r>
              <w:rPr>
                <w:rFonts w:ascii="Times New Roman"/>
                <w:sz w:val="21"/>
              </w:rPr>
              <w:t>3.44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49,348,480.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198,373,55</w:t>
            </w:r>
          </w:p>
          <w:p>
            <w:pPr>
              <w:pStyle w:val="TableParagraph"/>
              <w:spacing w:line="240" w:lineRule="auto" w:before="70"/>
              <w:ind w:left="665" w:right="0"/>
              <w:jc w:val="left"/>
              <w:rPr>
                <w:rFonts w:ascii="Times New Roman" w:hAnsi="Times New Roman" w:cs="Times New Roman" w:eastAsia="Times New Roman" w:hint="default"/>
                <w:sz w:val="21"/>
                <w:szCs w:val="21"/>
              </w:rPr>
            </w:pPr>
            <w:r>
              <w:rPr>
                <w:rFonts w:ascii="Times New Roman"/>
                <w:sz w:val="21"/>
              </w:rPr>
              <w:t>3.53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12,993,844.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12</w:t>
            </w:r>
          </w:p>
        </w:tc>
      </w:tr>
    </w:tbl>
    <w:p>
      <w:pPr>
        <w:pStyle w:val="BodyText"/>
        <w:spacing w:line="348" w:lineRule="auto" w:before="39"/>
        <w:ind w:right="2153"/>
        <w:jc w:val="left"/>
        <w:rPr>
          <w:rFonts w:ascii="宋体" w:hAnsi="宋体" w:cs="宋体" w:eastAsia="宋体" w:hint="default"/>
        </w:rPr>
      </w:pPr>
      <w:r>
        <w:rPr/>
        <w:t>其他说明 本期资本化开发支出为</w:t>
      </w:r>
      <w:r>
        <w:rPr>
          <w:rFonts w:ascii="Times New Roman" w:hAnsi="Times New Roman" w:cs="Times New Roman" w:eastAsia="Times New Roman" w:hint="default"/>
        </w:rPr>
        <w:t>51,225,649.91</w:t>
      </w:r>
      <w:r>
        <w:rPr/>
        <w:t>元，占本期研究开发项目支出总额的</w:t>
      </w:r>
      <w:r>
        <w:rPr>
          <w:rFonts w:ascii="Times New Roman" w:hAnsi="Times New Roman" w:cs="Times New Roman" w:eastAsia="Times New Roman" w:hint="default"/>
        </w:rPr>
        <w:t>20.52%</w:t>
      </w:r>
      <w:r>
        <w:rPr/>
        <w:t>。 </w:t>
      </w:r>
      <w:r>
        <w:rPr>
          <w:rFonts w:ascii="Times New Roman" w:hAnsi="Times New Roman" w:cs="Times New Roman" w:eastAsia="Times New Roman" w:hint="default"/>
          <w:b/>
          <w:bCs/>
        </w:rPr>
        <w:t>14</w:t>
      </w:r>
      <w:r>
        <w:rPr>
          <w:rFonts w:ascii="宋体" w:hAnsi="宋体" w:cs="宋体" w:eastAsia="宋体" w:hint="default"/>
          <w:b/>
          <w:bCs/>
        </w:rPr>
        <w:t>、商誉</w:t>
      </w:r>
      <w:r>
        <w:rPr>
          <w:rFonts w:ascii="宋体" w:hAnsi="宋体" w:cs="宋体" w:eastAsia="宋体" w:hint="default"/>
        </w:rPr>
      </w:r>
    </w:p>
    <w:p>
      <w:pPr>
        <w:pStyle w:val="Heading2"/>
        <w:spacing w:line="240" w:lineRule="auto" w:before="16"/>
        <w:ind w:right="127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6" w:right="45"/>
              <w:jc w:val="left"/>
              <w:rPr>
                <w:rFonts w:ascii="宋体" w:hAnsi="宋体" w:cs="宋体" w:eastAsia="宋体" w:hint="default"/>
                <w:sz w:val="21"/>
                <w:szCs w:val="21"/>
              </w:rPr>
            </w:pPr>
            <w:r>
              <w:rPr>
                <w:rFonts w:ascii="宋体" w:hAnsi="宋体" w:cs="宋体" w:eastAsia="宋体" w:hint="default"/>
                <w:sz w:val="21"/>
                <w:szCs w:val="21"/>
              </w:rPr>
              <w:t>被投资单位名</w:t>
            </w:r>
            <w:r>
              <w:rPr>
                <w:rFonts w:ascii="宋体" w:hAnsi="宋体" w:cs="宋体" w:eastAsia="宋体" w:hint="default"/>
                <w:w w:val="100"/>
                <w:sz w:val="21"/>
                <w:szCs w:val="21"/>
              </w:rPr>
              <w:t> </w:t>
            </w:r>
            <w:r>
              <w:rPr>
                <w:rFonts w:ascii="宋体" w:hAnsi="宋体" w:cs="宋体" w:eastAsia="宋体" w:hint="default"/>
                <w:sz w:val="21"/>
                <w:szCs w:val="21"/>
              </w:rPr>
              <w:t>称或形成商誉</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1" w:right="0"/>
              <w:jc w:val="left"/>
              <w:rPr>
                <w:rFonts w:ascii="宋体" w:hAnsi="宋体" w:cs="宋体" w:eastAsia="宋体" w:hint="default"/>
                <w:sz w:val="21"/>
                <w:szCs w:val="21"/>
              </w:rPr>
            </w:pPr>
            <w:r>
              <w:rPr>
                <w:rFonts w:ascii="宋体" w:hAnsi="宋体" w:cs="宋体" w:eastAsia="宋体" w:hint="default"/>
                <w:sz w:val="21"/>
                <w:szCs w:val="21"/>
              </w:rPr>
              <w:t>的事项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日本超图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61,192,082.38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61,192,082.38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389,006,423.3</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389,006,423.3</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77,789,956.54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77,789,956.54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179,281,414.9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179,281,414.9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708,582,016.0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708,582,016.0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2</w:t>
      </w:r>
      <w:r>
        <w:rPr/>
        <w:t>）商誉减值准备</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 w:right="45"/>
              <w:jc w:val="center"/>
              <w:rPr>
                <w:rFonts w:ascii="宋体" w:hAnsi="宋体" w:cs="宋体" w:eastAsia="宋体" w:hint="default"/>
                <w:sz w:val="21"/>
                <w:szCs w:val="21"/>
              </w:rPr>
            </w:pPr>
            <w:r>
              <w:rPr>
                <w:rFonts w:ascii="宋体" w:hAnsi="宋体" w:cs="宋体" w:eastAsia="宋体" w:hint="default"/>
                <w:spacing w:val="-1"/>
                <w:sz w:val="21"/>
                <w:szCs w:val="21"/>
              </w:rPr>
              <w:t>被投资单位名</w:t>
            </w:r>
            <w:r>
              <w:rPr>
                <w:rFonts w:ascii="宋体" w:hAnsi="宋体" w:cs="宋体" w:eastAsia="宋体" w:hint="default"/>
                <w:w w:val="100"/>
                <w:sz w:val="21"/>
                <w:szCs w:val="21"/>
              </w:rPr>
              <w:t> </w:t>
            </w:r>
            <w:r>
              <w:rPr>
                <w:rFonts w:ascii="宋体" w:hAnsi="宋体" w:cs="宋体" w:eastAsia="宋体" w:hint="default"/>
                <w:spacing w:val="-1"/>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30"/>
              <w:ind w:right="489"/>
              <w:jc w:val="right"/>
              <w:rPr>
                <w:rFonts w:ascii="宋体" w:hAnsi="宋体" w:cs="宋体" w:eastAsia="宋体" w:hint="default"/>
                <w:sz w:val="21"/>
                <w:szCs w:val="21"/>
              </w:rPr>
            </w:pPr>
            <w:r>
              <w:rPr>
                <w:rFonts w:ascii="宋体" w:hAnsi="宋体" w:cs="宋体" w:eastAsia="宋体" w:hint="default"/>
                <w:spacing w:val="-1"/>
                <w:sz w:val="21"/>
                <w:szCs w:val="21"/>
              </w:rPr>
              <w:t>日本超图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2" w:right="0"/>
              <w:jc w:val="left"/>
              <w:rPr>
                <w:rFonts w:ascii="Times New Roman" w:hAnsi="Times New Roman" w:cs="Times New Roman" w:eastAsia="Times New Roman" w:hint="default"/>
                <w:sz w:val="21"/>
                <w:szCs w:val="21"/>
              </w:rPr>
            </w:pPr>
            <w:r>
              <w:rPr>
                <w:rFonts w:ascii="Times New Roman"/>
                <w:sz w:val="21"/>
              </w:rPr>
              <w:t>1,312,138.80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2" w:right="0"/>
              <w:jc w:val="left"/>
              <w:rPr>
                <w:rFonts w:ascii="Times New Roman" w:hAnsi="Times New Roman" w:cs="Times New Roman" w:eastAsia="Times New Roman" w:hint="default"/>
                <w:sz w:val="21"/>
                <w:szCs w:val="21"/>
              </w:rPr>
            </w:pPr>
            <w:r>
              <w:rPr>
                <w:rFonts w:ascii="Times New Roman"/>
                <w:sz w:val="21"/>
              </w:rPr>
              <w:t>1,312,138.80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65"/>
              <w:jc w:val="right"/>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2" w:right="0"/>
              <w:jc w:val="left"/>
              <w:rPr>
                <w:rFonts w:ascii="Times New Roman" w:hAnsi="Times New Roman" w:cs="Times New Roman" w:eastAsia="Times New Roman" w:hint="default"/>
                <w:sz w:val="21"/>
                <w:szCs w:val="21"/>
              </w:rPr>
            </w:pPr>
            <w:r>
              <w:rPr>
                <w:rFonts w:ascii="Times New Roman"/>
                <w:sz w:val="21"/>
              </w:rPr>
              <w:t>1,312,138.80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2" w:right="0"/>
              <w:jc w:val="left"/>
              <w:rPr>
                <w:rFonts w:ascii="Times New Roman" w:hAnsi="Times New Roman" w:cs="Times New Roman" w:eastAsia="Times New Roman" w:hint="default"/>
                <w:sz w:val="21"/>
                <w:szCs w:val="21"/>
              </w:rPr>
            </w:pPr>
            <w:r>
              <w:rPr>
                <w:rFonts w:ascii="Times New Roman"/>
                <w:sz w:val="21"/>
              </w:rPr>
              <w:t>1,312,138.80</w:t>
            </w:r>
          </w:p>
        </w:tc>
      </w:tr>
    </w:tbl>
    <w:p>
      <w:pPr>
        <w:pStyle w:val="BodyText"/>
        <w:spacing w:line="424" w:lineRule="auto" w:before="79"/>
        <w:ind w:left="753" w:right="6433" w:hanging="600"/>
        <w:jc w:val="left"/>
      </w:pPr>
      <w:r>
        <w:rPr/>
        <w:pict>
          <v:shape style="position:absolute;margin-left:57.144001pt;margin-top:52.305614pt;width:481.3pt;height:228.5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10"/>
                    <w:gridCol w:w="5701"/>
                  </w:tblGrid>
                  <w:tr>
                    <w:trPr>
                      <w:trHeight w:val="466"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上海南康公司</w:t>
                        </w:r>
                      </w:p>
                    </w:tc>
                  </w:tr>
                  <w:tr>
                    <w:trPr>
                      <w:trHeight w:val="463"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上海南康公司资产组</w:t>
                        </w:r>
                      </w:p>
                    </w:tc>
                  </w:tr>
                  <w:tr>
                    <w:trPr>
                      <w:trHeight w:val="463"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85,631,464.42  </w:t>
                        </w:r>
                        <w:r>
                          <w:rPr>
                            <w:rFonts w:ascii="宋体" w:hAnsi="宋体" w:cs="宋体" w:eastAsia="宋体" w:hint="default"/>
                            <w:sz w:val="21"/>
                            <w:szCs w:val="21"/>
                          </w:rPr>
                          <w:t>元</w:t>
                        </w:r>
                      </w:p>
                    </w:tc>
                  </w:tr>
                  <w:tr>
                    <w:trPr>
                      <w:trHeight w:val="715"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08" w:right="161" w:hanging="946"/>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分摊至本资产组或资产组组合的商誉账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面价值及分摊方法</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全部分摊至上海南康公司资产组</w:t>
                        </w:r>
                      </w:p>
                    </w:tc>
                  </w:tr>
                  <w:tr>
                    <w:trPr>
                      <w:trHeight w:val="713"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739" w:right="161" w:hanging="1577"/>
                          <w:jc w:val="left"/>
                          <w:rPr>
                            <w:rFonts w:ascii="宋体" w:hAnsi="宋体" w:cs="宋体" w:eastAsia="宋体" w:hint="default"/>
                            <w:sz w:val="21"/>
                            <w:szCs w:val="21"/>
                          </w:rPr>
                        </w:pPr>
                        <w:r>
                          <w:rPr>
                            <w:rFonts w:ascii="宋体" w:hAnsi="宋体" w:cs="宋体" w:eastAsia="宋体" w:hint="default"/>
                            <w:spacing w:val="-2"/>
                            <w:sz w:val="21"/>
                            <w:szCs w:val="21"/>
                          </w:rPr>
                          <w:t>包含商誉的资产组或资产组组合的账面</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价值</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146,823,546.80 </w:t>
                        </w:r>
                        <w:r>
                          <w:rPr>
                            <w:rFonts w:ascii="宋体" w:hAnsi="宋体" w:cs="宋体" w:eastAsia="宋体" w:hint="default"/>
                            <w:sz w:val="21"/>
                            <w:szCs w:val="21"/>
                          </w:rPr>
                          <w:t>元</w:t>
                        </w:r>
                      </w:p>
                    </w:tc>
                  </w:tr>
                  <w:tr>
                    <w:trPr>
                      <w:trHeight w:val="1028"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3"/>
                          <w:jc w:val="center"/>
                          <w:rPr>
                            <w:rFonts w:ascii="宋体" w:hAnsi="宋体" w:cs="宋体" w:eastAsia="宋体" w:hint="default"/>
                            <w:sz w:val="21"/>
                            <w:szCs w:val="21"/>
                          </w:rPr>
                        </w:pPr>
                        <w:r>
                          <w:rPr>
                            <w:rFonts w:ascii="宋体" w:hAnsi="宋体" w:cs="宋体" w:eastAsia="宋体" w:hint="default"/>
                            <w:spacing w:val="-7"/>
                            <w:w w:val="100"/>
                            <w:sz w:val="21"/>
                            <w:szCs w:val="21"/>
                          </w:rPr>
                          <w:t>资产组或资产组组合是否与购买日、以前</w:t>
                        </w:r>
                        <w:r>
                          <w:rPr>
                            <w:rFonts w:ascii="宋体" w:hAnsi="宋体" w:cs="宋体" w:eastAsia="宋体" w:hint="default"/>
                            <w:w w:val="100"/>
                            <w:sz w:val="21"/>
                            <w:szCs w:val="21"/>
                          </w:rPr>
                          <w:t> </w:t>
                        </w:r>
                        <w:r>
                          <w:rPr>
                            <w:rFonts w:ascii="宋体" w:hAnsi="宋体" w:cs="宋体" w:eastAsia="宋体" w:hint="default"/>
                            <w:sz w:val="21"/>
                            <w:szCs w:val="21"/>
                          </w:rPr>
                          <w:t>年度商誉减值测试时所确定的资产组或</w:t>
                        </w:r>
                        <w:r>
                          <w:rPr>
                            <w:rFonts w:ascii="宋体" w:hAnsi="宋体" w:cs="宋体" w:eastAsia="宋体" w:hint="default"/>
                            <w:w w:val="100"/>
                            <w:sz w:val="21"/>
                            <w:szCs w:val="21"/>
                          </w:rPr>
                          <w:t> </w:t>
                        </w:r>
                        <w:r>
                          <w:rPr>
                            <w:rFonts w:ascii="宋体" w:hAnsi="宋体" w:cs="宋体" w:eastAsia="宋体" w:hint="default"/>
                            <w:sz w:val="21"/>
                            <w:szCs w:val="21"/>
                          </w:rPr>
                          <w:t>资产组组合一致</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423" w:right="134" w:hanging="1284"/>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年度商誉减值测试时资产组或资产</w:t>
                        </w:r>
                        <w:r>
                          <w:rPr>
                            <w:rFonts w:ascii="宋体" w:hAnsi="宋体" w:cs="宋体" w:eastAsia="宋体" w:hint="default"/>
                            <w:w w:val="100"/>
                            <w:sz w:val="21"/>
                            <w:szCs w:val="21"/>
                          </w:rPr>
                          <w:t> </w:t>
                        </w:r>
                        <w:r>
                          <w:rPr>
                            <w:rFonts w:ascii="宋体" w:hAnsi="宋体" w:cs="宋体" w:eastAsia="宋体" w:hint="default"/>
                            <w:sz w:val="21"/>
                            <w:szCs w:val="21"/>
                          </w:rPr>
                          <w:t>组组合构成</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上海南康公司资产组</w:t>
                        </w:r>
                      </w:p>
                    </w:tc>
                  </w:tr>
                </w:tbl>
                <w:p>
                  <w:pPr/>
                </w:p>
              </w:txbxContent>
            </v:textbox>
            <w10:wrap type="none"/>
          </v:shape>
        </w:pict>
      </w:r>
      <w:r>
        <w:rPr/>
        <w:t>商誉所在资产组或资产组组合的相关信息 </w:t>
      </w:r>
      <w:r>
        <w:rPr>
          <w:rFonts w:ascii="宋体" w:hAnsi="宋体" w:cs="宋体" w:eastAsia="宋体" w:hint="default"/>
        </w:rPr>
        <w:t>(1)</w:t>
      </w:r>
      <w:r>
        <w:rPr/>
        <w:t>上海南康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left="633" w:right="1273"/>
        <w:jc w:val="left"/>
      </w:pPr>
      <w:r>
        <w:rPr>
          <w:rFonts w:ascii="宋体" w:hAnsi="宋体" w:cs="宋体" w:eastAsia="宋体" w:hint="default"/>
        </w:rPr>
        <w:t>(2)</w:t>
      </w:r>
      <w:r>
        <w:rPr/>
        <w:t>南京国图公司</w:t>
      </w:r>
    </w:p>
    <w:p>
      <w:pPr>
        <w:spacing w:line="240" w:lineRule="auto" w:before="7"/>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5247"/>
        <w:gridCol w:w="4364"/>
      </w:tblGrid>
      <w:tr>
        <w:trPr>
          <w:trHeight w:val="466"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宋体" w:hAnsi="宋体" w:cs="宋体" w:eastAsia="宋体" w:hint="default"/>
                <w:sz w:val="21"/>
                <w:szCs w:val="21"/>
              </w:rPr>
            </w:pPr>
            <w:r>
              <w:rPr>
                <w:rFonts w:ascii="宋体" w:hAnsi="宋体" w:cs="宋体" w:eastAsia="宋体" w:hint="default"/>
                <w:sz w:val="21"/>
                <w:szCs w:val="21"/>
              </w:rPr>
              <w:t>南京国图公司</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21"/>
                <w:szCs w:val="21"/>
              </w:rPr>
            </w:pPr>
            <w:r>
              <w:rPr>
                <w:rFonts w:ascii="宋体" w:hAnsi="宋体" w:cs="宋体" w:eastAsia="宋体" w:hint="default"/>
                <w:sz w:val="21"/>
                <w:szCs w:val="21"/>
              </w:rPr>
              <w:t>南京国图公司资产组</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2" w:type="dxa"/>
        <w:tblLayout w:type="fixed"/>
        <w:tblCellMar>
          <w:top w:w="0" w:type="dxa"/>
          <w:left w:w="0" w:type="dxa"/>
          <w:bottom w:w="0" w:type="dxa"/>
          <w:right w:w="0" w:type="dxa"/>
        </w:tblCellMar>
        <w:tblLook w:val="01E0"/>
      </w:tblPr>
      <w:tblGrid>
        <w:gridCol w:w="5247"/>
        <w:gridCol w:w="4364"/>
      </w:tblGrid>
      <w:tr>
        <w:trPr>
          <w:trHeight w:val="464"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宋体" w:hAnsi="宋体" w:cs="宋体" w:eastAsia="宋体" w:hint="default"/>
                <w:sz w:val="21"/>
                <w:szCs w:val="21"/>
              </w:rPr>
            </w:pPr>
            <w:r>
              <w:rPr>
                <w:rFonts w:ascii="宋体" w:hAnsi="宋体" w:cs="宋体" w:eastAsia="宋体" w:hint="default"/>
                <w:sz w:val="21"/>
                <w:szCs w:val="21"/>
              </w:rPr>
              <w:t>南京国图公司</w:t>
            </w:r>
          </w:p>
        </w:tc>
      </w:tr>
      <w:tr>
        <w:trPr>
          <w:trHeight w:val="466"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221,862,426.20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r>
        <w:trPr>
          <w:trHeight w:val="71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07" w:right="199" w:hanging="2207"/>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分摊至本资产组或资产组组合的商誉账面价值及分摊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方法</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全部分摊至南京国图公司资产组</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610,868,849.54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r>
        <w:trPr>
          <w:trHeight w:val="715"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727" w:right="101" w:hanging="620"/>
              <w:jc w:val="left"/>
              <w:rPr>
                <w:rFonts w:ascii="宋体" w:hAnsi="宋体" w:cs="宋体" w:eastAsia="宋体" w:hint="default"/>
                <w:sz w:val="21"/>
                <w:szCs w:val="21"/>
              </w:rPr>
            </w:pPr>
            <w:r>
              <w:rPr>
                <w:rFonts w:ascii="宋体" w:hAnsi="宋体" w:cs="宋体" w:eastAsia="宋体" w:hint="default"/>
                <w:spacing w:val="-3"/>
                <w:sz w:val="21"/>
                <w:szCs w:val="21"/>
              </w:rPr>
              <w:t>资产组或资产组组合是否与购买日、以前年度商誉减值</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测试时所确定的资产组或资产组组合一致</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年度商誉减值测试时资产组或资产组组合构成</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21"/>
                <w:szCs w:val="21"/>
              </w:rPr>
            </w:pPr>
            <w:r>
              <w:rPr>
                <w:rFonts w:ascii="宋体" w:hAnsi="宋体" w:cs="宋体" w:eastAsia="宋体" w:hint="default"/>
                <w:sz w:val="21"/>
                <w:szCs w:val="21"/>
              </w:rPr>
              <w:t>南京国图公司资产组</w:t>
            </w:r>
          </w:p>
        </w:tc>
      </w:tr>
    </w:tbl>
    <w:p>
      <w:pPr>
        <w:spacing w:line="240" w:lineRule="auto" w:before="10"/>
        <w:rPr>
          <w:rFonts w:ascii="宋体" w:hAnsi="宋体" w:cs="宋体" w:eastAsia="宋体" w:hint="default"/>
          <w:sz w:val="7"/>
          <w:szCs w:val="7"/>
        </w:rPr>
      </w:pPr>
    </w:p>
    <w:p>
      <w:pPr>
        <w:pStyle w:val="BodyText"/>
        <w:spacing w:line="240" w:lineRule="auto" w:before="26"/>
        <w:ind w:left="633" w:right="1273"/>
        <w:jc w:val="left"/>
      </w:pPr>
      <w:r>
        <w:rPr/>
        <w:t>（</w:t>
      </w:r>
      <w:r>
        <w:rPr>
          <w:rFonts w:ascii="宋体" w:hAnsi="宋体" w:cs="宋体" w:eastAsia="宋体" w:hint="default"/>
        </w:rPr>
        <w:t>3</w:t>
      </w:r>
      <w:r>
        <w:rPr/>
        <w:t>）世纪安图公司</w:t>
      </w:r>
    </w:p>
    <w:p>
      <w:pPr>
        <w:spacing w:line="240" w:lineRule="auto" w:before="7"/>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5247"/>
        <w:gridCol w:w="4364"/>
      </w:tblGrid>
      <w:tr>
        <w:trPr>
          <w:trHeight w:val="466"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宋体" w:hAnsi="宋体" w:cs="宋体" w:eastAsia="宋体" w:hint="default"/>
                <w:sz w:val="21"/>
                <w:szCs w:val="21"/>
              </w:rPr>
            </w:pPr>
            <w:r>
              <w:rPr>
                <w:rFonts w:ascii="宋体" w:hAnsi="宋体" w:cs="宋体" w:eastAsia="宋体" w:hint="default"/>
                <w:sz w:val="21"/>
                <w:szCs w:val="21"/>
              </w:rPr>
              <w:t>世纪安图</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0" w:right="0"/>
              <w:jc w:val="center"/>
              <w:rPr>
                <w:rFonts w:ascii="宋体" w:hAnsi="宋体" w:cs="宋体" w:eastAsia="宋体" w:hint="default"/>
                <w:sz w:val="21"/>
                <w:szCs w:val="21"/>
              </w:rPr>
            </w:pPr>
            <w:r>
              <w:rPr>
                <w:rFonts w:ascii="宋体" w:hAnsi="宋体" w:cs="宋体" w:eastAsia="宋体" w:hint="default"/>
                <w:sz w:val="21"/>
                <w:szCs w:val="21"/>
              </w:rPr>
              <w:t>世纪安图公司资产组</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56,315,455.61  </w:t>
            </w:r>
            <w:r>
              <w:rPr>
                <w:rFonts w:ascii="宋体" w:hAnsi="宋体" w:cs="宋体" w:eastAsia="宋体" w:hint="default"/>
                <w:sz w:val="21"/>
                <w:szCs w:val="21"/>
              </w:rPr>
              <w:t>元</w:t>
            </w:r>
          </w:p>
        </w:tc>
      </w:tr>
      <w:tr>
        <w:trPr>
          <w:trHeight w:val="715"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07" w:right="199" w:hanging="2207"/>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分摊至本资产组或资产组组合的商誉账面价值及分摊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方法</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0" w:right="0"/>
              <w:jc w:val="center"/>
              <w:rPr>
                <w:rFonts w:ascii="宋体" w:hAnsi="宋体" w:cs="宋体" w:eastAsia="宋体" w:hint="default"/>
                <w:sz w:val="21"/>
                <w:szCs w:val="21"/>
              </w:rPr>
            </w:pPr>
            <w:r>
              <w:rPr>
                <w:rFonts w:ascii="宋体" w:hAnsi="宋体" w:cs="宋体" w:eastAsia="宋体" w:hint="default"/>
                <w:sz w:val="21"/>
                <w:szCs w:val="21"/>
              </w:rPr>
              <w:t>全部分摊至世纪安图公司资产组</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134,105,412.15  </w:t>
            </w:r>
            <w:r>
              <w:rPr>
                <w:rFonts w:ascii="宋体" w:hAnsi="宋体" w:cs="宋体" w:eastAsia="宋体" w:hint="default"/>
                <w:sz w:val="21"/>
                <w:szCs w:val="21"/>
              </w:rPr>
              <w:t>元</w:t>
            </w:r>
          </w:p>
        </w:tc>
      </w:tr>
      <w:tr>
        <w:trPr>
          <w:trHeight w:val="715"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727" w:right="101" w:hanging="620"/>
              <w:jc w:val="left"/>
              <w:rPr>
                <w:rFonts w:ascii="宋体" w:hAnsi="宋体" w:cs="宋体" w:eastAsia="宋体" w:hint="default"/>
                <w:sz w:val="21"/>
                <w:szCs w:val="21"/>
              </w:rPr>
            </w:pPr>
            <w:r>
              <w:rPr>
                <w:rFonts w:ascii="宋体" w:hAnsi="宋体" w:cs="宋体" w:eastAsia="宋体" w:hint="default"/>
                <w:spacing w:val="-3"/>
                <w:sz w:val="21"/>
                <w:szCs w:val="21"/>
              </w:rPr>
              <w:t>资产组或资产组组合是否与购买日、以前年度商誉减值</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测试时所确定的资产组或资产组组合一致</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4"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年度商誉减值测试时资产组或资产组组合构成</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宋体" w:hAnsi="宋体" w:cs="宋体" w:eastAsia="宋体" w:hint="default"/>
                <w:sz w:val="21"/>
                <w:szCs w:val="21"/>
              </w:rPr>
            </w:pPr>
            <w:r>
              <w:rPr>
                <w:rFonts w:ascii="宋体" w:hAnsi="宋体" w:cs="宋体" w:eastAsia="宋体" w:hint="default"/>
                <w:sz w:val="21"/>
                <w:szCs w:val="21"/>
              </w:rPr>
              <w:t>世纪安图公司资产组</w:t>
            </w:r>
          </w:p>
        </w:tc>
      </w:tr>
    </w:tbl>
    <w:p>
      <w:pPr>
        <w:spacing w:line="240" w:lineRule="auto" w:before="10"/>
        <w:rPr>
          <w:rFonts w:ascii="宋体" w:hAnsi="宋体" w:cs="宋体" w:eastAsia="宋体" w:hint="default"/>
          <w:sz w:val="7"/>
          <w:szCs w:val="7"/>
        </w:rPr>
      </w:pPr>
    </w:p>
    <w:p>
      <w:pPr>
        <w:pStyle w:val="BodyText"/>
        <w:spacing w:line="240" w:lineRule="auto" w:before="26"/>
        <w:ind w:left="633" w:right="1273"/>
        <w:jc w:val="left"/>
      </w:pPr>
      <w:r>
        <w:rPr/>
        <w:t>（</w:t>
      </w:r>
      <w:r>
        <w:rPr>
          <w:rFonts w:ascii="宋体" w:hAnsi="宋体" w:cs="宋体" w:eastAsia="宋体" w:hint="default"/>
        </w:rPr>
        <w:t>4</w:t>
      </w:r>
      <w:r>
        <w:rPr/>
        <w:t>）上海数慧公司</w:t>
      </w:r>
    </w:p>
    <w:p>
      <w:pPr>
        <w:spacing w:line="240" w:lineRule="auto" w:before="7"/>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5247"/>
        <w:gridCol w:w="4364"/>
      </w:tblGrid>
      <w:tr>
        <w:trPr>
          <w:trHeight w:val="466"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宋体" w:hAnsi="宋体" w:cs="宋体" w:eastAsia="宋体" w:hint="default"/>
                <w:sz w:val="21"/>
                <w:szCs w:val="21"/>
              </w:rPr>
              <w:t>上海数慧</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21"/>
                <w:szCs w:val="21"/>
              </w:rPr>
            </w:pPr>
            <w:r>
              <w:rPr>
                <w:rFonts w:ascii="宋体" w:hAnsi="宋体" w:cs="宋体" w:eastAsia="宋体" w:hint="default"/>
                <w:sz w:val="21"/>
                <w:szCs w:val="21"/>
              </w:rPr>
              <w:t>上海数慧公司资产组</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105,741,027.49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r>
        <w:trPr>
          <w:trHeight w:val="715"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07" w:right="199" w:hanging="2207"/>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分摊至本资产组或资产组组合的商誉账面价值及分摊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方法</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全部分摊至上海数慧公司资产组</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285,022,442.48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r>
        <w:trPr>
          <w:trHeight w:val="716"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727" w:right="101" w:hanging="620"/>
              <w:jc w:val="left"/>
              <w:rPr>
                <w:rFonts w:ascii="宋体" w:hAnsi="宋体" w:cs="宋体" w:eastAsia="宋体" w:hint="default"/>
                <w:sz w:val="21"/>
                <w:szCs w:val="21"/>
              </w:rPr>
            </w:pPr>
            <w:r>
              <w:rPr>
                <w:rFonts w:ascii="宋体" w:hAnsi="宋体" w:cs="宋体" w:eastAsia="宋体" w:hint="default"/>
                <w:spacing w:val="-3"/>
                <w:sz w:val="21"/>
                <w:szCs w:val="21"/>
              </w:rPr>
              <w:t>资产组或资产组组合是否与购买日、以前年度商誉减值</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测试时所确定的资产组或资产组组合一致</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年度商誉减值测试时资产组或资产组组合构成</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21"/>
                <w:szCs w:val="21"/>
              </w:rPr>
            </w:pPr>
            <w:r>
              <w:rPr>
                <w:rFonts w:ascii="宋体" w:hAnsi="宋体" w:cs="宋体" w:eastAsia="宋体" w:hint="default"/>
                <w:sz w:val="21"/>
                <w:szCs w:val="21"/>
              </w:rPr>
              <w:t>上海数慧公司资产组</w:t>
            </w:r>
          </w:p>
        </w:tc>
      </w:tr>
    </w:tbl>
    <w:p>
      <w:pPr>
        <w:pStyle w:val="BodyText"/>
        <w:spacing w:line="357" w:lineRule="auto" w:before="79"/>
        <w:ind w:right="1153"/>
        <w:jc w:val="left"/>
      </w:pPr>
      <w:r>
        <w:rPr/>
        <w:t>说明商誉减值测试过程、关键参数（如预计未来现金流量现值时的预测期增长率、稳定期增 长率、利润率、折现率、预测期等）及商誉减值损失的确认方法：</w:t>
      </w:r>
    </w:p>
    <w:p>
      <w:pPr>
        <w:pStyle w:val="BodyText"/>
        <w:spacing w:line="338" w:lineRule="auto" w:before="74"/>
        <w:ind w:right="1113" w:firstLine="480"/>
        <w:jc w:val="left"/>
      </w:pPr>
      <w:r>
        <w:rPr>
          <w:rFonts w:ascii="Times New Roman" w:hAnsi="Times New Roman" w:cs="Times New Roman" w:eastAsia="Times New Roman" w:hint="default"/>
        </w:rPr>
        <w:t>(1)</w:t>
      </w:r>
      <w:r>
        <w:rPr/>
        <w:t>根据上海南康已签订的合同、协议、发展规划、历年经营趋势、行业发展趋势、市场</w:t>
      </w:r>
      <w:r>
        <w:rPr>
          <w:w w:val="99"/>
        </w:rPr>
        <w:t> </w:t>
      </w:r>
      <w:r>
        <w:rPr>
          <w:spacing w:val="-5"/>
          <w:w w:val="99"/>
        </w:rPr>
        <w:t>竞争情况等因素的综合分析，对评估基准日未来五年的主营业务收入及其相关的成本、费用、</w:t>
      </w:r>
      <w:r>
        <w:rPr>
          <w:spacing w:val="-5"/>
        </w:rPr>
      </w:r>
    </w:p>
    <w:p>
      <w:pPr>
        <w:spacing w:after="0" w:line="338"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left="233" w:right="1000"/>
        <w:jc w:val="left"/>
      </w:pPr>
      <w:r>
        <w:rPr>
          <w:spacing w:val="-8"/>
        </w:rPr>
        <w:t>利润忽略经营的波动性进行预测。公司</w:t>
      </w:r>
      <w:r>
        <w:rPr>
          <w:spacing w:val="-6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年至</w:t>
      </w:r>
      <w:r>
        <w:rPr>
          <w:spacing w:val="-69"/>
        </w:rPr>
        <w:t> </w:t>
      </w:r>
      <w:r>
        <w:rPr>
          <w:rFonts w:ascii="Times New Roman" w:hAnsi="Times New Roman" w:cs="Times New Roman" w:eastAsia="Times New Roman" w:hint="default"/>
        </w:rPr>
        <w:t>2023</w:t>
      </w:r>
      <w:r>
        <w:rPr>
          <w:rFonts w:ascii="Times New Roman" w:hAnsi="Times New Roman" w:cs="Times New Roman" w:eastAsia="Times New Roman" w:hint="default"/>
          <w:spacing w:val="-9"/>
        </w:rPr>
        <w:t> </w:t>
      </w:r>
      <w:r>
        <w:rPr/>
        <w:t>年预计销售收入增长率分别为</w:t>
      </w:r>
      <w:r>
        <w:rPr>
          <w:spacing w:val="-69"/>
        </w:rPr>
        <w:t> </w:t>
      </w:r>
      <w:r>
        <w:rPr>
          <w:rFonts w:ascii="Times New Roman" w:hAnsi="Times New Roman" w:cs="Times New Roman" w:eastAsia="Times New Roman" w:hint="default"/>
          <w:spacing w:val="-21"/>
        </w:rPr>
        <w:t>3%</w:t>
      </w:r>
      <w:r>
        <w:rPr>
          <w:spacing w:val="-21"/>
        </w:rPr>
        <w:t>、</w:t>
      </w:r>
      <w:r>
        <w:rPr>
          <w:rFonts w:ascii="Times New Roman" w:hAnsi="Times New Roman" w:cs="Times New Roman" w:eastAsia="Times New Roman" w:hint="default"/>
          <w:spacing w:val="-21"/>
        </w:rPr>
        <w:t>5%</w:t>
      </w:r>
      <w:r>
        <w:rPr>
          <w:spacing w:val="-21"/>
        </w:rPr>
        <w:t>、</w:t>
      </w:r>
      <w:r>
        <w:rPr/>
        <w:t> </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0%</w:t>
      </w:r>
      <w:r>
        <w:rPr>
          <w:spacing w:val="-3"/>
        </w:rPr>
        <w:t>。采用的折现率</w:t>
      </w:r>
      <w:r>
        <w:rPr>
          <w:spacing w:val="-60"/>
        </w:rPr>
        <w:t> </w:t>
      </w:r>
      <w:r>
        <w:rPr>
          <w:rFonts w:ascii="Times New Roman" w:hAnsi="Times New Roman" w:cs="Times New Roman" w:eastAsia="Times New Roman" w:hint="default"/>
        </w:rPr>
        <w:t>13.10%</w:t>
      </w:r>
      <w:r>
        <w:rPr/>
        <w:t>是反映当前市场货币时间价值和相关资产组特定风险的 税后利率。</w:t>
      </w:r>
    </w:p>
    <w:p>
      <w:pPr>
        <w:pStyle w:val="BodyText"/>
        <w:spacing w:line="343" w:lineRule="auto" w:before="96"/>
        <w:ind w:left="233" w:right="1113" w:firstLine="480"/>
        <w:jc w:val="left"/>
      </w:pPr>
      <w:r>
        <w:rPr>
          <w:rFonts w:ascii="Times New Roman" w:hAnsi="Times New Roman" w:cs="Times New Roman" w:eastAsia="Times New Roman" w:hint="default"/>
        </w:rPr>
        <w:t>(2)</w:t>
      </w:r>
      <w:r>
        <w:rPr/>
        <w:t>根据南京国图已签订的合同、协议、发展规划、历年经营趋势、行业发展趋势、市场</w:t>
      </w:r>
      <w:r>
        <w:rPr>
          <w:w w:val="99"/>
        </w:rPr>
        <w:t> </w:t>
      </w:r>
      <w:r>
        <w:rPr>
          <w:spacing w:val="-5"/>
          <w:w w:val="99"/>
        </w:rPr>
        <w:t>竞争情况等因素的综合分析，对评估基准日未来五年的主营业务收入及其相关的成本、费用、</w:t>
      </w:r>
      <w:r>
        <w:rPr>
          <w:spacing w:val="-117"/>
          <w:w w:val="99"/>
        </w:rPr>
        <w:t> </w:t>
      </w:r>
      <w:r>
        <w:rPr>
          <w:spacing w:val="-117"/>
          <w:w w:val="99"/>
        </w:rPr>
      </w:r>
      <w:r>
        <w:rPr/>
        <w:t>利润忽略经营的波动性进行预测。公司</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年至</w:t>
      </w:r>
      <w:r>
        <w:rPr>
          <w:spacing w:val="-61"/>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年预计销售收入增长率分别为</w:t>
      </w:r>
      <w:r>
        <w:rPr>
          <w:spacing w:val="-60"/>
        </w:rPr>
        <w:t> </w:t>
      </w:r>
      <w:r>
        <w:rPr>
          <w:rFonts w:ascii="Times New Roman" w:hAnsi="Times New Roman" w:cs="Times New Roman" w:eastAsia="Times New Roman" w:hint="default"/>
        </w:rPr>
        <w:t>30%</w:t>
      </w:r>
      <w:r>
        <w:rPr/>
        <w:t>、</w:t>
      </w:r>
      <w:r>
        <w:rPr>
          <w:w w:val="99"/>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5%</w:t>
      </w:r>
      <w:r>
        <w:rPr/>
        <w:t>。采用的折现率</w:t>
      </w:r>
      <w:r>
        <w:rPr>
          <w:spacing w:val="-61"/>
        </w:rPr>
        <w:t> </w:t>
      </w:r>
      <w:r>
        <w:rPr>
          <w:rFonts w:ascii="Times New Roman" w:hAnsi="Times New Roman" w:cs="Times New Roman" w:eastAsia="Times New Roman" w:hint="default"/>
        </w:rPr>
        <w:t>13.10%</w:t>
      </w:r>
      <w:r>
        <w:rPr/>
        <w:t>是反映当前市场货币时间价值和相关资产组特</w:t>
      </w:r>
      <w:r>
        <w:rPr>
          <w:w w:val="99"/>
        </w:rPr>
        <w:t> </w:t>
      </w:r>
      <w:r>
        <w:rPr/>
        <w:t>定风险的税后利率。</w:t>
      </w:r>
    </w:p>
    <w:p>
      <w:pPr>
        <w:pStyle w:val="BodyText"/>
        <w:spacing w:line="343" w:lineRule="auto" w:before="89"/>
        <w:ind w:left="233" w:right="1113" w:firstLine="480"/>
        <w:jc w:val="left"/>
      </w:pPr>
      <w:r>
        <w:rPr>
          <w:rFonts w:ascii="Times New Roman" w:hAnsi="Times New Roman" w:cs="Times New Roman" w:eastAsia="Times New Roman" w:hint="default"/>
        </w:rPr>
        <w:t>(3)</w:t>
      </w:r>
      <w:r>
        <w:rPr/>
        <w:t>根据北京安图已签订的合同、协议、发展规划、历年经营趋势、行业发展趋势、市场</w:t>
      </w:r>
      <w:r>
        <w:rPr>
          <w:w w:val="99"/>
        </w:rPr>
        <w:t> </w:t>
      </w:r>
      <w:r>
        <w:rPr>
          <w:spacing w:val="-5"/>
          <w:w w:val="99"/>
        </w:rPr>
        <w:t>竞争情况等因素的综合分析，对评估基准日未来五年的主营业务收入及其相关的成本、费用、</w:t>
      </w:r>
      <w:r>
        <w:rPr>
          <w:spacing w:val="-117"/>
          <w:w w:val="99"/>
        </w:rPr>
        <w:t> </w:t>
      </w:r>
      <w:r>
        <w:rPr>
          <w:spacing w:val="-117"/>
          <w:w w:val="99"/>
        </w:rPr>
      </w:r>
      <w:r>
        <w:rPr/>
        <w:t>利润忽略经营的波动性进行预测。公司</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年至</w:t>
      </w:r>
      <w:r>
        <w:rPr>
          <w:spacing w:val="-61"/>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年预计销售收入增长率分别为</w:t>
      </w:r>
      <w:r>
        <w:rPr>
          <w:spacing w:val="-60"/>
        </w:rPr>
        <w:t> </w:t>
      </w:r>
      <w:r>
        <w:rPr>
          <w:rFonts w:ascii="Times New Roman" w:hAnsi="Times New Roman" w:cs="Times New Roman" w:eastAsia="Times New Roman" w:hint="default"/>
        </w:rPr>
        <w:t>10%</w:t>
      </w:r>
      <w:r>
        <w:rPr/>
        <w:t>、</w:t>
      </w:r>
      <w:r>
        <w:rPr>
          <w:w w:val="99"/>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0%</w:t>
      </w:r>
      <w:r>
        <w:rPr/>
        <w:t>、</w:t>
      </w:r>
      <w:r>
        <w:rPr>
          <w:rFonts w:ascii="Times New Roman" w:hAnsi="Times New Roman" w:cs="Times New Roman" w:eastAsia="Times New Roman" w:hint="default"/>
        </w:rPr>
        <w:t>0%</w:t>
      </w:r>
      <w:r>
        <w:rPr/>
        <w:t>、</w:t>
      </w:r>
      <w:r>
        <w:rPr>
          <w:rFonts w:ascii="Times New Roman" w:hAnsi="Times New Roman" w:cs="Times New Roman" w:eastAsia="Times New Roman" w:hint="default"/>
        </w:rPr>
        <w:t>0%</w:t>
      </w:r>
      <w:r>
        <w:rPr/>
        <w:t>。采用的折现率</w:t>
      </w:r>
      <w:r>
        <w:rPr>
          <w:spacing w:val="-61"/>
        </w:rPr>
        <w:t> </w:t>
      </w:r>
      <w:r>
        <w:rPr>
          <w:rFonts w:ascii="Times New Roman" w:hAnsi="Times New Roman" w:cs="Times New Roman" w:eastAsia="Times New Roman" w:hint="default"/>
        </w:rPr>
        <w:t>13.10%</w:t>
      </w:r>
      <w:r>
        <w:rPr/>
        <w:t>是反映当前市场货币时间价值和相关资产组特定</w:t>
      </w:r>
      <w:r>
        <w:rPr>
          <w:w w:val="99"/>
        </w:rPr>
        <w:t> </w:t>
      </w:r>
      <w:r>
        <w:rPr/>
        <w:t>风险的税后利率。</w:t>
      </w:r>
    </w:p>
    <w:p>
      <w:pPr>
        <w:pStyle w:val="BodyText"/>
        <w:spacing w:line="343" w:lineRule="auto" w:before="91"/>
        <w:ind w:left="233" w:right="1113" w:firstLine="480"/>
        <w:jc w:val="left"/>
      </w:pPr>
      <w:r>
        <w:rPr>
          <w:rFonts w:ascii="Times New Roman" w:hAnsi="Times New Roman" w:cs="Times New Roman" w:eastAsia="Times New Roman" w:hint="default"/>
        </w:rPr>
        <w:t>(4)</w:t>
      </w:r>
      <w:r>
        <w:rPr/>
        <w:t>根据上海数慧已签订的合同、协议、发展规划、历年经营趋势、行业发展趋势、市场</w:t>
      </w:r>
      <w:r>
        <w:rPr>
          <w:w w:val="99"/>
        </w:rPr>
        <w:t> </w:t>
      </w:r>
      <w:r>
        <w:rPr>
          <w:spacing w:val="-5"/>
          <w:w w:val="99"/>
        </w:rPr>
        <w:t>竞争情况等因素的综合分析，对评估基准日未来五年的主营业务收入及其相关的成本、费用、</w:t>
      </w:r>
      <w:r>
        <w:rPr>
          <w:spacing w:val="-117"/>
          <w:w w:val="99"/>
        </w:rPr>
        <w:t> </w:t>
      </w:r>
      <w:r>
        <w:rPr>
          <w:spacing w:val="-117"/>
          <w:w w:val="99"/>
        </w:rPr>
      </w:r>
      <w:r>
        <w:rPr/>
        <w:t>利润忽略经营的波动性进行预测。上海数慧公司公司</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年至</w:t>
      </w:r>
      <w:r>
        <w:rPr>
          <w:spacing w:val="-61"/>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年预计销售收入增长率</w:t>
      </w:r>
      <w:r>
        <w:rPr>
          <w:w w:val="99"/>
        </w:rPr>
        <w:t> </w:t>
      </w:r>
      <w:r>
        <w:rPr/>
        <w:t>分别为</w:t>
      </w:r>
      <w:r>
        <w:rPr>
          <w:spacing w:val="-61"/>
        </w:rPr>
        <w:t> </w:t>
      </w:r>
      <w:r>
        <w:rPr>
          <w:rFonts w:ascii="Times New Roman" w:hAnsi="Times New Roman" w:cs="Times New Roman" w:eastAsia="Times New Roman" w:hint="default"/>
        </w:rPr>
        <w:t>15%</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0%</w:t>
      </w:r>
      <w:r>
        <w:rPr/>
        <w:t>。采用的折现率</w:t>
      </w:r>
      <w:r>
        <w:rPr>
          <w:spacing w:val="-61"/>
        </w:rPr>
        <w:t> </w:t>
      </w:r>
      <w:r>
        <w:rPr>
          <w:rFonts w:ascii="Times New Roman" w:hAnsi="Times New Roman" w:cs="Times New Roman" w:eastAsia="Times New Roman" w:hint="default"/>
        </w:rPr>
        <w:t>13.10%</w:t>
      </w:r>
      <w:r>
        <w:rPr/>
        <w:t>是反映当前市场货币时间价值和</w:t>
      </w:r>
      <w:r>
        <w:rPr>
          <w:w w:val="99"/>
        </w:rPr>
        <w:t> </w:t>
      </w:r>
      <w:r>
        <w:rPr/>
        <w:t>相关资产组特定风险的税后利率。</w:t>
      </w:r>
    </w:p>
    <w:p>
      <w:pPr>
        <w:pStyle w:val="BodyText"/>
        <w:spacing w:line="240" w:lineRule="auto" w:before="12"/>
        <w:ind w:left="233" w:right="1000"/>
        <w:jc w:val="left"/>
      </w:pPr>
      <w:r>
        <w:rPr/>
        <w:t>商誉减值测试的影响</w:t>
      </w:r>
    </w:p>
    <w:p>
      <w:pPr>
        <w:pStyle w:val="BodyText"/>
        <w:spacing w:line="240" w:lineRule="auto" w:before="163"/>
        <w:ind w:left="713" w:right="1000"/>
        <w:jc w:val="left"/>
      </w:pPr>
      <w:r>
        <w:rPr/>
        <w:t>（</w:t>
      </w:r>
      <w:r>
        <w:rPr>
          <w:rFonts w:ascii="Times New Roman" w:hAnsi="Times New Roman" w:cs="Times New Roman" w:eastAsia="Times New Roman" w:hint="default"/>
        </w:rPr>
        <w:t>1</w:t>
      </w:r>
      <w:r>
        <w:rPr/>
        <w:t>）上海南康</w:t>
      </w:r>
    </w:p>
    <w:p>
      <w:pPr>
        <w:pStyle w:val="BodyText"/>
        <w:spacing w:line="240" w:lineRule="auto" w:before="169"/>
        <w:ind w:left="0" w:right="1769"/>
        <w:jc w:val="right"/>
      </w:pPr>
      <w:r>
        <w:rPr/>
        <w:t>单位：万元</w:t>
      </w:r>
    </w:p>
    <w:p>
      <w:pPr>
        <w:spacing w:line="240" w:lineRule="auto" w:before="7"/>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973"/>
        <w:gridCol w:w="1973"/>
        <w:gridCol w:w="1973"/>
        <w:gridCol w:w="1973"/>
        <w:gridCol w:w="1973"/>
      </w:tblGrid>
      <w:tr>
        <w:trPr>
          <w:trHeight w:val="5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年度</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662"/>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r>
      <w:tr>
        <w:trPr>
          <w:trHeight w:val="5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业绩承诺金额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10"/>
              <w:jc w:val="right"/>
              <w:rPr>
                <w:rFonts w:ascii="Times New Roman" w:hAnsi="Times New Roman" w:cs="Times New Roman" w:eastAsia="Times New Roman" w:hint="default"/>
                <w:sz w:val="21"/>
                <w:szCs w:val="21"/>
              </w:rPr>
            </w:pPr>
            <w:r>
              <w:rPr>
                <w:rFonts w:ascii="Times New Roman"/>
                <w:spacing w:val="-1"/>
                <w:sz w:val="21"/>
              </w:rPr>
              <w:t>1,250.00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1,562.50</w:t>
            </w:r>
          </w:p>
        </w:tc>
      </w:tr>
      <w:tr>
        <w:trPr>
          <w:trHeight w:val="552"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实际完成情况</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871.47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1,067.29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10"/>
              <w:jc w:val="right"/>
              <w:rPr>
                <w:rFonts w:ascii="Times New Roman" w:hAnsi="Times New Roman" w:cs="Times New Roman" w:eastAsia="Times New Roman" w:hint="default"/>
                <w:sz w:val="21"/>
                <w:szCs w:val="21"/>
              </w:rPr>
            </w:pPr>
            <w:r>
              <w:rPr>
                <w:rFonts w:ascii="Times New Roman"/>
                <w:spacing w:val="-1"/>
                <w:sz w:val="21"/>
              </w:rPr>
              <w:t>1,381.22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2,132.13</w:t>
            </w:r>
          </w:p>
        </w:tc>
      </w:tr>
    </w:tbl>
    <w:p>
      <w:pPr>
        <w:spacing w:line="240" w:lineRule="auto" w:before="10"/>
        <w:rPr>
          <w:rFonts w:ascii="宋体" w:hAnsi="宋体" w:cs="宋体" w:eastAsia="宋体" w:hint="default"/>
          <w:sz w:val="7"/>
          <w:szCs w:val="7"/>
        </w:rPr>
      </w:pPr>
    </w:p>
    <w:p>
      <w:pPr>
        <w:pStyle w:val="BodyText"/>
        <w:spacing w:line="331" w:lineRule="auto" w:before="26"/>
        <w:ind w:left="233" w:right="1116" w:firstLine="484"/>
        <w:jc w:val="left"/>
      </w:pPr>
      <w:r>
        <w:rPr/>
        <w:t>上海南康对赌期 </w:t>
      </w:r>
      <w:r>
        <w:rPr>
          <w:rFonts w:ascii="Times New Roman" w:hAnsi="Times New Roman" w:cs="Times New Roman" w:eastAsia="Times New Roman" w:hint="default"/>
        </w:rPr>
        <w:t>2015-2018</w:t>
      </w:r>
      <w:r>
        <w:rPr>
          <w:rFonts w:ascii="Times New Roman" w:hAnsi="Times New Roman" w:cs="Times New Roman" w:eastAsia="Times New Roman" w:hint="default"/>
          <w:spacing w:val="13"/>
        </w:rPr>
        <w:t> </w:t>
      </w:r>
      <w:r>
        <w:rPr/>
        <w:t>年度均完成了当年度的业绩承诺。前述减值测试结果表明， 收购上海南康形成的商誉不存在减值。</w:t>
      </w:r>
    </w:p>
    <w:p>
      <w:pPr>
        <w:pStyle w:val="BodyText"/>
        <w:spacing w:line="240" w:lineRule="auto" w:before="94"/>
        <w:ind w:left="718" w:right="1000"/>
        <w:jc w:val="left"/>
      </w:pPr>
      <w:r>
        <w:rPr/>
        <w:t>（</w:t>
      </w:r>
      <w:r>
        <w:rPr>
          <w:rFonts w:ascii="Times New Roman" w:hAnsi="Times New Roman" w:cs="Times New Roman" w:eastAsia="Times New Roman" w:hint="default"/>
        </w:rPr>
        <w:t>2</w:t>
      </w:r>
      <w:r>
        <w:rPr/>
        <w:t>）南京国图公司</w:t>
      </w:r>
    </w:p>
    <w:p>
      <w:pPr>
        <w:pStyle w:val="BodyText"/>
        <w:spacing w:line="240" w:lineRule="auto" w:before="169"/>
        <w:ind w:left="0" w:right="1131"/>
        <w:jc w:val="right"/>
      </w:pPr>
      <w:r>
        <w:rPr/>
        <w:t>单位：万元</w:t>
      </w:r>
    </w:p>
    <w:p>
      <w:pPr>
        <w:spacing w:after="0" w:line="240" w:lineRule="auto"/>
        <w:jc w:val="right"/>
        <w:sectPr>
          <w:pgSz w:w="11910" w:h="16840"/>
          <w:pgMar w:header="87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973"/>
        <w:gridCol w:w="1973"/>
        <w:gridCol w:w="1973"/>
        <w:gridCol w:w="1973"/>
        <w:gridCol w:w="1973"/>
      </w:tblGrid>
      <w:tr>
        <w:trPr>
          <w:trHeight w:val="5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年度</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r>
      <w:tr>
        <w:trPr>
          <w:trHeight w:val="5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业绩承诺金额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sz w:val="21"/>
              </w:rPr>
              <w:t>2,600.00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sz w:val="21"/>
              </w:rPr>
              <w:t>3,400.00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4,420.00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5,746.00</w:t>
            </w:r>
          </w:p>
        </w:tc>
      </w:tr>
      <w:tr>
        <w:trPr>
          <w:trHeight w:val="552"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实际完成情况</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sz w:val="21"/>
              </w:rPr>
              <w:t>3,020.31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sz w:val="21"/>
              </w:rPr>
              <w:t>3,769.21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4,537.35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6,004.31</w:t>
            </w:r>
          </w:p>
        </w:tc>
      </w:tr>
    </w:tbl>
    <w:p>
      <w:pPr>
        <w:spacing w:line="240" w:lineRule="auto" w:before="10"/>
        <w:rPr>
          <w:rFonts w:ascii="宋体" w:hAnsi="宋体" w:cs="宋体" w:eastAsia="宋体" w:hint="default"/>
          <w:sz w:val="7"/>
          <w:szCs w:val="7"/>
        </w:rPr>
      </w:pPr>
    </w:p>
    <w:p>
      <w:pPr>
        <w:pStyle w:val="BodyText"/>
        <w:spacing w:line="331" w:lineRule="auto" w:before="26"/>
        <w:ind w:left="233" w:right="1116" w:firstLine="484"/>
        <w:jc w:val="left"/>
      </w:pPr>
      <w:r>
        <w:rPr/>
        <w:t>南京国图对赌期 </w:t>
      </w:r>
      <w:r>
        <w:rPr>
          <w:rFonts w:ascii="Times New Roman" w:hAnsi="Times New Roman" w:cs="Times New Roman" w:eastAsia="Times New Roman" w:hint="default"/>
        </w:rPr>
        <w:t>2015-2018</w:t>
      </w:r>
      <w:r>
        <w:rPr>
          <w:rFonts w:ascii="Times New Roman" w:hAnsi="Times New Roman" w:cs="Times New Roman" w:eastAsia="Times New Roman" w:hint="default"/>
          <w:spacing w:val="13"/>
        </w:rPr>
        <w:t> </w:t>
      </w:r>
      <w:r>
        <w:rPr/>
        <w:t>年度均完成了当年度的业绩承诺。前述减值测试结果表明， 收购南京国图形成的商誉不存在减值。</w:t>
      </w:r>
    </w:p>
    <w:p>
      <w:pPr>
        <w:pStyle w:val="BodyText"/>
        <w:spacing w:line="240" w:lineRule="auto" w:before="94"/>
        <w:ind w:left="718" w:right="1000"/>
        <w:jc w:val="left"/>
      </w:pPr>
      <w:r>
        <w:rPr/>
        <w:t>（</w:t>
      </w:r>
      <w:r>
        <w:rPr>
          <w:rFonts w:ascii="Times New Roman" w:hAnsi="Times New Roman" w:cs="Times New Roman" w:eastAsia="Times New Roman" w:hint="default"/>
        </w:rPr>
        <w:t>3</w:t>
      </w:r>
      <w:r>
        <w:rPr/>
        <w:t>）世纪安图公司</w:t>
      </w:r>
    </w:p>
    <w:p>
      <w:pPr>
        <w:pStyle w:val="BodyText"/>
        <w:spacing w:line="240" w:lineRule="auto" w:before="169"/>
        <w:ind w:left="0" w:right="1131"/>
        <w:jc w:val="right"/>
      </w:pPr>
      <w:r>
        <w:rPr/>
        <w:t>单位：万元</w:t>
      </w:r>
    </w:p>
    <w:p>
      <w:pPr>
        <w:spacing w:line="240" w:lineRule="auto" w:before="7"/>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468"/>
        <w:gridCol w:w="2470"/>
        <w:gridCol w:w="2465"/>
        <w:gridCol w:w="2463"/>
      </w:tblGrid>
      <w:tr>
        <w:trPr>
          <w:trHeight w:val="550"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年度</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r>
      <w:tr>
        <w:trPr>
          <w:trHeight w:val="550"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业绩承诺金额</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950.00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1,250.00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1,600.00</w:t>
            </w:r>
          </w:p>
        </w:tc>
      </w:tr>
      <w:tr>
        <w:trPr>
          <w:trHeight w:val="55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实际完成情况</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965.60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1,269.14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2,266.03</w:t>
            </w:r>
          </w:p>
        </w:tc>
      </w:tr>
    </w:tbl>
    <w:p>
      <w:pPr>
        <w:spacing w:line="240" w:lineRule="auto" w:before="10"/>
        <w:rPr>
          <w:rFonts w:ascii="宋体" w:hAnsi="宋体" w:cs="宋体" w:eastAsia="宋体" w:hint="default"/>
          <w:sz w:val="7"/>
          <w:szCs w:val="7"/>
        </w:rPr>
      </w:pPr>
    </w:p>
    <w:p>
      <w:pPr>
        <w:pStyle w:val="BodyText"/>
        <w:spacing w:line="331" w:lineRule="auto" w:before="26"/>
        <w:ind w:left="233" w:right="1116" w:firstLine="484"/>
        <w:jc w:val="left"/>
      </w:pPr>
      <w:r>
        <w:rPr/>
        <w:t>北京安图对赌期 </w:t>
      </w:r>
      <w:r>
        <w:rPr>
          <w:rFonts w:ascii="Times New Roman" w:hAnsi="Times New Roman" w:cs="Times New Roman" w:eastAsia="Times New Roman" w:hint="default"/>
        </w:rPr>
        <w:t>2016-2018</w:t>
      </w:r>
      <w:r>
        <w:rPr>
          <w:rFonts w:ascii="Times New Roman" w:hAnsi="Times New Roman" w:cs="Times New Roman" w:eastAsia="Times New Roman" w:hint="default"/>
          <w:spacing w:val="13"/>
        </w:rPr>
        <w:t> </w:t>
      </w:r>
      <w:r>
        <w:rPr/>
        <w:t>年度均完成了当年度的业绩承诺。前述减值测试结果表明， 收购北京安图形成的商誉不存在减值。</w:t>
      </w:r>
    </w:p>
    <w:p>
      <w:pPr>
        <w:pStyle w:val="BodyText"/>
        <w:spacing w:line="240" w:lineRule="auto" w:before="94"/>
        <w:ind w:left="713" w:right="1000"/>
        <w:jc w:val="left"/>
      </w:pPr>
      <w:r>
        <w:rPr/>
        <w:t>（</w:t>
      </w:r>
      <w:r>
        <w:rPr>
          <w:rFonts w:ascii="Times New Roman" w:hAnsi="Times New Roman" w:cs="Times New Roman" w:eastAsia="Times New Roman" w:hint="default"/>
        </w:rPr>
        <w:t>4</w:t>
      </w:r>
      <w:r>
        <w:rPr/>
        <w:t>）上海数慧公司</w:t>
      </w:r>
    </w:p>
    <w:p>
      <w:pPr>
        <w:pStyle w:val="BodyText"/>
        <w:spacing w:line="240" w:lineRule="auto" w:before="169"/>
        <w:ind w:left="0" w:right="1131"/>
        <w:jc w:val="right"/>
      </w:pPr>
      <w:r>
        <w:rPr/>
        <w:t>单位：万元</w:t>
      </w:r>
    </w:p>
    <w:p>
      <w:pPr>
        <w:spacing w:line="240" w:lineRule="auto" w:before="7"/>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287"/>
        <w:gridCol w:w="3291"/>
        <w:gridCol w:w="3289"/>
      </w:tblGrid>
      <w:tr>
        <w:trPr>
          <w:trHeight w:val="550"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年度</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r>
      <w:tr>
        <w:trPr>
          <w:trHeight w:val="550"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业绩承诺金额</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2,400.00</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3,200.00</w:t>
            </w:r>
          </w:p>
        </w:tc>
      </w:tr>
      <w:tr>
        <w:trPr>
          <w:trHeight w:val="55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实际完成情况</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2,609.76</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3,802.38</w:t>
            </w:r>
          </w:p>
        </w:tc>
      </w:tr>
    </w:tbl>
    <w:p>
      <w:pPr>
        <w:spacing w:line="240" w:lineRule="auto" w:before="10"/>
        <w:rPr>
          <w:rFonts w:ascii="宋体" w:hAnsi="宋体" w:cs="宋体" w:eastAsia="宋体" w:hint="default"/>
          <w:sz w:val="7"/>
          <w:szCs w:val="7"/>
        </w:rPr>
      </w:pPr>
    </w:p>
    <w:p>
      <w:pPr>
        <w:pStyle w:val="BodyText"/>
        <w:spacing w:line="331" w:lineRule="auto" w:before="26"/>
        <w:ind w:left="233" w:right="1117" w:firstLine="484"/>
        <w:jc w:val="left"/>
      </w:pPr>
      <w:r>
        <w:rPr/>
        <w:t>上海数慧对赌期 </w:t>
      </w:r>
      <w:r>
        <w:rPr>
          <w:rFonts w:ascii="Times New Roman" w:hAnsi="Times New Roman" w:cs="Times New Roman" w:eastAsia="Times New Roman" w:hint="default"/>
        </w:rPr>
        <w:t>2017-2018</w:t>
      </w:r>
      <w:r>
        <w:rPr>
          <w:rFonts w:ascii="Times New Roman" w:hAnsi="Times New Roman" w:cs="Times New Roman" w:eastAsia="Times New Roman" w:hint="default"/>
          <w:spacing w:val="12"/>
        </w:rPr>
        <w:t> </w:t>
      </w:r>
      <w:r>
        <w:rPr/>
        <w:t>年度均完成了当年度的业绩承诺。前述减值测试结果表明， 收购上海数慧形成的商誉不存在减值。</w:t>
      </w:r>
    </w:p>
    <w:p>
      <w:pPr>
        <w:pStyle w:val="Heading2"/>
        <w:spacing w:line="240" w:lineRule="auto" w:before="46"/>
        <w:ind w:left="233" w:right="100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8"/>
          <w:szCs w:val="8"/>
        </w:rPr>
      </w:pPr>
    </w:p>
    <w:tbl>
      <w:tblPr>
        <w:tblW w:w="0" w:type="auto"/>
        <w:jc w:val="left"/>
        <w:tblInd w:w="22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房屋装修等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1,392,352.18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2,167,832.38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1,011,263.74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17,672.96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2,531,247.86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259,614.43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84,559.46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152,306.96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191,866.93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1,651,966.61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2,252,391.84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1,163,570.70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17,672.96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2,723,114.79</w:t>
            </w:r>
          </w:p>
        </w:tc>
      </w:tr>
    </w:tbl>
    <w:p>
      <w:pPr>
        <w:pStyle w:val="BodyText"/>
        <w:spacing w:line="240" w:lineRule="auto" w:before="39"/>
        <w:ind w:left="233" w:right="1000"/>
        <w:jc w:val="left"/>
      </w:pPr>
      <w:r>
        <w:rPr/>
        <w:t>其他说明</w:t>
      </w:r>
    </w:p>
    <w:p>
      <w:pPr>
        <w:spacing w:after="0" w:line="240" w:lineRule="auto"/>
        <w:jc w:val="left"/>
        <w:sectPr>
          <w:pgSz w:w="11910" w:h="16840"/>
          <w:pgMar w:header="877" w:footer="979" w:top="1060" w:bottom="1160" w:left="90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79" w:top="1060" w:bottom="1160" w:left="980" w:right="0"/>
        </w:sectPr>
      </w:pPr>
    </w:p>
    <w:p>
      <w:pPr>
        <w:pStyle w:val="Heading2"/>
        <w:spacing w:line="240" w:lineRule="auto" w:before="26"/>
        <w:ind w:right="-2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pStyle w:val="Heading2"/>
        <w:spacing w:line="240" w:lineRule="auto" w:before="135"/>
        <w:ind w:right="-2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5"/>
          <w:szCs w:val="25"/>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075" w:space="4485"/>
            <w:col w:w="2370"/>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1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107,012,519.34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12,021,020.28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85,824,848.85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10,033,762.56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1,566,666.80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235,000.02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1,966,666.80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295,000.02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2,601,000.00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260,100.00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5,464,300.00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546,430.00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未弥补亏损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4,534,587.25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1,578,489.82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115,714,773.39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14,094,610.12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93,255,815.65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10,875,192.58</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24"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82"/>
              <w:jc w:val="left"/>
              <w:rPr>
                <w:rFonts w:ascii="宋体" w:hAnsi="宋体" w:cs="宋体" w:eastAsia="宋体" w:hint="default"/>
                <w:sz w:val="21"/>
                <w:szCs w:val="21"/>
              </w:rPr>
            </w:pPr>
            <w:r>
              <w:rPr>
                <w:rFonts w:ascii="宋体" w:hAnsi="宋体" w:cs="宋体" w:eastAsia="宋体" w:hint="default"/>
                <w:sz w:val="21"/>
                <w:szCs w:val="21"/>
              </w:rPr>
              <w:t>非同一控制企业合</w:t>
            </w:r>
            <w:r>
              <w:rPr>
                <w:rFonts w:ascii="宋体" w:hAnsi="宋体" w:cs="宋体" w:eastAsia="宋体" w:hint="default"/>
                <w:w w:val="100"/>
                <w:sz w:val="21"/>
                <w:szCs w:val="21"/>
              </w:rPr>
              <w:t> </w:t>
            </w:r>
            <w:r>
              <w:rPr>
                <w:rFonts w:ascii="宋体" w:hAnsi="宋体" w:cs="宋体" w:eastAsia="宋体" w:hint="default"/>
                <w:sz w:val="21"/>
                <w:szCs w:val="21"/>
              </w:rPr>
              <w:t>并资产评估增值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8,925,338.76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1,338,800.81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13,124,027.58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1,968,604.13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8,925,338.76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1,338,800.81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13,124,027.58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1,968,604.13</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vMerge w:val="restart"/>
            <w:tcBorders>
              <w:top w:val="single" w:sz="4" w:space="0" w:color="000000"/>
              <w:left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2" w:right="108"/>
              <w:jc w:val="center"/>
              <w:rPr>
                <w:rFonts w:ascii="宋体" w:hAnsi="宋体" w:cs="宋体" w:eastAsia="宋体" w:hint="default"/>
                <w:sz w:val="21"/>
                <w:szCs w:val="21"/>
              </w:rPr>
            </w:pPr>
            <w:r>
              <w:rPr>
                <w:rFonts w:ascii="宋体" w:hAnsi="宋体" w:cs="宋体" w:eastAsia="宋体" w:hint="default"/>
                <w:spacing w:val="-2"/>
                <w:sz w:val="21"/>
                <w:szCs w:val="21"/>
              </w:rPr>
              <w:t>抵销后递延所得税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资产或负债期末余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2" w:right="108"/>
              <w:jc w:val="center"/>
              <w:rPr>
                <w:rFonts w:ascii="宋体" w:hAnsi="宋体" w:cs="宋体" w:eastAsia="宋体" w:hint="default"/>
                <w:sz w:val="21"/>
                <w:szCs w:val="21"/>
              </w:rPr>
            </w:pPr>
            <w:r>
              <w:rPr>
                <w:rFonts w:ascii="宋体" w:hAnsi="宋体" w:cs="宋体" w:eastAsia="宋体" w:hint="default"/>
                <w:spacing w:val="-2"/>
                <w:sz w:val="21"/>
                <w:szCs w:val="21"/>
              </w:rPr>
              <w:t>抵销后递延所得税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资产或负债期初余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r>
      <w:tr>
        <w:trPr>
          <w:trHeight w:val="15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2" w:right="108"/>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负债期末互抵金额</w:t>
            </w:r>
          </w:p>
        </w:tc>
        <w:tc>
          <w:tcPr>
            <w:tcW w:w="1916"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2" w:right="106"/>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负债期初互抵金额</w:t>
            </w:r>
          </w:p>
        </w:tc>
        <w:tc>
          <w:tcPr>
            <w:tcW w:w="1916" w:type="dxa"/>
            <w:vMerge/>
            <w:tcBorders>
              <w:left w:val="single" w:sz="4" w:space="0" w:color="000000"/>
              <w:right w:val="single" w:sz="4" w:space="0" w:color="000000"/>
            </w:tcBorders>
            <w:shd w:val="clear" w:color="auto" w:fill="D2D2D2"/>
          </w:tcPr>
          <w:p>
            <w:pP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56" w:hRule="exact"/>
        </w:trPr>
        <w:tc>
          <w:tcPr>
            <w:tcW w:w="1901" w:type="dxa"/>
            <w:vMerge w:val="restart"/>
            <w:tcBorders>
              <w:top w:val="nil" w:sz="6" w:space="0" w:color="auto"/>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14,094,610.12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10,875,192.58</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1,338,800.81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1,968,604.13</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3,216,532.12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1,726,776.96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13,488,593.66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4,734,481.17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16,705,125.78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6,461,258.13</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4"/>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年份</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2"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28,481.55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2020</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414,909.00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2021</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2,562,601.00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1,642,273.53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1,728,489.62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5,330,891.30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2024</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2025</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2026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867,364.86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2027</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Times New Roman" w:hAnsi="Times New Roman" w:cs="Times New Roman" w:eastAsia="Times New Roman" w:hint="default"/>
                <w:sz w:val="21"/>
                <w:szCs w:val="21"/>
              </w:rPr>
            </w:pPr>
            <w:r>
              <w:rPr>
                <w:rFonts w:ascii="Times New Roman"/>
                <w:sz w:val="21"/>
              </w:rPr>
              <w:t>2028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5"/>
              <w:jc w:val="right"/>
              <w:rPr>
                <w:rFonts w:ascii="Times New Roman" w:hAnsi="Times New Roman" w:cs="Times New Roman" w:eastAsia="Times New Roman" w:hint="default"/>
                <w:sz w:val="21"/>
                <w:szCs w:val="21"/>
              </w:rPr>
            </w:pPr>
            <w:r>
              <w:rPr>
                <w:rFonts w:ascii="Times New Roman"/>
                <w:spacing w:val="-1"/>
                <w:sz w:val="21"/>
              </w:rPr>
              <w:t>5,648,063.97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13,488,593.66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4,734,481.17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060" w:bottom="1160" w:left="980" w:right="0"/>
        </w:sectPr>
      </w:pPr>
    </w:p>
    <w:p>
      <w:pPr>
        <w:pStyle w:val="BodyText"/>
        <w:spacing w:line="357" w:lineRule="auto" w:before="39"/>
        <w:ind w:right="946"/>
        <w:jc w:val="left"/>
      </w:pPr>
      <w:r>
        <w:rPr/>
        <w:t>其他说明： 无</w:t>
      </w:r>
    </w:p>
    <w:p>
      <w:pPr>
        <w:pStyle w:val="Heading2"/>
        <w:spacing w:line="240" w:lineRule="auto" w:before="36"/>
        <w:ind w:right="0"/>
        <w:jc w:val="left"/>
        <w:rPr>
          <w:b w:val="0"/>
          <w:bCs w:val="0"/>
        </w:rPr>
      </w:pPr>
      <w:r>
        <w:rPr>
          <w:rFonts w:ascii="Times New Roman" w:hAnsi="Times New Roman" w:cs="Times New Roman" w:eastAsia="Times New Roman" w:hint="default"/>
          <w:w w:val="95"/>
        </w:rPr>
        <w:t>17</w:t>
      </w:r>
      <w:r>
        <w:rPr>
          <w:w w:val="95"/>
        </w:rPr>
        <w:t>、其他非流动资产</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86"/>
        <w:ind w:right="0"/>
        <w:jc w:val="left"/>
      </w:pPr>
      <w:r>
        <w:rPr/>
        <w:t>单位： 元</w:t>
      </w:r>
    </w:p>
    <w:p>
      <w:pPr>
        <w:spacing w:after="0" w:line="240" w:lineRule="auto"/>
        <w:jc w:val="left"/>
        <w:sectPr>
          <w:type w:val="continuous"/>
          <w:pgSz w:w="11910" w:h="16840"/>
          <w:pgMar w:top="1060" w:bottom="1160" w:left="980" w:right="0"/>
          <w:cols w:num="2" w:equalWidth="0">
            <w:col w:w="2320" w:space="6240"/>
            <w:col w:w="2370"/>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预付购房款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1,230,000.00</w:t>
            </w:r>
          </w:p>
        </w:tc>
      </w:tr>
    </w:tbl>
    <w:p>
      <w:pPr>
        <w:pStyle w:val="BodyText"/>
        <w:spacing w:line="388" w:lineRule="auto" w:before="79"/>
        <w:ind w:right="9553"/>
        <w:jc w:val="left"/>
      </w:pPr>
      <w:r>
        <w:rPr/>
        <w:t>其他说明： 无</w:t>
      </w:r>
    </w:p>
    <w:p>
      <w:pPr>
        <w:spacing w:after="0" w:line="388" w:lineRule="auto"/>
        <w:jc w:val="left"/>
        <w:sectPr>
          <w:type w:val="continuous"/>
          <w:pgSz w:w="11910" w:h="16840"/>
          <w:pgMar w:top="1060" w:bottom="1160" w:left="980" w:right="0"/>
        </w:sectPr>
      </w:pPr>
    </w:p>
    <w:p>
      <w:pPr>
        <w:pStyle w:val="Heading2"/>
        <w:spacing w:line="240" w:lineRule="auto" w:before="43"/>
        <w:ind w:right="0"/>
        <w:jc w:val="left"/>
        <w:rPr>
          <w:b w:val="0"/>
          <w:bCs w:val="0"/>
        </w:rPr>
      </w:pPr>
      <w:r>
        <w:rPr>
          <w:rFonts w:ascii="Times New Roman" w:hAnsi="Times New Roman" w:cs="Times New Roman" w:eastAsia="Times New Roman" w:hint="default"/>
        </w:rPr>
        <w:t>18</w:t>
      </w:r>
      <w:r>
        <w:rPr/>
        <w:t>、短期借款</w:t>
      </w:r>
      <w:r>
        <w:rPr>
          <w:b w:val="0"/>
          <w:bCs w:val="0"/>
        </w:rPr>
      </w:r>
    </w:p>
    <w:p>
      <w:pPr>
        <w:pStyle w:val="Heading2"/>
        <w:spacing w:line="240" w:lineRule="auto" w:before="135"/>
        <w:ind w:right="0"/>
        <w:jc w:val="left"/>
        <w:rPr>
          <w:b w:val="0"/>
          <w:bCs w:val="0"/>
        </w:rPr>
      </w:pPr>
      <w:r>
        <w:rPr>
          <w:w w:val="95"/>
        </w:rPr>
        <w:t>（</w:t>
      </w:r>
      <w:r>
        <w:rPr>
          <w:rFonts w:ascii="Times New Roman" w:hAnsi="Times New Roman" w:cs="Times New Roman" w:eastAsia="Times New Roman" w:hint="default"/>
          <w:w w:val="95"/>
        </w:rPr>
        <w:t>1</w:t>
      </w:r>
      <w:r>
        <w:rPr>
          <w:w w:val="95"/>
        </w:rPr>
        <w:t>）短期借款分类</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201" w:space="6359"/>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6,544,797.80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5,055,848.52</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6,544,797.80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5,055,848.52</w:t>
            </w:r>
          </w:p>
        </w:tc>
      </w:tr>
    </w:tbl>
    <w:p>
      <w:pPr>
        <w:pStyle w:val="BodyText"/>
        <w:spacing w:line="333" w:lineRule="auto" w:before="0"/>
        <w:ind w:right="1233"/>
        <w:jc w:val="left"/>
      </w:pPr>
      <w:r>
        <w:rPr/>
        <w:t>短期借款分类的说明： 外币借款情况详见第十一节财务报告中合并财务报表项目注释七</w:t>
      </w:r>
      <w:r>
        <w:rPr>
          <w:rFonts w:ascii="Times New Roman" w:hAnsi="Times New Roman" w:cs="Times New Roman" w:eastAsia="Times New Roman" w:hint="default"/>
        </w:rPr>
        <w:t>(52)</w:t>
      </w:r>
      <w:r>
        <w:rPr/>
        <w:t>“外币货币性项目”之 说明</w:t>
      </w:r>
    </w:p>
    <w:p>
      <w:pPr>
        <w:pStyle w:val="Heading2"/>
        <w:spacing w:line="240" w:lineRule="auto" w:before="60"/>
        <w:ind w:right="1273"/>
        <w:jc w:val="left"/>
        <w:rPr>
          <w:b w:val="0"/>
          <w:bCs w:val="0"/>
        </w:rPr>
      </w:pPr>
      <w:r>
        <w:rPr>
          <w:rFonts w:ascii="Times New Roman" w:hAnsi="Times New Roman" w:cs="Times New Roman" w:eastAsia="Times New Roman" w:hint="default"/>
        </w:rPr>
        <w:t>19</w:t>
      </w:r>
      <w:r>
        <w:rPr/>
        <w:t>、应付票据及应付账款</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266,426,597.29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225,953,802.54</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266,426,597.29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226,253,802.54</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pStyle w:val="BodyText"/>
        <w:spacing w:line="240" w:lineRule="auto" w:before="39"/>
        <w:ind w:right="-19"/>
        <w:jc w:val="left"/>
      </w:pPr>
      <w:r>
        <w:rPr/>
        <w:t>本期末已到期未支付的应付票据总额为</w:t>
      </w:r>
      <w:r>
        <w:rPr>
          <w:spacing w:val="-60"/>
        </w:rPr>
        <w:t> </w:t>
      </w:r>
      <w:r>
        <w:rPr>
          <w:rFonts w:ascii="Times New Roman" w:hAnsi="Times New Roman" w:cs="Times New Roman" w:eastAsia="Times New Roman" w:hint="default"/>
        </w:rPr>
        <w:t>0.00 </w:t>
      </w:r>
      <w:r>
        <w:rPr/>
        <w:t>元。</w:t>
      </w:r>
    </w:p>
    <w:p>
      <w:pPr>
        <w:pStyle w:val="Heading2"/>
        <w:spacing w:line="240" w:lineRule="auto" w:before="136"/>
        <w:ind w:right="-19"/>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5255" w:space="3305"/>
            <w:col w:w="2370"/>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266,426,597.29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225,953,802.54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266,426,597.29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225,953,802.54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Heading2"/>
        <w:spacing w:line="240" w:lineRule="auto" w:before="39"/>
        <w:ind w:right="0"/>
        <w:jc w:val="left"/>
        <w:rPr>
          <w:b w:val="0"/>
          <w:bCs w:val="0"/>
        </w:rPr>
      </w:pPr>
      <w:r>
        <w:rPr>
          <w:rFonts w:ascii="Times New Roman" w:hAnsi="Times New Roman" w:cs="Times New Roman" w:eastAsia="Times New Roman" w:hint="default"/>
        </w:rPr>
        <w:t>20</w:t>
      </w:r>
      <w:r>
        <w:rPr/>
        <w:t>、预收款项</w:t>
      </w:r>
      <w:r>
        <w:rPr>
          <w:b w:val="0"/>
          <w:bCs w:val="0"/>
        </w:rPr>
      </w:r>
    </w:p>
    <w:p>
      <w:pPr>
        <w:pStyle w:val="Heading2"/>
        <w:spacing w:line="240" w:lineRule="auto" w:before="135"/>
        <w:ind w:right="0"/>
        <w:jc w:val="left"/>
        <w:rPr>
          <w:b w:val="0"/>
          <w:bCs w:val="0"/>
        </w:rPr>
      </w:pPr>
      <w:r>
        <w:rPr>
          <w:w w:val="95"/>
        </w:rPr>
        <w:t>（</w:t>
      </w:r>
      <w:r>
        <w:rPr>
          <w:rFonts w:ascii="Times New Roman" w:hAnsi="Times New Roman" w:cs="Times New Roman" w:eastAsia="Times New Roman" w:hint="default"/>
          <w:w w:val="95"/>
        </w:rPr>
        <w:t>1</w:t>
      </w:r>
      <w:r>
        <w:rPr>
          <w:w w:val="95"/>
        </w:rPr>
        <w:t>）预收款项列示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201" w:space="6359"/>
            <w:col w:w="2370"/>
          </w:cols>
        </w:sectPr>
      </w:pPr>
    </w:p>
    <w:p>
      <w:pPr>
        <w:spacing w:line="240" w:lineRule="auto" w:before="1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项目预收款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186,258,184.00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179,897,572.96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186,258,184.00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179,897,572.96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Heading2"/>
        <w:spacing w:line="240" w:lineRule="auto" w:before="39"/>
        <w:ind w:right="0"/>
        <w:jc w:val="left"/>
        <w:rPr>
          <w:b w:val="0"/>
          <w:bCs w:val="0"/>
        </w:rPr>
      </w:pPr>
      <w:r>
        <w:rPr>
          <w:rFonts w:ascii="Times New Roman" w:hAnsi="Times New Roman" w:cs="Times New Roman" w:eastAsia="Times New Roman" w:hint="default"/>
        </w:rPr>
        <w:t>21</w:t>
      </w:r>
      <w:r>
        <w:rPr/>
        <w:t>、应付职工薪酬</w:t>
      </w:r>
      <w:r>
        <w:rPr>
          <w:b w:val="0"/>
          <w:bCs w:val="0"/>
        </w:rPr>
      </w:r>
    </w:p>
    <w:p>
      <w:pPr>
        <w:pStyle w:val="Heading2"/>
        <w:spacing w:line="240" w:lineRule="auto" w:before="135"/>
        <w:ind w:right="0"/>
        <w:jc w:val="left"/>
        <w:rPr>
          <w:b w:val="0"/>
          <w:bCs w:val="0"/>
        </w:rPr>
      </w:pPr>
      <w:r>
        <w:rPr>
          <w:w w:val="95"/>
        </w:rPr>
        <w:t>（</w:t>
      </w:r>
      <w:r>
        <w:rPr>
          <w:rFonts w:ascii="Times New Roman" w:hAnsi="Times New Roman" w:cs="Times New Roman" w:eastAsia="Times New Roman" w:hint="default"/>
          <w:w w:val="95"/>
        </w:rPr>
        <w:t>1</w:t>
      </w:r>
      <w:r>
        <w:rPr>
          <w:w w:val="95"/>
        </w:rPr>
        <w:t>）应付职工薪酬列示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683" w:space="5877"/>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95,942,168.38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626,659,109.82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578,488,387.94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144,112,890.26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
              <w:jc w:val="left"/>
              <w:rPr>
                <w:rFonts w:ascii="宋体" w:hAnsi="宋体" w:cs="宋体" w:eastAsia="宋体" w:hint="default"/>
                <w:sz w:val="21"/>
                <w:szCs w:val="21"/>
              </w:rPr>
            </w:pPr>
            <w:r>
              <w:rPr>
                <w:rFonts w:ascii="宋体" w:hAnsi="宋体" w:cs="宋体" w:eastAsia="宋体" w:hint="default"/>
                <w:spacing w:val="-12"/>
                <w:w w:val="100"/>
                <w:sz w:val="21"/>
                <w:szCs w:val="21"/>
              </w:rPr>
              <w:t>二、离职后福利</w:t>
            </w:r>
            <w:r>
              <w:rPr>
                <w:rFonts w:ascii="Times New Roman" w:hAnsi="Times New Roman" w:cs="Times New Roman" w:eastAsia="Times New Roman" w:hint="default"/>
                <w:spacing w:val="-12"/>
                <w:w w:val="100"/>
                <w:sz w:val="21"/>
                <w:szCs w:val="21"/>
              </w:rPr>
              <w:t>-</w:t>
            </w:r>
            <w:r>
              <w:rPr>
                <w:rFonts w:ascii="宋体" w:hAnsi="宋体" w:cs="宋体" w:eastAsia="宋体" w:hint="default"/>
                <w:spacing w:val="-12"/>
                <w:w w:val="100"/>
                <w:sz w:val="21"/>
                <w:szCs w:val="21"/>
              </w:rPr>
              <w:t>设定</w:t>
            </w:r>
            <w:r>
              <w:rPr>
                <w:rFonts w:ascii="宋体" w:hAnsi="宋体" w:cs="宋体" w:eastAsia="宋体" w:hint="default"/>
                <w:spacing w:val="-103"/>
                <w:w w:val="100"/>
                <w:sz w:val="21"/>
                <w:szCs w:val="21"/>
              </w:rPr>
              <w:t> </w:t>
            </w:r>
            <w:r>
              <w:rPr>
                <w:rFonts w:ascii="宋体" w:hAnsi="宋体" w:cs="宋体" w:eastAsia="宋体" w:hint="default"/>
                <w:sz w:val="21"/>
                <w:szCs w:val="21"/>
              </w:rPr>
              <w:t>提存计划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2,452,936.15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46,126,777.55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45,471,236.45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3,108,477.25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378,117.78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378,117.78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98,395,104.53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673,164,005.15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624,337,742.17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147,221,367.51</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2</w:t>
      </w:r>
      <w:r>
        <w:rPr/>
        <w:t>）短期薪酬列示</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8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w:t>
            </w:r>
            <w:r>
              <w:rPr>
                <w:rFonts w:ascii="宋体" w:hAnsi="宋体" w:cs="宋体" w:eastAsia="宋体" w:hint="default"/>
                <w:w w:val="100"/>
                <w:sz w:val="21"/>
                <w:szCs w:val="21"/>
              </w:rPr>
              <w:t> </w:t>
            </w:r>
            <w:r>
              <w:rPr>
                <w:rFonts w:ascii="宋体" w:hAnsi="宋体" w:cs="宋体" w:eastAsia="宋体" w:hint="default"/>
                <w:sz w:val="21"/>
                <w:szCs w:val="21"/>
              </w:rPr>
              <w:t>贴和补贴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92,847,045.49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481,357,474.22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433,694,730.05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140,509,789.66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21,305,052.46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21,305,052.46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1,196,256.79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24,472,733.24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24,163,691.69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1,505,298.34</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pacing w:val="-7"/>
                <w:sz w:val="21"/>
                <w:szCs w:val="21"/>
              </w:rPr>
              <w:t>其中：医疗保险</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1,060,533.72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21,666,107.89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21,397,175.60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1,329,466.01</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3"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42,525.84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673,931.97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672,813.75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43,644.06</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3"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93,197.23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2,132,693.38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2,093,702.34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132,188.27</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1,541,344.86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25,308,274.00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24,896,782.87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1,952,835.99</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88"/>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w:t>
            </w:r>
            <w:r>
              <w:rPr>
                <w:rFonts w:ascii="宋体" w:hAnsi="宋体" w:cs="宋体" w:eastAsia="宋体" w:hint="default"/>
                <w:w w:val="100"/>
                <w:sz w:val="21"/>
                <w:szCs w:val="21"/>
              </w:rPr>
              <w:t> </w:t>
            </w:r>
            <w:r>
              <w:rPr>
                <w:rFonts w:ascii="宋体" w:hAnsi="宋体" w:cs="宋体" w:eastAsia="宋体" w:hint="default"/>
                <w:sz w:val="21"/>
                <w:szCs w:val="21"/>
              </w:rPr>
              <w:t>教育经费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357,521.24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2,998,769.56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3,280,819.98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75,470.82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71,216,806.34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71,147,310.89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69,495.45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95,942,168.38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626,659,109.82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578,488,387.94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144,112,890.26</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2,372,945.83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44,420,594.25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43,780,515.59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3,013,024.49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79,990.32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1,706,183.30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1,690,720.86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95,452.76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2,452,936.15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46,126,777.55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45,471,236.45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3,108,477.25</w:t>
            </w:r>
          </w:p>
        </w:tc>
      </w:tr>
    </w:tbl>
    <w:p>
      <w:pPr>
        <w:pStyle w:val="BodyText"/>
        <w:spacing w:line="388" w:lineRule="auto" w:before="79"/>
        <w:ind w:left="573" w:right="1933" w:hanging="420"/>
        <w:jc w:val="left"/>
      </w:pPr>
      <w:r>
        <w:rPr/>
        <w:t>其他说明：无 设定提存计划为职工缴纳的基本养老保险费、失业保险费，按照政府规定缴纳。</w:t>
      </w:r>
    </w:p>
    <w:p>
      <w:pPr>
        <w:pStyle w:val="Heading2"/>
        <w:spacing w:line="240" w:lineRule="auto" w:before="5"/>
        <w:ind w:right="1273"/>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1"/>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18,398,584.12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12,912,708.28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3"/>
                <w:sz w:val="21"/>
              </w:rPr>
              <w:t>11,111,533.12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16,647,189.41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685,391.66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3,724,377.75</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1,237,269.51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1,064,887.57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592,654.74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570,138.55</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209,871.30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254,821.14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32,111.40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356,076.58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32,267,415.85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35,530,199.28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79" w:top="1060" w:bottom="1160" w:left="980" w:right="0"/>
        </w:sectPr>
      </w:pPr>
    </w:p>
    <w:p>
      <w:pPr>
        <w:pStyle w:val="BodyText"/>
        <w:spacing w:line="240" w:lineRule="auto" w:before="26"/>
        <w:ind w:right="0"/>
        <w:jc w:val="left"/>
      </w:pPr>
      <w:r>
        <w:rPr/>
        <w:t>其他说明：无</w:t>
      </w:r>
    </w:p>
    <w:p>
      <w:pPr>
        <w:pStyle w:val="Heading2"/>
        <w:spacing w:line="240" w:lineRule="auto" w:before="154"/>
        <w:ind w:right="0"/>
        <w:jc w:val="left"/>
        <w:rPr>
          <w:b w:val="0"/>
          <w:bCs w:val="0"/>
        </w:rPr>
      </w:pPr>
      <w:r>
        <w:rPr>
          <w:rFonts w:ascii="Times New Roman" w:hAnsi="Times New Roman" w:cs="Times New Roman" w:eastAsia="Times New Roman" w:hint="default"/>
          <w:w w:val="95"/>
        </w:rPr>
        <w:t>23</w:t>
      </w:r>
      <w:r>
        <w:rPr>
          <w:w w:val="95"/>
        </w:rPr>
        <w:t>、其他应付款</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5"/>
          <w:szCs w:val="25"/>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1838" w:space="6722"/>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53,997.21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27,706.05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36,612.00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70,668,971.52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33,744,930.88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70,722,968.73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33,809,248.93</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1</w:t>
      </w:r>
      <w:r>
        <w:rPr/>
        <w:t>）应付利息</w:t>
      </w:r>
      <w:r>
        <w:rPr>
          <w:b w:val="0"/>
          <w:bCs w:val="0"/>
        </w:rPr>
      </w:r>
    </w:p>
    <w:p>
      <w:pPr>
        <w:pStyle w:val="BodyText"/>
        <w:spacing w:line="240" w:lineRule="auto" w:before="13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53,997.21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27,706.05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53,997.21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27,706.05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BodyText"/>
        <w:spacing w:line="357" w:lineRule="auto" w:before="39"/>
        <w:ind w:right="-20"/>
        <w:jc w:val="left"/>
      </w:pPr>
      <w:r>
        <w:rPr/>
        <w:t>其他说明：无 本公司无已逾期未支付的利息情况。</w:t>
      </w:r>
    </w:p>
    <w:p>
      <w:pPr>
        <w:pStyle w:val="Heading2"/>
        <w:spacing w:line="240" w:lineRule="auto" w:before="36"/>
        <w:ind w:right="-2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86"/>
        <w:ind w:right="0"/>
        <w:jc w:val="left"/>
      </w:pPr>
      <w:r>
        <w:rPr/>
        <w:t>单位： 元</w:t>
      </w:r>
    </w:p>
    <w:p>
      <w:pPr>
        <w:spacing w:after="0" w:line="240" w:lineRule="auto"/>
        <w:jc w:val="left"/>
        <w:sectPr>
          <w:type w:val="continuous"/>
          <w:pgSz w:w="11910" w:h="16840"/>
          <w:pgMar w:top="1060" w:bottom="1160" w:left="980" w:right="0"/>
          <w:cols w:num="2" w:equalWidth="0">
            <w:col w:w="3994" w:space="4566"/>
            <w:col w:w="2370"/>
          </w:cols>
        </w:sectPr>
      </w:pP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36,612.00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36,612.00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BodyText"/>
        <w:spacing w:line="240" w:lineRule="auto" w:before="39"/>
        <w:ind w:right="-20"/>
        <w:jc w:val="left"/>
      </w:pPr>
      <w:r>
        <w:rPr/>
        <w:t>其他说明，包括重要的超过</w:t>
      </w:r>
      <w:r>
        <w:rPr>
          <w:spacing w:val="-60"/>
        </w:rPr>
        <w:t> </w:t>
      </w:r>
      <w:r>
        <w:rPr>
          <w:rFonts w:ascii="Times New Roman" w:hAnsi="Times New Roman" w:cs="Times New Roman" w:eastAsia="Times New Roman" w:hint="default"/>
        </w:rPr>
        <w:t>1 </w:t>
      </w:r>
      <w:r>
        <w:rPr/>
        <w:t>年未支付的应付股利，应披露未支付原因：</w:t>
      </w:r>
    </w:p>
    <w:p>
      <w:pPr>
        <w:pStyle w:val="Heading2"/>
        <w:spacing w:line="240" w:lineRule="auto" w:before="135"/>
        <w:ind w:right="-20"/>
        <w:jc w:val="left"/>
        <w:rPr>
          <w:b w:val="0"/>
          <w:bCs w:val="0"/>
        </w:rPr>
      </w:pPr>
      <w:r>
        <w:rPr/>
        <w:t>（</w:t>
      </w:r>
      <w:r>
        <w:rPr>
          <w:rFonts w:ascii="Times New Roman" w:hAnsi="Times New Roman" w:cs="Times New Roman" w:eastAsia="Times New Roman" w:hint="default"/>
        </w:rPr>
        <w:t>3</w:t>
      </w:r>
      <w:r>
        <w:rPr/>
        <w:t>）其他应付款</w:t>
      </w:r>
      <w:r>
        <w:rPr>
          <w:b w:val="0"/>
          <w:bCs w:val="0"/>
        </w:rPr>
      </w:r>
    </w:p>
    <w:p>
      <w:pPr>
        <w:pStyle w:val="BodyText"/>
        <w:spacing w:line="240" w:lineRule="auto" w:before="135"/>
        <w:ind w:right="-20"/>
        <w:jc w:val="left"/>
      </w:pPr>
      <w:r>
        <w:rPr>
          <w:rFonts w:ascii="Times New Roman" w:hAnsi="Times New Roman" w:cs="Times New Roman" w:eastAsia="Times New Roman" w:hint="default"/>
        </w:rPr>
        <w:t>1)</w:t>
      </w:r>
      <w:r>
        <w:rPr/>
        <w:t>按款项性质列示其他应付款</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6"/>
        <w:ind w:right="0"/>
        <w:jc w:val="left"/>
      </w:pPr>
      <w:r>
        <w:rPr/>
        <w:t>单位： 元</w:t>
      </w:r>
    </w:p>
    <w:p>
      <w:pPr>
        <w:spacing w:after="0" w:line="240" w:lineRule="auto"/>
        <w:jc w:val="left"/>
        <w:sectPr>
          <w:type w:val="continuous"/>
          <w:pgSz w:w="11910" w:h="16840"/>
          <w:pgMar w:top="1060" w:bottom="1160" w:left="980" w:right="0"/>
          <w:cols w:num="2" w:equalWidth="0">
            <w:col w:w="7834" w:space="726"/>
            <w:col w:w="2370"/>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486,000.00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应付其他费用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39,089,313.27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28,232,187.18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4,103,141.95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5,026,743.70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办公楼工程款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27,476,516.30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70,668,971.52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33,744,930.88</w:t>
            </w:r>
          </w:p>
        </w:tc>
      </w:tr>
    </w:tbl>
    <w:p>
      <w:pPr>
        <w:pStyle w:val="BodyText"/>
        <w:spacing w:line="240" w:lineRule="auto" w:before="39"/>
        <w:ind w:right="1273"/>
        <w:jc w:val="left"/>
      </w:pPr>
      <w:r>
        <w:rPr>
          <w:rFonts w:ascii="Times New Roman" w:hAnsi="Times New Roman" w:cs="Times New Roman" w:eastAsia="Times New Roman" w:hint="default"/>
        </w:rPr>
        <w:t>2)</w:t>
      </w:r>
      <w:r>
        <w:rPr/>
        <w:t>账龄超过</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35"/>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06"/>
              <w:jc w:val="left"/>
              <w:rPr>
                <w:rFonts w:ascii="宋体" w:hAnsi="宋体" w:cs="宋体" w:eastAsia="宋体" w:hint="default"/>
                <w:sz w:val="21"/>
                <w:szCs w:val="21"/>
              </w:rPr>
            </w:pPr>
            <w:r>
              <w:rPr>
                <w:rFonts w:ascii="宋体" w:hAnsi="宋体" w:cs="宋体" w:eastAsia="宋体" w:hint="default"/>
                <w:spacing w:val="-2"/>
                <w:sz w:val="21"/>
                <w:szCs w:val="21"/>
              </w:rPr>
              <w:t>德清中创地理信息产业园建设有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11,139,000.00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浙江办公楼购房款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成都建工第一建筑工程有限公司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12,977,299.00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成都办公楼工程款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pacing w:val="-2"/>
                <w:sz w:val="21"/>
              </w:rPr>
              <w:t>24,116,299.00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060" w:bottom="1160" w:left="980" w:right="0"/>
        </w:sectPr>
      </w:pPr>
    </w:p>
    <w:p>
      <w:pPr>
        <w:pStyle w:val="BodyText"/>
        <w:spacing w:line="240" w:lineRule="auto" w:before="39"/>
        <w:ind w:right="-21"/>
        <w:jc w:val="left"/>
      </w:pPr>
      <w:r>
        <w:rPr/>
        <w:t>其他说明：无</w:t>
      </w:r>
    </w:p>
    <w:p>
      <w:pPr>
        <w:pStyle w:val="Heading2"/>
        <w:spacing w:line="240" w:lineRule="auto" w:before="154"/>
        <w:ind w:right="-21"/>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3285" w:space="5275"/>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3,409,231.06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3,475,526.85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61,875,000.00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73,909,231.06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65,350,526.85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BodyText"/>
        <w:spacing w:line="240" w:lineRule="auto" w:before="39"/>
        <w:ind w:right="-20"/>
        <w:jc w:val="left"/>
      </w:pPr>
      <w:r>
        <w:rPr/>
        <w:t>其他说明：无</w:t>
      </w:r>
    </w:p>
    <w:p>
      <w:pPr>
        <w:pStyle w:val="Heading2"/>
        <w:spacing w:line="240" w:lineRule="auto" w:before="154"/>
        <w:ind w:right="-20"/>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080" w:space="6480"/>
            <w:col w:w="2370"/>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1,956,224.20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455,638.22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1,956,224.20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455,638.22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Heading2"/>
        <w:spacing w:line="240" w:lineRule="auto" w:before="39"/>
        <w:ind w:right="0"/>
        <w:jc w:val="left"/>
        <w:rPr>
          <w:b w:val="0"/>
          <w:bCs w:val="0"/>
        </w:rPr>
      </w:pPr>
      <w:r>
        <w:rPr>
          <w:rFonts w:ascii="Times New Roman" w:hAnsi="Times New Roman" w:cs="Times New Roman" w:eastAsia="Times New Roman" w:hint="default"/>
        </w:rPr>
        <w:t>26</w:t>
      </w:r>
      <w:r>
        <w:rPr/>
        <w:t>、长期借款</w:t>
      </w:r>
      <w:r>
        <w:rPr>
          <w:b w:val="0"/>
          <w:bCs w:val="0"/>
        </w:rPr>
      </w:r>
    </w:p>
    <w:p>
      <w:pPr>
        <w:pStyle w:val="Heading2"/>
        <w:spacing w:line="240" w:lineRule="auto" w:before="135"/>
        <w:ind w:right="0"/>
        <w:jc w:val="left"/>
        <w:rPr>
          <w:b w:val="0"/>
          <w:bCs w:val="0"/>
        </w:rPr>
      </w:pPr>
      <w:r>
        <w:rPr>
          <w:w w:val="95"/>
        </w:rPr>
        <w:t>（</w:t>
      </w:r>
      <w:r>
        <w:rPr>
          <w:rFonts w:ascii="Times New Roman" w:hAnsi="Times New Roman" w:cs="Times New Roman" w:eastAsia="Times New Roman" w:hint="default"/>
          <w:w w:val="95"/>
        </w:rPr>
        <w:t>1</w:t>
      </w:r>
      <w:r>
        <w:rPr>
          <w:w w:val="95"/>
        </w:rPr>
        <w:t>）长期借款分类</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201" w:space="6359"/>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6,059,603.72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5,588,253.81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6,059,603.72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5,588,253.81</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27</w:t>
      </w:r>
      <w:r>
        <w:rPr/>
        <w:t>、长期应付款</w:t>
      </w:r>
      <w:r>
        <w:rPr>
          <w:b w:val="0"/>
          <w:bCs w:val="0"/>
        </w:rPr>
      </w:r>
    </w:p>
    <w:p>
      <w:pPr>
        <w:pStyle w:val="BodyText"/>
        <w:spacing w:line="240" w:lineRule="auto" w:before="13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96,941,233.14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161,249,022.10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96,941,233.14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161,249,022.10</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3" w:right="0"/>
              <w:jc w:val="left"/>
              <w:rPr>
                <w:rFonts w:ascii="Times New Roman" w:hAnsi="Times New Roman" w:cs="Times New Roman" w:eastAsia="Times New Roman" w:hint="default"/>
                <w:sz w:val="21"/>
                <w:szCs w:val="21"/>
              </w:rPr>
            </w:pPr>
            <w:r>
              <w:rPr>
                <w:rFonts w:ascii="Times New Roman"/>
                <w:sz w:val="21"/>
              </w:rPr>
              <w:t>96,941,233.14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43" w:right="0"/>
              <w:jc w:val="left"/>
              <w:rPr>
                <w:rFonts w:ascii="Times New Roman" w:hAnsi="Times New Roman" w:cs="Times New Roman" w:eastAsia="Times New Roman" w:hint="default"/>
                <w:sz w:val="21"/>
                <w:szCs w:val="21"/>
              </w:rPr>
            </w:pPr>
            <w:r>
              <w:rPr>
                <w:rFonts w:ascii="Times New Roman"/>
                <w:sz w:val="21"/>
              </w:rPr>
              <w:t>161,249,022.10</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28</w:t>
      </w:r>
      <w:r>
        <w:rPr/>
        <w:t>、递延收益</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7"/>
              <w:jc w:val="right"/>
              <w:rPr>
                <w:rFonts w:ascii="宋体" w:hAnsi="宋体" w:cs="宋体" w:eastAsia="宋体" w:hint="default"/>
                <w:sz w:val="21"/>
                <w:szCs w:val="21"/>
              </w:rPr>
            </w:pPr>
            <w:r>
              <w:rPr>
                <w:rFonts w:ascii="宋体" w:hAnsi="宋体" w:cs="宋体" w:eastAsia="宋体" w:hint="default"/>
                <w:spacing w:val="-1"/>
                <w:sz w:val="21"/>
                <w:szCs w:val="21"/>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802,227.28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802,227.28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5"/>
              <w:jc w:val="right"/>
              <w:rPr>
                <w:rFonts w:ascii="宋体" w:hAnsi="宋体" w:cs="宋体" w:eastAsia="宋体" w:hint="default"/>
                <w:sz w:val="21"/>
                <w:szCs w:val="21"/>
              </w:rPr>
            </w:pPr>
            <w:r>
              <w:rPr>
                <w:rFonts w:ascii="宋体" w:hAnsi="宋体" w:cs="宋体" w:eastAsia="宋体" w:hint="default"/>
                <w:spacing w:val="-1"/>
                <w:sz w:val="21"/>
                <w:szCs w:val="21"/>
              </w:rPr>
              <w:t>政府补助摊销</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802,227.28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802,227.28</w:t>
            </w:r>
          </w:p>
        </w:tc>
        <w:tc>
          <w:tcPr>
            <w:tcW w:w="1594" w:type="dxa"/>
            <w:tcBorders>
              <w:top w:val="single" w:sz="4" w:space="0" w:color="000000"/>
              <w:left w:val="single" w:sz="4" w:space="0" w:color="000000"/>
              <w:bottom w:val="single" w:sz="4" w:space="0" w:color="000000"/>
              <w:right w:val="single" w:sz="13"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39"/>
        <w:ind w:right="1273"/>
        <w:jc w:val="left"/>
      </w:pPr>
      <w:r>
        <w:rPr/>
        <w:t>涉及政府补助的项目：</w:t>
      </w:r>
    </w:p>
    <w:p>
      <w:pPr>
        <w:pStyle w:val="BodyText"/>
        <w:spacing w:line="240" w:lineRule="auto" w:before="154"/>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4"/>
        <w:gridCol w:w="1063"/>
        <w:gridCol w:w="1061"/>
        <w:gridCol w:w="1063"/>
        <w:gridCol w:w="1064"/>
        <w:gridCol w:w="1063"/>
        <w:gridCol w:w="1064"/>
      </w:tblGrid>
      <w:tr>
        <w:trPr>
          <w:trHeight w:val="102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108" w:right="101"/>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7" w:right="101"/>
              <w:jc w:val="both"/>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8" w:right="99"/>
              <w:jc w:val="center"/>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0" w:right="98"/>
              <w:jc w:val="center"/>
              <w:rPr>
                <w:rFonts w:ascii="宋体" w:hAnsi="宋体" w:cs="宋体" w:eastAsia="宋体" w:hint="default"/>
                <w:sz w:val="21"/>
                <w:szCs w:val="21"/>
              </w:rPr>
            </w:pPr>
            <w:r>
              <w:rPr>
                <w:rFonts w:ascii="宋体" w:hAnsi="宋体" w:cs="宋体" w:eastAsia="宋体" w:hint="default"/>
                <w:sz w:val="21"/>
                <w:szCs w:val="21"/>
              </w:rPr>
              <w:t>本期冲减</w:t>
            </w:r>
            <w:r>
              <w:rPr>
                <w:rFonts w:ascii="宋体" w:hAnsi="宋体" w:cs="宋体" w:eastAsia="宋体" w:hint="default"/>
                <w:w w:val="100"/>
                <w:sz w:val="21"/>
                <w:szCs w:val="21"/>
              </w:rPr>
              <w:t> </w:t>
            </w:r>
            <w:r>
              <w:rPr>
                <w:rFonts w:ascii="宋体" w:hAnsi="宋体" w:cs="宋体" w:eastAsia="宋体" w:hint="default"/>
                <w:sz w:val="21"/>
                <w:szCs w:val="21"/>
              </w:rPr>
              <w:t>成本费用</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79" w:right="72" w:hanging="1"/>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pacing w:val="-1"/>
                <w:sz w:val="21"/>
                <w:szCs w:val="21"/>
              </w:rPr>
              <w:t>关</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p>
        </w:tc>
      </w:tr>
      <w:tr>
        <w:trPr>
          <w:trHeight w:val="227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云计算</w:t>
            </w:r>
            <w:r>
              <w:rPr>
                <w:rFonts w:ascii="宋体" w:hAnsi="宋体" w:cs="宋体" w:eastAsia="宋体" w:hint="default"/>
                <w:w w:val="100"/>
                <w:sz w:val="21"/>
                <w:szCs w:val="21"/>
              </w:rPr>
              <w:t> </w:t>
            </w:r>
            <w:r>
              <w:rPr>
                <w:rFonts w:ascii="宋体" w:hAnsi="宋体" w:cs="宋体" w:eastAsia="宋体" w:hint="default"/>
                <w:sz w:val="21"/>
                <w:szCs w:val="21"/>
              </w:rPr>
              <w:t>服务平台</w:t>
            </w:r>
            <w:r>
              <w:rPr>
                <w:rFonts w:ascii="宋体" w:hAnsi="宋体" w:cs="宋体" w:eastAsia="宋体" w:hint="default"/>
                <w:w w:val="100"/>
                <w:sz w:val="21"/>
                <w:szCs w:val="21"/>
              </w:rPr>
              <w:t> </w:t>
            </w:r>
            <w:r>
              <w:rPr>
                <w:rFonts w:ascii="宋体" w:hAnsi="宋体" w:cs="宋体" w:eastAsia="宋体" w:hint="default"/>
                <w:sz w:val="21"/>
                <w:szCs w:val="21"/>
              </w:rPr>
              <w:t>关键技术</w:t>
            </w:r>
            <w:r>
              <w:rPr>
                <w:rFonts w:ascii="宋体" w:hAnsi="宋体" w:cs="宋体" w:eastAsia="宋体" w:hint="default"/>
                <w:w w:val="100"/>
                <w:sz w:val="21"/>
                <w:szCs w:val="21"/>
              </w:rPr>
              <w:t> </w:t>
            </w:r>
            <w:r>
              <w:rPr>
                <w:rFonts w:ascii="宋体" w:hAnsi="宋体" w:cs="宋体" w:eastAsia="宋体" w:hint="default"/>
                <w:sz w:val="21"/>
                <w:szCs w:val="21"/>
              </w:rPr>
              <w:t>北京市工</w:t>
            </w:r>
            <w:r>
              <w:rPr>
                <w:rFonts w:ascii="宋体" w:hAnsi="宋体" w:cs="宋体" w:eastAsia="宋体" w:hint="default"/>
                <w:w w:val="100"/>
                <w:sz w:val="21"/>
                <w:szCs w:val="21"/>
              </w:rPr>
              <w:t> </w:t>
            </w:r>
            <w:r>
              <w:rPr>
                <w:rFonts w:ascii="宋体" w:hAnsi="宋体" w:cs="宋体" w:eastAsia="宋体" w:hint="default"/>
                <w:sz w:val="21"/>
                <w:szCs w:val="21"/>
              </w:rPr>
              <w:t>程试验室</w:t>
            </w:r>
            <w:r>
              <w:rPr>
                <w:rFonts w:ascii="宋体" w:hAnsi="宋体" w:cs="宋体" w:eastAsia="宋体" w:hint="default"/>
                <w:w w:val="100"/>
                <w:sz w:val="21"/>
                <w:szCs w:val="21"/>
              </w:rPr>
              <w:t> </w:t>
            </w:r>
            <w:r>
              <w:rPr>
                <w:rFonts w:ascii="宋体" w:hAnsi="宋体" w:cs="宋体" w:eastAsia="宋体" w:hint="default"/>
                <w:sz w:val="21"/>
                <w:szCs w:val="21"/>
              </w:rPr>
              <w:t>创新能力</w:t>
            </w:r>
            <w:r>
              <w:rPr>
                <w:rFonts w:ascii="宋体" w:hAnsi="宋体" w:cs="宋体" w:eastAsia="宋体" w:hint="default"/>
                <w:w w:val="100"/>
                <w:sz w:val="21"/>
                <w:szCs w:val="21"/>
              </w:rPr>
              <w:t> </w:t>
            </w:r>
            <w:r>
              <w:rPr>
                <w:rFonts w:ascii="宋体" w:hAnsi="宋体" w:cs="宋体" w:eastAsia="宋体" w:hint="default"/>
                <w:sz w:val="21"/>
                <w:szCs w:val="21"/>
              </w:rPr>
              <w:t>建设项目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118,309.09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2"/>
                <w:sz w:val="21"/>
              </w:rPr>
              <w:t>118,309.09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96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17"/>
              <w:jc w:val="left"/>
              <w:rPr>
                <w:rFonts w:ascii="Times New Roman" w:hAnsi="Times New Roman" w:cs="Times New Roman" w:eastAsia="Times New Roman" w:hint="default"/>
                <w:sz w:val="21"/>
                <w:szCs w:val="21"/>
              </w:rPr>
            </w:pPr>
            <w:r>
              <w:rPr>
                <w:rFonts w:ascii="宋体" w:hAnsi="宋体" w:cs="宋体" w:eastAsia="宋体" w:hint="default"/>
                <w:sz w:val="21"/>
                <w:szCs w:val="21"/>
              </w:rPr>
              <w:t>云端一体</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SuperMap</w:t>
            </w:r>
          </w:p>
          <w:p>
            <w:pPr>
              <w:pStyle w:val="TableParagraph"/>
              <w:spacing w:line="263"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软件平</w:t>
            </w:r>
          </w:p>
          <w:p>
            <w:pPr>
              <w:pStyle w:val="TableParagraph"/>
              <w:spacing w:line="273" w:lineRule="auto" w:before="21"/>
              <w:ind w:left="24" w:right="185"/>
              <w:jc w:val="left"/>
              <w:rPr>
                <w:rFonts w:ascii="宋体" w:hAnsi="宋体" w:cs="宋体" w:eastAsia="宋体" w:hint="default"/>
                <w:sz w:val="21"/>
                <w:szCs w:val="21"/>
              </w:rPr>
            </w:pPr>
            <w:r>
              <w:rPr>
                <w:rFonts w:ascii="宋体" w:hAnsi="宋体" w:cs="宋体" w:eastAsia="宋体" w:hint="default"/>
                <w:sz w:val="21"/>
                <w:szCs w:val="21"/>
              </w:rPr>
              <w:t>台研发及</w:t>
            </w:r>
            <w:r>
              <w:rPr>
                <w:rFonts w:ascii="宋体" w:hAnsi="宋体" w:cs="宋体" w:eastAsia="宋体" w:hint="default"/>
                <w:w w:val="100"/>
                <w:sz w:val="21"/>
                <w:szCs w:val="21"/>
              </w:rPr>
              <w:t> </w:t>
            </w:r>
            <w:r>
              <w:rPr>
                <w:rFonts w:ascii="宋体" w:hAnsi="宋体" w:cs="宋体" w:eastAsia="宋体" w:hint="default"/>
                <w:sz w:val="21"/>
                <w:szCs w:val="21"/>
              </w:rPr>
              <w:t>产业化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683,918.19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683,918.19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802,227.28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802,227.28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39"/>
        <w:ind w:right="1273"/>
        <w:jc w:val="left"/>
        <w:rPr>
          <w:b w:val="0"/>
          <w:bCs w:val="0"/>
        </w:rPr>
      </w:pPr>
      <w:r>
        <w:rPr>
          <w:rFonts w:ascii="Times New Roman" w:hAnsi="Times New Roman" w:cs="Times New Roman" w:eastAsia="Times New Roman" w:hint="default"/>
        </w:rPr>
        <w:t>29</w:t>
      </w:r>
      <w:r>
        <w:rPr/>
        <w:t>、股本</w:t>
      </w:r>
      <w:r>
        <w:rPr>
          <w:b w:val="0"/>
          <w:bCs w:val="0"/>
        </w:rPr>
      </w:r>
    </w:p>
    <w:p>
      <w:pPr>
        <w:pStyle w:val="BodyText"/>
        <w:spacing w:line="240" w:lineRule="auto" w:before="135"/>
        <w:ind w:left="0" w:right="1131"/>
        <w:jc w:val="right"/>
      </w:pPr>
      <w:r>
        <w:rPr/>
        <w:t>单位：元</w:t>
      </w:r>
    </w:p>
    <w:p>
      <w:pPr>
        <w:spacing w:line="240" w:lineRule="auto" w:before="1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83"/>
        <w:gridCol w:w="1198"/>
        <w:gridCol w:w="1195"/>
        <w:gridCol w:w="1196"/>
        <w:gridCol w:w="1198"/>
        <w:gridCol w:w="1196"/>
        <w:gridCol w:w="1195"/>
        <w:gridCol w:w="1198"/>
      </w:tblGrid>
      <w:tr>
        <w:trPr>
          <w:trHeight w:val="205"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7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87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79"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8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449,537,367.</w:t>
            </w:r>
          </w:p>
          <w:p>
            <w:pPr>
              <w:pStyle w:val="TableParagraph"/>
              <w:spacing w:line="240" w:lineRule="auto" w:before="68"/>
              <w:ind w:right="22"/>
              <w:jc w:val="right"/>
              <w:rPr>
                <w:rFonts w:ascii="Times New Roman" w:hAnsi="Times New Roman" w:cs="Times New Roman" w:eastAsia="Times New Roman" w:hint="default"/>
                <w:sz w:val="21"/>
                <w:szCs w:val="21"/>
              </w:rPr>
            </w:pPr>
            <w:r>
              <w:rPr>
                <w:rFonts w:ascii="Times New Roman"/>
                <w:sz w:val="21"/>
              </w:rPr>
              <w:t>00</w:t>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449,537,367.</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sz w:val="21"/>
              </w:rPr>
              <w:t>00</w:t>
            </w:r>
          </w:p>
        </w:tc>
      </w:tr>
      <w:tr>
        <w:trPr>
          <w:trHeight w:val="391" w:hRule="exact"/>
        </w:trPr>
        <w:tc>
          <w:tcPr>
            <w:tcW w:w="1183" w:type="dxa"/>
            <w:tcBorders>
              <w:top w:val="nil" w:sz="6" w:space="0" w:color="auto"/>
              <w:left w:val="single" w:sz="13" w:space="0" w:color="D2D2D2"/>
              <w:bottom w:val="nil" w:sz="6" w:space="0" w:color="auto"/>
              <w:right w:val="single" w:sz="12" w:space="0" w:color="D2D2D2"/>
            </w:tcBorders>
          </w:tcPr>
          <w:p>
            <w:pPr>
              <w:pStyle w:val="TableParagraph"/>
              <w:tabs>
                <w:tab w:pos="1139" w:val="left" w:leader="none"/>
              </w:tabs>
              <w:spacing w:line="240" w:lineRule="auto" w:before="28"/>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股份总数</w:t>
              <w:tab/>
            </w:r>
            <w:r>
              <w:rPr>
                <w:rFonts w:ascii="宋体" w:hAnsi="宋体" w:cs="宋体" w:eastAsia="宋体" w:hint="default"/>
                <w:sz w:val="21"/>
                <w:szCs w:val="21"/>
              </w:rPr>
            </w:r>
          </w:p>
        </w:tc>
        <w:tc>
          <w:tcPr>
            <w:tcW w:w="1198" w:type="dxa"/>
            <w:vMerge/>
            <w:tcBorders>
              <w:left w:val="single" w:sz="9"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Heading2"/>
        <w:spacing w:line="240" w:lineRule="auto" w:before="39"/>
        <w:ind w:right="1273"/>
        <w:jc w:val="left"/>
        <w:rPr>
          <w:b w:val="0"/>
          <w:bCs w:val="0"/>
        </w:rPr>
      </w:pPr>
      <w:r>
        <w:rPr>
          <w:rFonts w:ascii="Times New Roman" w:hAnsi="Times New Roman" w:cs="Times New Roman" w:eastAsia="Times New Roman" w:hint="default"/>
        </w:rPr>
        <w:t>30</w:t>
      </w:r>
      <w:r>
        <w:rPr/>
        <w:t>、资本公积</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82"/>
              <w:jc w:val="left"/>
              <w:rPr>
                <w:rFonts w:ascii="宋体" w:hAnsi="宋体" w:cs="宋体" w:eastAsia="宋体" w:hint="default"/>
                <w:sz w:val="21"/>
                <w:szCs w:val="21"/>
              </w:rPr>
            </w:pPr>
            <w:r>
              <w:rPr>
                <w:rFonts w:ascii="宋体" w:hAnsi="宋体" w:cs="宋体" w:eastAsia="宋体" w:hint="default"/>
                <w:sz w:val="21"/>
                <w:szCs w:val="21"/>
              </w:rPr>
              <w:t>资本溢价（股本溢</w:t>
            </w:r>
            <w:r>
              <w:rPr>
                <w:rFonts w:ascii="宋体" w:hAnsi="宋体" w:cs="宋体" w:eastAsia="宋体" w:hint="default"/>
                <w:w w:val="100"/>
                <w:sz w:val="21"/>
                <w:szCs w:val="21"/>
              </w:rPr>
              <w:t> </w:t>
            </w:r>
            <w:r>
              <w:rPr>
                <w:rFonts w:ascii="宋体" w:hAnsi="宋体" w:cs="宋体" w:eastAsia="宋体" w:hint="default"/>
                <w:sz w:val="21"/>
                <w:szCs w:val="21"/>
              </w:rPr>
              <w:t>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812,901,312.10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68" w:right="0"/>
              <w:jc w:val="left"/>
              <w:rPr>
                <w:rFonts w:ascii="Times New Roman" w:hAnsi="Times New Roman" w:cs="Times New Roman" w:eastAsia="Times New Roman" w:hint="default"/>
                <w:sz w:val="21"/>
                <w:szCs w:val="21"/>
              </w:rPr>
            </w:pPr>
            <w:r>
              <w:rPr>
                <w:rFonts w:ascii="Times New Roman"/>
                <w:sz w:val="21"/>
              </w:rPr>
              <w:t>812,901,312.10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16,895,195.90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18,228.29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16,913,424.19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33"/>
                <w:sz w:val="18"/>
                <w:szCs w:val="18"/>
              </w:rPr>
              <w:t> </w:t>
            </w:r>
            <w:r>
              <w:rPr>
                <w:rFonts w:ascii="宋体" w:hAnsi="宋体" w:cs="宋体" w:eastAsia="宋体" w:hint="default"/>
                <w:sz w:val="18"/>
                <w:szCs w:val="18"/>
              </w:rPr>
              <w:t>股份支付计入所</w:t>
            </w:r>
            <w:r>
              <w:rPr>
                <w:rFonts w:ascii="宋体" w:hAnsi="宋体" w:cs="宋体" w:eastAsia="宋体" w:hint="default"/>
                <w:sz w:val="18"/>
                <w:szCs w:val="18"/>
              </w:rPr>
              <w:t> 有者权益的金额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16,748,027.90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18,228.29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16,766,256.19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147,168.00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147,168.00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829,796,508.00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18,228.29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829,814,736.29</w:t>
            </w:r>
          </w:p>
        </w:tc>
      </w:tr>
    </w:tbl>
    <w:p>
      <w:pPr>
        <w:pStyle w:val="BodyText"/>
        <w:spacing w:line="240" w:lineRule="auto" w:before="79"/>
        <w:ind w:right="1273"/>
        <w:jc w:val="left"/>
      </w:pPr>
      <w:r>
        <w:rPr/>
        <w:t>其他说明，包括本期增减变动情况、变动原因说明：</w:t>
      </w:r>
    </w:p>
    <w:p>
      <w:pPr>
        <w:pStyle w:val="BodyText"/>
        <w:spacing w:line="348" w:lineRule="auto" w:before="192"/>
        <w:ind w:right="1116" w:firstLine="420"/>
        <w:jc w:val="left"/>
        <w:rPr>
          <w:rFonts w:ascii="宋体" w:hAnsi="宋体" w:cs="宋体" w:eastAsia="宋体" w:hint="default"/>
        </w:rPr>
      </w:pPr>
      <w:r>
        <w:rPr>
          <w:spacing w:val="4"/>
        </w:rPr>
        <w:t>资本公积</w:t>
      </w:r>
      <w:r>
        <w:rPr>
          <w:rFonts w:ascii="Times New Roman" w:hAnsi="Times New Roman" w:cs="Times New Roman" w:eastAsia="Times New Roman" w:hint="default"/>
          <w:spacing w:val="4"/>
        </w:rPr>
        <w:t>-</w:t>
      </w:r>
      <w:r>
        <w:rPr>
          <w:spacing w:val="4"/>
        </w:rPr>
        <w:t>其他资本公积</w:t>
      </w:r>
      <w:r>
        <w:rPr>
          <w:rFonts w:ascii="Times New Roman" w:hAnsi="Times New Roman" w:cs="Times New Roman" w:eastAsia="Times New Roman" w:hint="default"/>
          <w:spacing w:val="4"/>
        </w:rPr>
        <w:t>-</w:t>
      </w:r>
      <w:r>
        <w:rPr>
          <w:spacing w:val="4"/>
        </w:rPr>
        <w:t>股份支付计入所有者权益金额增减变动系公司实施限制性股票 </w:t>
      </w:r>
      <w:r>
        <w:rPr/>
        <w:t>激励计划，将取得职工提供的服务计入成本费用和资本公积（其他资本公积）所致。</w:t>
      </w:r>
      <w:r>
        <w:rPr/>
        <w:t> </w:t>
      </w:r>
      <w:r>
        <w:rPr>
          <w:rFonts w:ascii="Times New Roman" w:hAnsi="Times New Roman" w:cs="Times New Roman" w:eastAsia="Times New Roman" w:hint="default"/>
          <w:b/>
          <w:bCs/>
        </w:rPr>
        <w:t>31</w:t>
      </w:r>
      <w:r>
        <w:rPr>
          <w:rFonts w:ascii="宋体" w:hAnsi="宋体" w:cs="宋体" w:eastAsia="宋体" w:hint="default"/>
          <w:b/>
          <w:bCs/>
        </w:rPr>
        <w:t>、库存股</w:t>
      </w:r>
      <w:r>
        <w:rPr>
          <w:rFonts w:ascii="宋体" w:hAnsi="宋体" w:cs="宋体" w:eastAsia="宋体" w:hint="default"/>
        </w:rPr>
      </w:r>
    </w:p>
    <w:p>
      <w:pPr>
        <w:pStyle w:val="BodyText"/>
        <w:spacing w:line="240" w:lineRule="auto" w:before="16"/>
        <w:ind w:left="0" w:right="1130"/>
        <w:jc w:val="right"/>
      </w:pPr>
      <w:r>
        <w:rPr/>
        <w:t>单位： 元</w:t>
      </w:r>
    </w:p>
    <w:p>
      <w:pPr>
        <w:spacing w:line="240" w:lineRule="auto" w:before="1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限制性股票回购义</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486,000.00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486,000.00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486,000.00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6" w:lineRule="auto" w:before="79"/>
        <w:ind w:left="573" w:right="1213" w:hanging="420"/>
        <w:jc w:val="left"/>
      </w:pPr>
      <w:r>
        <w:rPr/>
        <w:t>其他说明，包括本期增减变动情况、变动原因说明： 公司发行限制性股票，在取得该款项时，就回购义务确认负债（作收购库存股处理），</w:t>
      </w:r>
    </w:p>
    <w:p>
      <w:pPr>
        <w:pStyle w:val="BodyText"/>
        <w:spacing w:line="357" w:lineRule="auto" w:before="7"/>
        <w:ind w:right="1153"/>
        <w:jc w:val="left"/>
      </w:pPr>
      <w:r>
        <w:rPr/>
        <w:t>按照发行限制性股票的数量以及相应的回购价格计算确定的金额。限制性股票回购注销或解 锁时，冲减对应已确认的库存股金额。</w:t>
      </w:r>
    </w:p>
    <w:p>
      <w:pPr>
        <w:spacing w:line="240" w:lineRule="auto" w:before="9"/>
        <w:rPr>
          <w:rFonts w:ascii="宋体" w:hAnsi="宋体" w:cs="宋体" w:eastAsia="宋体" w:hint="default"/>
          <w:sz w:val="25"/>
          <w:szCs w:val="25"/>
        </w:rPr>
      </w:pPr>
    </w:p>
    <w:p>
      <w:pPr>
        <w:pStyle w:val="Heading2"/>
        <w:spacing w:line="240" w:lineRule="auto"/>
        <w:ind w:right="1273"/>
        <w:jc w:val="left"/>
        <w:rPr>
          <w:b w:val="0"/>
          <w:bCs w:val="0"/>
        </w:rPr>
      </w:pPr>
      <w:r>
        <w:rPr>
          <w:rFonts w:ascii="Times New Roman" w:hAnsi="Times New Roman" w:cs="Times New Roman" w:eastAsia="Times New Roman" w:hint="default"/>
        </w:rPr>
        <w:t>32</w:t>
      </w:r>
      <w:r>
        <w:rPr/>
        <w:t>、其他综合收益</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0" w:right="1130"/>
        <w:jc w:val="right"/>
      </w:pPr>
      <w:r>
        <w:rPr/>
        <w:t>单位： 元</w:t>
      </w:r>
    </w:p>
    <w:p>
      <w:pPr>
        <w:spacing w:line="240" w:lineRule="auto" w:before="1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6"/>
        <w:gridCol w:w="936"/>
        <w:gridCol w:w="797"/>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2799" w:type="dxa"/>
            <w:vMerge/>
            <w:tcBorders>
              <w:left w:val="single" w:sz="4" w:space="0" w:color="000000"/>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3"/>
              <w:ind w:left="45" w:right="41"/>
              <w:jc w:val="center"/>
              <w:rPr>
                <w:rFonts w:ascii="宋体" w:hAnsi="宋体" w:cs="宋体" w:eastAsia="宋体" w:hint="default"/>
                <w:sz w:val="21"/>
                <w:szCs w:val="21"/>
              </w:rPr>
            </w:pPr>
            <w:r>
              <w:rPr>
                <w:rFonts w:ascii="宋体" w:hAnsi="宋体" w:cs="宋体" w:eastAsia="宋体" w:hint="default"/>
                <w:sz w:val="21"/>
                <w:szCs w:val="21"/>
              </w:rPr>
              <w:t>减：前期计</w:t>
            </w:r>
            <w:r>
              <w:rPr>
                <w:rFonts w:ascii="宋体" w:hAnsi="宋体" w:cs="宋体" w:eastAsia="宋体" w:hint="default"/>
                <w:w w:val="100"/>
                <w:sz w:val="21"/>
                <w:szCs w:val="21"/>
              </w:rPr>
              <w:t> </w:t>
            </w:r>
            <w:r>
              <w:rPr>
                <w:rFonts w:ascii="宋体" w:hAnsi="宋体" w:cs="宋体" w:eastAsia="宋体" w:hint="default"/>
                <w:sz w:val="21"/>
                <w:szCs w:val="21"/>
              </w:rPr>
              <w:t>入其他综合</w:t>
            </w:r>
            <w:r>
              <w:rPr>
                <w:rFonts w:ascii="宋体" w:hAnsi="宋体" w:cs="宋体" w:eastAsia="宋体" w:hint="default"/>
                <w:w w:val="100"/>
                <w:sz w:val="21"/>
                <w:szCs w:val="21"/>
              </w:rPr>
              <w:t> </w:t>
            </w:r>
            <w:r>
              <w:rPr>
                <w:rFonts w:ascii="宋体" w:hAnsi="宋体" w:cs="宋体" w:eastAsia="宋体" w:hint="default"/>
                <w:sz w:val="21"/>
                <w:szCs w:val="21"/>
              </w:rPr>
              <w:t>收益当期转</w:t>
            </w:r>
            <w:r>
              <w:rPr>
                <w:rFonts w:ascii="宋体" w:hAnsi="宋体" w:cs="宋体" w:eastAsia="宋体" w:hint="default"/>
                <w:w w:val="100"/>
                <w:sz w:val="21"/>
                <w:szCs w:val="21"/>
              </w:rPr>
              <w:t> </w:t>
            </w:r>
            <w:r>
              <w:rPr>
                <w:rFonts w:ascii="宋体" w:hAnsi="宋体" w:cs="宋体" w:eastAsia="宋体" w:hint="default"/>
                <w:sz w:val="21"/>
                <w:szCs w:val="21"/>
              </w:rPr>
              <w:t>入损益</w:t>
            </w:r>
          </w:p>
        </w:tc>
        <w:tc>
          <w:tcPr>
            <w:tcW w:w="934" w:type="dxa"/>
            <w:vMerge w:val="restart"/>
            <w:tcBorders>
              <w:top w:val="single" w:sz="4" w:space="0" w:color="000000"/>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18" w:space="0" w:color="FFFFFF"/>
              <w:right w:val="single" w:sz="4" w:space="0" w:color="000000"/>
            </w:tcBorders>
            <w:shd w:val="clear" w:color="auto" w:fill="D2D2D2"/>
          </w:tcPr>
          <w:p>
            <w:pPr/>
          </w:p>
        </w:tc>
        <w:tc>
          <w:tcPr>
            <w:tcW w:w="79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39"/>
              <w:ind w:left="43" w:right="39"/>
              <w:jc w:val="center"/>
              <w:rPr>
                <w:rFonts w:ascii="宋体" w:hAnsi="宋体" w:cs="宋体" w:eastAsia="宋体" w:hint="default"/>
                <w:sz w:val="21"/>
                <w:szCs w:val="21"/>
              </w:rPr>
            </w:pPr>
            <w:r>
              <w:rPr>
                <w:rFonts w:ascii="宋体" w:hAnsi="宋体" w:cs="宋体" w:eastAsia="宋体" w:hint="default"/>
                <w:sz w:val="21"/>
                <w:szCs w:val="21"/>
              </w:rPr>
              <w:t>本期所得</w:t>
            </w:r>
            <w:r>
              <w:rPr>
                <w:rFonts w:ascii="宋体" w:hAnsi="宋体" w:cs="宋体" w:eastAsia="宋体" w:hint="default"/>
                <w:w w:val="100"/>
                <w:sz w:val="21"/>
                <w:szCs w:val="21"/>
              </w:rPr>
              <w:t> </w:t>
            </w: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18" w:space="0" w:color="FFFFFF"/>
              <w:left w:val="single" w:sz="4" w:space="0" w:color="000000"/>
              <w:right w:val="single" w:sz="4" w:space="0" w:color="000000"/>
            </w:tcBorders>
            <w:shd w:val="clear" w:color="auto" w:fill="D2D2D2"/>
          </w:tcPr>
          <w:p>
            <w:pPr>
              <w:pStyle w:val="TableParagraph"/>
              <w:spacing w:line="271" w:lineRule="auto" w:before="17"/>
              <w:ind w:left="45" w:right="36"/>
              <w:jc w:val="center"/>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于少数股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797" w:type="dxa"/>
            <w:vMerge w:val="restart"/>
            <w:tcBorders>
              <w:top w:val="single" w:sz="18" w:space="0" w:color="FFFFFF"/>
              <w:left w:val="single" w:sz="4" w:space="0" w:color="000000"/>
              <w:right w:val="single" w:sz="4" w:space="0" w:color="000000"/>
            </w:tcBorders>
            <w:shd w:val="clear" w:color="auto" w:fill="D2D2D2"/>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368"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1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146" w:right="36" w:hanging="104"/>
              <w:jc w:val="left"/>
              <w:rPr>
                <w:rFonts w:ascii="宋体" w:hAnsi="宋体" w:cs="宋体" w:eastAsia="宋体" w:hint="default"/>
                <w:sz w:val="21"/>
                <w:szCs w:val="21"/>
              </w:rPr>
            </w:pPr>
            <w:r>
              <w:rPr>
                <w:rFonts w:ascii="宋体" w:hAnsi="宋体" w:cs="宋体" w:eastAsia="宋体" w:hint="default"/>
                <w:sz w:val="21"/>
                <w:szCs w:val="21"/>
              </w:rPr>
              <w:t>减：所得</w:t>
            </w:r>
            <w:r>
              <w:rPr>
                <w:rFonts w:ascii="宋体" w:hAnsi="宋体" w:cs="宋体" w:eastAsia="宋体" w:hint="default"/>
                <w:w w:val="100"/>
                <w:sz w:val="21"/>
                <w:szCs w:val="21"/>
              </w:rPr>
              <w:t> </w:t>
            </w:r>
            <w:r>
              <w:rPr>
                <w:rFonts w:ascii="宋体" w:hAnsi="宋体" w:cs="宋体" w:eastAsia="宋体" w:hint="default"/>
                <w:sz w:val="21"/>
                <w:szCs w:val="21"/>
              </w:rPr>
              <w:t>税费用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45" w:right="36"/>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799" w:type="dxa"/>
            <w:vMerge/>
            <w:tcBorders>
              <w:left w:val="single" w:sz="4" w:space="0" w:color="000000"/>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799" w:type="dxa"/>
            <w:vMerge/>
            <w:tcBorders>
              <w:left w:val="single" w:sz="4" w:space="0" w:color="000000"/>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1"/>
              <w:jc w:val="left"/>
              <w:rPr>
                <w:rFonts w:ascii="宋体" w:hAnsi="宋体" w:cs="宋体" w:eastAsia="宋体" w:hint="default"/>
                <w:sz w:val="21"/>
                <w:szCs w:val="21"/>
              </w:rPr>
            </w:pPr>
            <w:r>
              <w:rPr>
                <w:rFonts w:ascii="宋体" w:hAnsi="宋体" w:cs="宋体" w:eastAsia="宋体" w:hint="default"/>
                <w:spacing w:val="-2"/>
                <w:sz w:val="21"/>
                <w:szCs w:val="21"/>
              </w:rPr>
              <w:t>一、将重分类进损益的其他综</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-4,768,686.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55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627,503.4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684,617.0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-57,113.6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-4,084,0</w:t>
            </w:r>
          </w:p>
          <w:p>
            <w:pPr>
              <w:pStyle w:val="TableParagraph"/>
              <w:spacing w:line="240" w:lineRule="auto" w:before="70"/>
              <w:ind w:left="290" w:right="0"/>
              <w:jc w:val="left"/>
              <w:rPr>
                <w:rFonts w:ascii="Times New Roman" w:hAnsi="Times New Roman" w:cs="Times New Roman" w:eastAsia="Times New Roman" w:hint="default"/>
                <w:sz w:val="21"/>
                <w:szCs w:val="21"/>
              </w:rPr>
            </w:pPr>
            <w:r>
              <w:rPr>
                <w:rFonts w:ascii="Times New Roman"/>
                <w:sz w:val="21"/>
              </w:rPr>
              <w:t>69.49</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-4,768,686.</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55</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627,503.4</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1</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684,617.0</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w w:val="100"/>
                <w:sz w:val="21"/>
              </w:rPr>
              <w:t>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-57,113.6</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-4,084,0</w:t>
            </w:r>
          </w:p>
          <w:p>
            <w:pPr>
              <w:pStyle w:val="TableParagraph"/>
              <w:spacing w:line="240" w:lineRule="auto" w:before="68"/>
              <w:ind w:left="290" w:right="0"/>
              <w:jc w:val="left"/>
              <w:rPr>
                <w:rFonts w:ascii="Times New Roman" w:hAnsi="Times New Roman" w:cs="Times New Roman" w:eastAsia="Times New Roman" w:hint="default"/>
                <w:sz w:val="21"/>
                <w:szCs w:val="21"/>
              </w:rPr>
            </w:pPr>
            <w:r>
              <w:rPr>
                <w:rFonts w:ascii="Times New Roman"/>
                <w:sz w:val="21"/>
              </w:rPr>
              <w:t>69.49</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-4,768,686.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55</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627,503.4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1</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684,617.0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-57,113.6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-4,084,0</w:t>
            </w:r>
          </w:p>
          <w:p>
            <w:pPr>
              <w:pStyle w:val="TableParagraph"/>
              <w:spacing w:line="240" w:lineRule="auto" w:before="70"/>
              <w:ind w:left="290" w:right="0"/>
              <w:jc w:val="left"/>
              <w:rPr>
                <w:rFonts w:ascii="Times New Roman" w:hAnsi="Times New Roman" w:cs="Times New Roman" w:eastAsia="Times New Roman" w:hint="default"/>
                <w:sz w:val="21"/>
                <w:szCs w:val="21"/>
              </w:rPr>
            </w:pPr>
            <w:r>
              <w:rPr>
                <w:rFonts w:ascii="Times New Roman"/>
                <w:sz w:val="21"/>
              </w:rPr>
              <w:t>69.49</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1273"/>
        <w:jc w:val="left"/>
        <w:rPr>
          <w:b w:val="0"/>
          <w:bCs w:val="0"/>
        </w:rPr>
      </w:pPr>
      <w:r>
        <w:rPr>
          <w:rFonts w:ascii="Times New Roman" w:hAnsi="Times New Roman" w:cs="Times New Roman" w:eastAsia="Times New Roman" w:hint="default"/>
        </w:rPr>
        <w:t>33</w:t>
      </w:r>
      <w:r>
        <w:rPr/>
        <w:t>、盈余公积</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43,790,317.54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3,813,713.07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47,604,030.61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43,790,317.54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3,813,713.07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47,604,030.61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pStyle w:val="BodyText"/>
        <w:spacing w:line="357" w:lineRule="auto" w:before="39"/>
        <w:ind w:left="573" w:right="-20" w:hanging="420"/>
        <w:jc w:val="left"/>
      </w:pPr>
      <w:r>
        <w:rPr/>
        <w:t>盈余公积说明，包括本期增减变动情况、变动原因说明： 公司按</w:t>
      </w:r>
      <w:r>
        <w:rPr>
          <w:rFonts w:ascii="Times New Roman" w:hAnsi="Times New Roman" w:cs="Times New Roman" w:eastAsia="Times New Roman" w:hint="default"/>
        </w:rPr>
        <w:t>2018</w:t>
      </w:r>
      <w:r>
        <w:rPr/>
        <w:t>年度母公司净利润提取</w:t>
      </w:r>
      <w:r>
        <w:rPr>
          <w:rFonts w:ascii="Times New Roman" w:hAnsi="Times New Roman" w:cs="Times New Roman" w:eastAsia="Times New Roman" w:hint="default"/>
        </w:rPr>
        <w:t>10%</w:t>
      </w:r>
      <w:r>
        <w:rPr/>
        <w:t>的法定盈余公积。</w:t>
      </w:r>
    </w:p>
    <w:p>
      <w:pPr>
        <w:pStyle w:val="Heading2"/>
        <w:spacing w:line="240" w:lineRule="auto" w:before="5"/>
        <w:ind w:right="-20"/>
        <w:jc w:val="left"/>
        <w:rPr>
          <w:b w:val="0"/>
          <w:bCs w:val="0"/>
        </w:rPr>
      </w:pPr>
      <w:r>
        <w:rPr>
          <w:rFonts w:ascii="Times New Roman" w:hAnsi="Times New Roman" w:cs="Times New Roman" w:eastAsia="Times New Roman" w:hint="default"/>
        </w:rPr>
        <w:t>34</w:t>
      </w:r>
      <w:r>
        <w:rPr/>
        <w:t>、未分配利润</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87"/>
        <w:ind w:right="0"/>
        <w:jc w:val="left"/>
      </w:pPr>
      <w:r>
        <w:rPr/>
        <w:t>单位： 元</w:t>
      </w:r>
    </w:p>
    <w:p>
      <w:pPr>
        <w:spacing w:after="0" w:line="240" w:lineRule="auto"/>
        <w:jc w:val="left"/>
        <w:sectPr>
          <w:type w:val="continuous"/>
          <w:pgSz w:w="11910" w:h="16840"/>
          <w:pgMar w:top="1060" w:bottom="1160" w:left="980" w:right="0"/>
          <w:cols w:num="2" w:equalWidth="0">
            <w:col w:w="6534" w:space="2026"/>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488,024,661.45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327,852,167.21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488,024,661.45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327,852,167.21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167,612,442.09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196,266,033.25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3,813,713.07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8,972,172.37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39,559,288.30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27,170,256.76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3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-48,890.12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612,264,102.17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488,024,661.45</w:t>
            </w:r>
          </w:p>
        </w:tc>
      </w:tr>
    </w:tbl>
    <w:p>
      <w:pPr>
        <w:pStyle w:val="BodyText"/>
        <w:spacing w:line="240" w:lineRule="auto" w:before="39"/>
        <w:ind w:right="1273"/>
        <w:jc w:val="left"/>
      </w:pPr>
      <w:r>
        <w:rPr/>
        <w:t>调整期初未分配利润明细：</w:t>
      </w:r>
    </w:p>
    <w:p>
      <w:pPr>
        <w:pStyle w:val="BodyText"/>
        <w:spacing w:line="240" w:lineRule="auto" w:before="154"/>
        <w:ind w:right="1273"/>
        <w:jc w:val="left"/>
      </w:pPr>
      <w:r>
        <w:rPr>
          <w:rFonts w:ascii="Times New Roman" w:hAnsi="Times New Roman" w:cs="Times New Roman" w:eastAsia="Times New Roman" w:hint="default"/>
        </w:rPr>
        <w:t>1) </w:t>
      </w:r>
      <w:r>
        <w:rPr/>
        <w:t>由于《企业会计准则》及其相关新规定进行追溯调整，影响期初未分配利润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35"/>
        <w:ind w:right="1273"/>
        <w:jc w:val="left"/>
      </w:pPr>
      <w:r>
        <w:rPr>
          <w:rFonts w:ascii="Times New Roman" w:hAnsi="Times New Roman" w:cs="Times New Roman" w:eastAsia="Times New Roman" w:hint="default"/>
        </w:rPr>
        <w:t>2) </w:t>
      </w:r>
      <w:r>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35"/>
        <w:ind w:right="1273"/>
        <w:jc w:val="left"/>
      </w:pPr>
      <w:r>
        <w:rPr>
          <w:rFonts w:ascii="Times New Roman" w:hAnsi="Times New Roman" w:cs="Times New Roman" w:eastAsia="Times New Roman" w:hint="default"/>
        </w:rPr>
        <w:t>3) </w:t>
      </w:r>
      <w:r>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35"/>
        <w:ind w:right="1273"/>
        <w:jc w:val="left"/>
      </w:pPr>
      <w:r>
        <w:rPr>
          <w:rFonts w:ascii="Times New Roman" w:hAnsi="Times New Roman" w:cs="Times New Roman" w:eastAsia="Times New Roman" w:hint="default"/>
        </w:rPr>
        <w:t>4) </w:t>
      </w:r>
      <w:r>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35"/>
        <w:ind w:right="1273"/>
        <w:jc w:val="left"/>
      </w:pPr>
      <w:r>
        <w:rPr>
          <w:rFonts w:ascii="Times New Roman" w:hAnsi="Times New Roman" w:cs="Times New Roman" w:eastAsia="Times New Roman" w:hint="default"/>
        </w:rPr>
        <w:t>5) </w:t>
      </w:r>
      <w:r>
        <w:rPr/>
        <w:t>其他调整合计影响期初未分配利润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Heading2"/>
        <w:spacing w:line="240" w:lineRule="auto" w:before="135"/>
        <w:ind w:right="1273"/>
        <w:jc w:val="left"/>
        <w:rPr>
          <w:b w:val="0"/>
          <w:bCs w:val="0"/>
        </w:rPr>
      </w:pPr>
      <w:r>
        <w:rPr>
          <w:rFonts w:ascii="Times New Roman" w:hAnsi="Times New Roman" w:cs="Times New Roman" w:eastAsia="Times New Roman" w:hint="default"/>
        </w:rPr>
        <w:t>35</w:t>
      </w:r>
      <w:r>
        <w:rPr/>
        <w:t>、营业收入和营业成本</w:t>
      </w:r>
      <w:r>
        <w:rPr>
          <w:b w:val="0"/>
          <w:bCs w:val="0"/>
        </w:rPr>
      </w:r>
    </w:p>
    <w:p>
      <w:pPr>
        <w:spacing w:line="240" w:lineRule="auto" w:before="6"/>
        <w:rPr>
          <w:rFonts w:ascii="宋体" w:hAnsi="宋体" w:cs="宋体" w:eastAsia="宋体" w:hint="default"/>
          <w:b/>
          <w:bCs/>
          <w:sz w:val="8"/>
          <w:szCs w:val="8"/>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1,498,575,562.57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677,904,314.90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1,230,785,737.30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505,957,386.76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19,212,664.76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4,007,117.88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18,972,811.16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3,991,524.76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1,517,788,227.33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681,911,432.78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1,249,758,548.46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509,948,911.52</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36</w:t>
      </w:r>
      <w:r>
        <w:rPr/>
        <w:t>、税金及附加</w:t>
      </w:r>
      <w:r>
        <w:rPr>
          <w:b w:val="0"/>
          <w:bCs w:val="0"/>
        </w:rPr>
      </w:r>
    </w:p>
    <w:p>
      <w:pPr>
        <w:pStyle w:val="BodyText"/>
        <w:spacing w:line="240" w:lineRule="auto" w:before="135"/>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77"/>
        <w:gridCol w:w="3203"/>
        <w:gridCol w:w="3191"/>
      </w:tblGrid>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4,425,229.97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3,413,176.81</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1,967,649.26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1,801,673.73</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3,952,777.44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4,484,337.38</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203"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1,223,780.89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820,102.14</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3203"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1,202,903.51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582,465.17</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03"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891,689.79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1,075,387.77</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13,664,030.86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12,177,143.00</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37</w:t>
      </w:r>
      <w:r>
        <w:rPr/>
        <w:t>、销售费用</w:t>
      </w:r>
      <w:r>
        <w:rPr>
          <w:b w:val="0"/>
          <w:bCs w:val="0"/>
        </w:rPr>
      </w:r>
    </w:p>
    <w:p>
      <w:pPr>
        <w:pStyle w:val="BodyText"/>
        <w:spacing w:line="240" w:lineRule="auto" w:before="13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工资、奖金等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88,961,421.15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71,997,398.14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24,019,245.77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28,549,616.32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7,308,954.02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2,630,701.63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1,612,285.27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829,732.07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1,603,588.22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545,848.23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276,743.68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14,755.20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32,850,859.07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26,488,239.03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8,495,077.84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5,628,265.59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9,933,333.75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11,780,986.82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6,584,227.78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2,812,774.22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4,273,666.83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3,961,830.71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185,919,403.38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155,240,147.96</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38</w:t>
      </w:r>
      <w:r>
        <w:rPr/>
        <w:t>、管理费用</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工资、奖金等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152,088,014.11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103,416,654.24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12,876,227.08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10,594,283.51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5,513,247.36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2,673,755.78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36,639,809.87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31,531,454.22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12,155,580.44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13,191,897.02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5,522,287.49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4,747,947.44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13,418,005.87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9,659,752.54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7,148,126.25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4,944,221.24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办公及其他费用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30,558,263.48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31,861,184.25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限制性股票费用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18,228.29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225,631.79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2,993,894.90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6,296,239.14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耗材费用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9,851,366.90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8,723,239.14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288,783,052.04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227,866,260.31</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39</w:t>
      </w:r>
      <w:r>
        <w:rPr/>
        <w:t>、研发费用</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工资、奖金等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170,088,931.62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156,417,136.78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15,444,664.25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10,118,056.78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1,740,057.01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2,275,422.03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4,814,345.45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1,373,984.80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269,335.12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118,510.71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1,990,886.42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752,740.35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1,763,327.73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1,517,728.05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2,262,005.93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2,863,198.61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198,373,553.53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175,436,778.11</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40</w:t>
      </w:r>
      <w:r>
        <w:rPr/>
        <w:t>、财务费用</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6,580,004.68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7,009,575.60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3,253,403.27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4,088,098.52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-336.70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305,031.87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432,691.40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357,076.66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3,759,629.51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2,973,521.87</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41</w:t>
      </w:r>
      <w:r>
        <w:rPr/>
        <w:t>、资产减值损失</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23,231,768.29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1,243,273.60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二、商誉减值损失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1,312,138.80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23,231,768.29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2,555,412.40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1273"/>
        <w:jc w:val="left"/>
        <w:rPr>
          <w:b w:val="0"/>
          <w:bCs w:val="0"/>
        </w:rPr>
      </w:pPr>
      <w:r>
        <w:rPr>
          <w:rFonts w:ascii="Times New Roman" w:hAnsi="Times New Roman" w:cs="Times New Roman" w:eastAsia="Times New Roman" w:hint="default"/>
        </w:rPr>
        <w:t>42</w:t>
      </w:r>
      <w:r>
        <w:rPr/>
        <w:t>、其他收益</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政府财政补贴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11,380,227.28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1,468,768.15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13,178,218.61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24,312,498.70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代扣代缴个税手续费返还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581,932.12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1,956,176.48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25,140,378.01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27,737,443.33</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43</w:t>
      </w:r>
      <w:r>
        <w:rPr/>
        <w:t>、投资收益</w:t>
      </w:r>
      <w:r>
        <w:rPr>
          <w:b w:val="0"/>
          <w:bCs w:val="0"/>
        </w:rPr>
      </w:r>
    </w:p>
    <w:p>
      <w:pPr>
        <w:pStyle w:val="BodyText"/>
        <w:spacing w:line="240" w:lineRule="auto" w:before="135"/>
        <w:ind w:left="0" w:right="1130"/>
        <w:jc w:val="right"/>
      </w:pPr>
      <w:r>
        <w:rPr/>
        <w:t>单位： 元</w:t>
      </w: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9"/>
      </w:tblGrid>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13,553.70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701,216.26</w:t>
            </w:r>
          </w:p>
        </w:tc>
      </w:tr>
      <w:tr>
        <w:trPr>
          <w:trHeight w:val="71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48"/>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可供出售金融资产在持有期间的投资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240.43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241.04</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银行理财产品投资收益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10,549,448.87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8,385,947.38</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10,563,243.00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9,087,404.68</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44</w:t>
      </w:r>
      <w:r>
        <w:rPr/>
        <w:t>、资产处置收益</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9"/>
              <w:jc w:val="left"/>
              <w:rPr>
                <w:rFonts w:ascii="宋体" w:hAnsi="宋体" w:cs="宋体" w:eastAsia="宋体" w:hint="default"/>
                <w:sz w:val="21"/>
                <w:szCs w:val="21"/>
              </w:rPr>
            </w:pPr>
            <w:r>
              <w:rPr>
                <w:rFonts w:ascii="宋体" w:hAnsi="宋体" w:cs="宋体" w:eastAsia="宋体" w:hint="default"/>
                <w:spacing w:val="-2"/>
                <w:sz w:val="21"/>
                <w:szCs w:val="21"/>
              </w:rPr>
              <w:t>处置未划分为持有待售的非流动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资产时确认的收益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73,947.43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-186,929.10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73,947.43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-186,929.10</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45</w:t>
      </w:r>
      <w:r>
        <w:rPr/>
        <w:t>、营业外收入</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7"/>
        <w:gridCol w:w="2396"/>
        <w:gridCol w:w="2393"/>
        <w:gridCol w:w="2393"/>
      </w:tblGrid>
      <w:tr>
        <w:trPr>
          <w:trHeight w:val="161" w:hRule="exact"/>
        </w:trPr>
        <w:tc>
          <w:tcPr>
            <w:tcW w:w="237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981" w:right="31" w:hanging="946"/>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1" w:hRule="exact"/>
        </w:trPr>
        <w:tc>
          <w:tcPr>
            <w:tcW w:w="23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10,920,569.28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2,938,388.20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10,920,569.28</w:t>
            </w: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64,235.31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214,142.16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64,235.31</w:t>
            </w: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10,984,804.59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3,152,530.36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10,984,804.59</w:t>
            </w:r>
          </w:p>
        </w:tc>
      </w:tr>
    </w:tbl>
    <w:p>
      <w:pPr>
        <w:pStyle w:val="BodyText"/>
        <w:spacing w:line="240" w:lineRule="auto" w:before="79"/>
        <w:ind w:right="1273"/>
        <w:jc w:val="left"/>
      </w:pPr>
      <w:r>
        <w:rPr/>
        <w:t>计入当期损益的政府补助：</w:t>
      </w:r>
    </w:p>
    <w:p>
      <w:pPr>
        <w:spacing w:line="240" w:lineRule="auto" w:before="9"/>
        <w:rPr>
          <w:rFonts w:ascii="宋体" w:hAnsi="宋体" w:cs="宋体" w:eastAsia="宋体" w:hint="default"/>
          <w:sz w:val="12"/>
          <w:szCs w:val="12"/>
        </w:rPr>
      </w:pPr>
    </w:p>
    <w:p>
      <w:pPr>
        <w:pStyle w:val="BodyText"/>
        <w:spacing w:line="240" w:lineRule="auto" w:before="26"/>
        <w:ind w:left="0" w:right="1130"/>
        <w:jc w:val="right"/>
      </w:pPr>
      <w:r>
        <w:rPr/>
        <w:t>单位： 元</w:t>
      </w:r>
    </w:p>
    <w:p>
      <w:pPr>
        <w:spacing w:line="240" w:lineRule="auto" w:before="1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84"/>
        <w:gridCol w:w="992"/>
        <w:gridCol w:w="816"/>
        <w:gridCol w:w="2304"/>
        <w:gridCol w:w="708"/>
        <w:gridCol w:w="709"/>
        <w:gridCol w:w="1135"/>
        <w:gridCol w:w="852"/>
        <w:gridCol w:w="670"/>
      </w:tblGrid>
      <w:tr>
        <w:trPr>
          <w:trHeight w:val="1339" w:hRule="exact"/>
        </w:trPr>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发放主体</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99" w:right="83" w:hanging="212"/>
              <w:jc w:val="left"/>
              <w:rPr>
                <w:rFonts w:ascii="宋体" w:hAnsi="宋体" w:cs="宋体" w:eastAsia="宋体" w:hint="default"/>
                <w:sz w:val="21"/>
                <w:szCs w:val="21"/>
              </w:rPr>
            </w:pPr>
            <w:r>
              <w:rPr>
                <w:rFonts w:ascii="宋体" w:hAnsi="宋体" w:cs="宋体" w:eastAsia="宋体" w:hint="default"/>
                <w:sz w:val="21"/>
                <w:szCs w:val="21"/>
              </w:rPr>
              <w:t>发放原</w:t>
            </w:r>
            <w:r>
              <w:rPr>
                <w:rFonts w:ascii="宋体" w:hAnsi="宋体" w:cs="宋体" w:eastAsia="宋体" w:hint="default"/>
                <w:spacing w:val="-102"/>
                <w:sz w:val="21"/>
                <w:szCs w:val="21"/>
              </w:rPr>
              <w:t> </w:t>
            </w:r>
            <w:r>
              <w:rPr>
                <w:rFonts w:ascii="宋体" w:hAnsi="宋体" w:cs="宋体" w:eastAsia="宋体" w:hint="default"/>
                <w:sz w:val="21"/>
                <w:szCs w:val="21"/>
              </w:rPr>
              <w:t>因</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性质类型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3" w:right="29"/>
              <w:jc w:val="center"/>
              <w:rPr>
                <w:rFonts w:ascii="宋体" w:hAnsi="宋体" w:cs="宋体" w:eastAsia="宋体" w:hint="default"/>
                <w:sz w:val="21"/>
                <w:szCs w:val="21"/>
              </w:rPr>
            </w:pPr>
            <w:r>
              <w:rPr>
                <w:rFonts w:ascii="宋体" w:hAnsi="宋体" w:cs="宋体" w:eastAsia="宋体" w:hint="default"/>
                <w:sz w:val="21"/>
                <w:szCs w:val="21"/>
              </w:rPr>
              <w:t>补贴是</w:t>
            </w:r>
            <w:r>
              <w:rPr>
                <w:rFonts w:ascii="宋体" w:hAnsi="宋体" w:cs="宋体" w:eastAsia="宋体" w:hint="default"/>
                <w:w w:val="100"/>
                <w:sz w:val="21"/>
                <w:szCs w:val="21"/>
              </w:rPr>
              <w:t> </w:t>
            </w:r>
            <w:r>
              <w:rPr>
                <w:rFonts w:ascii="宋体" w:hAnsi="宋体" w:cs="宋体" w:eastAsia="宋体" w:hint="default"/>
                <w:sz w:val="21"/>
                <w:szCs w:val="21"/>
              </w:rPr>
              <w:t>否影响</w:t>
            </w:r>
            <w:r>
              <w:rPr>
                <w:rFonts w:ascii="宋体" w:hAnsi="宋体" w:cs="宋体" w:eastAsia="宋体" w:hint="default"/>
                <w:w w:val="100"/>
                <w:sz w:val="21"/>
                <w:szCs w:val="21"/>
              </w:rPr>
              <w:t> </w:t>
            </w:r>
            <w:r>
              <w:rPr>
                <w:rFonts w:ascii="宋体" w:hAnsi="宋体" w:cs="宋体" w:eastAsia="宋体" w:hint="default"/>
                <w:sz w:val="21"/>
                <w:szCs w:val="21"/>
              </w:rPr>
              <w:t>当年盈</w:t>
            </w:r>
            <w:r>
              <w:rPr>
                <w:rFonts w:ascii="宋体" w:hAnsi="宋体" w:cs="宋体" w:eastAsia="宋体" w:hint="default"/>
                <w:w w:val="100"/>
                <w:sz w:val="21"/>
                <w:szCs w:val="21"/>
              </w:rPr>
              <w:t> </w:t>
            </w:r>
            <w:r>
              <w:rPr>
                <w:rFonts w:ascii="宋体" w:hAnsi="宋体" w:cs="宋体" w:eastAsia="宋体" w:hint="default"/>
                <w:sz w:val="21"/>
                <w:szCs w:val="21"/>
              </w:rPr>
              <w:t>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3" w:right="29"/>
              <w:jc w:val="left"/>
              <w:rPr>
                <w:rFonts w:ascii="宋体" w:hAnsi="宋体" w:cs="宋体" w:eastAsia="宋体" w:hint="default"/>
                <w:sz w:val="21"/>
                <w:szCs w:val="21"/>
              </w:rPr>
            </w:pPr>
            <w:r>
              <w:rPr>
                <w:rFonts w:ascii="宋体" w:hAnsi="宋体" w:cs="宋体" w:eastAsia="宋体" w:hint="default"/>
                <w:sz w:val="21"/>
                <w:szCs w:val="21"/>
              </w:rPr>
              <w:t>是否特</w:t>
            </w:r>
            <w:r>
              <w:rPr>
                <w:rFonts w:ascii="宋体" w:hAnsi="宋体" w:cs="宋体" w:eastAsia="宋体" w:hint="default"/>
                <w:spacing w:val="-102"/>
                <w:sz w:val="21"/>
                <w:szCs w:val="21"/>
              </w:rPr>
              <w:t> </w:t>
            </w:r>
            <w:r>
              <w:rPr>
                <w:rFonts w:ascii="宋体" w:hAnsi="宋体" w:cs="宋体" w:eastAsia="宋体" w:hint="default"/>
                <w:sz w:val="21"/>
                <w:szCs w:val="21"/>
              </w:rPr>
              <w:t>殊补贴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58" w:right="31" w:hanging="420"/>
              <w:jc w:val="left"/>
              <w:rPr>
                <w:rFonts w:ascii="宋体" w:hAnsi="宋体" w:cs="宋体" w:eastAsia="宋体" w:hint="default"/>
                <w:sz w:val="21"/>
                <w:szCs w:val="21"/>
              </w:rPr>
            </w:pPr>
            <w:r>
              <w:rPr>
                <w:rFonts w:ascii="宋体" w:hAnsi="宋体" w:cs="宋体" w:eastAsia="宋体" w:hint="default"/>
                <w:sz w:val="21"/>
                <w:szCs w:val="21"/>
              </w:rPr>
              <w:t>本期发生金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上期发</w:t>
            </w:r>
            <w:r>
              <w:rPr>
                <w:rFonts w:ascii="宋体" w:hAnsi="宋体" w:cs="宋体" w:eastAsia="宋体" w:hint="default"/>
                <w:spacing w:val="-102"/>
                <w:sz w:val="21"/>
                <w:szCs w:val="21"/>
              </w:rPr>
              <w:t> </w:t>
            </w:r>
            <w:r>
              <w:rPr>
                <w:rFonts w:ascii="宋体" w:hAnsi="宋体" w:cs="宋体" w:eastAsia="宋体" w:hint="default"/>
                <w:sz w:val="21"/>
                <w:szCs w:val="21"/>
              </w:rPr>
              <w:t>生金额</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50"/>
              <w:ind w:left="91" w:right="86" w:firstLine="28"/>
              <w:jc w:val="both"/>
              <w:rPr>
                <w:rFonts w:ascii="宋体" w:hAnsi="宋体" w:cs="宋体" w:eastAsia="宋体" w:hint="default"/>
                <w:sz w:val="21"/>
                <w:szCs w:val="21"/>
              </w:rPr>
            </w:pPr>
            <w:r>
              <w:rPr>
                <w:rFonts w:ascii="宋体" w:hAnsi="宋体" w:cs="宋体" w:eastAsia="宋体" w:hint="default"/>
                <w:sz w:val="21"/>
                <w:szCs w:val="21"/>
              </w:rPr>
              <w:t>与资</w:t>
            </w:r>
            <w:r>
              <w:rPr>
                <w:rFonts w:ascii="宋体" w:hAnsi="宋体" w:cs="宋体" w:eastAsia="宋体" w:hint="default"/>
                <w:w w:val="100"/>
                <w:sz w:val="21"/>
                <w:szCs w:val="21"/>
              </w:rPr>
              <w:t> </w:t>
            </w:r>
            <w:r>
              <w:rPr>
                <w:rFonts w:ascii="宋体" w:hAnsi="宋体" w:cs="宋体" w:eastAsia="宋体" w:hint="default"/>
                <w:sz w:val="21"/>
                <w:szCs w:val="21"/>
              </w:rPr>
              <w:t>产相</w:t>
            </w:r>
            <w:r>
              <w:rPr>
                <w:rFonts w:ascii="宋体" w:hAnsi="宋体" w:cs="宋体" w:eastAsia="宋体" w:hint="default"/>
                <w:spacing w:val="-103"/>
                <w:sz w:val="21"/>
                <w:szCs w:val="21"/>
              </w:rPr>
              <w:t> </w:t>
            </w:r>
            <w:r>
              <w:rPr>
                <w:rFonts w:ascii="宋体" w:hAnsi="宋体" w:cs="宋体" w:eastAsia="宋体" w:hint="default"/>
                <w:sz w:val="21"/>
                <w:szCs w:val="21"/>
              </w:rPr>
              <w:t>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w:t>
            </w:r>
          </w:p>
        </w:tc>
      </w:tr>
    </w:tbl>
    <w:p>
      <w:pPr>
        <w:spacing w:after="0" w:line="266" w:lineRule="auto"/>
        <w:jc w:val="both"/>
        <w:rPr>
          <w:rFonts w:ascii="宋体" w:hAnsi="宋体" w:cs="宋体" w:eastAsia="宋体" w:hint="default"/>
          <w:sz w:val="21"/>
          <w:szCs w:val="21"/>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85"/>
        <w:gridCol w:w="992"/>
        <w:gridCol w:w="816"/>
        <w:gridCol w:w="2304"/>
        <w:gridCol w:w="708"/>
        <w:gridCol w:w="709"/>
        <w:gridCol w:w="1135"/>
        <w:gridCol w:w="852"/>
        <w:gridCol w:w="670"/>
      </w:tblGrid>
      <w:tr>
        <w:trPr>
          <w:trHeight w:val="36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33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朝阳区</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企业上市和并</w:t>
            </w:r>
            <w:r>
              <w:rPr>
                <w:rFonts w:ascii="宋体" w:hAnsi="宋体" w:cs="宋体" w:eastAsia="宋体" w:hint="default"/>
                <w:w w:val="100"/>
                <w:sz w:val="21"/>
                <w:szCs w:val="21"/>
              </w:rPr>
              <w:t> </w:t>
            </w:r>
            <w:r>
              <w:rPr>
                <w:rFonts w:ascii="宋体" w:hAnsi="宋体" w:cs="宋体" w:eastAsia="宋体" w:hint="default"/>
                <w:sz w:val="21"/>
                <w:szCs w:val="21"/>
              </w:rPr>
              <w:t>购重组专项资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113"/>
              <w:jc w:val="left"/>
              <w:rPr>
                <w:rFonts w:ascii="宋体" w:hAnsi="宋体" w:cs="宋体" w:eastAsia="宋体" w:hint="default"/>
                <w:sz w:val="21"/>
                <w:szCs w:val="21"/>
              </w:rPr>
            </w:pPr>
            <w:r>
              <w:rPr>
                <w:rFonts w:ascii="宋体" w:hAnsi="宋体" w:cs="宋体" w:eastAsia="宋体" w:hint="default"/>
                <w:sz w:val="21"/>
                <w:szCs w:val="21"/>
              </w:rPr>
              <w:t>朝阳区政</w:t>
            </w:r>
            <w:r>
              <w:rPr>
                <w:rFonts w:ascii="宋体" w:hAnsi="宋体" w:cs="宋体" w:eastAsia="宋体" w:hint="default"/>
                <w:w w:val="100"/>
                <w:sz w:val="21"/>
                <w:szCs w:val="21"/>
              </w:rPr>
              <w:t> </w:t>
            </w:r>
            <w:r>
              <w:rPr>
                <w:rFonts w:ascii="宋体" w:hAnsi="宋体" w:cs="宋体" w:eastAsia="宋体" w:hint="default"/>
                <w:sz w:val="21"/>
                <w:szCs w:val="21"/>
              </w:rPr>
              <w:t>府</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因从事国家鼓励和扶持</w:t>
            </w:r>
            <w:r>
              <w:rPr>
                <w:rFonts w:ascii="宋体" w:hAnsi="宋体" w:cs="宋体" w:eastAsia="宋体" w:hint="default"/>
                <w:w w:val="100"/>
                <w:sz w:val="21"/>
                <w:szCs w:val="21"/>
              </w:rPr>
              <w:t> </w:t>
            </w:r>
            <w:r>
              <w:rPr>
                <w:rFonts w:ascii="宋体" w:hAnsi="宋体" w:cs="宋体" w:eastAsia="宋体" w:hint="default"/>
                <w:spacing w:val="-7"/>
                <w:sz w:val="21"/>
                <w:szCs w:val="21"/>
              </w:rPr>
              <w:t>特定行业、产业而获得的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补助（按国家级政策规定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3,500,000.0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政策扶持款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3"/>
              <w:jc w:val="both"/>
              <w:rPr>
                <w:rFonts w:ascii="宋体" w:hAnsi="宋体" w:cs="宋体" w:eastAsia="宋体" w:hint="default"/>
                <w:sz w:val="21"/>
                <w:szCs w:val="21"/>
              </w:rPr>
            </w:pPr>
            <w:r>
              <w:rPr>
                <w:rFonts w:ascii="宋体" w:hAnsi="宋体" w:cs="宋体" w:eastAsia="宋体" w:hint="default"/>
                <w:sz w:val="21"/>
                <w:szCs w:val="21"/>
              </w:rPr>
              <w:t>郑州市郑</w:t>
            </w:r>
            <w:r>
              <w:rPr>
                <w:rFonts w:ascii="宋体" w:hAnsi="宋体" w:cs="宋体" w:eastAsia="宋体" w:hint="default"/>
                <w:w w:val="100"/>
                <w:sz w:val="21"/>
                <w:szCs w:val="21"/>
              </w:rPr>
              <w:t> </w:t>
            </w:r>
            <w:r>
              <w:rPr>
                <w:rFonts w:ascii="宋体" w:hAnsi="宋体" w:cs="宋体" w:eastAsia="宋体" w:hint="default"/>
                <w:sz w:val="21"/>
                <w:szCs w:val="21"/>
              </w:rPr>
              <w:t>东新区国</w:t>
            </w:r>
            <w:r>
              <w:rPr>
                <w:rFonts w:ascii="宋体" w:hAnsi="宋体" w:cs="宋体" w:eastAsia="宋体" w:hint="default"/>
                <w:w w:val="100"/>
                <w:sz w:val="21"/>
                <w:szCs w:val="21"/>
              </w:rPr>
              <w:t> </w:t>
            </w:r>
            <w:r>
              <w:rPr>
                <w:rFonts w:ascii="宋体" w:hAnsi="宋体" w:cs="宋体" w:eastAsia="宋体" w:hint="default"/>
                <w:sz w:val="21"/>
                <w:szCs w:val="21"/>
              </w:rPr>
              <w:t>库集中支</w:t>
            </w:r>
            <w:r>
              <w:rPr>
                <w:rFonts w:ascii="宋体" w:hAnsi="宋体" w:cs="宋体" w:eastAsia="宋体" w:hint="default"/>
                <w:w w:val="100"/>
                <w:sz w:val="21"/>
                <w:szCs w:val="21"/>
              </w:rPr>
              <w:t> </w:t>
            </w:r>
            <w:r>
              <w:rPr>
                <w:rFonts w:ascii="宋体" w:hAnsi="宋体" w:cs="宋体" w:eastAsia="宋体" w:hint="default"/>
                <w:sz w:val="21"/>
                <w:szCs w:val="21"/>
              </w:rPr>
              <w:t>付中心</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因从事国家鼓励和扶持</w:t>
            </w:r>
            <w:r>
              <w:rPr>
                <w:rFonts w:ascii="宋体" w:hAnsi="宋体" w:cs="宋体" w:eastAsia="宋体" w:hint="default"/>
                <w:w w:val="100"/>
                <w:sz w:val="21"/>
                <w:szCs w:val="21"/>
              </w:rPr>
              <w:t> </w:t>
            </w:r>
            <w:r>
              <w:rPr>
                <w:rFonts w:ascii="宋体" w:hAnsi="宋体" w:cs="宋体" w:eastAsia="宋体" w:hint="default"/>
                <w:spacing w:val="-7"/>
                <w:sz w:val="21"/>
                <w:szCs w:val="21"/>
              </w:rPr>
              <w:t>特定行业、产业而获得的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补助（按国家级政策规定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1,304,000.0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科技发展资金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3"/>
              <w:jc w:val="both"/>
              <w:rPr>
                <w:rFonts w:ascii="宋体" w:hAnsi="宋体" w:cs="宋体" w:eastAsia="宋体" w:hint="default"/>
                <w:sz w:val="21"/>
                <w:szCs w:val="21"/>
              </w:rPr>
            </w:pPr>
            <w:r>
              <w:rPr>
                <w:rFonts w:ascii="宋体" w:hAnsi="宋体" w:cs="宋体" w:eastAsia="宋体" w:hint="default"/>
                <w:sz w:val="21"/>
                <w:szCs w:val="21"/>
              </w:rPr>
              <w:t>南京鼓楼</w:t>
            </w:r>
            <w:r>
              <w:rPr>
                <w:rFonts w:ascii="宋体" w:hAnsi="宋体" w:cs="宋体" w:eastAsia="宋体" w:hint="default"/>
                <w:w w:val="100"/>
                <w:sz w:val="21"/>
                <w:szCs w:val="21"/>
              </w:rPr>
              <w:t> </w:t>
            </w:r>
            <w:r>
              <w:rPr>
                <w:rFonts w:ascii="宋体" w:hAnsi="宋体" w:cs="宋体" w:eastAsia="宋体" w:hint="default"/>
                <w:sz w:val="21"/>
                <w:szCs w:val="21"/>
              </w:rPr>
              <w:t>国家大学</w:t>
            </w:r>
            <w:r>
              <w:rPr>
                <w:rFonts w:ascii="宋体" w:hAnsi="宋体" w:cs="宋体" w:eastAsia="宋体" w:hint="default"/>
                <w:w w:val="100"/>
                <w:sz w:val="21"/>
                <w:szCs w:val="21"/>
              </w:rPr>
              <w:t> </w:t>
            </w:r>
            <w:r>
              <w:rPr>
                <w:rFonts w:ascii="宋体" w:hAnsi="宋体" w:cs="宋体" w:eastAsia="宋体" w:hint="default"/>
                <w:sz w:val="21"/>
                <w:szCs w:val="21"/>
              </w:rPr>
              <w:t>科技园管</w:t>
            </w:r>
            <w:r>
              <w:rPr>
                <w:rFonts w:ascii="宋体" w:hAnsi="宋体" w:cs="宋体" w:eastAsia="宋体" w:hint="default"/>
                <w:w w:val="100"/>
                <w:sz w:val="21"/>
                <w:szCs w:val="21"/>
              </w:rPr>
              <w:t> </w:t>
            </w:r>
            <w:r>
              <w:rPr>
                <w:rFonts w:ascii="宋体" w:hAnsi="宋体" w:cs="宋体" w:eastAsia="宋体" w:hint="default"/>
                <w:sz w:val="21"/>
                <w:szCs w:val="21"/>
              </w:rPr>
              <w:t>理委员会</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7"/>
                <w:sz w:val="21"/>
                <w:szCs w:val="21"/>
              </w:rPr>
              <w:t>因研究开发、技术更新及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改造等获得的补助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930,000.00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6"/>
              <w:jc w:val="both"/>
              <w:rPr>
                <w:rFonts w:ascii="宋体" w:hAnsi="宋体" w:cs="宋体" w:eastAsia="宋体" w:hint="default"/>
                <w:sz w:val="21"/>
                <w:szCs w:val="21"/>
              </w:rPr>
            </w:pPr>
            <w:r>
              <w:rPr>
                <w:rFonts w:ascii="宋体" w:hAnsi="宋体" w:cs="宋体" w:eastAsia="宋体" w:hint="default"/>
                <w:sz w:val="21"/>
                <w:szCs w:val="21"/>
              </w:rPr>
              <w:t>浦东新区科技</w:t>
            </w:r>
            <w:r>
              <w:rPr>
                <w:rFonts w:ascii="宋体" w:hAnsi="宋体" w:cs="宋体" w:eastAsia="宋体" w:hint="default"/>
                <w:w w:val="100"/>
                <w:sz w:val="21"/>
                <w:szCs w:val="21"/>
              </w:rPr>
              <w:t> </w:t>
            </w:r>
            <w:r>
              <w:rPr>
                <w:rFonts w:ascii="宋体" w:hAnsi="宋体" w:cs="宋体" w:eastAsia="宋体" w:hint="default"/>
                <w:sz w:val="21"/>
                <w:szCs w:val="21"/>
              </w:rPr>
              <w:t>发展基金重点</w:t>
            </w:r>
            <w:r>
              <w:rPr>
                <w:rFonts w:ascii="宋体" w:hAnsi="宋体" w:cs="宋体" w:eastAsia="宋体" w:hint="default"/>
                <w:w w:val="100"/>
                <w:sz w:val="21"/>
                <w:szCs w:val="21"/>
              </w:rPr>
              <w:t> </w:t>
            </w:r>
            <w:r>
              <w:rPr>
                <w:rFonts w:ascii="宋体" w:hAnsi="宋体" w:cs="宋体" w:eastAsia="宋体" w:hint="default"/>
                <w:sz w:val="21"/>
                <w:szCs w:val="21"/>
              </w:rPr>
              <w:t>企业研发机构</w:t>
            </w:r>
            <w:r>
              <w:rPr>
                <w:rFonts w:ascii="宋体" w:hAnsi="宋体" w:cs="宋体" w:eastAsia="宋体" w:hint="default"/>
                <w:w w:val="100"/>
                <w:sz w:val="21"/>
                <w:szCs w:val="21"/>
              </w:rPr>
              <w:t> </w:t>
            </w:r>
            <w:r>
              <w:rPr>
                <w:rFonts w:ascii="宋体" w:hAnsi="宋体" w:cs="宋体" w:eastAsia="宋体" w:hint="default"/>
                <w:sz w:val="21"/>
                <w:szCs w:val="21"/>
              </w:rPr>
              <w:t>补贴专项资助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13"/>
              <w:jc w:val="both"/>
              <w:rPr>
                <w:rFonts w:ascii="宋体" w:hAnsi="宋体" w:cs="宋体" w:eastAsia="宋体" w:hint="default"/>
                <w:sz w:val="21"/>
                <w:szCs w:val="21"/>
              </w:rPr>
            </w:pPr>
            <w:r>
              <w:rPr>
                <w:rFonts w:ascii="宋体" w:hAnsi="宋体" w:cs="宋体" w:eastAsia="宋体" w:hint="default"/>
                <w:sz w:val="21"/>
                <w:szCs w:val="21"/>
              </w:rPr>
              <w:t>上海市浦</w:t>
            </w:r>
            <w:r>
              <w:rPr>
                <w:rFonts w:ascii="宋体" w:hAnsi="宋体" w:cs="宋体" w:eastAsia="宋体" w:hint="default"/>
                <w:w w:val="100"/>
                <w:sz w:val="21"/>
                <w:szCs w:val="21"/>
              </w:rPr>
              <w:t> </w:t>
            </w:r>
            <w:r>
              <w:rPr>
                <w:rFonts w:ascii="宋体" w:hAnsi="宋体" w:cs="宋体" w:eastAsia="宋体" w:hint="default"/>
                <w:sz w:val="21"/>
                <w:szCs w:val="21"/>
              </w:rPr>
              <w:t>东新区财</w:t>
            </w:r>
            <w:r>
              <w:rPr>
                <w:rFonts w:ascii="宋体" w:hAnsi="宋体" w:cs="宋体" w:eastAsia="宋体" w:hint="default"/>
                <w:w w:val="100"/>
                <w:sz w:val="21"/>
                <w:szCs w:val="21"/>
              </w:rPr>
              <w:t> </w:t>
            </w:r>
            <w:r>
              <w:rPr>
                <w:rFonts w:ascii="宋体" w:hAnsi="宋体" w:cs="宋体" w:eastAsia="宋体" w:hint="default"/>
                <w:sz w:val="21"/>
                <w:szCs w:val="21"/>
              </w:rPr>
              <w:t>政局</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66"/>
              <w:jc w:val="both"/>
              <w:rPr>
                <w:rFonts w:ascii="宋体" w:hAnsi="宋体" w:cs="宋体" w:eastAsia="宋体" w:hint="default"/>
                <w:sz w:val="21"/>
                <w:szCs w:val="21"/>
              </w:rPr>
            </w:pPr>
            <w:r>
              <w:rPr>
                <w:rFonts w:ascii="宋体" w:hAnsi="宋体" w:cs="宋体" w:eastAsia="宋体" w:hint="default"/>
                <w:spacing w:val="-2"/>
                <w:sz w:val="21"/>
                <w:szCs w:val="21"/>
              </w:rPr>
              <w:t>因符合地方政府招商引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资等地方性扶持政策而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4" w:right="33"/>
              <w:jc w:val="both"/>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年上海市</w:t>
            </w:r>
            <w:r>
              <w:rPr>
                <w:rFonts w:ascii="宋体" w:hAnsi="宋体" w:cs="宋体" w:eastAsia="宋体" w:hint="default"/>
                <w:w w:val="100"/>
                <w:sz w:val="21"/>
                <w:szCs w:val="21"/>
              </w:rPr>
              <w:t> </w:t>
            </w:r>
            <w:r>
              <w:rPr>
                <w:rFonts w:ascii="宋体" w:hAnsi="宋体" w:cs="宋体" w:eastAsia="宋体" w:hint="default"/>
                <w:sz w:val="21"/>
                <w:szCs w:val="21"/>
              </w:rPr>
              <w:t>促进文化创意</w:t>
            </w:r>
            <w:r>
              <w:rPr>
                <w:rFonts w:ascii="宋体" w:hAnsi="宋体" w:cs="宋体" w:eastAsia="宋体" w:hint="default"/>
                <w:w w:val="100"/>
                <w:sz w:val="21"/>
                <w:szCs w:val="21"/>
              </w:rPr>
              <w:t> </w:t>
            </w:r>
            <w:r>
              <w:rPr>
                <w:rFonts w:ascii="宋体" w:hAnsi="宋体" w:cs="宋体" w:eastAsia="宋体" w:hint="default"/>
                <w:sz w:val="21"/>
                <w:szCs w:val="21"/>
              </w:rPr>
              <w:t>产业发展财政</w:t>
            </w:r>
            <w:r>
              <w:rPr>
                <w:rFonts w:ascii="宋体" w:hAnsi="宋体" w:cs="宋体" w:eastAsia="宋体" w:hint="default"/>
                <w:w w:val="100"/>
                <w:sz w:val="21"/>
                <w:szCs w:val="21"/>
              </w:rPr>
              <w:t> </w:t>
            </w:r>
            <w:r>
              <w:rPr>
                <w:rFonts w:ascii="宋体" w:hAnsi="宋体" w:cs="宋体" w:eastAsia="宋体" w:hint="default"/>
                <w:sz w:val="21"/>
                <w:szCs w:val="21"/>
              </w:rPr>
              <w:t>扶持资金项目</w:t>
            </w:r>
            <w:r>
              <w:rPr>
                <w:rFonts w:ascii="宋体" w:hAnsi="宋体" w:cs="宋体" w:eastAsia="宋体" w:hint="default"/>
                <w:w w:val="100"/>
                <w:sz w:val="21"/>
                <w:szCs w:val="21"/>
              </w:rPr>
              <w:t> </w:t>
            </w:r>
            <w:r>
              <w:rPr>
                <w:rFonts w:ascii="宋体" w:hAnsi="宋体" w:cs="宋体" w:eastAsia="宋体" w:hint="default"/>
                <w:sz w:val="21"/>
                <w:szCs w:val="21"/>
              </w:rPr>
              <w:t>补贴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113"/>
              <w:jc w:val="both"/>
              <w:rPr>
                <w:rFonts w:ascii="宋体" w:hAnsi="宋体" w:cs="宋体" w:eastAsia="宋体" w:hint="default"/>
                <w:sz w:val="21"/>
                <w:szCs w:val="21"/>
              </w:rPr>
            </w:pPr>
            <w:r>
              <w:rPr>
                <w:rFonts w:ascii="宋体" w:hAnsi="宋体" w:cs="宋体" w:eastAsia="宋体" w:hint="default"/>
                <w:sz w:val="21"/>
                <w:szCs w:val="21"/>
              </w:rPr>
              <w:t>上海市国</w:t>
            </w:r>
            <w:r>
              <w:rPr>
                <w:rFonts w:ascii="宋体" w:hAnsi="宋体" w:cs="宋体" w:eastAsia="宋体" w:hint="default"/>
                <w:w w:val="100"/>
                <w:sz w:val="21"/>
                <w:szCs w:val="21"/>
              </w:rPr>
              <w:t> </w:t>
            </w:r>
            <w:r>
              <w:rPr>
                <w:rFonts w:ascii="宋体" w:hAnsi="宋体" w:cs="宋体" w:eastAsia="宋体" w:hint="default"/>
                <w:sz w:val="21"/>
                <w:szCs w:val="21"/>
              </w:rPr>
              <w:t>库收付中</w:t>
            </w:r>
            <w:r>
              <w:rPr>
                <w:rFonts w:ascii="宋体" w:hAnsi="宋体" w:cs="宋体" w:eastAsia="宋体" w:hint="default"/>
                <w:w w:val="100"/>
                <w:sz w:val="21"/>
                <w:szCs w:val="21"/>
              </w:rPr>
              <w:t> </w:t>
            </w:r>
            <w:r>
              <w:rPr>
                <w:rFonts w:ascii="宋体" w:hAnsi="宋体" w:cs="宋体" w:eastAsia="宋体" w:hint="default"/>
                <w:sz w:val="21"/>
                <w:szCs w:val="21"/>
              </w:rPr>
              <w:t>心</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因从事国家鼓励和扶持</w:t>
            </w:r>
            <w:r>
              <w:rPr>
                <w:rFonts w:ascii="宋体" w:hAnsi="宋体" w:cs="宋体" w:eastAsia="宋体" w:hint="default"/>
                <w:w w:val="100"/>
                <w:sz w:val="21"/>
                <w:szCs w:val="21"/>
              </w:rPr>
              <w:t> </w:t>
            </w:r>
            <w:r>
              <w:rPr>
                <w:rFonts w:ascii="宋体" w:hAnsi="宋体" w:cs="宋体" w:eastAsia="宋体" w:hint="default"/>
                <w:spacing w:val="-7"/>
                <w:sz w:val="21"/>
                <w:szCs w:val="21"/>
              </w:rPr>
              <w:t>特定行业、产业而获得的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补助（按国家级政策规定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530,000.00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信息化奖励金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3"/>
              <w:jc w:val="both"/>
              <w:rPr>
                <w:rFonts w:ascii="宋体" w:hAnsi="宋体" w:cs="宋体" w:eastAsia="宋体" w:hint="default"/>
                <w:sz w:val="21"/>
                <w:szCs w:val="21"/>
              </w:rPr>
            </w:pPr>
            <w:r>
              <w:rPr>
                <w:rFonts w:ascii="宋体" w:hAnsi="宋体" w:cs="宋体" w:eastAsia="宋体" w:hint="default"/>
                <w:sz w:val="21"/>
                <w:szCs w:val="21"/>
              </w:rPr>
              <w:t>北京市朝</w:t>
            </w:r>
            <w:r>
              <w:rPr>
                <w:rFonts w:ascii="宋体" w:hAnsi="宋体" w:cs="宋体" w:eastAsia="宋体" w:hint="default"/>
                <w:w w:val="100"/>
                <w:sz w:val="21"/>
                <w:szCs w:val="21"/>
              </w:rPr>
              <w:t> </w:t>
            </w:r>
            <w:r>
              <w:rPr>
                <w:rFonts w:ascii="宋体" w:hAnsi="宋体" w:cs="宋体" w:eastAsia="宋体" w:hint="default"/>
                <w:sz w:val="21"/>
                <w:szCs w:val="21"/>
              </w:rPr>
              <w:t>阳区信息</w:t>
            </w:r>
            <w:r>
              <w:rPr>
                <w:rFonts w:ascii="宋体" w:hAnsi="宋体" w:cs="宋体" w:eastAsia="宋体" w:hint="default"/>
                <w:w w:val="100"/>
                <w:sz w:val="21"/>
                <w:szCs w:val="21"/>
              </w:rPr>
              <w:t> </w:t>
            </w:r>
            <w:r>
              <w:rPr>
                <w:rFonts w:ascii="宋体" w:hAnsi="宋体" w:cs="宋体" w:eastAsia="宋体" w:hint="default"/>
                <w:sz w:val="21"/>
                <w:szCs w:val="21"/>
              </w:rPr>
              <w:t>化工作办</w:t>
            </w:r>
            <w:r>
              <w:rPr>
                <w:rFonts w:ascii="宋体" w:hAnsi="宋体" w:cs="宋体" w:eastAsia="宋体" w:hint="default"/>
                <w:w w:val="100"/>
                <w:sz w:val="21"/>
                <w:szCs w:val="21"/>
              </w:rPr>
              <w:t> </w:t>
            </w:r>
            <w:r>
              <w:rPr>
                <w:rFonts w:ascii="宋体" w:hAnsi="宋体" w:cs="宋体" w:eastAsia="宋体" w:hint="default"/>
                <w:sz w:val="21"/>
                <w:szCs w:val="21"/>
              </w:rPr>
              <w:t>公室</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因从事国家鼓励和扶持</w:t>
            </w:r>
            <w:r>
              <w:rPr>
                <w:rFonts w:ascii="宋体" w:hAnsi="宋体" w:cs="宋体" w:eastAsia="宋体" w:hint="default"/>
                <w:w w:val="100"/>
                <w:sz w:val="21"/>
                <w:szCs w:val="21"/>
              </w:rPr>
              <w:t> </w:t>
            </w:r>
            <w:r>
              <w:rPr>
                <w:rFonts w:ascii="宋体" w:hAnsi="宋体" w:cs="宋体" w:eastAsia="宋体" w:hint="default"/>
                <w:spacing w:val="-7"/>
                <w:sz w:val="21"/>
                <w:szCs w:val="21"/>
              </w:rPr>
              <w:t>特定行业、产业而获得的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补助（按国家级政策规定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4" w:right="86"/>
              <w:jc w:val="left"/>
              <w:rPr>
                <w:rFonts w:ascii="宋体" w:hAnsi="宋体" w:cs="宋体" w:eastAsia="宋体" w:hint="default"/>
                <w:sz w:val="21"/>
                <w:szCs w:val="21"/>
              </w:rPr>
            </w:pPr>
            <w:r>
              <w:rPr>
                <w:rFonts w:ascii="宋体" w:hAnsi="宋体" w:cs="宋体" w:eastAsia="宋体" w:hint="default"/>
                <w:sz w:val="21"/>
                <w:szCs w:val="21"/>
              </w:rPr>
              <w:t>管委会政府补</w:t>
            </w:r>
            <w:r>
              <w:rPr>
                <w:rFonts w:ascii="宋体" w:hAnsi="宋体" w:cs="宋体" w:eastAsia="宋体" w:hint="default"/>
                <w:w w:val="100"/>
                <w:sz w:val="21"/>
                <w:szCs w:val="21"/>
              </w:rPr>
              <w:t> </w:t>
            </w:r>
            <w:r>
              <w:rPr>
                <w:rFonts w:ascii="宋体" w:hAnsi="宋体" w:cs="宋体" w:eastAsia="宋体" w:hint="default"/>
                <w:sz w:val="21"/>
                <w:szCs w:val="21"/>
              </w:rPr>
              <w:t>贴收入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3"/>
              <w:jc w:val="both"/>
              <w:rPr>
                <w:rFonts w:ascii="宋体" w:hAnsi="宋体" w:cs="宋体" w:eastAsia="宋体" w:hint="default"/>
                <w:sz w:val="21"/>
                <w:szCs w:val="21"/>
              </w:rPr>
            </w:pPr>
            <w:r>
              <w:rPr>
                <w:rFonts w:ascii="宋体" w:hAnsi="宋体" w:cs="宋体" w:eastAsia="宋体" w:hint="default"/>
                <w:sz w:val="21"/>
                <w:szCs w:val="21"/>
              </w:rPr>
              <w:t>中关村科</w:t>
            </w:r>
            <w:r>
              <w:rPr>
                <w:rFonts w:ascii="宋体" w:hAnsi="宋体" w:cs="宋体" w:eastAsia="宋体" w:hint="default"/>
                <w:w w:val="100"/>
                <w:sz w:val="21"/>
                <w:szCs w:val="21"/>
              </w:rPr>
              <w:t> </w:t>
            </w:r>
            <w:r>
              <w:rPr>
                <w:rFonts w:ascii="宋体" w:hAnsi="宋体" w:cs="宋体" w:eastAsia="宋体" w:hint="default"/>
                <w:sz w:val="21"/>
                <w:szCs w:val="21"/>
              </w:rPr>
              <w:t>技园海淀</w:t>
            </w:r>
            <w:r>
              <w:rPr>
                <w:rFonts w:ascii="宋体" w:hAnsi="宋体" w:cs="宋体" w:eastAsia="宋体" w:hint="default"/>
                <w:w w:val="100"/>
                <w:sz w:val="21"/>
                <w:szCs w:val="21"/>
              </w:rPr>
              <w:t> </w:t>
            </w:r>
            <w:r>
              <w:rPr>
                <w:rFonts w:ascii="宋体" w:hAnsi="宋体" w:cs="宋体" w:eastAsia="宋体" w:hint="default"/>
                <w:sz w:val="21"/>
                <w:szCs w:val="21"/>
              </w:rPr>
              <w:t>园管理委</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因从事国家鼓励和扶持</w:t>
            </w:r>
            <w:r>
              <w:rPr>
                <w:rFonts w:ascii="宋体" w:hAnsi="宋体" w:cs="宋体" w:eastAsia="宋体" w:hint="default"/>
                <w:w w:val="100"/>
                <w:sz w:val="21"/>
                <w:szCs w:val="21"/>
              </w:rPr>
              <w:t> </w:t>
            </w:r>
            <w:r>
              <w:rPr>
                <w:rFonts w:ascii="宋体" w:hAnsi="宋体" w:cs="宋体" w:eastAsia="宋体" w:hint="default"/>
                <w:spacing w:val="-7"/>
                <w:sz w:val="21"/>
                <w:szCs w:val="21"/>
              </w:rPr>
              <w:t>特定行业、产业而获得的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补助（按国家级政策规定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66" w:lineRule="auto"/>
              <w:ind w:left="24" w:right="33"/>
              <w:jc w:val="both"/>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年市工业和</w:t>
            </w:r>
            <w:r>
              <w:rPr>
                <w:rFonts w:ascii="宋体" w:hAnsi="宋体" w:cs="宋体" w:eastAsia="宋体" w:hint="default"/>
                <w:w w:val="100"/>
                <w:sz w:val="21"/>
                <w:szCs w:val="21"/>
              </w:rPr>
              <w:t> </w:t>
            </w:r>
            <w:r>
              <w:rPr>
                <w:rFonts w:ascii="宋体" w:hAnsi="宋体" w:cs="宋体" w:eastAsia="宋体" w:hint="default"/>
                <w:sz w:val="21"/>
                <w:szCs w:val="21"/>
              </w:rPr>
              <w:t>信息化专项资</w:t>
            </w:r>
            <w:r>
              <w:rPr>
                <w:rFonts w:ascii="宋体" w:hAnsi="宋体" w:cs="宋体" w:eastAsia="宋体" w:hint="default"/>
                <w:w w:val="100"/>
                <w:sz w:val="21"/>
                <w:szCs w:val="21"/>
              </w:rPr>
              <w:t> </w:t>
            </w:r>
            <w:r>
              <w:rPr>
                <w:rFonts w:ascii="宋体" w:hAnsi="宋体" w:cs="宋体" w:eastAsia="宋体" w:hint="default"/>
                <w:sz w:val="21"/>
                <w:szCs w:val="21"/>
              </w:rPr>
              <w:t>金项目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13"/>
              <w:jc w:val="both"/>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楼区财政</w:t>
            </w:r>
            <w:r>
              <w:rPr>
                <w:rFonts w:ascii="宋体" w:hAnsi="宋体" w:cs="宋体" w:eastAsia="宋体" w:hint="default"/>
                <w:w w:val="100"/>
                <w:sz w:val="21"/>
                <w:szCs w:val="21"/>
              </w:rPr>
              <w:t> </w:t>
            </w:r>
            <w:r>
              <w:rPr>
                <w:rFonts w:ascii="宋体" w:hAnsi="宋体" w:cs="宋体" w:eastAsia="宋体" w:hint="default"/>
                <w:sz w:val="21"/>
                <w:szCs w:val="21"/>
              </w:rPr>
              <w:t>结算中心</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因从事国家鼓励和扶持</w:t>
            </w:r>
            <w:r>
              <w:rPr>
                <w:rFonts w:ascii="宋体" w:hAnsi="宋体" w:cs="宋体" w:eastAsia="宋体" w:hint="default"/>
                <w:w w:val="100"/>
                <w:sz w:val="21"/>
                <w:szCs w:val="21"/>
              </w:rPr>
              <w:t> </w:t>
            </w:r>
            <w:r>
              <w:rPr>
                <w:rFonts w:ascii="宋体" w:hAnsi="宋体" w:cs="宋体" w:eastAsia="宋体" w:hint="default"/>
                <w:spacing w:val="-7"/>
                <w:sz w:val="21"/>
                <w:szCs w:val="21"/>
              </w:rPr>
              <w:t>特定行业、产业而获得的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补助（按国家级政策规定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33"/>
              <w:jc w:val="both"/>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年国际服</w:t>
            </w:r>
            <w:r>
              <w:rPr>
                <w:rFonts w:ascii="宋体" w:hAnsi="宋体" w:cs="宋体" w:eastAsia="宋体" w:hint="default"/>
                <w:w w:val="100"/>
                <w:sz w:val="21"/>
                <w:szCs w:val="21"/>
              </w:rPr>
              <w:t> </w:t>
            </w:r>
            <w:r>
              <w:rPr>
                <w:rFonts w:ascii="宋体" w:hAnsi="宋体" w:cs="宋体" w:eastAsia="宋体" w:hint="default"/>
                <w:sz w:val="21"/>
                <w:szCs w:val="21"/>
              </w:rPr>
              <w:t>务贸易服务外</w:t>
            </w:r>
            <w:r>
              <w:rPr>
                <w:rFonts w:ascii="宋体" w:hAnsi="宋体" w:cs="宋体" w:eastAsia="宋体" w:hint="default"/>
                <w:w w:val="100"/>
                <w:sz w:val="21"/>
                <w:szCs w:val="21"/>
              </w:rPr>
              <w:t> </w:t>
            </w:r>
            <w:r>
              <w:rPr>
                <w:rFonts w:ascii="宋体" w:hAnsi="宋体" w:cs="宋体" w:eastAsia="宋体" w:hint="default"/>
                <w:sz w:val="21"/>
                <w:szCs w:val="21"/>
              </w:rPr>
              <w:t>包专项资金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3"/>
              <w:jc w:val="both"/>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楼区财政</w:t>
            </w:r>
            <w:r>
              <w:rPr>
                <w:rFonts w:ascii="宋体" w:hAnsi="宋体" w:cs="宋体" w:eastAsia="宋体" w:hint="default"/>
                <w:w w:val="100"/>
                <w:sz w:val="21"/>
                <w:szCs w:val="21"/>
              </w:rPr>
              <w:t> </w:t>
            </w:r>
            <w:r>
              <w:rPr>
                <w:rFonts w:ascii="宋体" w:hAnsi="宋体" w:cs="宋体" w:eastAsia="宋体" w:hint="default"/>
                <w:sz w:val="21"/>
                <w:szCs w:val="21"/>
              </w:rPr>
              <w:t>结算中心</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7"/>
                <w:sz w:val="21"/>
                <w:szCs w:val="21"/>
              </w:rPr>
              <w:t>因研究开发、技术更新及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改造等获得的补助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56" w:lineRule="auto"/>
              <w:ind w:left="24"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年高企认</w:t>
            </w:r>
            <w:r>
              <w:rPr>
                <w:rFonts w:ascii="宋体" w:hAnsi="宋体" w:cs="宋体" w:eastAsia="宋体" w:hint="default"/>
                <w:w w:val="100"/>
                <w:sz w:val="21"/>
                <w:szCs w:val="21"/>
              </w:rPr>
              <w:t> </w:t>
            </w:r>
            <w:r>
              <w:rPr>
                <w:rFonts w:ascii="宋体" w:hAnsi="宋体" w:cs="宋体" w:eastAsia="宋体" w:hint="default"/>
                <w:sz w:val="21"/>
                <w:szCs w:val="21"/>
              </w:rPr>
              <w:t>定市级奖励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13"/>
              <w:jc w:val="both"/>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楼区科技</w:t>
            </w:r>
            <w:r>
              <w:rPr>
                <w:rFonts w:ascii="宋体" w:hAnsi="宋体" w:cs="宋体" w:eastAsia="宋体" w:hint="default"/>
                <w:w w:val="100"/>
                <w:sz w:val="21"/>
                <w:szCs w:val="21"/>
              </w:rPr>
              <w:t> </w:t>
            </w:r>
            <w:r>
              <w:rPr>
                <w:rFonts w:ascii="宋体" w:hAnsi="宋体" w:cs="宋体" w:eastAsia="宋体" w:hint="default"/>
                <w:sz w:val="21"/>
                <w:szCs w:val="21"/>
              </w:rPr>
              <w:t>技术局</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因从事国家鼓励和扶持</w:t>
            </w:r>
            <w:r>
              <w:rPr>
                <w:rFonts w:ascii="宋体" w:hAnsi="宋体" w:cs="宋体" w:eastAsia="宋体" w:hint="default"/>
                <w:w w:val="100"/>
                <w:sz w:val="21"/>
                <w:szCs w:val="21"/>
              </w:rPr>
              <w:t> </w:t>
            </w:r>
            <w:r>
              <w:rPr>
                <w:rFonts w:ascii="宋体" w:hAnsi="宋体" w:cs="宋体" w:eastAsia="宋体" w:hint="default"/>
                <w:spacing w:val="-7"/>
                <w:sz w:val="21"/>
                <w:szCs w:val="21"/>
              </w:rPr>
              <w:t>特定行业、产业而获得的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补助（按国家级政策规定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85"/>
        <w:gridCol w:w="992"/>
        <w:gridCol w:w="816"/>
        <w:gridCol w:w="2304"/>
        <w:gridCol w:w="708"/>
        <w:gridCol w:w="709"/>
        <w:gridCol w:w="1135"/>
        <w:gridCol w:w="852"/>
        <w:gridCol w:w="670"/>
      </w:tblGrid>
      <w:tr>
        <w:trPr>
          <w:trHeight w:val="196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4" w:right="0"/>
              <w:jc w:val="left"/>
              <w:rPr>
                <w:rFonts w:ascii="宋体" w:hAnsi="宋体" w:cs="宋体" w:eastAsia="宋体" w:hint="default"/>
                <w:sz w:val="21"/>
                <w:szCs w:val="21"/>
              </w:rPr>
            </w:pPr>
            <w:r>
              <w:rPr>
                <w:rFonts w:ascii="宋体" w:hAnsi="宋体" w:cs="宋体" w:eastAsia="宋体" w:hint="default"/>
                <w:sz w:val="21"/>
                <w:szCs w:val="21"/>
              </w:rPr>
              <w:t>政府补贴款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3"/>
              <w:jc w:val="both"/>
              <w:rPr>
                <w:rFonts w:ascii="宋体" w:hAnsi="宋体" w:cs="宋体" w:eastAsia="宋体" w:hint="default"/>
                <w:sz w:val="21"/>
                <w:szCs w:val="21"/>
              </w:rPr>
            </w:pPr>
            <w:r>
              <w:rPr>
                <w:rFonts w:ascii="宋体" w:hAnsi="宋体" w:cs="宋体" w:eastAsia="宋体" w:hint="default"/>
                <w:sz w:val="21"/>
                <w:szCs w:val="21"/>
              </w:rPr>
              <w:t>成都高新</w:t>
            </w:r>
            <w:r>
              <w:rPr>
                <w:rFonts w:ascii="宋体" w:hAnsi="宋体" w:cs="宋体" w:eastAsia="宋体" w:hint="default"/>
                <w:w w:val="100"/>
                <w:sz w:val="21"/>
                <w:szCs w:val="21"/>
              </w:rPr>
              <w:t> </w:t>
            </w:r>
            <w:r>
              <w:rPr>
                <w:rFonts w:ascii="宋体" w:hAnsi="宋体" w:cs="宋体" w:eastAsia="宋体" w:hint="default"/>
                <w:sz w:val="21"/>
                <w:szCs w:val="21"/>
              </w:rPr>
              <w:t>技术产业</w:t>
            </w:r>
            <w:r>
              <w:rPr>
                <w:rFonts w:ascii="宋体" w:hAnsi="宋体" w:cs="宋体" w:eastAsia="宋体" w:hint="default"/>
                <w:w w:val="100"/>
                <w:sz w:val="21"/>
                <w:szCs w:val="21"/>
              </w:rPr>
              <w:t> </w:t>
            </w:r>
            <w:r>
              <w:rPr>
                <w:rFonts w:ascii="宋体" w:hAnsi="宋体" w:cs="宋体" w:eastAsia="宋体" w:hint="default"/>
                <w:sz w:val="21"/>
                <w:szCs w:val="21"/>
              </w:rPr>
              <w:t>开发区经</w:t>
            </w:r>
            <w:r>
              <w:rPr>
                <w:rFonts w:ascii="宋体" w:hAnsi="宋体" w:cs="宋体" w:eastAsia="宋体" w:hint="default"/>
                <w:w w:val="100"/>
                <w:sz w:val="21"/>
                <w:szCs w:val="21"/>
              </w:rPr>
              <w:t> </w:t>
            </w:r>
            <w:r>
              <w:rPr>
                <w:rFonts w:ascii="宋体" w:hAnsi="宋体" w:cs="宋体" w:eastAsia="宋体" w:hint="default"/>
                <w:sz w:val="21"/>
                <w:szCs w:val="21"/>
              </w:rPr>
              <w:t>纪运行与</w:t>
            </w:r>
            <w:r>
              <w:rPr>
                <w:rFonts w:ascii="宋体" w:hAnsi="宋体" w:cs="宋体" w:eastAsia="宋体" w:hint="default"/>
                <w:w w:val="100"/>
                <w:sz w:val="21"/>
                <w:szCs w:val="21"/>
              </w:rPr>
              <w:t> </w:t>
            </w:r>
            <w:r>
              <w:rPr>
                <w:rFonts w:ascii="宋体" w:hAnsi="宋体" w:cs="宋体" w:eastAsia="宋体" w:hint="default"/>
                <w:sz w:val="21"/>
                <w:szCs w:val="21"/>
              </w:rPr>
              <w:t>安全生产</w:t>
            </w:r>
            <w:r>
              <w:rPr>
                <w:rFonts w:ascii="宋体" w:hAnsi="宋体" w:cs="宋体" w:eastAsia="宋体" w:hint="default"/>
                <w:w w:val="100"/>
                <w:sz w:val="21"/>
                <w:szCs w:val="21"/>
              </w:rPr>
              <w:t> </w:t>
            </w:r>
            <w:r>
              <w:rPr>
                <w:rFonts w:ascii="宋体" w:hAnsi="宋体" w:cs="宋体" w:eastAsia="宋体" w:hint="default"/>
                <w:sz w:val="21"/>
                <w:szCs w:val="21"/>
              </w:rPr>
              <w:t>监管局</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因从事国家鼓励和扶持</w:t>
            </w:r>
            <w:r>
              <w:rPr>
                <w:rFonts w:ascii="宋体" w:hAnsi="宋体" w:cs="宋体" w:eastAsia="宋体" w:hint="default"/>
                <w:w w:val="100"/>
                <w:sz w:val="21"/>
                <w:szCs w:val="21"/>
              </w:rPr>
              <w:t> </w:t>
            </w:r>
            <w:r>
              <w:rPr>
                <w:rFonts w:ascii="宋体" w:hAnsi="宋体" w:cs="宋体" w:eastAsia="宋体" w:hint="default"/>
                <w:spacing w:val="-7"/>
                <w:sz w:val="21"/>
                <w:szCs w:val="21"/>
              </w:rPr>
              <w:t>特定行业、产业而获得的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补助（按国家级政策规定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158" w:right="0"/>
              <w:jc w:val="left"/>
              <w:rPr>
                <w:rFonts w:ascii="Times New Roman" w:hAnsi="Times New Roman" w:cs="Times New Roman" w:eastAsia="Times New Roman" w:hint="default"/>
                <w:sz w:val="21"/>
                <w:szCs w:val="21"/>
              </w:rPr>
            </w:pPr>
            <w:r>
              <w:rPr>
                <w:rFonts w:ascii="Times New Roman"/>
                <w:sz w:val="21"/>
              </w:rPr>
              <w:t>250,000.00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86"/>
              <w:jc w:val="both"/>
              <w:rPr>
                <w:rFonts w:ascii="宋体" w:hAnsi="宋体" w:cs="宋体" w:eastAsia="宋体" w:hint="default"/>
                <w:sz w:val="21"/>
                <w:szCs w:val="21"/>
              </w:rPr>
            </w:pPr>
            <w:r>
              <w:rPr>
                <w:rFonts w:ascii="宋体" w:hAnsi="宋体" w:cs="宋体" w:eastAsia="宋体" w:hint="default"/>
                <w:sz w:val="21"/>
                <w:szCs w:val="21"/>
              </w:rPr>
              <w:t>其他一次性计</w:t>
            </w:r>
            <w:r>
              <w:rPr>
                <w:rFonts w:ascii="宋体" w:hAnsi="宋体" w:cs="宋体" w:eastAsia="宋体" w:hint="default"/>
                <w:w w:val="100"/>
                <w:sz w:val="21"/>
                <w:szCs w:val="21"/>
              </w:rPr>
              <w:t> </w:t>
            </w:r>
            <w:r>
              <w:rPr>
                <w:rFonts w:ascii="宋体" w:hAnsi="宋体" w:cs="宋体" w:eastAsia="宋体" w:hint="default"/>
                <w:sz w:val="21"/>
                <w:szCs w:val="21"/>
              </w:rPr>
              <w:t>入当期损益的</w:t>
            </w:r>
            <w:r>
              <w:rPr>
                <w:rFonts w:ascii="宋体" w:hAnsi="宋体" w:cs="宋体" w:eastAsia="宋体" w:hint="default"/>
                <w:w w:val="100"/>
                <w:sz w:val="21"/>
                <w:szCs w:val="21"/>
              </w:rPr>
              <w:t> </w:t>
            </w:r>
            <w:r>
              <w:rPr>
                <w:rFonts w:ascii="宋体" w:hAnsi="宋体" w:cs="宋体" w:eastAsia="宋体" w:hint="default"/>
                <w:sz w:val="21"/>
                <w:szCs w:val="21"/>
              </w:rPr>
              <w:t>各种补贴、奖</w:t>
            </w:r>
            <w:r>
              <w:rPr>
                <w:rFonts w:ascii="宋体" w:hAnsi="宋体" w:cs="宋体" w:eastAsia="宋体" w:hint="default"/>
                <w:w w:val="100"/>
                <w:sz w:val="21"/>
                <w:szCs w:val="21"/>
              </w:rPr>
              <w:t> </w:t>
            </w:r>
            <w:r>
              <w:rPr>
                <w:rFonts w:ascii="宋体" w:hAnsi="宋体" w:cs="宋体" w:eastAsia="宋体" w:hint="default"/>
                <w:sz w:val="21"/>
                <w:szCs w:val="21"/>
              </w:rPr>
              <w:t>励、扶持资金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pacing w:val="-1"/>
                <w:sz w:val="21"/>
              </w:rPr>
              <w:t>1,756,569.2</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84" w:right="0"/>
              <w:jc w:val="left"/>
              <w:rPr>
                <w:rFonts w:ascii="Times New Roman" w:hAnsi="Times New Roman" w:cs="Times New Roman" w:eastAsia="Times New Roman" w:hint="default"/>
                <w:sz w:val="21"/>
                <w:szCs w:val="21"/>
              </w:rPr>
            </w:pPr>
            <w:r>
              <w:rPr>
                <w:rFonts w:ascii="Times New Roman"/>
                <w:sz w:val="21"/>
              </w:rPr>
              <w:t>2,838,38</w:t>
            </w:r>
          </w:p>
          <w:p>
            <w:pPr>
              <w:pStyle w:val="TableParagraph"/>
              <w:spacing w:line="240" w:lineRule="auto" w:before="68"/>
              <w:ind w:left="451" w:right="0"/>
              <w:jc w:val="left"/>
              <w:rPr>
                <w:rFonts w:ascii="Times New Roman" w:hAnsi="Times New Roman" w:cs="Times New Roman" w:eastAsia="Times New Roman" w:hint="default"/>
                <w:sz w:val="21"/>
                <w:szCs w:val="21"/>
              </w:rPr>
            </w:pPr>
            <w:r>
              <w:rPr>
                <w:rFonts w:ascii="Times New Roman"/>
                <w:sz w:val="21"/>
              </w:rPr>
              <w:t>8.20</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86"/>
              <w:jc w:val="both"/>
              <w:rPr>
                <w:rFonts w:ascii="宋体" w:hAnsi="宋体" w:cs="宋体" w:eastAsia="宋体" w:hint="default"/>
                <w:sz w:val="21"/>
                <w:szCs w:val="21"/>
              </w:rPr>
            </w:pPr>
            <w:r>
              <w:rPr>
                <w:rFonts w:ascii="宋体" w:hAnsi="宋体" w:cs="宋体" w:eastAsia="宋体" w:hint="default"/>
                <w:sz w:val="21"/>
                <w:szCs w:val="21"/>
              </w:rPr>
              <w:t>科技北京百名</w:t>
            </w:r>
            <w:r>
              <w:rPr>
                <w:rFonts w:ascii="宋体" w:hAnsi="宋体" w:cs="宋体" w:eastAsia="宋体" w:hint="default"/>
                <w:w w:val="100"/>
                <w:sz w:val="21"/>
                <w:szCs w:val="21"/>
              </w:rPr>
              <w:t> </w:t>
            </w:r>
            <w:r>
              <w:rPr>
                <w:rFonts w:ascii="宋体" w:hAnsi="宋体" w:cs="宋体" w:eastAsia="宋体" w:hint="default"/>
                <w:sz w:val="21"/>
                <w:szCs w:val="21"/>
              </w:rPr>
              <w:t>领军人才培养</w:t>
            </w:r>
            <w:r>
              <w:rPr>
                <w:rFonts w:ascii="宋体" w:hAnsi="宋体" w:cs="宋体" w:eastAsia="宋体" w:hint="default"/>
                <w:w w:val="100"/>
                <w:sz w:val="21"/>
                <w:szCs w:val="21"/>
              </w:rPr>
              <w:t> </w:t>
            </w:r>
            <w:r>
              <w:rPr>
                <w:rFonts w:ascii="宋体" w:hAnsi="宋体" w:cs="宋体" w:eastAsia="宋体" w:hint="default"/>
                <w:sz w:val="21"/>
                <w:szCs w:val="21"/>
              </w:rPr>
              <w:t>工程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113"/>
              <w:jc w:val="left"/>
              <w:rPr>
                <w:rFonts w:ascii="宋体" w:hAnsi="宋体" w:cs="宋体" w:eastAsia="宋体" w:hint="default"/>
                <w:sz w:val="21"/>
                <w:szCs w:val="21"/>
              </w:rPr>
            </w:pPr>
            <w:r>
              <w:rPr>
                <w:rFonts w:ascii="宋体" w:hAnsi="宋体" w:cs="宋体" w:eastAsia="宋体" w:hint="default"/>
                <w:sz w:val="21"/>
                <w:szCs w:val="21"/>
              </w:rPr>
              <w:t>北京市科</w:t>
            </w:r>
            <w:r>
              <w:rPr>
                <w:rFonts w:ascii="宋体" w:hAnsi="宋体" w:cs="宋体" w:eastAsia="宋体" w:hint="default"/>
                <w:w w:val="100"/>
                <w:sz w:val="21"/>
                <w:szCs w:val="21"/>
              </w:rPr>
              <w:t> </w:t>
            </w:r>
            <w:r>
              <w:rPr>
                <w:rFonts w:ascii="宋体" w:hAnsi="宋体" w:cs="宋体" w:eastAsia="宋体" w:hint="default"/>
                <w:sz w:val="21"/>
                <w:szCs w:val="21"/>
              </w:rPr>
              <w:t>委</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因从事国家鼓励和扶持</w:t>
            </w:r>
            <w:r>
              <w:rPr>
                <w:rFonts w:ascii="宋体" w:hAnsi="宋体" w:cs="宋体" w:eastAsia="宋体" w:hint="default"/>
                <w:w w:val="100"/>
                <w:sz w:val="21"/>
                <w:szCs w:val="21"/>
              </w:rPr>
              <w:t> </w:t>
            </w:r>
            <w:r>
              <w:rPr>
                <w:rFonts w:ascii="宋体" w:hAnsi="宋体" w:cs="宋体" w:eastAsia="宋体" w:hint="default"/>
                <w:spacing w:val="-7"/>
                <w:sz w:val="21"/>
                <w:szCs w:val="21"/>
              </w:rPr>
              <w:t>特定行业、产业而获得的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补助（按国家级政策规定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9"/>
              <w:jc w:val="right"/>
              <w:rPr>
                <w:rFonts w:ascii="Times New Roman" w:hAnsi="Times New Roman" w:cs="Times New Roman" w:eastAsia="Times New Roman" w:hint="default"/>
                <w:sz w:val="21"/>
                <w:szCs w:val="21"/>
              </w:rPr>
            </w:pPr>
            <w:r>
              <w:rPr>
                <w:rFonts w:ascii="Times New Roman"/>
                <w:spacing w:val="-1"/>
                <w:sz w:val="21"/>
              </w:rPr>
              <w:t>100,000.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211"/>
              <w:jc w:val="both"/>
              <w:rPr>
                <w:rFonts w:ascii="宋体" w:hAnsi="宋体" w:cs="宋体" w:eastAsia="宋体" w:hint="default"/>
                <w:sz w:val="21"/>
                <w:szCs w:val="21"/>
              </w:rPr>
            </w:pPr>
            <w:r>
              <w:rPr>
                <w:rFonts w:ascii="宋体" w:hAnsi="宋体" w:cs="宋体" w:eastAsia="宋体" w:hint="default"/>
                <w:sz w:val="21"/>
                <w:szCs w:val="21"/>
              </w:rPr>
              <w:t>与收</w:t>
            </w:r>
            <w:r>
              <w:rPr>
                <w:rFonts w:ascii="宋体" w:hAnsi="宋体" w:cs="宋体" w:eastAsia="宋体" w:hint="default"/>
                <w:spacing w:val="-103"/>
                <w:sz w:val="21"/>
                <w:szCs w:val="21"/>
              </w:rPr>
              <w:t> </w:t>
            </w: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p>
        </w:tc>
      </w:tr>
    </w:tbl>
    <w:p>
      <w:pPr>
        <w:pStyle w:val="BodyText"/>
        <w:spacing w:line="240" w:lineRule="auto" w:before="79"/>
        <w:ind w:right="1273"/>
        <w:jc w:val="left"/>
      </w:pPr>
      <w:r>
        <w:rPr/>
        <w:t>其他说明：无</w:t>
      </w:r>
    </w:p>
    <w:p>
      <w:pPr>
        <w:spacing w:line="240" w:lineRule="auto" w:before="9"/>
        <w:rPr>
          <w:rFonts w:ascii="宋体" w:hAnsi="宋体" w:cs="宋体" w:eastAsia="宋体" w:hint="default"/>
          <w:sz w:val="12"/>
          <w:szCs w:val="12"/>
        </w:rPr>
      </w:pPr>
    </w:p>
    <w:p>
      <w:pPr>
        <w:pStyle w:val="Heading2"/>
        <w:spacing w:line="240" w:lineRule="auto" w:before="26"/>
        <w:ind w:right="1273"/>
        <w:jc w:val="left"/>
        <w:rPr>
          <w:b w:val="0"/>
          <w:bCs w:val="0"/>
        </w:rPr>
      </w:pPr>
      <w:r>
        <w:rPr>
          <w:rFonts w:ascii="Times New Roman" w:hAnsi="Times New Roman" w:cs="Times New Roman" w:eastAsia="Times New Roman" w:hint="default"/>
        </w:rPr>
        <w:t>46</w:t>
      </w:r>
      <w:r>
        <w:rPr/>
        <w:t>、营业外支出</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81" w:right="31" w:hanging="946"/>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61,153.85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53,809.28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61,153.85</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61,153.85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53,809.28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61,153.85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pStyle w:val="Heading2"/>
        <w:spacing w:line="240" w:lineRule="auto" w:before="39"/>
        <w:ind w:right="0"/>
        <w:jc w:val="left"/>
        <w:rPr>
          <w:b w:val="0"/>
          <w:bCs w:val="0"/>
        </w:rPr>
      </w:pPr>
      <w:r>
        <w:rPr>
          <w:rFonts w:ascii="Times New Roman" w:hAnsi="Times New Roman" w:cs="Times New Roman" w:eastAsia="Times New Roman" w:hint="default"/>
        </w:rPr>
        <w:t>47</w:t>
      </w:r>
      <w:r>
        <w:rPr/>
        <w:t>、所得税费用</w:t>
      </w:r>
      <w:r>
        <w:rPr>
          <w:b w:val="0"/>
          <w:bCs w:val="0"/>
        </w:rPr>
      </w:r>
    </w:p>
    <w:p>
      <w:pPr>
        <w:pStyle w:val="Heading2"/>
        <w:spacing w:line="240" w:lineRule="auto" w:before="135"/>
        <w:ind w:right="0"/>
        <w:jc w:val="left"/>
        <w:rPr>
          <w:b w:val="0"/>
          <w:bCs w:val="0"/>
        </w:rPr>
      </w:pPr>
      <w:r>
        <w:rPr>
          <w:w w:val="95"/>
        </w:rPr>
        <w:t>（</w:t>
      </w:r>
      <w:r>
        <w:rPr>
          <w:rFonts w:ascii="Times New Roman" w:hAnsi="Times New Roman" w:cs="Times New Roman" w:eastAsia="Times New Roman" w:hint="default"/>
          <w:w w:val="95"/>
        </w:rPr>
        <w:t>1</w:t>
      </w:r>
      <w:r>
        <w:rPr>
          <w:w w:val="95"/>
        </w:rPr>
        <w:t>）所得税费用表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201" w:space="6359"/>
            <w:col w:w="237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16,427,496.50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15,549,057.09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-3,783,461.69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-1,392,954.40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12,644,034.81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14,156,102.69</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168,846,576.12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16,884,657.60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-2,416,106.24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1,095,446.33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12,500,989.21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4" w:right="118"/>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使用前期未确认递延所得税资产的可抵扣亏损的影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-352,841.07</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18"/>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本期未确认递延所得税资产的可抵扣暂时性差异或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2,137,384.21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研发费用加计扣除影响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-17,205,962.69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股份支付的影响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1,822.83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投资收益的影响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-1,355.37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12,644,034.81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309" w:lineRule="auto" w:before="39"/>
        <w:ind w:left="153" w:right="-1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48</w:t>
      </w:r>
      <w:r>
        <w:rPr>
          <w:rFonts w:ascii="宋体" w:hAnsi="宋体" w:cs="宋体" w:eastAsia="宋体" w:hint="default"/>
          <w:b/>
          <w:bCs/>
          <w:sz w:val="24"/>
          <w:szCs w:val="24"/>
        </w:rPr>
        <w:t>、其他综合收益</w:t>
      </w:r>
      <w:r>
        <w:rPr>
          <w:rFonts w:ascii="宋体" w:hAnsi="宋体" w:cs="宋体" w:eastAsia="宋体" w:hint="default"/>
          <w:b/>
          <w:bCs/>
          <w:w w:val="99"/>
          <w:sz w:val="24"/>
          <w:szCs w:val="24"/>
        </w:rPr>
        <w:t> </w:t>
      </w:r>
      <w:r>
        <w:rPr>
          <w:rFonts w:ascii="宋体" w:hAnsi="宋体" w:cs="宋体" w:eastAsia="宋体" w:hint="default"/>
          <w:sz w:val="24"/>
          <w:szCs w:val="24"/>
        </w:rPr>
        <w:t>详见第十一节财务报告中合并财务报表项目注释七（</w:t>
      </w:r>
      <w:r>
        <w:rPr>
          <w:rFonts w:ascii="Times New Roman" w:hAnsi="Times New Roman" w:cs="Times New Roman" w:eastAsia="Times New Roman" w:hint="default"/>
          <w:sz w:val="24"/>
          <w:szCs w:val="24"/>
        </w:rPr>
        <w:t>32</w:t>
      </w:r>
      <w:r>
        <w:rPr>
          <w:rFonts w:ascii="宋体" w:hAnsi="宋体" w:cs="宋体" w:eastAsia="宋体" w:hint="default"/>
          <w:sz w:val="24"/>
          <w:szCs w:val="24"/>
        </w:rPr>
        <w:t>） </w:t>
      </w:r>
      <w:r>
        <w:rPr>
          <w:rFonts w:ascii="Times New Roman" w:hAnsi="Times New Roman" w:cs="Times New Roman" w:eastAsia="Times New Roman" w:hint="default"/>
          <w:b/>
          <w:bCs/>
          <w:sz w:val="24"/>
          <w:szCs w:val="24"/>
        </w:rPr>
        <w:t>49</w:t>
      </w:r>
      <w:r>
        <w:rPr>
          <w:rFonts w:ascii="宋体" w:hAnsi="宋体" w:cs="宋体" w:eastAsia="宋体" w:hint="default"/>
          <w:b/>
          <w:bCs/>
          <w:sz w:val="24"/>
          <w:szCs w:val="24"/>
        </w:rPr>
        <w:t>、现金流量表项目</w:t>
      </w:r>
      <w:r>
        <w:rPr>
          <w:rFonts w:ascii="宋体" w:hAnsi="宋体" w:cs="宋体" w:eastAsia="宋体" w:hint="default"/>
          <w:sz w:val="24"/>
          <w:szCs w:val="24"/>
        </w:rPr>
      </w:r>
    </w:p>
    <w:p>
      <w:pPr>
        <w:pStyle w:val="Heading2"/>
        <w:spacing w:line="240" w:lineRule="auto" w:before="58"/>
        <w:ind w:right="-19"/>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0"/>
          <w:szCs w:val="20"/>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155" w:space="2405"/>
            <w:col w:w="2370"/>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21,498,569.28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3,818,888.20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3,253,403.27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4,088,098.52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个税手续费返还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581,932.12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1,956,176.48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收到往来款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119,983,738.18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76,454,820.34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房屋租赁收入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17,593,320.02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18,695,277.57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162,910,962.87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105,013,261.11</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173,862,607.14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153,423,350.48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249,982,159.20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207,956,437.08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432,691.40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357,076.66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424,277,457.74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361,736,864.22</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回购限制性股票款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70,678.40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支付保函保证金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3,304,956.25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4" w:right="0"/>
              <w:jc w:val="left"/>
              <w:rPr>
                <w:rFonts w:ascii="Times New Roman" w:hAnsi="Times New Roman" w:cs="Times New Roman" w:eastAsia="Times New Roman" w:hint="default"/>
                <w:sz w:val="21"/>
                <w:szCs w:val="21"/>
              </w:rPr>
            </w:pPr>
            <w:r>
              <w:rPr>
                <w:rFonts w:ascii="Times New Roman"/>
                <w:sz w:val="21"/>
              </w:rPr>
              <w:t>3,375,634.65</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060" w:bottom="1160" w:left="980" w:right="0"/>
        </w:sectPr>
      </w:pPr>
    </w:p>
    <w:p>
      <w:pPr>
        <w:pStyle w:val="Heading2"/>
        <w:spacing w:line="240" w:lineRule="auto" w:before="39"/>
        <w:ind w:right="-19"/>
        <w:jc w:val="left"/>
        <w:rPr>
          <w:b w:val="0"/>
          <w:bCs w:val="0"/>
        </w:rPr>
      </w:pPr>
      <w:r>
        <w:rPr>
          <w:rFonts w:ascii="Times New Roman" w:hAnsi="Times New Roman" w:cs="Times New Roman" w:eastAsia="Times New Roman" w:hint="default"/>
        </w:rPr>
        <w:t>50</w:t>
      </w:r>
      <w:r>
        <w:rPr/>
        <w:t>、现金流量表补充资料</w:t>
      </w:r>
      <w:r>
        <w:rPr>
          <w:b w:val="0"/>
          <w:bCs w:val="0"/>
        </w:rPr>
      </w:r>
    </w:p>
    <w:p>
      <w:pPr>
        <w:pStyle w:val="Heading2"/>
        <w:spacing w:line="240" w:lineRule="auto" w:before="135"/>
        <w:ind w:right="-19"/>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925" w:space="5634"/>
            <w:col w:w="2371"/>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12" w:right="2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．将净利润调节为经营活动现金流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量：</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4"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156,202,541.31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189,140,910.59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23,231,768.29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2,555,412.40</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 w:right="6"/>
              <w:jc w:val="left"/>
              <w:rPr>
                <w:rFonts w:ascii="宋体" w:hAnsi="宋体" w:cs="宋体" w:eastAsia="宋体" w:hint="default"/>
                <w:sz w:val="21"/>
                <w:szCs w:val="21"/>
              </w:rPr>
            </w:pPr>
            <w:r>
              <w:rPr>
                <w:rFonts w:ascii="宋体" w:hAnsi="宋体" w:cs="宋体" w:eastAsia="宋体" w:hint="default"/>
                <w:spacing w:val="-7"/>
                <w:sz w:val="21"/>
                <w:szCs w:val="21"/>
              </w:rPr>
              <w:t>固定资产折旧、油气资产折耗、生产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19,830,523.43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20,815,276.06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29,340,789.80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22,170,083.49</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1,163,570.70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1,506,966.59</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7"/>
                <w:w w:val="100"/>
                <w:sz w:val="21"/>
                <w:szCs w:val="21"/>
              </w:rPr>
              <w:t>处置固定资产、无形资产和其他长期</w:t>
            </w:r>
            <w:r>
              <w:rPr>
                <w:rFonts w:ascii="宋体" w:hAnsi="宋体" w:cs="宋体" w:eastAsia="宋体" w:hint="default"/>
                <w:w w:val="100"/>
                <w:sz w:val="21"/>
                <w:szCs w:val="21"/>
              </w:rPr>
              <w:t> </w:t>
            </w: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-73,947.43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186,929.10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5,797,645.71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6,704,543.73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-10,563,243.00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-9,087,404.68</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50"/>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-3,219,417.54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-1,230,037.60</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50"/>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-629,803.32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941,015.02</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3,076,650.68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-5,525,645.68</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jc w:val="left"/>
              <w:rPr>
                <w:rFonts w:ascii="宋体" w:hAnsi="宋体" w:cs="宋体" w:eastAsia="宋体"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-77,344,173.94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-144,333,641.04</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jc w:val="left"/>
              <w:rPr>
                <w:rFonts w:ascii="宋体" w:hAnsi="宋体" w:cs="宋体" w:eastAsia="宋体"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58,401,276.91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199,624,221.96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-38,986,592.72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-34,107,797.03</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166,227,588.88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249,360,832.91</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12" w:right="2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．不涉及现金收支的重大投资和筹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资活动：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4"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752,364,221.53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547,811,070.28</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547,811,070.28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522,110,563.26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204,553,151.25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25,700,507.02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127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61,875,000.00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25,875,000.00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61,875,000.00</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752,364,221.53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547,811,070.28</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238,987.28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270,372.74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752,125,234.25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547,540,697.54</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752,364,221.53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547,811,070.28</w:t>
            </w:r>
          </w:p>
        </w:tc>
      </w:tr>
    </w:tbl>
    <w:p>
      <w:pPr>
        <w:pStyle w:val="BodyText"/>
        <w:spacing w:line="240" w:lineRule="auto" w:before="39"/>
        <w:ind w:right="1273"/>
        <w:jc w:val="left"/>
      </w:pPr>
      <w:r>
        <w:rPr/>
        <w:t>其他说明：</w:t>
      </w:r>
    </w:p>
    <w:p>
      <w:pPr>
        <w:pStyle w:val="BodyText"/>
        <w:spacing w:line="338" w:lineRule="auto" w:before="154"/>
        <w:ind w:right="1131" w:firstLine="566"/>
        <w:jc w:val="both"/>
      </w:pPr>
      <w:r>
        <w:rPr>
          <w:rFonts w:ascii="Times New Roman" w:hAnsi="Times New Roman" w:cs="Times New Roman" w:eastAsia="Times New Roman" w:hint="default"/>
          <w:spacing w:val="-3"/>
        </w:rPr>
        <w:t>2018</w:t>
      </w:r>
      <w:r>
        <w:rPr>
          <w:spacing w:val="-3"/>
        </w:rPr>
        <w:t>年度现金流量表中现金期末数为</w:t>
      </w:r>
      <w:r>
        <w:rPr>
          <w:rFonts w:ascii="Times New Roman" w:hAnsi="Times New Roman" w:cs="Times New Roman" w:eastAsia="Times New Roman" w:hint="default"/>
          <w:spacing w:val="-3"/>
        </w:rPr>
        <w:t>752,364,221.53</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日资产负债表中货</w:t>
      </w:r>
      <w:r>
        <w:rPr/>
        <w:t> 币资金期末数为</w:t>
      </w:r>
      <w:r>
        <w:rPr>
          <w:rFonts w:ascii="Times New Roman" w:hAnsi="Times New Roman" w:cs="Times New Roman" w:eastAsia="Times New Roman" w:hint="default"/>
        </w:rPr>
        <w:t>766,757,383.48</w:t>
      </w:r>
      <w:r>
        <w:rPr/>
        <w:t>元，差额</w:t>
      </w:r>
      <w:r>
        <w:rPr>
          <w:rFonts w:ascii="Times New Roman" w:hAnsi="Times New Roman" w:cs="Times New Roman" w:eastAsia="Times New Roman" w:hint="default"/>
        </w:rPr>
        <w:t>14,393,161.95</w:t>
      </w:r>
      <w:r>
        <w:rPr/>
        <w:t>元，系现金流量表现金期末数扣除了不</w:t>
      </w:r>
      <w:r>
        <w:rPr>
          <w:spacing w:val="-87"/>
        </w:rPr>
        <w:t> </w:t>
      </w:r>
      <w:r>
        <w:rPr>
          <w:spacing w:val="-87"/>
        </w:rPr>
      </w:r>
      <w:r>
        <w:rPr/>
        <w:t>符合现金及现金等价物标准的保函保证金</w:t>
      </w:r>
      <w:r>
        <w:rPr>
          <w:rFonts w:ascii="Times New Roman" w:hAnsi="Times New Roman" w:cs="Times New Roman" w:eastAsia="Times New Roman" w:hint="default"/>
        </w:rPr>
        <w:t>14,393,161.95</w:t>
      </w:r>
      <w:r>
        <w:rPr/>
        <w:t>元。</w:t>
      </w:r>
    </w:p>
    <w:p>
      <w:pPr>
        <w:pStyle w:val="BodyText"/>
        <w:spacing w:line="338" w:lineRule="auto" w:before="27"/>
        <w:ind w:right="1116" w:firstLine="566"/>
        <w:jc w:val="left"/>
        <w:rPr>
          <w:rFonts w:ascii="宋体" w:hAnsi="宋体" w:cs="宋体" w:eastAsia="宋体" w:hint="default"/>
        </w:rPr>
      </w:pPr>
      <w:r>
        <w:rPr>
          <w:rFonts w:ascii="Times New Roman" w:hAnsi="Times New Roman" w:cs="Times New Roman" w:eastAsia="Times New Roman" w:hint="default"/>
          <w:spacing w:val="-3"/>
        </w:rPr>
        <w:t>2017</w:t>
      </w:r>
      <w:r>
        <w:rPr>
          <w:spacing w:val="-3"/>
        </w:rPr>
        <w:t>年度现金流量表中现金期末数为</w:t>
      </w:r>
      <w:r>
        <w:rPr>
          <w:rFonts w:ascii="Times New Roman" w:hAnsi="Times New Roman" w:cs="Times New Roman" w:eastAsia="Times New Roman" w:hint="default"/>
          <w:spacing w:val="-3"/>
        </w:rPr>
        <w:t>547,811,070.28</w:t>
      </w:r>
      <w:r>
        <w:rPr>
          <w:spacing w:val="-3"/>
        </w:rPr>
        <w:t>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日资产负债表中货</w:t>
      </w:r>
      <w:r>
        <w:rPr/>
        <w:t> 币资金期末数为</w:t>
      </w:r>
      <w:r>
        <w:rPr>
          <w:rFonts w:ascii="Times New Roman" w:hAnsi="Times New Roman" w:cs="Times New Roman" w:eastAsia="Times New Roman" w:hint="default"/>
        </w:rPr>
        <w:t>561,680,511.43</w:t>
      </w:r>
      <w:r>
        <w:rPr/>
        <w:t>元，差额</w:t>
      </w:r>
      <w:r>
        <w:rPr>
          <w:rFonts w:ascii="Times New Roman" w:hAnsi="Times New Roman" w:cs="Times New Roman" w:eastAsia="Times New Roman" w:hint="default"/>
        </w:rPr>
        <w:t>13,869,441.15</w:t>
      </w:r>
      <w:r>
        <w:rPr/>
        <w:t>元，系现金流量表现金期末数扣除了不</w:t>
      </w:r>
      <w:r>
        <w:rPr>
          <w:spacing w:val="-87"/>
        </w:rPr>
        <w:t> </w:t>
      </w:r>
      <w:r>
        <w:rPr>
          <w:spacing w:val="-87"/>
        </w:rPr>
      </w:r>
      <w:r>
        <w:rPr/>
        <w:t>符合现金及现金等价物标准的保函保证金</w:t>
      </w:r>
      <w:r>
        <w:rPr>
          <w:rFonts w:ascii="Times New Roman" w:hAnsi="Times New Roman" w:cs="Times New Roman" w:eastAsia="Times New Roman" w:hint="default"/>
        </w:rPr>
        <w:t>13,869,441.15</w:t>
      </w:r>
      <w:r>
        <w:rPr/>
        <w:t>元。 </w:t>
      </w:r>
      <w:r>
        <w:rPr>
          <w:rFonts w:ascii="Times New Roman" w:hAnsi="Times New Roman" w:cs="Times New Roman" w:eastAsia="Times New Roman" w:hint="default"/>
          <w:b/>
          <w:bCs/>
        </w:rPr>
        <w:t>51</w:t>
      </w:r>
      <w:r>
        <w:rPr>
          <w:rFonts w:ascii="宋体" w:hAnsi="宋体" w:cs="宋体" w:eastAsia="宋体" w:hint="default"/>
          <w:b/>
          <w:bCs/>
        </w:rPr>
        <w:t>、所有权或使用权受到限制的资产</w:t>
      </w:r>
      <w:r>
        <w:rPr>
          <w:rFonts w:ascii="宋体" w:hAnsi="宋体" w:cs="宋体" w:eastAsia="宋体" w:hint="default"/>
        </w:rPr>
      </w:r>
    </w:p>
    <w:p>
      <w:pPr>
        <w:pStyle w:val="BodyText"/>
        <w:spacing w:line="240" w:lineRule="auto" w:before="27"/>
        <w:ind w:left="0" w:right="1130"/>
        <w:jc w:val="right"/>
      </w:pPr>
      <w:r>
        <w:rPr/>
        <w:t>单位： 元</w:t>
      </w: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0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14,393,161.95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14,393,161.95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footerReference w:type="default" r:id="rId19"/>
          <w:pgSz w:w="11910" w:h="16840"/>
          <w:pgMar w:footer="979" w:header="877" w:top="1060" w:bottom="1160" w:left="980" w:right="0"/>
        </w:sectPr>
      </w:pPr>
    </w:p>
    <w:p>
      <w:pPr>
        <w:pStyle w:val="Heading2"/>
        <w:spacing w:line="240" w:lineRule="auto" w:before="39"/>
        <w:ind w:right="-20"/>
        <w:jc w:val="left"/>
        <w:rPr>
          <w:b w:val="0"/>
          <w:bCs w:val="0"/>
        </w:rPr>
      </w:pPr>
      <w:r>
        <w:rPr>
          <w:rFonts w:ascii="Times New Roman" w:hAnsi="Times New Roman" w:cs="Times New Roman" w:eastAsia="Times New Roman" w:hint="default"/>
        </w:rPr>
        <w:t>52</w:t>
      </w:r>
      <w:r>
        <w:rPr/>
        <w:t>、外币货币性项目</w:t>
      </w:r>
      <w:r>
        <w:rPr>
          <w:b w:val="0"/>
          <w:bCs w:val="0"/>
        </w:rPr>
      </w:r>
    </w:p>
    <w:p>
      <w:pPr>
        <w:pStyle w:val="Heading2"/>
        <w:spacing w:line="240" w:lineRule="auto" w:before="135"/>
        <w:ind w:right="-2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443" w:space="6117"/>
            <w:col w:w="237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9"/>
        <w:gridCol w:w="2520"/>
        <w:gridCol w:w="2391"/>
        <w:gridCol w:w="2391"/>
      </w:tblGrid>
      <w:tr>
        <w:trPr>
          <w:trHeight w:val="40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6"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4"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14,369,763.39</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1,956,592.88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6.863200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13,428,488.25</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28,266.88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7.847300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221,818.69</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36,837.55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0.876200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32,277.06</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2" w:right="0"/>
              <w:jc w:val="center"/>
              <w:rPr>
                <w:rFonts w:ascii="宋体" w:hAnsi="宋体" w:cs="宋体" w:eastAsia="宋体" w:hint="default"/>
                <w:sz w:val="21"/>
                <w:szCs w:val="21"/>
              </w:rPr>
            </w:pPr>
            <w:r>
              <w:rPr>
                <w:rFonts w:ascii="宋体" w:hAnsi="宋体" w:cs="宋体" w:eastAsia="宋体" w:hint="default"/>
                <w:sz w:val="21"/>
                <w:szCs w:val="21"/>
              </w:rPr>
              <w:t>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11,103,776.00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687,179.39</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809,278.10</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tabs>
                <w:tab w:pos="969" w:val="left" w:leader="none"/>
              </w:tabs>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w:t>
              <w:tab/>
              <w:t>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13,076,706.00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809,278.10</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6,059,603.72</w:t>
            </w:r>
          </w:p>
        </w:tc>
      </w:tr>
      <w:tr>
        <w:trPr>
          <w:trHeight w:val="40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tabs>
                <w:tab w:pos="969" w:val="left" w:leader="none"/>
              </w:tabs>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其中：</w:t>
              <w:tab/>
              <w:t>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97,914,000.00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6,059,603.72</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149,629.53</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2,417,786.10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149,629.53</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6,544,797.80</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105,754,000.00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6,544,797.80</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523,817.25</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8,039,350.00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497,531.25</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0.876200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26,286.00</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2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53,997.21</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872,513.00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53,997.21</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541,697.20</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4,122,185.00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255,109.66</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327,080.05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0.876200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286,587.54</w:t>
            </w:r>
          </w:p>
        </w:tc>
      </w:tr>
      <w:tr>
        <w:trPr>
          <w:trHeight w:val="71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债</w:t>
            </w:r>
          </w:p>
        </w:tc>
        <w:tc>
          <w:tcPr>
            <w:tcW w:w="2520"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3,409,231.06</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55,088,000.00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3,409,231.06</w:t>
            </w:r>
          </w:p>
        </w:tc>
      </w:tr>
    </w:tbl>
    <w:p>
      <w:pPr>
        <w:pStyle w:val="Heading2"/>
        <w:spacing w:line="338" w:lineRule="auto" w:before="39"/>
        <w:ind w:right="1118"/>
        <w:jc w:val="left"/>
        <w:rPr>
          <w:b w:val="0"/>
          <w:bCs w:val="0"/>
        </w:rPr>
      </w:pPr>
      <w:r>
        <w:rPr>
          <w:spacing w:val="-3"/>
        </w:rPr>
        <w:t>（</w:t>
      </w:r>
      <w:r>
        <w:rPr>
          <w:rFonts w:ascii="Times New Roman" w:hAnsi="Times New Roman" w:cs="Times New Roman" w:eastAsia="Times New Roman" w:hint="default"/>
          <w:spacing w:val="-3"/>
        </w:rPr>
        <w:t>2</w:t>
      </w:r>
      <w:r>
        <w:rPr>
          <w:spacing w:val="-3"/>
        </w:rPr>
        <w:t>）境外经营实体说明，包括对于重要的境外经营实体，应披露其境外主要经营地、记账本</w:t>
      </w:r>
      <w:r>
        <w:rPr>
          <w:w w:val="99"/>
        </w:rPr>
        <w:t> </w:t>
      </w:r>
      <w:r>
        <w:rPr/>
        <w:t>位币及选择依据，记账本位币发生变化的还应披露原因。</w:t>
      </w:r>
      <w:r>
        <w:rPr>
          <w:b w:val="0"/>
          <w:bCs w:val="0"/>
        </w:rPr>
      </w:r>
    </w:p>
    <w:p>
      <w:pPr>
        <w:pStyle w:val="BodyText"/>
        <w:spacing w:line="338" w:lineRule="auto" w:before="56"/>
        <w:ind w:left="573" w:right="7213"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本公司有如下境外经营实体：</w:t>
      </w:r>
    </w:p>
    <w:p>
      <w:pPr>
        <w:pStyle w:val="BodyText"/>
        <w:spacing w:line="338" w:lineRule="auto" w:before="55"/>
        <w:ind w:left="573" w:right="1116"/>
        <w:jc w:val="left"/>
      </w:pPr>
      <w:r>
        <w:rPr>
          <w:rFonts w:ascii="Times New Roman" w:hAnsi="Times New Roman" w:cs="Times New Roman" w:eastAsia="Times New Roman" w:hint="default"/>
        </w:rPr>
        <w:t>(1)</w:t>
      </w:r>
      <w:r>
        <w:rPr/>
        <w:t>日本超图公司，主要经营地为日本，记账本位币为日元；</w:t>
      </w:r>
      <w:r>
        <w:rPr>
          <w:w w:val="99"/>
        </w:rPr>
        <w:t> </w:t>
      </w:r>
      <w:r>
        <w:rPr>
          <w:rFonts w:ascii="Times New Roman" w:hAnsi="Times New Roman" w:cs="Times New Roman" w:eastAsia="Times New Roman" w:hint="default"/>
        </w:rPr>
        <w:t>(2)</w:t>
      </w:r>
      <w:r>
        <w:rPr/>
        <w:t>超图国际公司，主要经营地为中国香港，记账本位币为港币。</w:t>
      </w:r>
      <w:r>
        <w:rPr>
          <w:w w:val="99"/>
        </w:rPr>
        <w:t> </w:t>
      </w:r>
      <w:r>
        <w:rPr>
          <w:spacing w:val="2"/>
        </w:rPr>
        <w:t>本公司之境外子公司根据其经营所处的主要经济环境中的货币确定日元、港币为其记账</w:t>
      </w:r>
      <w:r>
        <w:rPr/>
      </w:r>
    </w:p>
    <w:p>
      <w:pPr>
        <w:pStyle w:val="BodyText"/>
        <w:spacing w:line="240" w:lineRule="auto" w:before="55"/>
        <w:ind w:right="1273"/>
        <w:jc w:val="left"/>
      </w:pPr>
      <w:r>
        <w:rPr/>
        <w:t>本位币，本期上述境外经营实体的记账本位币没有发生变化。</w:t>
      </w:r>
    </w:p>
    <w:p>
      <w:pPr>
        <w:spacing w:after="0" w:line="240" w:lineRule="auto"/>
        <w:jc w:val="left"/>
        <w:sectPr>
          <w:footerReference w:type="default" r:id="rId20"/>
          <w:pgSz w:w="11910" w:h="16840"/>
          <w:pgMar w:footer="979" w:header="877" w:top="1060" w:bottom="1160" w:left="980" w:right="0"/>
          <w:pgNumType w:start="201"/>
        </w:sectPr>
      </w:pPr>
    </w:p>
    <w:p>
      <w:pPr>
        <w:spacing w:line="240" w:lineRule="auto" w:before="8"/>
        <w:rPr>
          <w:rFonts w:ascii="宋体" w:hAnsi="宋体" w:cs="宋体" w:eastAsia="宋体" w:hint="default"/>
          <w:sz w:val="23"/>
          <w:szCs w:val="23"/>
        </w:rPr>
      </w:pPr>
    </w:p>
    <w:p>
      <w:pPr>
        <w:pStyle w:val="Heading2"/>
        <w:spacing w:line="240" w:lineRule="auto" w:before="26"/>
        <w:ind w:right="1273"/>
        <w:jc w:val="left"/>
        <w:rPr>
          <w:b w:val="0"/>
          <w:bCs w:val="0"/>
        </w:rPr>
      </w:pPr>
      <w:r>
        <w:rPr>
          <w:rFonts w:ascii="Times New Roman" w:hAnsi="Times New Roman" w:cs="Times New Roman" w:eastAsia="Times New Roman" w:hint="default"/>
        </w:rPr>
        <w:t>53</w:t>
      </w:r>
      <w:r>
        <w:rPr/>
        <w:t>、政府补助</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127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left="0" w:right="1130"/>
        <w:jc w:val="right"/>
      </w:pPr>
      <w:r>
        <w:rPr/>
        <w:t>单位： 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395"/>
        <w:gridCol w:w="1265"/>
        <w:gridCol w:w="2089"/>
        <w:gridCol w:w="1920"/>
      </w:tblGrid>
      <w:tr>
        <w:trPr>
          <w:trHeight w:val="71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49" w:right="110" w:hanging="735"/>
              <w:jc w:val="left"/>
              <w:rPr>
                <w:rFonts w:ascii="宋体" w:hAnsi="宋体" w:cs="宋体" w:eastAsia="宋体" w:hint="default"/>
                <w:sz w:val="21"/>
                <w:szCs w:val="21"/>
              </w:rPr>
            </w:pPr>
            <w:r>
              <w:rPr>
                <w:rFonts w:ascii="宋体" w:hAnsi="宋体" w:cs="宋体" w:eastAsia="宋体" w:hint="default"/>
                <w:sz w:val="21"/>
                <w:szCs w:val="21"/>
              </w:rPr>
              <w:t>计入当期损益的金</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71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42" w:right="87" w:hanging="1052"/>
              <w:jc w:val="left"/>
              <w:rPr>
                <w:rFonts w:ascii="宋体" w:hAnsi="宋体" w:cs="宋体" w:eastAsia="宋体" w:hint="default"/>
                <w:sz w:val="21"/>
                <w:szCs w:val="21"/>
              </w:rPr>
            </w:pPr>
            <w:r>
              <w:rPr>
                <w:rFonts w:ascii="宋体" w:hAnsi="宋体" w:cs="宋体" w:eastAsia="宋体" w:hint="default"/>
                <w:spacing w:val="-2"/>
                <w:sz w:val="21"/>
                <w:szCs w:val="21"/>
              </w:rPr>
              <w:t>中关村国家自主创新示范区重大前沿原创技术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成果转化和产业化项目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增值税即征即退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13,178,218.61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13,178,218.61</w:t>
            </w: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代扣代缴个税手续费返还</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581,932.12</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581,932.12</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朝阳区</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年企业上市和并购重组专项资金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3,500,000.00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3,500,000.00</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政策扶持款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1,304,000.00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1,304,000.00</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科技发展资金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930,000.00</w:t>
            </w:r>
          </w:p>
        </w:tc>
      </w:tr>
      <w:tr>
        <w:trPr>
          <w:trHeight w:val="71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773" w:right="87" w:hanging="1683"/>
              <w:jc w:val="left"/>
              <w:rPr>
                <w:rFonts w:ascii="宋体" w:hAnsi="宋体" w:cs="宋体" w:eastAsia="宋体" w:hint="default"/>
                <w:sz w:val="21"/>
                <w:szCs w:val="21"/>
              </w:rPr>
            </w:pPr>
            <w:r>
              <w:rPr>
                <w:rFonts w:ascii="宋体" w:hAnsi="宋体" w:cs="宋体" w:eastAsia="宋体" w:hint="default"/>
                <w:spacing w:val="-2"/>
                <w:sz w:val="21"/>
                <w:szCs w:val="21"/>
              </w:rPr>
              <w:t>浦东新区科技发展基金重点企业研发机构补贴</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专项资助</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71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1562" w:right="60" w:hanging="1496"/>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年上海市促进文化创意产业发展财政扶持</w:t>
            </w:r>
            <w:r>
              <w:rPr>
                <w:rFonts w:ascii="宋体" w:hAnsi="宋体" w:cs="宋体" w:eastAsia="宋体" w:hint="default"/>
                <w:w w:val="100"/>
                <w:sz w:val="21"/>
                <w:szCs w:val="21"/>
              </w:rPr>
              <w:t> </w:t>
            </w:r>
            <w:r>
              <w:rPr>
                <w:rFonts w:ascii="宋体" w:hAnsi="宋体" w:cs="宋体" w:eastAsia="宋体" w:hint="default"/>
                <w:sz w:val="21"/>
                <w:szCs w:val="21"/>
              </w:rPr>
              <w:t>资金项目补贴</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530,000.00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530,000.00</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信息化奖励金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管委会政府补贴收入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年市工业和信息化专项资金项目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年国际服务贸易服务外包专项资金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年高企认定市级奖励</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政府补贴款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250,000.00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71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876" w:right="17" w:hanging="1853"/>
              <w:jc w:val="left"/>
              <w:rPr>
                <w:rFonts w:ascii="宋体" w:hAnsi="宋体" w:cs="宋体" w:eastAsia="宋体" w:hint="default"/>
                <w:sz w:val="21"/>
                <w:szCs w:val="21"/>
              </w:rPr>
            </w:pPr>
            <w:r>
              <w:rPr>
                <w:rFonts w:ascii="宋体" w:hAnsi="宋体" w:cs="宋体" w:eastAsia="宋体" w:hint="default"/>
                <w:spacing w:val="-5"/>
                <w:sz w:val="21"/>
                <w:szCs w:val="21"/>
              </w:rPr>
              <w:t>其他一次性计入当期损益的各种补贴、奖励、扶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持资金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3,136,796.56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pacing w:val="-8"/>
                <w:sz w:val="21"/>
                <w:szCs w:val="21"/>
              </w:rPr>
              <w:t>营业外收入、其他收益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3,136,796.56</w:t>
            </w:r>
          </w:p>
        </w:tc>
      </w:tr>
    </w:tbl>
    <w:p>
      <w:pPr>
        <w:pStyle w:val="Heading2"/>
        <w:spacing w:line="240" w:lineRule="auto" w:before="39"/>
        <w:ind w:right="1273"/>
        <w:jc w:val="left"/>
        <w:rPr>
          <w:b w:val="0"/>
          <w:bCs w:val="0"/>
        </w:rPr>
      </w:pPr>
      <w:r>
        <w:rPr/>
        <w:t>八、合并范围的变更</w:t>
      </w:r>
      <w:r>
        <w:rPr>
          <w:b w:val="0"/>
          <w:bCs w:val="0"/>
        </w:rPr>
      </w:r>
    </w:p>
    <w:p>
      <w:pPr>
        <w:spacing w:line="338" w:lineRule="auto" w:before="154"/>
        <w:ind w:left="573" w:right="6013" w:hanging="42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、非同一控制下企业合并</w:t>
      </w:r>
      <w:r>
        <w:rPr>
          <w:rFonts w:ascii="宋体" w:hAnsi="宋体" w:cs="宋体" w:eastAsia="宋体" w:hint="default"/>
          <w:b/>
          <w:bCs/>
          <w:w w:val="99"/>
          <w:sz w:val="24"/>
          <w:szCs w:val="24"/>
        </w:rPr>
        <w:t> </w:t>
      </w:r>
      <w:r>
        <w:rPr>
          <w:rFonts w:ascii="宋体" w:hAnsi="宋体" w:cs="宋体" w:eastAsia="宋体" w:hint="default"/>
          <w:sz w:val="24"/>
          <w:szCs w:val="24"/>
        </w:rPr>
        <w:t>本期不存在非同一控制下企业合并情况。</w:t>
      </w:r>
    </w:p>
    <w:p>
      <w:pPr>
        <w:spacing w:line="338" w:lineRule="auto" w:before="55"/>
        <w:ind w:left="573" w:right="6253" w:hanging="42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、同一控制下企业合并</w:t>
      </w:r>
      <w:r>
        <w:rPr>
          <w:rFonts w:ascii="宋体" w:hAnsi="宋体" w:cs="宋体" w:eastAsia="宋体" w:hint="default"/>
          <w:b/>
          <w:bCs/>
          <w:w w:val="99"/>
          <w:sz w:val="24"/>
          <w:szCs w:val="24"/>
        </w:rPr>
        <w:t> </w:t>
      </w:r>
      <w:r>
        <w:rPr>
          <w:rFonts w:ascii="宋体" w:hAnsi="宋体" w:cs="宋体" w:eastAsia="宋体" w:hint="default"/>
          <w:sz w:val="24"/>
          <w:szCs w:val="24"/>
        </w:rPr>
        <w:t>本期不存在同一控制下企业合并情况。</w:t>
      </w:r>
    </w:p>
    <w:p>
      <w:pPr>
        <w:spacing w:line="338" w:lineRule="auto" w:before="55"/>
        <w:ind w:left="153" w:right="163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z w:val="24"/>
          <w:szCs w:val="24"/>
        </w:rPr>
        <w:t>说明其他原因导致的合并范围变动（如，新设子公司、清算子公司等）及其相关情况：</w:t>
      </w:r>
    </w:p>
    <w:p>
      <w:pPr>
        <w:pStyle w:val="BodyText"/>
        <w:spacing w:line="338" w:lineRule="auto" w:before="55"/>
        <w:ind w:right="1116"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．以直接设立或投资等方式增加的子公司</w:t>
      </w:r>
      <w:r>
        <w:rPr>
          <w:rFonts w:ascii="Times New Roman" w:hAnsi="Times New Roman" w:cs="Times New Roman" w:eastAsia="Times New Roman" w:hint="default"/>
          <w:spacing w:val="-3"/>
        </w:rPr>
        <w:t>(</w:t>
      </w:r>
      <w:r>
        <w:rPr>
          <w:spacing w:val="-3"/>
        </w:rPr>
        <w:t>指通过新设、派生分立等非合并收购方式增加</w:t>
      </w:r>
      <w:r>
        <w:rPr/>
        <w:t> 的子公司</w:t>
      </w:r>
      <w:r>
        <w:rPr>
          <w:rFonts w:ascii="Times New Roman" w:hAnsi="Times New Roman" w:cs="Times New Roman" w:eastAsia="Times New Roman" w:hint="default"/>
        </w:rPr>
        <w:t>)</w:t>
      </w:r>
    </w:p>
    <w:p>
      <w:pPr>
        <w:spacing w:after="0" w:line="338" w:lineRule="auto"/>
        <w:jc w:val="left"/>
        <w:rPr>
          <w:rFonts w:ascii="Times New Roman" w:hAnsi="Times New Roman" w:cs="Times New Roman" w:eastAsia="Times New Roman" w:hint="default"/>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BodyText"/>
        <w:spacing w:line="386" w:lineRule="auto" w:before="26"/>
        <w:ind w:right="1118" w:firstLine="420"/>
        <w:jc w:val="left"/>
      </w:pPr>
      <w:r>
        <w:rPr>
          <w:spacing w:val="-5"/>
        </w:rPr>
        <w:t>投资设立湖南超图</w:t>
      </w:r>
      <w:r>
        <w:rPr>
          <w:rFonts w:ascii="宋体" w:hAnsi="宋体" w:cs="宋体" w:eastAsia="宋体" w:hint="default"/>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27</w:t>
      </w:r>
      <w:r>
        <w:rPr>
          <w:spacing w:val="-5"/>
        </w:rPr>
        <w:t>日，公司设立全资子公司湖南超图，持有其</w:t>
      </w:r>
      <w:r>
        <w:rPr>
          <w:rFonts w:ascii="Times New Roman" w:hAnsi="Times New Roman" w:cs="Times New Roman" w:eastAsia="Times New Roman" w:hint="default"/>
          <w:spacing w:val="-5"/>
        </w:rPr>
        <w:t>100%</w:t>
      </w:r>
      <w:r>
        <w:rPr>
          <w:spacing w:val="-5"/>
        </w:rPr>
        <w:t>股权，</w:t>
      </w:r>
      <w:r>
        <w:rPr/>
        <w:t> 拥有对其的实质控制权，故自该公司成立之日起，将其纳入合并财务报表范围。截止</w:t>
      </w:r>
      <w:r>
        <w:rPr>
          <w:rFonts w:ascii="Times New Roman" w:hAnsi="Times New Roman" w:cs="Times New Roman" w:eastAsia="Times New Roman" w:hint="default"/>
        </w:rPr>
        <w:t>2018</w:t>
      </w:r>
      <w:r>
        <w:rPr/>
        <w:t>年</w:t>
      </w:r>
    </w:p>
    <w:p>
      <w:pPr>
        <w:pStyle w:val="BodyText"/>
        <w:spacing w:line="306" w:lineRule="exact" w:before="0"/>
        <w:ind w:right="1273"/>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日，湖南超图尚未开展实质性经营业务。</w:t>
      </w:r>
    </w:p>
    <w:p>
      <w:pPr>
        <w:pStyle w:val="BodyText"/>
        <w:spacing w:line="240" w:lineRule="auto" w:before="135"/>
        <w:ind w:left="573" w:right="1116"/>
        <w:jc w:val="left"/>
        <w:rPr>
          <w:rFonts w:ascii="Times New Roman" w:hAnsi="Times New Roman" w:cs="Times New Roman" w:eastAsia="Times New Roman" w:hint="default"/>
        </w:rPr>
      </w:pPr>
      <w:r>
        <w:rPr>
          <w:rFonts w:ascii="Times New Roman" w:hAnsi="Times New Roman" w:cs="Times New Roman" w:eastAsia="Times New Roman" w:hint="default"/>
          <w:spacing w:val="-5"/>
        </w:rPr>
        <w:t>2</w:t>
      </w:r>
      <w:r>
        <w:rPr>
          <w:spacing w:val="-5"/>
        </w:rPr>
        <w:t>．因其他原因减少子公司的情况</w:t>
      </w:r>
      <w:r>
        <w:rPr>
          <w:rFonts w:ascii="Times New Roman" w:hAnsi="Times New Roman" w:cs="Times New Roman" w:eastAsia="Times New Roman" w:hint="default"/>
          <w:spacing w:val="-5"/>
        </w:rPr>
        <w:t>(</w:t>
      </w:r>
      <w:r>
        <w:rPr>
          <w:spacing w:val="-5"/>
        </w:rPr>
        <w:t>指因破产、歇业、到期解散等原因而注销减少的子公司</w:t>
      </w:r>
      <w:r>
        <w:rPr>
          <w:rFonts w:ascii="Times New Roman" w:hAnsi="Times New Roman" w:cs="Times New Roman" w:eastAsia="Times New Roman" w:hint="default"/>
          <w:spacing w:val="-5"/>
        </w:rPr>
        <w:t>)</w:t>
      </w:r>
    </w:p>
    <w:p>
      <w:pPr>
        <w:pStyle w:val="BodyText"/>
        <w:spacing w:line="338" w:lineRule="auto" w:before="135"/>
        <w:ind w:right="1189" w:firstLine="420"/>
        <w:jc w:val="left"/>
      </w:pPr>
      <w:r>
        <w:rPr/>
        <w:t>嘉兴兴图由于业务已停止，</w:t>
      </w:r>
      <w:r>
        <w:rPr>
          <w:rFonts w:ascii="Times New Roman" w:hAnsi="Times New Roman" w:cs="Times New Roman" w:eastAsia="Times New Roman" w:hint="default"/>
        </w:rPr>
        <w:t>2018</w:t>
      </w:r>
      <w:r>
        <w:rPr/>
        <w:t>年日本超图决议解散嘉兴兴图，自注销日起，不再将其 纳入合并财务报表范围。</w:t>
      </w:r>
    </w:p>
    <w:p>
      <w:pPr>
        <w:pStyle w:val="Heading2"/>
        <w:spacing w:line="240" w:lineRule="auto" w:before="55"/>
        <w:ind w:right="1273"/>
        <w:jc w:val="left"/>
        <w:rPr>
          <w:b w:val="0"/>
          <w:bCs w:val="0"/>
        </w:rPr>
      </w:pPr>
      <w:r>
        <w:rPr/>
        <w:t>九、在其他主体中的权益</w:t>
      </w:r>
      <w:r>
        <w:rPr>
          <w:b w:val="0"/>
          <w:bCs w:val="0"/>
        </w:rPr>
      </w:r>
    </w:p>
    <w:p>
      <w:pPr>
        <w:pStyle w:val="Heading2"/>
        <w:spacing w:line="240" w:lineRule="auto" w:before="154"/>
        <w:ind w:right="1273"/>
        <w:jc w:val="left"/>
        <w:rPr>
          <w:b w:val="0"/>
          <w:bCs w:val="0"/>
        </w:rPr>
      </w:pPr>
      <w:r>
        <w:rPr>
          <w:rFonts w:ascii="Times New Roman" w:hAnsi="Times New Roman" w:cs="Times New Roman" w:eastAsia="Times New Roman" w:hint="default"/>
        </w:rPr>
        <w:t>1</w:t>
      </w:r>
      <w:r>
        <w:rPr/>
        <w:t>、在子公司中的权益</w:t>
      </w:r>
      <w:r>
        <w:rPr>
          <w:b w:val="0"/>
          <w:bCs w:val="0"/>
        </w:rPr>
      </w:r>
    </w:p>
    <w:p>
      <w:pPr>
        <w:pStyle w:val="Heading2"/>
        <w:spacing w:line="240" w:lineRule="auto" w:before="136"/>
        <w:ind w:right="127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芜湖联智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芜湖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芜湖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浙江超图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湖州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河南超图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河南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郑州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上海超途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山东超图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山东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克拉玛依超图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克拉玛依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上海南康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超图数据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地图慧科技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60.27%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南京国图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国图不动产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北京安图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安图影文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上海数慧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日本超图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59.24%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非同一控制下</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 w:right="0"/>
              <w:jc w:val="center"/>
              <w:rPr>
                <w:rFonts w:ascii="Times New Roman" w:hAnsi="Times New Roman" w:cs="Times New Roman" w:eastAsia="Times New Roman" w:hint="default"/>
                <w:sz w:val="14"/>
                <w:szCs w:val="14"/>
              </w:rPr>
            </w:pPr>
            <w:r>
              <w:rPr>
                <w:rFonts w:ascii="宋体" w:hAnsi="宋体" w:cs="宋体" w:eastAsia="宋体" w:hint="default"/>
                <w:sz w:val="21"/>
                <w:szCs w:val="21"/>
              </w:rPr>
              <w:t>嘉兴兴球</w:t>
            </w:r>
            <w:r>
              <w:rPr>
                <w:rFonts w:ascii="宋体" w:hAnsi="宋体" w:cs="宋体" w:eastAsia="宋体" w:hint="default"/>
                <w:position w:val="11"/>
                <w:sz w:val="11"/>
                <w:szCs w:val="11"/>
              </w:rPr>
              <w:t>注</w:t>
            </w:r>
            <w:r>
              <w:rPr>
                <w:rFonts w:ascii="宋体" w:hAnsi="宋体" w:cs="宋体" w:eastAsia="宋体" w:hint="default"/>
                <w:spacing w:val="-29"/>
                <w:position w:val="11"/>
                <w:sz w:val="11"/>
                <w:szCs w:val="11"/>
              </w:rPr>
              <w:t> </w:t>
            </w:r>
            <w:r>
              <w:rPr>
                <w:rFonts w:ascii="Times New Roman" w:hAnsi="Times New Roman" w:cs="Times New Roman" w:eastAsia="Times New Roman" w:hint="default"/>
                <w:position w:val="10"/>
                <w:sz w:val="14"/>
                <w:szCs w:val="14"/>
              </w:rPr>
              <w:t>1</w:t>
            </w:r>
            <w:r>
              <w:rPr>
                <w:rFonts w:ascii="Times New Roman" w:hAnsi="Times New Roman" w:cs="Times New Roman" w:eastAsia="Times New Roman" w:hint="default"/>
                <w:sz w:val="14"/>
                <w:szCs w:val="14"/>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463"/>
              <w:jc w:val="right"/>
              <w:rPr>
                <w:rFonts w:ascii="宋体" w:hAnsi="宋体" w:cs="宋体" w:eastAsia="宋体" w:hint="default"/>
                <w:sz w:val="21"/>
                <w:szCs w:val="21"/>
              </w:rPr>
            </w:pPr>
            <w:r>
              <w:rPr>
                <w:rFonts w:ascii="宋体" w:hAnsi="宋体" w:cs="宋体" w:eastAsia="宋体" w:hint="default"/>
                <w:sz w:val="21"/>
                <w:szCs w:val="21"/>
              </w:rPr>
              <w:t>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湖南超图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湖南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3"/>
              <w:jc w:val="right"/>
              <w:rPr>
                <w:rFonts w:ascii="宋体" w:hAnsi="宋体" w:cs="宋体" w:eastAsia="宋体" w:hint="default"/>
                <w:sz w:val="21"/>
                <w:szCs w:val="21"/>
              </w:rPr>
            </w:pPr>
            <w:r>
              <w:rPr>
                <w:rFonts w:ascii="宋体" w:hAnsi="宋体" w:cs="宋体" w:eastAsia="宋体" w:hint="default"/>
                <w:sz w:val="21"/>
                <w:szCs w:val="21"/>
              </w:rPr>
              <w:t>湖南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line="362" w:lineRule="auto" w:before="64"/>
        <w:ind w:left="153" w:right="5713" w:firstLine="0"/>
        <w:jc w:val="left"/>
        <w:rPr>
          <w:rFonts w:ascii="宋体" w:hAnsi="宋体" w:cs="宋体" w:eastAsia="宋体" w:hint="default"/>
          <w:sz w:val="24"/>
          <w:szCs w:val="24"/>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：日本超图持有嘉兴兴球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w:t>
      </w:r>
      <w:r>
        <w:rPr>
          <w:rFonts w:ascii="宋体" w:hAnsi="宋体" w:cs="宋体" w:eastAsia="宋体" w:hint="default"/>
          <w:w w:val="100"/>
          <w:sz w:val="21"/>
          <w:szCs w:val="21"/>
        </w:rPr>
        <w:t> </w:t>
      </w:r>
      <w:r>
        <w:rPr>
          <w:rFonts w:ascii="宋体" w:hAnsi="宋体" w:cs="宋体" w:eastAsia="宋体" w:hint="default"/>
          <w:sz w:val="24"/>
          <w:szCs w:val="24"/>
        </w:rPr>
        <w:t>在子公司的持股比例不同于表决权比例的说明：</w:t>
      </w:r>
      <w:r>
        <w:rPr>
          <w:rFonts w:ascii="宋体" w:hAnsi="宋体" w:cs="宋体" w:eastAsia="宋体" w:hint="default"/>
          <w:sz w:val="24"/>
          <w:szCs w:val="24"/>
        </w:rPr>
        <w:t> 无。</w:t>
      </w:r>
    </w:p>
    <w:p>
      <w:pPr>
        <w:pStyle w:val="BodyText"/>
        <w:spacing w:line="357" w:lineRule="auto" w:before="31"/>
        <w:ind w:right="1153"/>
        <w:jc w:val="left"/>
      </w:pPr>
      <w:r>
        <w:rPr/>
        <w:t>持有半数或以下表决权但仍控制被投资单位、以及持有半数以上表决权但不控制被投资单位 的依据：</w:t>
      </w:r>
    </w:p>
    <w:p>
      <w:pPr>
        <w:pStyle w:val="BodyText"/>
        <w:spacing w:line="357" w:lineRule="auto" w:before="37"/>
        <w:ind w:right="4993"/>
        <w:jc w:val="left"/>
      </w:pPr>
      <w:r>
        <w:rPr/>
        <w:t>无。 对于纳入合并范围的重要的结构化主体，控制的依据： 无。</w:t>
      </w:r>
    </w:p>
    <w:p>
      <w:pPr>
        <w:pStyle w:val="BodyText"/>
        <w:spacing w:line="357" w:lineRule="auto"/>
        <w:ind w:right="6673"/>
        <w:jc w:val="left"/>
      </w:pPr>
      <w:r>
        <w:rPr/>
        <w:t>确定公司是代理人还是委托人的依据： 无。</w:t>
      </w:r>
    </w:p>
    <w:p>
      <w:pPr>
        <w:pStyle w:val="BodyText"/>
        <w:spacing w:line="357" w:lineRule="auto"/>
        <w:ind w:right="9553"/>
        <w:jc w:val="left"/>
      </w:pPr>
      <w:r>
        <w:rPr/>
        <w:t>其他说明： 无。</w:t>
      </w:r>
    </w:p>
    <w:p>
      <w:pPr>
        <w:pStyle w:val="Heading2"/>
        <w:spacing w:line="240" w:lineRule="auto" w:before="36"/>
        <w:ind w:right="127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6"/>
        <w:rPr>
          <w:rFonts w:ascii="宋体" w:hAnsi="宋体" w:cs="宋体" w:eastAsia="宋体" w:hint="default"/>
          <w:b/>
          <w:bCs/>
          <w:sz w:val="27"/>
          <w:szCs w:val="27"/>
        </w:rPr>
      </w:pPr>
    </w:p>
    <w:p>
      <w:pPr>
        <w:pStyle w:val="Heading2"/>
        <w:spacing w:line="240" w:lineRule="auto"/>
        <w:ind w:right="1273"/>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1"/>
          <w:szCs w:val="21"/>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97"/>
        <w:gridCol w:w="3088"/>
        <w:gridCol w:w="3174"/>
      </w:tblGrid>
      <w:tr>
        <w:trPr>
          <w:trHeight w:val="40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40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1,962,373.91</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1,948,820.21</w:t>
            </w:r>
          </w:p>
        </w:tc>
      </w:tr>
      <w:tr>
        <w:trPr>
          <w:trHeight w:val="40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13,553.70</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701,216.20</w:t>
            </w:r>
          </w:p>
        </w:tc>
      </w:tr>
      <w:tr>
        <w:trPr>
          <w:trHeight w:val="40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13,553.70</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701,216.20</w:t>
            </w:r>
          </w:p>
        </w:tc>
      </w:tr>
    </w:tbl>
    <w:p>
      <w:pPr>
        <w:pStyle w:val="BodyText"/>
        <w:spacing w:line="268" w:lineRule="auto" w:before="0"/>
        <w:ind w:right="9553"/>
        <w:jc w:val="left"/>
      </w:pPr>
      <w:r>
        <w:rPr/>
        <w:t>其他说明： 无</w:t>
      </w:r>
    </w:p>
    <w:p>
      <w:pPr>
        <w:spacing w:line="357" w:lineRule="auto" w:before="86"/>
        <w:ind w:left="573" w:right="1116" w:hanging="420"/>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pacing w:val="2"/>
          <w:sz w:val="24"/>
          <w:szCs w:val="24"/>
        </w:rPr>
        <w:t>本公司在经营过程中面临着各种金融风险：市场风险、信用风险和流动性风险。本公司</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jc w:val="both"/>
      </w:pPr>
      <w:r>
        <w:rPr/>
        <w:t>的主要金融工具包括股权投资、借款、应收账款、应付账款等，各项金融工具的详细情况说</w:t>
      </w:r>
      <w:r>
        <w:rPr>
          <w:spacing w:val="-91"/>
        </w:rPr>
        <w:t> </w:t>
      </w:r>
      <w:r>
        <w:rPr>
          <w:spacing w:val="-91"/>
        </w:rPr>
      </w:r>
      <w:r>
        <w:rPr/>
        <w:t>明见本附注五相关项目。与这些金融工具有关的风险，以及本公司为降低这些风险所采取的</w:t>
      </w:r>
      <w:r>
        <w:rPr>
          <w:spacing w:val="-91"/>
        </w:rPr>
        <w:t> </w:t>
      </w:r>
      <w:r>
        <w:rPr>
          <w:spacing w:val="-91"/>
        </w:rPr>
      </w:r>
      <w:r>
        <w:rPr/>
        <w:t>风险管理政策如下所述。本公司管理层对这些风险敞口进行管理和监控以确保将上述风险控</w:t>
      </w:r>
      <w:r>
        <w:rPr>
          <w:spacing w:val="-91"/>
        </w:rPr>
        <w:t> </w:t>
      </w:r>
      <w:r>
        <w:rPr>
          <w:spacing w:val="-91"/>
        </w:rPr>
      </w:r>
      <w:r>
        <w:rPr/>
        <w:t>制在限定的范围之内。</w:t>
      </w:r>
    </w:p>
    <w:p>
      <w:pPr>
        <w:spacing w:line="338" w:lineRule="auto" w:before="36"/>
        <w:ind w:left="573" w:right="1116"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1"/>
          <w:sz w:val="24"/>
          <w:szCs w:val="24"/>
        </w:rPr>
        <w:t> </w:t>
      </w:r>
      <w:r>
        <w:rPr>
          <w:rFonts w:ascii="宋体" w:hAnsi="宋体" w:cs="宋体" w:eastAsia="宋体" w:hint="default"/>
          <w:b/>
          <w:bCs/>
          <w:sz w:val="24"/>
          <w:szCs w:val="24"/>
        </w:rPr>
        <w:t>风险管理目标和政策</w:t>
      </w:r>
      <w:r>
        <w:rPr>
          <w:rFonts w:ascii="宋体" w:hAnsi="宋体" w:cs="宋体" w:eastAsia="宋体" w:hint="default"/>
          <w:b/>
          <w:bCs/>
          <w:w w:val="99"/>
          <w:sz w:val="24"/>
          <w:szCs w:val="24"/>
        </w:rPr>
        <w:t> </w:t>
      </w:r>
      <w:r>
        <w:rPr>
          <w:rFonts w:ascii="宋体" w:hAnsi="宋体" w:cs="宋体" w:eastAsia="宋体" w:hint="default"/>
          <w:spacing w:val="2"/>
          <w:sz w:val="24"/>
          <w:szCs w:val="24"/>
        </w:rPr>
        <w:t>本公司从事风险管理的目标是在风险和收益之间取得适当的平衡，将风险对本公司经营</w:t>
      </w:r>
      <w:r>
        <w:rPr>
          <w:rFonts w:ascii="宋体" w:hAnsi="宋体" w:cs="宋体" w:eastAsia="宋体" w:hint="default"/>
          <w:sz w:val="24"/>
          <w:szCs w:val="24"/>
        </w:rPr>
      </w:r>
    </w:p>
    <w:p>
      <w:pPr>
        <w:pStyle w:val="BodyText"/>
        <w:spacing w:line="357" w:lineRule="auto" w:before="55"/>
        <w:ind w:right="1138"/>
        <w:jc w:val="both"/>
      </w:pPr>
      <w:r>
        <w:rPr/>
        <w:t>业绩的负面影响降低到最低水平，使股东及其他权益投资者的利益最大化。基于该风险管理</w:t>
      </w:r>
      <w:r>
        <w:rPr>
          <w:spacing w:val="-91"/>
        </w:rPr>
        <w:t> </w:t>
      </w:r>
      <w:r>
        <w:rPr>
          <w:spacing w:val="-91"/>
        </w:rPr>
      </w:r>
      <w:r>
        <w:rPr/>
        <w:t>目标，本公司风险管理的基本策略是确定和分析本公司所面临的各种风险，建立适当的风险</w:t>
      </w:r>
      <w:r>
        <w:rPr>
          <w:spacing w:val="-91"/>
        </w:rPr>
        <w:t> </w:t>
      </w:r>
      <w:r>
        <w:rPr>
          <w:spacing w:val="-91"/>
        </w:rPr>
      </w:r>
      <w:r>
        <w:rPr/>
        <w:t>承受底线并进行风险管理，本公司定期审阅这些风险管理政策及有关内部控制系统，以适应</w:t>
      </w:r>
      <w:r>
        <w:rPr>
          <w:spacing w:val="-91"/>
        </w:rPr>
        <w:t> </w:t>
      </w:r>
      <w:r>
        <w:rPr>
          <w:spacing w:val="-91"/>
        </w:rPr>
      </w:r>
      <w:r>
        <w:rPr/>
        <w:t>市场情况或本公司经营活动的改变，同时及时有效地对各种风险进行监督，将风险控制在限</w:t>
      </w:r>
      <w:r>
        <w:rPr>
          <w:spacing w:val="-91"/>
        </w:rPr>
        <w:t> </w:t>
      </w:r>
      <w:r>
        <w:rPr>
          <w:spacing w:val="-91"/>
        </w:rPr>
      </w:r>
      <w:r>
        <w:rPr/>
        <w:t>定的范围之内。</w:t>
      </w:r>
    </w:p>
    <w:p>
      <w:pPr>
        <w:pStyle w:val="BodyText"/>
        <w:spacing w:line="338" w:lineRule="auto"/>
        <w:ind w:left="573" w:right="1116" w:firstLine="7"/>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w:t>
      </w:r>
      <w:r>
        <w:rPr/>
      </w:r>
    </w:p>
    <w:p>
      <w:pPr>
        <w:pStyle w:val="BodyText"/>
        <w:spacing w:line="240" w:lineRule="auto" w:before="55"/>
        <w:ind w:right="0"/>
        <w:jc w:val="both"/>
      </w:pPr>
      <w:r>
        <w:rPr/>
        <w:t>波动的风险，包括外汇风险、利率风险和其他价格风险。</w:t>
      </w:r>
    </w:p>
    <w:p>
      <w:pPr>
        <w:pStyle w:val="BodyText"/>
        <w:spacing w:line="338" w:lineRule="auto" w:before="154"/>
        <w:ind w:left="573" w:right="1137"/>
        <w:jc w:val="left"/>
      </w:pPr>
      <w:r>
        <w:rPr>
          <w:rFonts w:ascii="Times New Roman" w:hAnsi="Times New Roman" w:cs="Times New Roman" w:eastAsia="Times New Roman" w:hint="default"/>
        </w:rPr>
        <w:t>1</w:t>
      </w:r>
      <w:r>
        <w:rPr/>
        <w:t>．汇率风险 </w:t>
      </w:r>
      <w:r>
        <w:rPr>
          <w:spacing w:val="2"/>
        </w:rPr>
        <w:t>汇率风险是指金融工具的公允价值或未来现金流量因外汇汇率变动而发生波动的风险。</w:t>
      </w:r>
    </w:p>
    <w:p>
      <w:pPr>
        <w:pStyle w:val="BodyText"/>
        <w:spacing w:line="357" w:lineRule="auto" w:before="55"/>
        <w:ind w:right="1138"/>
        <w:jc w:val="both"/>
      </w:pPr>
      <w:r>
        <w:rPr/>
        <w:t>本公司的主要经营位于中国境内，主要业务以人民币结算。因此，本公司所承担的外汇变动</w:t>
      </w:r>
      <w:r>
        <w:rPr>
          <w:spacing w:val="-91"/>
        </w:rPr>
        <w:t> </w:t>
      </w:r>
      <w:r>
        <w:rPr>
          <w:spacing w:val="-91"/>
        </w:rPr>
      </w:r>
      <w:r>
        <w:rPr/>
        <w:t>市场风险不重大。</w:t>
      </w:r>
    </w:p>
    <w:p>
      <w:pPr>
        <w:pStyle w:val="BodyText"/>
        <w:spacing w:line="338" w:lineRule="auto"/>
        <w:ind w:left="573" w:right="997"/>
        <w:jc w:val="left"/>
      </w:pPr>
      <w:r>
        <w:rPr>
          <w:rFonts w:ascii="Times New Roman" w:hAnsi="Times New Roman" w:cs="Times New Roman" w:eastAsia="Times New Roman" w:hint="default"/>
        </w:rPr>
        <w:t>2</w:t>
      </w:r>
      <w:r>
        <w:rPr/>
        <w:t>．利率风险 </w:t>
      </w:r>
      <w:r>
        <w:rPr>
          <w:spacing w:val="-1"/>
        </w:rPr>
        <w:t>利率风险，是指金融工具的公允价值或未来现金流量因市场利率变动而发生波动的风险。</w:t>
      </w:r>
    </w:p>
    <w:p>
      <w:pPr>
        <w:pStyle w:val="BodyText"/>
        <w:spacing w:line="357" w:lineRule="auto" w:before="55"/>
        <w:ind w:right="1137"/>
        <w:jc w:val="both"/>
      </w:pPr>
      <w:r>
        <w:rPr/>
        <w:t>本公司面临的市场利率变动的风险主要与本公司以浮动利率计息的借款有关。本公司的利率</w:t>
      </w:r>
      <w:r>
        <w:rPr>
          <w:spacing w:val="-91"/>
        </w:rPr>
        <w:t> </w:t>
      </w:r>
      <w:r>
        <w:rPr>
          <w:spacing w:val="-91"/>
        </w:rPr>
      </w:r>
      <w:r>
        <w:rPr/>
        <w:t>风险主要产生于长期银行借款及应付债券等长期带息债务。浮动利率的金融负债使本公司面</w:t>
      </w:r>
      <w:r>
        <w:rPr>
          <w:spacing w:val="-91"/>
        </w:rPr>
        <w:t> </w:t>
      </w:r>
      <w:r>
        <w:rPr>
          <w:spacing w:val="-91"/>
        </w:rPr>
      </w:r>
      <w:r>
        <w:rPr/>
        <w:t>临现金流量利率风险，固定利率的金融负债使本公司面临公允价值利率风险。本公司根据当</w:t>
      </w:r>
      <w:r>
        <w:rPr>
          <w:spacing w:val="-91"/>
        </w:rPr>
        <w:t> </w:t>
      </w:r>
      <w:r>
        <w:rPr>
          <w:spacing w:val="-91"/>
        </w:rPr>
      </w:r>
      <w:r>
        <w:rPr/>
        <w:t>时的市场环境来决定固定利率及浮动利率合同的相对比例，并通过定期审阅与监察维持适当</w:t>
      </w:r>
      <w:r>
        <w:rPr>
          <w:spacing w:val="-90"/>
        </w:rPr>
        <w:t> </w:t>
      </w:r>
      <w:r>
        <w:rPr>
          <w:spacing w:val="-90"/>
        </w:rPr>
      </w:r>
      <w:r>
        <w:rPr/>
        <w:t>的固定和浮动利率工具组合。</w:t>
      </w:r>
    </w:p>
    <w:p>
      <w:pPr>
        <w:pStyle w:val="BodyText"/>
        <w:spacing w:line="345" w:lineRule="auto"/>
        <w:ind w:left="573" w:right="1693"/>
        <w:jc w:val="left"/>
      </w:pPr>
      <w:r>
        <w:rPr>
          <w:rFonts w:ascii="Times New Roman" w:hAnsi="Times New Roman" w:cs="Times New Roman" w:eastAsia="Times New Roman" w:hint="default"/>
        </w:rPr>
        <w:t>3</w:t>
      </w:r>
      <w:r>
        <w:rPr/>
        <w:t>．其他价格风险 本公司管理层认为与金融资产、金融负债相关的价格风险对本公司无重大影响。 </w:t>
      </w: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信用风险</w:t>
      </w:r>
      <w:r>
        <w:rPr>
          <w:rFonts w:ascii="宋体" w:hAnsi="宋体" w:cs="宋体" w:eastAsia="宋体" w:hint="default"/>
          <w:b/>
          <w:bCs/>
          <w:w w:val="99"/>
        </w:rPr>
        <w:t> </w:t>
      </w:r>
      <w:r>
        <w:rPr/>
        <w:t>信用风险，是指交易对手方未能履行合同义务而导致本公司产生财务损失的风险。</w:t>
      </w:r>
    </w:p>
    <w:p>
      <w:pPr>
        <w:spacing w:after="0" w:line="345"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573" w:right="1116"/>
        <w:jc w:val="left"/>
      </w:pPr>
      <w:r>
        <w:rPr/>
        <w:t>本公司对信用风险按组合分类进行管理。信用风险主要产生于银行存款和应收款项等。 </w:t>
      </w:r>
      <w:r>
        <w:rPr>
          <w:spacing w:val="2"/>
        </w:rPr>
        <w:t>本公司银行存款主要存放于国有银行和其它大中型上市银行，本公司预期银行存款不存</w:t>
      </w:r>
      <w:r>
        <w:rPr/>
      </w:r>
    </w:p>
    <w:p>
      <w:pPr>
        <w:pStyle w:val="BodyText"/>
        <w:spacing w:line="357" w:lineRule="auto"/>
        <w:ind w:left="573" w:right="1116" w:hanging="420"/>
        <w:jc w:val="left"/>
      </w:pPr>
      <w:r>
        <w:rPr/>
        <w:t>在重大的信用风险。 </w:t>
      </w:r>
      <w:r>
        <w:rPr>
          <w:spacing w:val="2"/>
        </w:rPr>
        <w:t>对于应收款项，本公司设定相关政策以控制信用风险敞口。本公司基于对债务人的财务</w:t>
      </w:r>
      <w:r>
        <w:rPr/>
      </w:r>
    </w:p>
    <w:p>
      <w:pPr>
        <w:pStyle w:val="BodyText"/>
        <w:spacing w:line="357" w:lineRule="auto"/>
        <w:ind w:right="1138"/>
        <w:jc w:val="both"/>
      </w:pPr>
      <w:r>
        <w:rPr/>
        <w:t>状况、外部评级、从第三方获取担保的可能性、信用记录及其它因素诸如目前市场状况等评</w:t>
      </w:r>
      <w:r>
        <w:rPr>
          <w:spacing w:val="-91"/>
        </w:rPr>
        <w:t> </w:t>
      </w:r>
      <w:r>
        <w:rPr>
          <w:spacing w:val="-91"/>
        </w:rPr>
      </w:r>
      <w:r>
        <w:rPr/>
        <w:t>估债务人的信用资质并设置相应欠款额度与信用期限。本公司会定期对债务人信用记录进行</w:t>
      </w:r>
      <w:r>
        <w:rPr>
          <w:spacing w:val="-91"/>
        </w:rPr>
        <w:t> </w:t>
      </w:r>
      <w:r>
        <w:rPr>
          <w:spacing w:val="-91"/>
        </w:rPr>
      </w:r>
      <w:r>
        <w:rPr/>
        <w:t>监控，对于信用记录不良的债务人，本公司会采用书面催款、缩短信用期或取消信用期等方</w:t>
      </w:r>
      <w:r>
        <w:rPr>
          <w:spacing w:val="-91"/>
        </w:rPr>
        <w:t> </w:t>
      </w:r>
      <w:r>
        <w:rPr>
          <w:spacing w:val="-91"/>
        </w:rPr>
      </w:r>
      <w:r>
        <w:rPr/>
        <w:t>式，以确保本公司的整体信用风险在可控的范围内。</w:t>
      </w:r>
    </w:p>
    <w:p>
      <w:pPr>
        <w:pStyle w:val="BodyText"/>
        <w:spacing w:line="357" w:lineRule="auto" w:before="37"/>
        <w:ind w:right="993" w:firstLine="420"/>
        <w:jc w:val="left"/>
      </w:pPr>
      <w:r>
        <w:rPr>
          <w:spacing w:val="2"/>
        </w:rPr>
        <w:t>本公司所承受的最大信用风险敞口为资产负债表中每项金融资产的账面金额，详细见本 </w:t>
      </w:r>
      <w:r>
        <w:rPr/>
        <w:t>部分</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流动风险的相关列示。本公司没有提供任何其他可能令本公司承受信用风险的担保。</w:t>
      </w:r>
    </w:p>
    <w:p>
      <w:pPr>
        <w:pStyle w:val="BodyText"/>
        <w:spacing w:line="338" w:lineRule="auto" w:before="5"/>
        <w:ind w:left="573" w:right="1116" w:firstLine="105"/>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流动风险</w:t>
      </w:r>
      <w:r>
        <w:rPr>
          <w:rFonts w:ascii="宋体" w:hAnsi="宋体" w:cs="宋体" w:eastAsia="宋体" w:hint="default"/>
          <w:b/>
          <w:bCs/>
          <w:w w:val="99"/>
        </w:rPr>
        <w:t> </w:t>
      </w:r>
      <w:r>
        <w:rPr>
          <w:spacing w:val="2"/>
        </w:rPr>
        <w:t>流动风险，是指企业在履行以交付现金或其他金融资产的方式结算的义务时发生资金短</w:t>
      </w:r>
      <w:r>
        <w:rPr/>
      </w:r>
    </w:p>
    <w:p>
      <w:pPr>
        <w:pStyle w:val="BodyText"/>
        <w:spacing w:line="348" w:lineRule="auto" w:before="55"/>
        <w:ind w:right="1138"/>
        <w:jc w:val="both"/>
      </w:pPr>
      <w:r>
        <w:rPr/>
        <w:t>缺的风险。流动性风险由本公司的财务部门集中控制。财务部门通过监控现金余额、可随时</w:t>
      </w:r>
      <w:r>
        <w:rPr>
          <w:spacing w:val="-91"/>
        </w:rPr>
        <w:t> </w:t>
      </w:r>
      <w:r>
        <w:rPr>
          <w:spacing w:val="-91"/>
        </w:rPr>
      </w:r>
      <w:r>
        <w:rPr/>
        <w:t>变现的有价证券以及对未来</w:t>
      </w:r>
      <w:r>
        <w:rPr>
          <w:rFonts w:ascii="Times New Roman" w:hAnsi="Times New Roman" w:cs="Times New Roman" w:eastAsia="Times New Roman" w:hint="default"/>
        </w:rPr>
        <w:t>12</w:t>
      </w:r>
      <w:r>
        <w:rPr/>
        <w:t>个月现金流量的滚动预测，确保公司在所有合理预测的情况下</w:t>
      </w:r>
      <w:r>
        <w:rPr>
          <w:spacing w:val="-90"/>
        </w:rPr>
        <w:t> </w:t>
      </w:r>
      <w:r>
        <w:rPr>
          <w:spacing w:val="-90"/>
        </w:rPr>
      </w:r>
      <w:r>
        <w:rPr/>
        <w:t>拥有充足的资金偿还债务，满足本公司经营需要，并降低现金流量波动的影响。</w:t>
      </w:r>
    </w:p>
    <w:p>
      <w:pPr>
        <w:pStyle w:val="BodyText"/>
        <w:spacing w:line="350" w:lineRule="auto" w:before="46"/>
        <w:ind w:right="1153" w:firstLine="525"/>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资本管理</w:t>
      </w:r>
      <w:r>
        <w:rPr>
          <w:rFonts w:ascii="宋体" w:hAnsi="宋体" w:cs="宋体" w:eastAsia="宋体" w:hint="default"/>
          <w:b/>
          <w:bCs/>
          <w:w w:val="99"/>
        </w:rPr>
        <w:t> </w:t>
      </w:r>
      <w:r>
        <w:rPr/>
        <w:t>本公司资本管理政策的目标是为了保障本公司能够持续经营，从而为股东提供回报，并使其 他利益相关者获益，同时维持最佳的资本结构以降低资本成本。为了维持或调整资本结构， 本公司可能会调整支付给股东的股利金额、向股东返还资本、发行新股或出售资产以减低债 务。本公司以资产负债率</w:t>
      </w:r>
      <w:r>
        <w:rPr>
          <w:rFonts w:ascii="Times New Roman" w:hAnsi="Times New Roman" w:cs="Times New Roman" w:eastAsia="Times New Roman" w:hint="default"/>
        </w:rPr>
        <w:t>(</w:t>
      </w:r>
      <w:r>
        <w:rPr/>
        <w:t>即总负债除以总资产</w:t>
      </w:r>
      <w:r>
        <w:rPr>
          <w:rFonts w:ascii="Times New Roman" w:hAnsi="Times New Roman" w:cs="Times New Roman" w:eastAsia="Times New Roman" w:hint="default"/>
        </w:rPr>
        <w:t>)</w:t>
      </w:r>
      <w:r>
        <w:rPr/>
        <w:t>为基础对资本结构进行监控。于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日，本公司的资产负债率为</w:t>
      </w:r>
      <w:r>
        <w:rPr>
          <w:rFonts w:ascii="Times New Roman" w:hAnsi="Times New Roman" w:cs="Times New Roman" w:eastAsia="Times New Roman" w:hint="default"/>
        </w:rPr>
        <w:t>31.52%(2017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30.97%)</w:t>
      </w:r>
      <w:r>
        <w:rPr/>
        <w:t>。</w:t>
      </w:r>
    </w:p>
    <w:p>
      <w:pPr>
        <w:pStyle w:val="Heading2"/>
        <w:spacing w:line="240" w:lineRule="auto" w:before="13"/>
        <w:ind w:right="1273"/>
        <w:jc w:val="left"/>
        <w:rPr>
          <w:b w:val="0"/>
          <w:bCs w:val="0"/>
        </w:rPr>
      </w:pPr>
      <w:r>
        <w:rPr/>
        <w:t>十一、公允价值的披露</w:t>
      </w:r>
      <w:r>
        <w:rPr>
          <w:b w:val="0"/>
          <w:bCs w:val="0"/>
        </w:rPr>
      </w:r>
    </w:p>
    <w:p>
      <w:pPr>
        <w:spacing w:line="338" w:lineRule="auto" w:before="154"/>
        <w:ind w:left="537" w:right="1129" w:hanging="38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、不以公允价值计量的金融资产和金融负债的公允价值情况</w:t>
      </w:r>
      <w:r>
        <w:rPr>
          <w:rFonts w:ascii="宋体" w:hAnsi="宋体" w:cs="宋体" w:eastAsia="宋体" w:hint="default"/>
          <w:b/>
          <w:bCs/>
          <w:w w:val="99"/>
          <w:sz w:val="24"/>
          <w:szCs w:val="24"/>
        </w:rPr>
        <w:t> </w:t>
      </w:r>
      <w:r>
        <w:rPr>
          <w:rFonts w:ascii="宋体" w:hAnsi="宋体" w:cs="宋体" w:eastAsia="宋体" w:hint="default"/>
          <w:spacing w:val="-9"/>
          <w:sz w:val="24"/>
          <w:szCs w:val="24"/>
        </w:rPr>
        <w:t>本公司以摊余成本计量的金融资产和金融负债主要包括：货币资金、应收票据、应收账款、</w:t>
      </w:r>
    </w:p>
    <w:p>
      <w:pPr>
        <w:pStyle w:val="BodyText"/>
        <w:spacing w:line="357" w:lineRule="auto" w:before="55"/>
        <w:ind w:right="1153"/>
        <w:jc w:val="left"/>
        <w:rPr>
          <w:rFonts w:ascii="宋体" w:hAnsi="宋体" w:cs="宋体" w:eastAsia="宋体" w:hint="default"/>
        </w:rPr>
      </w:pPr>
      <w:r>
        <w:rPr/>
        <w:t>其他应收款、短期借款、应付票据、应付账款、其他应付款、长期应付款等。本公司不以公 允价值计量的金融资产和金融负债的账面价值与公允价值相差很小。 </w:t>
      </w:r>
      <w:r>
        <w:rPr>
          <w:rFonts w:ascii="宋体" w:hAnsi="宋体" w:cs="宋体" w:eastAsia="宋体" w:hint="default"/>
          <w:b/>
          <w:bCs/>
        </w:rPr>
        <w:t>十二、关联方及关联交易</w:t>
      </w:r>
      <w:r>
        <w:rPr>
          <w:rFonts w:ascii="宋体" w:hAnsi="宋体" w:cs="宋体" w:eastAsia="宋体" w:hint="default"/>
        </w:rPr>
      </w:r>
    </w:p>
    <w:p>
      <w:pPr>
        <w:spacing w:line="338" w:lineRule="auto" w:before="36"/>
        <w:ind w:left="153" w:right="223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pacing w:val="-9"/>
          <w:sz w:val="24"/>
          <w:szCs w:val="24"/>
        </w:rPr>
        <w:t>本企业子公司的情况详见第十一节财务报告中附注九、</w:t>
      </w:r>
      <w:r>
        <w:rPr>
          <w:rFonts w:ascii="Times New Roman" w:hAnsi="Times New Roman" w:cs="Times New Roman" w:eastAsia="Times New Roman" w:hint="default"/>
          <w:spacing w:val="-9"/>
          <w:sz w:val="24"/>
          <w:szCs w:val="24"/>
        </w:rPr>
        <w:t>1</w:t>
      </w:r>
      <w:r>
        <w:rPr>
          <w:rFonts w:ascii="宋体" w:hAnsi="宋体" w:cs="宋体" w:eastAsia="宋体" w:hint="default"/>
          <w:spacing w:val="-9"/>
          <w:sz w:val="24"/>
          <w:szCs w:val="24"/>
        </w:rPr>
        <w:t>（</w:t>
      </w:r>
      <w:r>
        <w:rPr>
          <w:rFonts w:ascii="Times New Roman" w:hAnsi="Times New Roman" w:cs="Times New Roman" w:eastAsia="Times New Roman" w:hint="default"/>
          <w:spacing w:val="-9"/>
          <w:sz w:val="24"/>
          <w:szCs w:val="24"/>
        </w:rPr>
        <w:t>1</w:t>
      </w:r>
      <w:r>
        <w:rPr>
          <w:rFonts w:ascii="宋体" w:hAnsi="宋体" w:cs="宋体" w:eastAsia="宋体" w:hint="default"/>
          <w:spacing w:val="-9"/>
          <w:sz w:val="24"/>
          <w:szCs w:val="24"/>
        </w:rPr>
        <w:t>）。</w:t>
      </w:r>
      <w:r>
        <w:rPr>
          <w:rFonts w:ascii="宋体" w:hAnsi="宋体" w:cs="宋体" w:eastAsia="宋体" w:hint="default"/>
          <w:sz w:val="24"/>
          <w:szCs w:val="24"/>
        </w:rPr>
      </w:r>
    </w:p>
    <w:p>
      <w:pPr>
        <w:spacing w:after="0" w:line="338" w:lineRule="auto"/>
        <w:jc w:val="left"/>
        <w:rPr>
          <w:rFonts w:ascii="宋体" w:hAnsi="宋体" w:cs="宋体" w:eastAsia="宋体" w:hint="default"/>
          <w:sz w:val="24"/>
          <w:szCs w:val="24"/>
        </w:rPr>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spacing w:line="338" w:lineRule="auto" w:before="26"/>
        <w:ind w:left="153" w:right="127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pacing w:val="-4"/>
          <w:sz w:val="24"/>
          <w:szCs w:val="24"/>
        </w:rPr>
        <w:t>本企业不重要的合营或联营企业详见第十一节财务报告中附注九、</w:t>
      </w: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、其他关联方情况</w:t>
      </w:r>
      <w:r>
        <w:rPr>
          <w:rFonts w:ascii="宋体" w:hAnsi="宋体" w:cs="宋体" w:eastAsia="宋体" w:hint="default"/>
          <w:sz w:val="24"/>
          <w:szCs w:val="24"/>
        </w:rPr>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江苏国图信息产业园管理有限公司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南京国图董事控制的公司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上海南康网络技术有限公司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21"/>
                <w:szCs w:val="21"/>
              </w:rPr>
            </w:pPr>
            <w:r>
              <w:rPr>
                <w:rFonts w:ascii="宋体" w:hAnsi="宋体" w:cs="宋体" w:eastAsia="宋体" w:hint="default"/>
                <w:sz w:val="21"/>
                <w:szCs w:val="21"/>
              </w:rPr>
              <w:t>上海南康董事控制的公司</w:t>
            </w:r>
          </w:p>
        </w:tc>
      </w:tr>
    </w:tbl>
    <w:p>
      <w:pPr>
        <w:pStyle w:val="Heading2"/>
        <w:spacing w:line="240" w:lineRule="auto" w:before="27"/>
        <w:ind w:right="1273"/>
        <w:jc w:val="left"/>
        <w:rPr>
          <w:b w:val="0"/>
          <w:bCs w:val="0"/>
        </w:rPr>
      </w:pPr>
      <w:r>
        <w:rPr>
          <w:rFonts w:ascii="Times New Roman" w:hAnsi="Times New Roman" w:cs="Times New Roman" w:eastAsia="Times New Roman" w:hint="default"/>
        </w:rPr>
        <w:t>4</w:t>
      </w:r>
      <w:r>
        <w:rPr/>
        <w:t>、关联交易情况</w:t>
      </w:r>
      <w:r>
        <w:rPr>
          <w:b w:val="0"/>
          <w:bCs w:val="0"/>
        </w:rPr>
      </w:r>
    </w:p>
    <w:p>
      <w:pPr>
        <w:spacing w:line="338" w:lineRule="auto" w:before="136"/>
        <w:ind w:left="153" w:right="605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）购销商品、提供和接受劳务的关联交易</w:t>
      </w:r>
      <w:r>
        <w:rPr>
          <w:rFonts w:ascii="宋体" w:hAnsi="宋体" w:cs="宋体" w:eastAsia="宋体" w:hint="default"/>
          <w:b/>
          <w:bCs/>
          <w:w w:val="99"/>
          <w:sz w:val="24"/>
          <w:szCs w:val="24"/>
        </w:rPr>
        <w:t> </w:t>
      </w:r>
      <w:r>
        <w:rPr>
          <w:rFonts w:ascii="宋体" w:hAnsi="宋体" w:cs="宋体" w:eastAsia="宋体" w:hint="default"/>
          <w:sz w:val="24"/>
          <w:szCs w:val="24"/>
        </w:rPr>
        <w:t>采购商品</w:t>
      </w:r>
      <w:r>
        <w:rPr>
          <w:rFonts w:ascii="Times New Roman" w:hAnsi="Times New Roman" w:cs="Times New Roman" w:eastAsia="Times New Roman" w:hint="default"/>
          <w:sz w:val="24"/>
          <w:szCs w:val="24"/>
        </w:rPr>
        <w:t>/</w:t>
      </w:r>
      <w:r>
        <w:rPr>
          <w:rFonts w:ascii="宋体" w:hAnsi="宋体" w:cs="宋体" w:eastAsia="宋体" w:hint="default"/>
          <w:sz w:val="24"/>
          <w:szCs w:val="24"/>
        </w:rPr>
        <w:t>接受劳务情况表</w:t>
      </w:r>
    </w:p>
    <w:p>
      <w:pPr>
        <w:pStyle w:val="BodyText"/>
        <w:spacing w:line="240" w:lineRule="auto" w:before="67"/>
        <w:ind w:left="0" w:right="1130"/>
        <w:jc w:val="right"/>
      </w:pPr>
      <w:r>
        <w:rPr/>
        <w:t>单位： 元</w:t>
      </w:r>
    </w:p>
    <w:p>
      <w:pPr>
        <w:spacing w:line="240" w:lineRule="auto" w:before="1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714"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744" w:right="108" w:hanging="632"/>
              <w:jc w:val="left"/>
              <w:rPr>
                <w:rFonts w:ascii="宋体" w:hAnsi="宋体" w:cs="宋体" w:eastAsia="宋体" w:hint="default"/>
                <w:sz w:val="21"/>
                <w:szCs w:val="21"/>
              </w:rPr>
            </w:pPr>
            <w:r>
              <w:rPr>
                <w:rFonts w:ascii="宋体" w:hAnsi="宋体" w:cs="宋体" w:eastAsia="宋体" w:hint="default"/>
                <w:sz w:val="21"/>
                <w:szCs w:val="21"/>
              </w:rPr>
              <w:t>是否超过交易额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97,920.00</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江苏国图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服务费等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1,165,491.15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472,927.14</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南康网络</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101,886.79</w:t>
            </w:r>
          </w:p>
        </w:tc>
      </w:tr>
      <w:tr>
        <w:trPr>
          <w:trHeight w:val="40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1,365,491.15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672,733.93</w:t>
            </w:r>
          </w:p>
        </w:tc>
      </w:tr>
    </w:tbl>
    <w:p>
      <w:pPr>
        <w:pStyle w:val="BodyText"/>
        <w:spacing w:line="240" w:lineRule="auto" w:before="79"/>
        <w:ind w:right="1273"/>
        <w:jc w:val="left"/>
      </w:pPr>
      <w:r>
        <w:rPr/>
        <w:t>出售商品</w:t>
      </w:r>
      <w:r>
        <w:rPr>
          <w:rFonts w:ascii="Times New Roman" w:hAnsi="Times New Roman" w:cs="Times New Roman" w:eastAsia="Times New Roman" w:hint="default"/>
        </w:rPr>
        <w:t>/</w:t>
      </w:r>
      <w:r>
        <w:rPr/>
        <w:t>提供劳务情况表</w:t>
      </w:r>
    </w:p>
    <w:p>
      <w:pPr>
        <w:spacing w:line="240" w:lineRule="auto" w:before="4"/>
        <w:rPr>
          <w:rFonts w:ascii="宋体" w:hAnsi="宋体" w:cs="宋体" w:eastAsia="宋体" w:hint="default"/>
          <w:sz w:val="11"/>
          <w:szCs w:val="11"/>
        </w:rPr>
      </w:pPr>
    </w:p>
    <w:p>
      <w:pPr>
        <w:pStyle w:val="BodyText"/>
        <w:spacing w:line="240" w:lineRule="auto" w:before="26"/>
        <w:ind w:left="0" w:right="1130"/>
        <w:jc w:val="right"/>
      </w:pPr>
      <w:r>
        <w:rPr/>
        <w:t>单位： 元</w:t>
      </w:r>
    </w:p>
    <w:p>
      <w:pPr>
        <w:spacing w:line="240" w:lineRule="auto" w:before="1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209,482.77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160,399.00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软件技术开发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94,339.62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90,000.00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303,822.39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250,399.00</w:t>
            </w:r>
          </w:p>
        </w:tc>
      </w:tr>
    </w:tbl>
    <w:p>
      <w:pPr>
        <w:pStyle w:val="BodyText"/>
        <w:spacing w:line="240" w:lineRule="auto" w:before="39"/>
        <w:ind w:right="1273"/>
        <w:jc w:val="left"/>
      </w:pPr>
      <w:r>
        <w:rPr/>
        <w:t>购销商品、提供和接受劳务的关联交易说明：无</w:t>
      </w:r>
    </w:p>
    <w:p>
      <w:pPr>
        <w:pStyle w:val="Heading2"/>
        <w:spacing w:line="240" w:lineRule="auto" w:before="154"/>
        <w:ind w:right="1273"/>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关键管理人员人数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在本公司领取报酬人数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报酬总额</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676.06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551.41</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79" w:top="1060" w:bottom="1160" w:left="980" w:right="0"/>
        </w:sectPr>
      </w:pPr>
    </w:p>
    <w:p>
      <w:pPr>
        <w:pStyle w:val="Heading2"/>
        <w:spacing w:line="240" w:lineRule="auto" w:before="26"/>
        <w:ind w:right="0"/>
        <w:jc w:val="left"/>
        <w:rPr>
          <w:b w:val="0"/>
          <w:bCs w:val="0"/>
        </w:rPr>
      </w:pPr>
      <w:r>
        <w:rPr>
          <w:rFonts w:ascii="Times New Roman" w:hAnsi="Times New Roman" w:cs="Times New Roman" w:eastAsia="Times New Roman" w:hint="default"/>
          <w:w w:val="95"/>
        </w:rPr>
        <w:t>5</w:t>
      </w:r>
      <w:r>
        <w:rPr>
          <w:w w:val="95"/>
        </w:rPr>
        <w:t>、关联方应收应付款项</w:t>
      </w:r>
      <w:r>
        <w:rPr>
          <w:b w:val="0"/>
          <w:bCs w:val="0"/>
        </w:rPr>
      </w:r>
    </w:p>
    <w:p>
      <w:pPr>
        <w:pStyle w:val="Heading2"/>
        <w:spacing w:line="240" w:lineRule="auto" w:before="135"/>
        <w:ind w:right="0"/>
        <w:jc w:val="left"/>
        <w:rPr>
          <w:b w:val="0"/>
          <w:bCs w:val="0"/>
        </w:rPr>
      </w:pPr>
      <w:r>
        <w:rPr/>
        <w:t>（</w:t>
      </w:r>
      <w:r>
        <w:rPr>
          <w:rFonts w:ascii="Times New Roman" w:hAnsi="Times New Roman" w:cs="Times New Roman" w:eastAsia="Times New Roman" w:hint="default"/>
        </w:rPr>
        <w:t>1</w:t>
      </w:r>
      <w:r>
        <w:rPr/>
        <w:t>）应付项目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5"/>
          <w:szCs w:val="25"/>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682" w:space="5877"/>
            <w:col w:w="2371"/>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浙江中科</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214,500.00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地理所</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1,530,946.85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江苏国图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229,005.00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Heading2"/>
        <w:spacing w:line="240" w:lineRule="auto" w:before="39"/>
        <w:ind w:right="-20"/>
        <w:jc w:val="left"/>
        <w:rPr>
          <w:b w:val="0"/>
          <w:bCs w:val="0"/>
        </w:rPr>
      </w:pPr>
      <w:r>
        <w:rPr/>
        <w:t>十三、股份支付</w:t>
      </w:r>
      <w:r>
        <w:rPr>
          <w:b w:val="0"/>
          <w:bCs w:val="0"/>
        </w:rPr>
      </w:r>
    </w:p>
    <w:p>
      <w:pPr>
        <w:pStyle w:val="Heading2"/>
        <w:spacing w:line="240" w:lineRule="auto" w:before="154"/>
        <w:ind w:right="-20"/>
        <w:jc w:val="left"/>
        <w:rPr>
          <w:b w:val="0"/>
          <w:bCs w:val="0"/>
        </w:rPr>
      </w:pPr>
      <w:r>
        <w:rPr>
          <w:rFonts w:ascii="Times New Roman" w:hAnsi="Times New Roman" w:cs="Times New Roman" w:eastAsia="Times New Roman" w:hint="default"/>
        </w:rPr>
        <w:t>1</w:t>
      </w:r>
      <w:r>
        <w:rPr/>
        <w:t>、股份支付总体情况</w:t>
      </w:r>
      <w:r>
        <w:rPr>
          <w:b w:val="0"/>
          <w:bCs w:val="0"/>
        </w:rPr>
      </w:r>
    </w:p>
    <w:p>
      <w:pPr>
        <w:pStyle w:val="BodyText"/>
        <w:spacing w:line="240" w:lineRule="auto" w:before="13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7"/>
        <w:ind w:right="0"/>
        <w:jc w:val="left"/>
      </w:pPr>
      <w:r>
        <w:rPr/>
        <w:t>单位： 元</w:t>
      </w:r>
    </w:p>
    <w:p>
      <w:pPr>
        <w:spacing w:after="0" w:line="240" w:lineRule="auto"/>
        <w:jc w:val="left"/>
        <w:sectPr>
          <w:type w:val="continuous"/>
          <w:pgSz w:w="11910" w:h="16840"/>
          <w:pgMar w:top="1060" w:bottom="1160" w:left="980" w:right="0"/>
          <w:cols w:num="2" w:equalWidth="0">
            <w:col w:w="2442" w:space="6117"/>
            <w:col w:w="2371"/>
          </w:cols>
        </w:sectPr>
      </w:pP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172,800.00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71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2" w:right="163"/>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公司期末发行在外的股票期权行权价格的范围和合同剩余</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1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3"/>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公司期末发行在外的其他权益工具行权价格的范围和合同</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0" w:lineRule="auto" w:before="79"/>
        <w:ind w:right="0"/>
        <w:jc w:val="both"/>
      </w:pPr>
      <w:r>
        <w:rPr/>
        <w:t>其他说明</w:t>
      </w:r>
    </w:p>
    <w:p>
      <w:pPr>
        <w:pStyle w:val="BodyText"/>
        <w:spacing w:line="338" w:lineRule="auto" w:before="192"/>
        <w:ind w:right="1131" w:firstLine="420"/>
        <w:jc w:val="both"/>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日召开的第二届董事会第十六次会议审议通过了《公司限制性股票激 </w:t>
      </w:r>
      <w:r>
        <w:rPr>
          <w:spacing w:val="-6"/>
        </w:rPr>
        <w:t>励计划（草案）》及其摘要、《关于公司</w:t>
      </w:r>
      <w:r>
        <w:rPr>
          <w:rFonts w:ascii="Times New Roman" w:hAnsi="Times New Roman" w:cs="Times New Roman" w:eastAsia="Times New Roman" w:hint="default"/>
          <w:spacing w:val="-6"/>
        </w:rPr>
        <w:t>&lt;</w:t>
      </w:r>
      <w:r>
        <w:rPr>
          <w:spacing w:val="-6"/>
        </w:rPr>
        <w:t>限制性股票激励计划实施考核管理办法</w:t>
      </w:r>
      <w:r>
        <w:rPr>
          <w:rFonts w:ascii="Times New Roman" w:hAnsi="Times New Roman" w:cs="Times New Roman" w:eastAsia="Times New Roman" w:hint="default"/>
          <w:spacing w:val="-6"/>
        </w:rPr>
        <w:t>&gt;</w:t>
      </w:r>
      <w:r>
        <w:rPr>
          <w:spacing w:val="-6"/>
        </w:rPr>
        <w:t>的议案》、</w:t>
      </w:r>
    </w:p>
    <w:p>
      <w:pPr>
        <w:pStyle w:val="BodyText"/>
        <w:spacing w:line="345" w:lineRule="auto" w:before="27"/>
        <w:ind w:right="1128"/>
        <w:jc w:val="both"/>
      </w:pPr>
      <w:r>
        <w:rPr/>
        <w:t>《关于提请股东大会授权董事会办理公司限制性股票激励计划有关事项的议案》并上报中国</w:t>
      </w:r>
      <w:r>
        <w:rPr>
          <w:spacing w:val="-91"/>
        </w:rPr>
        <w:t> </w:t>
      </w:r>
      <w:r>
        <w:rPr>
          <w:spacing w:val="-91"/>
        </w:rPr>
      </w:r>
      <w:r>
        <w:rPr>
          <w:spacing w:val="-2"/>
        </w:rPr>
        <w:t>证监会备案。根据中国证监会的反馈意见，公司于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日召开第二届董事会第十九次</w:t>
      </w:r>
      <w:r>
        <w:rPr>
          <w:spacing w:val="-114"/>
        </w:rPr>
        <w:t> </w:t>
      </w:r>
      <w:r>
        <w:rPr/>
        <w:t>会议，审议通过了《公司限制性股票激励计划（草案修订稿）》及其摘要，拟以定向发行限</w:t>
      </w:r>
      <w:r>
        <w:rPr>
          <w:spacing w:val="-91"/>
        </w:rPr>
        <w:t> </w:t>
      </w:r>
      <w:r>
        <w:rPr>
          <w:spacing w:val="-91"/>
        </w:rPr>
      </w:r>
      <w:r>
        <w:rPr>
          <w:spacing w:val="3"/>
        </w:rPr>
        <w:t>制性股票（人民币</w:t>
      </w:r>
      <w:r>
        <w:rPr>
          <w:rFonts w:ascii="Times New Roman" w:hAnsi="Times New Roman" w:cs="Times New Roman" w:eastAsia="Times New Roman" w:hint="default"/>
          <w:spacing w:val="3"/>
        </w:rPr>
        <w:t>A</w:t>
      </w:r>
      <w:r>
        <w:rPr>
          <w:spacing w:val="3"/>
        </w:rPr>
        <w:t>股普通股）的方式，向公司中层管理人员及核心业务</w:t>
      </w:r>
      <w:r>
        <w:rPr>
          <w:rFonts w:ascii="Times New Roman" w:hAnsi="Times New Roman" w:cs="Times New Roman" w:eastAsia="Times New Roman" w:hint="default"/>
          <w:spacing w:val="3"/>
        </w:rPr>
        <w:t>/</w:t>
      </w:r>
      <w:r>
        <w:rPr>
          <w:spacing w:val="3"/>
        </w:rPr>
        <w:t>技术人员合计</w:t>
      </w:r>
      <w:r>
        <w:rPr>
          <w:rFonts w:ascii="Times New Roman" w:hAnsi="Times New Roman" w:cs="Times New Roman" w:eastAsia="Times New Roman" w:hint="default"/>
          <w:spacing w:val="3"/>
        </w:rPr>
        <w:t>116</w:t>
      </w:r>
      <w:r>
        <w:rPr>
          <w:rFonts w:ascii="Times New Roman" w:hAnsi="Times New Roman" w:cs="Times New Roman" w:eastAsia="Times New Roman" w:hint="default"/>
          <w:spacing w:val="-41"/>
        </w:rPr>
        <w:t> </w:t>
      </w:r>
      <w:r>
        <w:rPr/>
        <w:t>人，授予</w:t>
      </w:r>
      <w:r>
        <w:rPr>
          <w:rFonts w:ascii="Times New Roman" w:hAnsi="Times New Roman" w:cs="Times New Roman" w:eastAsia="Times New Roman" w:hint="default"/>
        </w:rPr>
        <w:t>300</w:t>
      </w:r>
      <w:r>
        <w:rPr/>
        <w:t>万份限制性股票。其中首次授予</w:t>
      </w:r>
      <w:r>
        <w:rPr>
          <w:rFonts w:ascii="Times New Roman" w:hAnsi="Times New Roman" w:cs="Times New Roman" w:eastAsia="Times New Roman" w:hint="default"/>
        </w:rPr>
        <w:t>273</w:t>
      </w:r>
      <w:r>
        <w:rPr/>
        <w:t>万股，预留</w:t>
      </w:r>
      <w:r>
        <w:rPr>
          <w:rFonts w:ascii="Times New Roman" w:hAnsi="Times New Roman" w:cs="Times New Roman" w:eastAsia="Times New Roman" w:hint="default"/>
        </w:rPr>
        <w:t>27</w:t>
      </w:r>
      <w:r>
        <w:rPr/>
        <w:t>万股，预留部分占本计划授予</w:t>
      </w:r>
      <w:r>
        <w:rPr>
          <w:spacing w:val="-87"/>
        </w:rPr>
        <w:t> </w:t>
      </w:r>
      <w:r>
        <w:rPr>
          <w:spacing w:val="-87"/>
        </w:rPr>
      </w:r>
      <w:r>
        <w:rPr/>
        <w:t>的限制性股票总量的</w:t>
      </w:r>
      <w:r>
        <w:rPr>
          <w:rFonts w:ascii="Times New Roman" w:hAnsi="Times New Roman" w:cs="Times New Roman" w:eastAsia="Times New Roman" w:hint="default"/>
        </w:rPr>
        <w:t>9%</w:t>
      </w:r>
      <w:r>
        <w:rPr/>
        <w:t>。</w:t>
      </w:r>
    </w:p>
    <w:p>
      <w:pPr>
        <w:pStyle w:val="BodyText"/>
        <w:spacing w:line="345" w:lineRule="auto" w:before="19"/>
        <w:ind w:right="1131"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日，公司第二届董事会第二十一次会议审议通过了《关于调整公司限制性 股票激励计划授予对象以及授予数量的议案》、《关于公司限制性股票激励计划授予相关事</w:t>
      </w:r>
      <w:r>
        <w:rPr>
          <w:spacing w:val="-91"/>
        </w:rPr>
        <w:t> </w:t>
      </w:r>
      <w:r>
        <w:rPr>
          <w:spacing w:val="-91"/>
        </w:rPr>
      </w:r>
      <w:r>
        <w:rPr/>
        <w:t>宜的议案》，确定本次激励计划的限制性股票授予日为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日。因杨云等</w:t>
      </w:r>
      <w:r>
        <w:rPr>
          <w:rFonts w:ascii="Times New Roman" w:hAnsi="Times New Roman" w:cs="Times New Roman" w:eastAsia="Times New Roman" w:hint="default"/>
        </w:rPr>
        <w:t>15</w:t>
      </w:r>
      <w:r>
        <w:rPr/>
        <w:t>名人员</w:t>
      </w:r>
      <w:r>
        <w:rPr>
          <w:spacing w:val="-88"/>
        </w:rPr>
        <w:t> </w:t>
      </w:r>
      <w:r>
        <w:rPr>
          <w:spacing w:val="-88"/>
        </w:rPr>
      </w:r>
      <w:r>
        <w:rPr>
          <w:spacing w:val="-1"/>
        </w:rPr>
        <w:t>因个人资金等原因自愿放弃认购限制性股票（</w:t>
      </w:r>
      <w:r>
        <w:rPr>
          <w:rFonts w:ascii="Times New Roman" w:hAnsi="Times New Roman" w:cs="Times New Roman" w:eastAsia="Times New Roman" w:hint="default"/>
          <w:spacing w:val="-1"/>
        </w:rPr>
        <w:t>32.4</w:t>
      </w:r>
      <w:r>
        <w:rPr>
          <w:spacing w:val="-1"/>
        </w:rPr>
        <w:t>万股），张烜等</w:t>
      </w:r>
      <w:r>
        <w:rPr>
          <w:rFonts w:ascii="Times New Roman" w:hAnsi="Times New Roman" w:cs="Times New Roman" w:eastAsia="Times New Roman" w:hint="default"/>
          <w:spacing w:val="-1"/>
        </w:rPr>
        <w:t>8</w:t>
      </w:r>
      <w:r>
        <w:rPr>
          <w:spacing w:val="-1"/>
        </w:rPr>
        <w:t>人因个人资金原因自愿调</w:t>
      </w:r>
    </w:p>
    <w:p>
      <w:pPr>
        <w:spacing w:after="0" w:line="345" w:lineRule="auto"/>
        <w:jc w:val="both"/>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right="1130"/>
        <w:jc w:val="both"/>
      </w:pPr>
      <w:r>
        <w:rPr>
          <w:spacing w:val="-4"/>
        </w:rPr>
        <w:t>减认购限制性股票数量（</w:t>
      </w:r>
      <w:r>
        <w:rPr>
          <w:rFonts w:ascii="Times New Roman" w:hAnsi="Times New Roman" w:cs="Times New Roman" w:eastAsia="Times New Roman" w:hint="default"/>
          <w:spacing w:val="-4"/>
        </w:rPr>
        <w:t>9.632</w:t>
      </w:r>
      <w:r>
        <w:rPr>
          <w:spacing w:val="-4"/>
        </w:rPr>
        <w:t>万股），导致首次授予限制性股票激励对象人数调整为</w:t>
      </w:r>
      <w:r>
        <w:rPr>
          <w:rFonts w:ascii="Times New Roman" w:hAnsi="Times New Roman" w:cs="Times New Roman" w:eastAsia="Times New Roman" w:hint="default"/>
          <w:spacing w:val="-4"/>
        </w:rPr>
        <w:t>101</w:t>
      </w:r>
      <w:r>
        <w:rPr>
          <w:spacing w:val="-4"/>
        </w:rPr>
        <w:t>人，</w:t>
      </w:r>
      <w:r>
        <w:rPr>
          <w:spacing w:val="-81"/>
        </w:rPr>
        <w:t> </w:t>
      </w:r>
      <w:r>
        <w:rPr>
          <w:spacing w:val="-2"/>
        </w:rPr>
        <w:t>原限制性股票总数调整为</w:t>
      </w:r>
      <w:r>
        <w:rPr>
          <w:rFonts w:ascii="Times New Roman" w:hAnsi="Times New Roman" w:cs="Times New Roman" w:eastAsia="Times New Roman" w:hint="default"/>
          <w:spacing w:val="-2"/>
        </w:rPr>
        <w:t>257.968</w:t>
      </w:r>
      <w:r>
        <w:rPr>
          <w:spacing w:val="-2"/>
        </w:rPr>
        <w:t>万股，其中首次授予数量调整为</w:t>
      </w:r>
      <w:r>
        <w:rPr>
          <w:rFonts w:ascii="Times New Roman" w:hAnsi="Times New Roman" w:cs="Times New Roman" w:eastAsia="Times New Roman" w:hint="default"/>
          <w:spacing w:val="-2"/>
        </w:rPr>
        <w:t>230.968</w:t>
      </w:r>
      <w:r>
        <w:rPr>
          <w:spacing w:val="-2"/>
        </w:rPr>
        <w:t>万股，占本计划签署</w:t>
      </w:r>
      <w:r>
        <w:rPr>
          <w:spacing w:val="-106"/>
        </w:rPr>
        <w:t> </w:t>
      </w:r>
      <w:r>
        <w:rPr>
          <w:spacing w:val="-106"/>
        </w:rPr>
      </w:r>
      <w:r>
        <w:rPr/>
        <w:t>时公司股本总额的</w:t>
      </w:r>
      <w:r>
        <w:rPr>
          <w:rFonts w:ascii="Times New Roman" w:hAnsi="Times New Roman" w:cs="Times New Roman" w:eastAsia="Times New Roman" w:hint="default"/>
        </w:rPr>
        <w:t>1.925%</w:t>
      </w:r>
      <w:r>
        <w:rPr/>
        <w:t>。</w:t>
      </w:r>
    </w:p>
    <w:p>
      <w:pPr>
        <w:pStyle w:val="BodyText"/>
        <w:spacing w:line="348" w:lineRule="auto" w:before="27"/>
        <w:ind w:right="1131" w:firstLine="420"/>
        <w:jc w:val="both"/>
      </w:pPr>
      <w:r>
        <w:rPr/>
        <w:t>首次授予的限制性股票价格为每股</w:t>
      </w:r>
      <w:r>
        <w:rPr>
          <w:rFonts w:ascii="Times New Roman" w:hAnsi="Times New Roman" w:cs="Times New Roman" w:eastAsia="Times New Roman" w:hint="default"/>
        </w:rPr>
        <w:t>5.99</w:t>
      </w:r>
      <w:r>
        <w:rPr/>
        <w:t>元，有效期为自限制性股票首次授予之日起</w:t>
      </w:r>
      <w:r>
        <w:rPr>
          <w:rFonts w:ascii="Times New Roman" w:hAnsi="Times New Roman" w:cs="Times New Roman" w:eastAsia="Times New Roman" w:hint="default"/>
        </w:rPr>
        <w:t>5</w:t>
      </w:r>
      <w:r>
        <w:rPr/>
        <w:t>年， </w:t>
      </w:r>
      <w:r>
        <w:rPr>
          <w:spacing w:val="-5"/>
        </w:rPr>
        <w:t>其中激励对象获授限制性股票之日起</w:t>
      </w:r>
      <w:r>
        <w:rPr>
          <w:rFonts w:ascii="Times New Roman" w:hAnsi="Times New Roman" w:cs="Times New Roman" w:eastAsia="Times New Roman" w:hint="default"/>
          <w:spacing w:val="-5"/>
        </w:rPr>
        <w:t>1</w:t>
      </w:r>
      <w:r>
        <w:rPr>
          <w:spacing w:val="-5"/>
        </w:rPr>
        <w:t>年内为锁定期，锁定期后的</w:t>
      </w:r>
      <w:r>
        <w:rPr>
          <w:rFonts w:ascii="Times New Roman" w:hAnsi="Times New Roman" w:cs="Times New Roman" w:eastAsia="Times New Roman" w:hint="default"/>
          <w:spacing w:val="-5"/>
        </w:rPr>
        <w:t>4</w:t>
      </w:r>
      <w:r>
        <w:rPr>
          <w:spacing w:val="-5"/>
        </w:rPr>
        <w:t>年为解锁期。在解锁期内，</w:t>
      </w:r>
      <w:r>
        <w:rPr>
          <w:spacing w:val="-111"/>
        </w:rPr>
        <w:t> </w:t>
      </w:r>
      <w:r>
        <w:rPr>
          <w:spacing w:val="-111"/>
        </w:rPr>
      </w:r>
      <w:r>
        <w:rPr/>
        <w:t>公司分年度对财务业绩指标进行考核作为解锁对象当年度的解锁条件。对于未满足条件的激</w:t>
      </w:r>
      <w:r>
        <w:rPr>
          <w:spacing w:val="-91"/>
        </w:rPr>
        <w:t> </w:t>
      </w:r>
      <w:r>
        <w:rPr>
          <w:spacing w:val="-91"/>
        </w:rPr>
      </w:r>
      <w:r>
        <w:rPr/>
        <w:t>励对象，由公司回购并注销其持有的该次解锁对应的限制性股票。每年度解锁条件及解锁安</w:t>
      </w:r>
      <w:r>
        <w:rPr>
          <w:spacing w:val="-91"/>
        </w:rPr>
        <w:t> </w:t>
      </w:r>
      <w:r>
        <w:rPr>
          <w:spacing w:val="-91"/>
        </w:rPr>
      </w:r>
      <w:r>
        <w:rPr/>
        <w:t>排如下表所示：</w:t>
      </w:r>
    </w:p>
    <w:tbl>
      <w:tblPr>
        <w:tblW w:w="0" w:type="auto"/>
        <w:jc w:val="left"/>
        <w:tblInd w:w="138" w:type="dxa"/>
        <w:tblLayout w:type="fixed"/>
        <w:tblCellMar>
          <w:top w:w="0" w:type="dxa"/>
          <w:left w:w="0" w:type="dxa"/>
          <w:bottom w:w="0" w:type="dxa"/>
          <w:right w:w="0" w:type="dxa"/>
        </w:tblCellMar>
        <w:tblLook w:val="01E0"/>
      </w:tblPr>
      <w:tblGrid>
        <w:gridCol w:w="1570"/>
        <w:gridCol w:w="3690"/>
        <w:gridCol w:w="3207"/>
        <w:gridCol w:w="1193"/>
      </w:tblGrid>
      <w:tr>
        <w:trPr>
          <w:trHeight w:val="341"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锁定期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left"/>
              <w:rPr>
                <w:rFonts w:ascii="宋体" w:hAnsi="宋体" w:cs="宋体" w:eastAsia="宋体" w:hint="default"/>
                <w:sz w:val="21"/>
                <w:szCs w:val="21"/>
              </w:rPr>
            </w:pPr>
            <w:r>
              <w:rPr>
                <w:rFonts w:ascii="宋体" w:hAnsi="宋体" w:cs="宋体" w:eastAsia="宋体" w:hint="default"/>
                <w:sz w:val="21"/>
                <w:szCs w:val="21"/>
              </w:rPr>
              <w:t>解锁安排</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公司业绩考核条件</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解锁比例</w:t>
            </w:r>
          </w:p>
        </w:tc>
      </w:tr>
      <w:tr>
        <w:trPr>
          <w:trHeight w:val="96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第一个解锁期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年净利润不低于</w:t>
            </w:r>
            <w:r>
              <w:rPr>
                <w:rFonts w:ascii="Times New Roman" w:hAnsi="Times New Roman" w:cs="Times New Roman" w:eastAsia="Times New Roman" w:hint="default"/>
                <w:sz w:val="21"/>
                <w:szCs w:val="21"/>
              </w:rPr>
              <w:t>2,700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营业收入不低于</w:t>
            </w:r>
            <w:r>
              <w:rPr>
                <w:rFonts w:ascii="Times New Roman" w:hAnsi="Times New Roman" w:cs="Times New Roman" w:eastAsia="Times New Roman" w:hint="default"/>
                <w:sz w:val="21"/>
                <w:szCs w:val="21"/>
              </w:rPr>
              <w:t>30,000</w:t>
            </w:r>
            <w:r>
              <w:rPr>
                <w:rFonts w:ascii="宋体" w:hAnsi="宋体" w:cs="宋体" w:eastAsia="宋体" w:hint="default"/>
                <w:sz w:val="21"/>
                <w:szCs w:val="21"/>
              </w:rPr>
              <w:t>万元</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3"/>
              <w:jc w:val="both"/>
              <w:rPr>
                <w:rFonts w:ascii="宋体" w:hAnsi="宋体" w:cs="宋体" w:eastAsia="宋体" w:hint="default"/>
                <w:sz w:val="21"/>
                <w:szCs w:val="21"/>
              </w:rPr>
            </w:pPr>
            <w:r>
              <w:rPr>
                <w:rFonts w:ascii="宋体" w:hAnsi="宋体" w:cs="宋体" w:eastAsia="宋体" w:hint="default"/>
                <w:sz w:val="21"/>
                <w:szCs w:val="21"/>
              </w:rPr>
              <w:t>自本次授权日起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个月后的首个交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易日起至本次授权日起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个月内的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最后一个交易日当日止</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20%</w:t>
            </w:r>
          </w:p>
        </w:tc>
      </w:tr>
      <w:tr>
        <w:trPr>
          <w:trHeight w:val="127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第二个解锁期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年净利润相比</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年增长不低于</w:t>
            </w:r>
          </w:p>
          <w:p>
            <w:pPr>
              <w:pStyle w:val="TableParagraph"/>
              <w:spacing w:line="256" w:lineRule="auto" w:before="21"/>
              <w:ind w:left="7" w:right="-3"/>
              <w:jc w:val="both"/>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，且不低于</w:t>
            </w:r>
            <w:r>
              <w:rPr>
                <w:rFonts w:ascii="Times New Roman" w:hAnsi="Times New Roman" w:cs="Times New Roman" w:eastAsia="Times New Roman" w:hint="default"/>
                <w:sz w:val="21"/>
                <w:szCs w:val="21"/>
              </w:rPr>
              <w:t>3,240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2014</w:t>
            </w:r>
            <w:r>
              <w:rPr>
                <w:rFonts w:ascii="宋体" w:hAnsi="宋体" w:cs="宋体" w:eastAsia="宋体" w:hint="default"/>
                <w:sz w:val="21"/>
                <w:szCs w:val="21"/>
              </w:rPr>
              <w:t>年营业</w:t>
            </w:r>
            <w:r>
              <w:rPr>
                <w:rFonts w:ascii="宋体" w:hAnsi="宋体" w:cs="宋体" w:eastAsia="宋体" w:hint="default"/>
                <w:spacing w:val="-28"/>
                <w:sz w:val="21"/>
                <w:szCs w:val="21"/>
              </w:rPr>
              <w:t> </w:t>
            </w:r>
            <w:r>
              <w:rPr>
                <w:rFonts w:ascii="宋体" w:hAnsi="宋体" w:cs="宋体" w:eastAsia="宋体" w:hint="default"/>
                <w:spacing w:val="-5"/>
                <w:sz w:val="21"/>
                <w:szCs w:val="21"/>
              </w:rPr>
              <w:t>收入相比</w:t>
            </w:r>
            <w:r>
              <w:rPr>
                <w:rFonts w:ascii="Times New Roman" w:hAnsi="Times New Roman" w:cs="Times New Roman" w:eastAsia="Times New Roman" w:hint="default"/>
                <w:spacing w:val="-5"/>
                <w:sz w:val="21"/>
                <w:szCs w:val="21"/>
              </w:rPr>
              <w:t>2013</w:t>
            </w:r>
            <w:r>
              <w:rPr>
                <w:rFonts w:ascii="宋体" w:hAnsi="宋体" w:cs="宋体" w:eastAsia="宋体" w:hint="default"/>
                <w:spacing w:val="-5"/>
                <w:sz w:val="21"/>
                <w:szCs w:val="21"/>
              </w:rPr>
              <w:t>年增长不低于</w:t>
            </w:r>
            <w:r>
              <w:rPr>
                <w:rFonts w:ascii="Times New Roman" w:hAnsi="Times New Roman" w:cs="Times New Roman" w:eastAsia="Times New Roman" w:hint="default"/>
                <w:spacing w:val="-5"/>
                <w:sz w:val="21"/>
                <w:szCs w:val="21"/>
              </w:rPr>
              <w:t>15%</w:t>
            </w:r>
            <w:r>
              <w:rPr>
                <w:rFonts w:ascii="宋体" w:hAnsi="宋体" w:cs="宋体" w:eastAsia="宋体" w:hint="default"/>
                <w:spacing w:val="-5"/>
                <w:sz w:val="21"/>
                <w:szCs w:val="21"/>
              </w:rPr>
              <w:t>，且不低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于</w:t>
            </w:r>
            <w:r>
              <w:rPr>
                <w:rFonts w:ascii="Times New Roman" w:hAnsi="Times New Roman" w:cs="Times New Roman" w:eastAsia="Times New Roman" w:hint="default"/>
                <w:sz w:val="21"/>
                <w:szCs w:val="21"/>
              </w:rPr>
              <w:t>34,500</w:t>
            </w:r>
            <w:r>
              <w:rPr>
                <w:rFonts w:ascii="宋体" w:hAnsi="宋体" w:cs="宋体" w:eastAsia="宋体" w:hint="default"/>
                <w:sz w:val="21"/>
                <w:szCs w:val="21"/>
              </w:rPr>
              <w:t>万元</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3"/>
              <w:jc w:val="both"/>
              <w:rPr>
                <w:rFonts w:ascii="宋体" w:hAnsi="宋体" w:cs="宋体" w:eastAsia="宋体" w:hint="default"/>
                <w:sz w:val="21"/>
                <w:szCs w:val="21"/>
              </w:rPr>
            </w:pPr>
            <w:r>
              <w:rPr>
                <w:rFonts w:ascii="宋体" w:hAnsi="宋体" w:cs="宋体" w:eastAsia="宋体" w:hint="default"/>
                <w:sz w:val="21"/>
                <w:szCs w:val="21"/>
              </w:rPr>
              <w:t>自本次授权日起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个月后的首个交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易日起至本次授权日起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个月内的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最后一个交易日当日止</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30%</w:t>
            </w:r>
          </w:p>
        </w:tc>
      </w:tr>
      <w:tr>
        <w:trPr>
          <w:trHeight w:val="1280"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第三个解锁期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年净利润相比</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年增长不低于</w:t>
            </w:r>
          </w:p>
          <w:p>
            <w:pPr>
              <w:pStyle w:val="TableParagraph"/>
              <w:spacing w:line="256" w:lineRule="auto" w:before="21"/>
              <w:ind w:left="7" w:right="-5"/>
              <w:jc w:val="both"/>
              <w:rPr>
                <w:rFonts w:ascii="宋体" w:hAnsi="宋体" w:cs="宋体" w:eastAsia="宋体" w:hint="default"/>
                <w:sz w:val="21"/>
                <w:szCs w:val="21"/>
              </w:rPr>
            </w:pPr>
            <w:r>
              <w:rPr>
                <w:rFonts w:ascii="Times New Roman" w:hAnsi="Times New Roman" w:cs="Times New Roman" w:eastAsia="Times New Roman" w:hint="default"/>
                <w:sz w:val="21"/>
                <w:szCs w:val="21"/>
              </w:rPr>
              <w:t>44%</w:t>
            </w:r>
            <w:r>
              <w:rPr>
                <w:rFonts w:ascii="宋体" w:hAnsi="宋体" w:cs="宋体" w:eastAsia="宋体" w:hint="default"/>
                <w:sz w:val="21"/>
                <w:szCs w:val="21"/>
              </w:rPr>
              <w:t>，且不低于</w:t>
            </w:r>
            <w:r>
              <w:rPr>
                <w:rFonts w:ascii="Times New Roman" w:hAnsi="Times New Roman" w:cs="Times New Roman" w:eastAsia="Times New Roman" w:hint="default"/>
                <w:sz w:val="21"/>
                <w:szCs w:val="21"/>
              </w:rPr>
              <w:t>3,888</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2015</w:t>
            </w:r>
            <w:r>
              <w:rPr>
                <w:rFonts w:ascii="宋体" w:hAnsi="宋体" w:cs="宋体" w:eastAsia="宋体" w:hint="default"/>
                <w:sz w:val="21"/>
                <w:szCs w:val="21"/>
              </w:rPr>
              <w:t>年营业</w:t>
            </w:r>
            <w:r>
              <w:rPr>
                <w:rFonts w:ascii="宋体" w:hAnsi="宋体" w:cs="宋体" w:eastAsia="宋体" w:hint="default"/>
                <w:spacing w:val="-28"/>
                <w:sz w:val="21"/>
                <w:szCs w:val="21"/>
              </w:rPr>
              <w:t> </w:t>
            </w:r>
            <w:r>
              <w:rPr>
                <w:rFonts w:ascii="宋体" w:hAnsi="宋体" w:cs="宋体" w:eastAsia="宋体" w:hint="default"/>
                <w:spacing w:val="2"/>
                <w:sz w:val="21"/>
                <w:szCs w:val="21"/>
              </w:rPr>
              <w:t>收入相比</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年增长不低于</w:t>
            </w:r>
            <w:r>
              <w:rPr>
                <w:rFonts w:ascii="Times New Roman" w:hAnsi="Times New Roman" w:cs="Times New Roman" w:eastAsia="Times New Roman" w:hint="default"/>
                <w:spacing w:val="2"/>
                <w:sz w:val="21"/>
                <w:szCs w:val="21"/>
              </w:rPr>
              <w:t>32.25%</w:t>
            </w:r>
            <w:r>
              <w:rPr>
                <w:rFonts w:ascii="宋体" w:hAnsi="宋体" w:cs="宋体" w:eastAsia="宋体" w:hint="default"/>
                <w:spacing w:val="2"/>
                <w:sz w:val="21"/>
                <w:szCs w:val="21"/>
              </w:rPr>
              <w:t>，且</w:t>
            </w:r>
            <w:r>
              <w:rPr>
                <w:rFonts w:ascii="宋体" w:hAnsi="宋体" w:cs="宋体" w:eastAsia="宋体" w:hint="default"/>
                <w:spacing w:val="-70"/>
                <w:sz w:val="21"/>
                <w:szCs w:val="21"/>
              </w:rPr>
              <w:t> </w:t>
            </w:r>
            <w:r>
              <w:rPr>
                <w:rFonts w:ascii="宋体" w:hAnsi="宋体" w:cs="宋体" w:eastAsia="宋体" w:hint="default"/>
                <w:sz w:val="21"/>
                <w:szCs w:val="21"/>
              </w:rPr>
              <w:t>不低于</w:t>
            </w:r>
            <w:r>
              <w:rPr>
                <w:rFonts w:ascii="Times New Roman" w:hAnsi="Times New Roman" w:cs="Times New Roman" w:eastAsia="Times New Roman" w:hint="default"/>
                <w:sz w:val="21"/>
                <w:szCs w:val="21"/>
              </w:rPr>
              <w:t>39,675</w:t>
            </w:r>
            <w:r>
              <w:rPr>
                <w:rFonts w:ascii="宋体" w:hAnsi="宋体" w:cs="宋体" w:eastAsia="宋体" w:hint="default"/>
                <w:sz w:val="21"/>
                <w:szCs w:val="21"/>
              </w:rPr>
              <w:t>万元</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3"/>
              <w:jc w:val="both"/>
              <w:rPr>
                <w:rFonts w:ascii="宋体" w:hAnsi="宋体" w:cs="宋体" w:eastAsia="宋体" w:hint="default"/>
                <w:sz w:val="21"/>
                <w:szCs w:val="21"/>
              </w:rPr>
            </w:pPr>
            <w:r>
              <w:rPr>
                <w:rFonts w:ascii="宋体" w:hAnsi="宋体" w:cs="宋体" w:eastAsia="宋体" w:hint="default"/>
                <w:sz w:val="21"/>
                <w:szCs w:val="21"/>
              </w:rPr>
              <w:t>自本次授权日起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个月后的首个交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易日起至本次授权日起</w:t>
            </w:r>
            <w:r>
              <w:rPr>
                <w:rFonts w:ascii="Times New Roman" w:hAnsi="Times New Roman" w:cs="Times New Roman" w:eastAsia="Times New Roman" w:hint="default"/>
                <w:sz w:val="21"/>
                <w:szCs w:val="21"/>
              </w:rPr>
              <w:t>48</w:t>
            </w:r>
            <w:r>
              <w:rPr>
                <w:rFonts w:ascii="宋体" w:hAnsi="宋体" w:cs="宋体" w:eastAsia="宋体" w:hint="default"/>
                <w:sz w:val="21"/>
                <w:szCs w:val="21"/>
              </w:rPr>
              <w:t>个月内的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最后一个交易日当日止</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30%</w:t>
            </w:r>
          </w:p>
        </w:tc>
      </w:tr>
      <w:tr>
        <w:trPr>
          <w:trHeight w:val="1279"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第四个解锁期</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年净利润相比</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pacing w:val="17"/>
                <w:sz w:val="21"/>
                <w:szCs w:val="21"/>
              </w:rPr>
              <w:t>年增长不低于</w:t>
            </w:r>
          </w:p>
          <w:p>
            <w:pPr>
              <w:pStyle w:val="TableParagraph"/>
              <w:spacing w:line="256" w:lineRule="auto" w:before="21"/>
              <w:ind w:left="7" w:right="-5"/>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72.8%</w:t>
            </w:r>
            <w:r>
              <w:rPr>
                <w:rFonts w:ascii="宋体" w:hAnsi="宋体" w:cs="宋体" w:eastAsia="宋体" w:hint="default"/>
                <w:spacing w:val="-5"/>
                <w:sz w:val="21"/>
                <w:szCs w:val="21"/>
              </w:rPr>
              <w:t>，且不低于</w:t>
            </w:r>
            <w:r>
              <w:rPr>
                <w:rFonts w:ascii="Times New Roman" w:hAnsi="Times New Roman" w:cs="Times New Roman" w:eastAsia="Times New Roman" w:hint="default"/>
                <w:spacing w:val="-5"/>
                <w:sz w:val="21"/>
                <w:szCs w:val="21"/>
              </w:rPr>
              <w:t>4,666</w:t>
            </w:r>
            <w:r>
              <w:rPr>
                <w:rFonts w:ascii="宋体" w:hAnsi="宋体" w:cs="宋体" w:eastAsia="宋体" w:hint="default"/>
                <w:spacing w:val="-5"/>
                <w:sz w:val="21"/>
                <w:szCs w:val="21"/>
              </w:rPr>
              <w:t>万元；</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年营业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收入相比</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年增长不低于</w:t>
            </w:r>
            <w:r>
              <w:rPr>
                <w:rFonts w:ascii="Times New Roman" w:hAnsi="Times New Roman" w:cs="Times New Roman" w:eastAsia="Times New Roman" w:hint="default"/>
                <w:spacing w:val="2"/>
                <w:sz w:val="21"/>
                <w:szCs w:val="21"/>
              </w:rPr>
              <w:t>52.09%</w:t>
            </w:r>
            <w:r>
              <w:rPr>
                <w:rFonts w:ascii="宋体" w:hAnsi="宋体" w:cs="宋体" w:eastAsia="宋体" w:hint="default"/>
                <w:spacing w:val="2"/>
                <w:sz w:val="21"/>
                <w:szCs w:val="21"/>
              </w:rPr>
              <w:t>，且</w:t>
            </w:r>
            <w:r>
              <w:rPr>
                <w:rFonts w:ascii="宋体" w:hAnsi="宋体" w:cs="宋体" w:eastAsia="宋体" w:hint="default"/>
                <w:spacing w:val="-70"/>
                <w:sz w:val="21"/>
                <w:szCs w:val="21"/>
              </w:rPr>
              <w:t> </w:t>
            </w:r>
            <w:r>
              <w:rPr>
                <w:rFonts w:ascii="宋体" w:hAnsi="宋体" w:cs="宋体" w:eastAsia="宋体" w:hint="default"/>
                <w:sz w:val="21"/>
                <w:szCs w:val="21"/>
              </w:rPr>
              <w:t>不低于</w:t>
            </w:r>
            <w:r>
              <w:rPr>
                <w:rFonts w:ascii="Times New Roman" w:hAnsi="Times New Roman" w:cs="Times New Roman" w:eastAsia="Times New Roman" w:hint="default"/>
                <w:sz w:val="21"/>
                <w:szCs w:val="21"/>
              </w:rPr>
              <w:t>45,626.25</w:t>
            </w:r>
            <w:r>
              <w:rPr>
                <w:rFonts w:ascii="宋体" w:hAnsi="宋体" w:cs="宋体" w:eastAsia="宋体" w:hint="default"/>
                <w:sz w:val="21"/>
                <w:szCs w:val="21"/>
              </w:rPr>
              <w:t>万元</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3"/>
              <w:jc w:val="both"/>
              <w:rPr>
                <w:rFonts w:ascii="宋体" w:hAnsi="宋体" w:cs="宋体" w:eastAsia="宋体" w:hint="default"/>
                <w:sz w:val="21"/>
                <w:szCs w:val="21"/>
              </w:rPr>
            </w:pPr>
            <w:r>
              <w:rPr>
                <w:rFonts w:ascii="宋体" w:hAnsi="宋体" w:cs="宋体" w:eastAsia="宋体" w:hint="default"/>
                <w:sz w:val="21"/>
                <w:szCs w:val="21"/>
              </w:rPr>
              <w:t>自本次授权日起</w:t>
            </w:r>
            <w:r>
              <w:rPr>
                <w:rFonts w:ascii="Times New Roman" w:hAnsi="Times New Roman" w:cs="Times New Roman" w:eastAsia="Times New Roman" w:hint="default"/>
                <w:sz w:val="21"/>
                <w:szCs w:val="21"/>
              </w:rPr>
              <w:t>48</w:t>
            </w:r>
            <w:r>
              <w:rPr>
                <w:rFonts w:ascii="宋体" w:hAnsi="宋体" w:cs="宋体" w:eastAsia="宋体" w:hint="default"/>
                <w:sz w:val="21"/>
                <w:szCs w:val="21"/>
              </w:rPr>
              <w:t>个月后的首个交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易日起至本次授权日起</w:t>
            </w:r>
            <w:r>
              <w:rPr>
                <w:rFonts w:ascii="Times New Roman" w:hAnsi="Times New Roman" w:cs="Times New Roman" w:eastAsia="Times New Roman" w:hint="default"/>
                <w:sz w:val="21"/>
                <w:szCs w:val="21"/>
              </w:rPr>
              <w:t>60</w:t>
            </w:r>
            <w:r>
              <w:rPr>
                <w:rFonts w:ascii="宋体" w:hAnsi="宋体" w:cs="宋体" w:eastAsia="宋体" w:hint="default"/>
                <w:sz w:val="21"/>
                <w:szCs w:val="21"/>
              </w:rPr>
              <w:t>个月内的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最后一个交易日当日止</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20%</w:t>
            </w:r>
          </w:p>
        </w:tc>
      </w:tr>
    </w:tbl>
    <w:p>
      <w:pPr>
        <w:pStyle w:val="BodyText"/>
        <w:spacing w:line="348" w:lineRule="auto" w:before="46"/>
        <w:ind w:right="1135" w:firstLine="36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指归属于公司股东的扣除非经常性损益后的净利润。等待期内，归属于上市 公司股东的净利润及归属于上市公司股东的扣除非经常性损益后的净利润均不得低于授予日</w:t>
      </w:r>
      <w:r>
        <w:rPr>
          <w:spacing w:val="-91"/>
        </w:rPr>
        <w:t> </w:t>
      </w:r>
      <w:r>
        <w:rPr>
          <w:spacing w:val="-91"/>
        </w:rPr>
      </w:r>
      <w:r>
        <w:rPr/>
        <w:t>前最近三个会计年度的平均水平且不得为负。</w:t>
      </w:r>
    </w:p>
    <w:p>
      <w:pPr>
        <w:pStyle w:val="BodyText"/>
        <w:spacing w:line="345" w:lineRule="auto" w:before="46"/>
        <w:ind w:right="1131"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日，公司第二届董事会第二十六次会议审议通过了《关于公司限制性股票激</w:t>
      </w:r>
      <w:r>
        <w:rPr/>
        <w:t> 励计划预留限制性股票授予相关事项的议案》，确定了公司向激励对象授予预留限制性股票</w:t>
      </w:r>
      <w:r>
        <w:rPr>
          <w:spacing w:val="-91"/>
        </w:rPr>
        <w:t> </w:t>
      </w:r>
      <w:r>
        <w:rPr>
          <w:spacing w:val="-91"/>
        </w:rPr>
      </w:r>
      <w:r>
        <w:rPr>
          <w:spacing w:val="-2"/>
        </w:rPr>
        <w:t>的授予日、授予对象、授予数量及授予价格等事项。向</w:t>
      </w:r>
      <w:r>
        <w:rPr>
          <w:rFonts w:ascii="Times New Roman" w:hAnsi="Times New Roman" w:cs="Times New Roman" w:eastAsia="Times New Roman" w:hint="default"/>
          <w:spacing w:val="-2"/>
        </w:rPr>
        <w:t>9</w:t>
      </w:r>
      <w:r>
        <w:rPr>
          <w:spacing w:val="-2"/>
        </w:rPr>
        <w:t>名激励对象授予</w:t>
      </w:r>
      <w:r>
        <w:rPr>
          <w:rFonts w:ascii="Times New Roman" w:hAnsi="Times New Roman" w:cs="Times New Roman" w:eastAsia="Times New Roman" w:hint="default"/>
          <w:spacing w:val="-2"/>
        </w:rPr>
        <w:t>27</w:t>
      </w:r>
      <w:r>
        <w:rPr>
          <w:spacing w:val="-2"/>
        </w:rPr>
        <w:t>万股预留限制性股</w:t>
      </w:r>
      <w:r>
        <w:rPr/>
        <w:t> 票，授予日为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日，授予价格为</w:t>
      </w:r>
      <w:r>
        <w:rPr>
          <w:rFonts w:ascii="Times New Roman" w:hAnsi="Times New Roman" w:cs="Times New Roman" w:eastAsia="Times New Roman" w:hint="default"/>
        </w:rPr>
        <w:t>9</w:t>
      </w:r>
      <w:r>
        <w:rPr/>
        <w:t>元</w:t>
      </w:r>
      <w:r>
        <w:rPr>
          <w:rFonts w:ascii="Times New Roman" w:hAnsi="Times New Roman" w:cs="Times New Roman" w:eastAsia="Times New Roman" w:hint="default"/>
        </w:rPr>
        <w:t>/</w:t>
      </w:r>
      <w:r>
        <w:rPr/>
        <w:t>股。</w:t>
      </w:r>
    </w:p>
    <w:p>
      <w:pPr>
        <w:pStyle w:val="Heading2"/>
        <w:spacing w:line="240" w:lineRule="auto" w:before="19"/>
        <w:ind w:right="127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pStyle w:val="BodyText"/>
        <w:spacing w:line="240" w:lineRule="auto" w:before="135"/>
        <w:ind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8"/>
          <w:szCs w:val="8"/>
        </w:rPr>
      </w:pPr>
    </w:p>
    <w:p>
      <w:pPr>
        <w:pStyle w:val="BodyText"/>
        <w:spacing w:line="240" w:lineRule="auto" w:before="26"/>
        <w:ind w:left="0" w:right="1130"/>
        <w:jc w:val="right"/>
      </w:pPr>
      <w:r>
        <w:rPr/>
        <w:t>单位： 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2" w:right="0"/>
              <w:jc w:val="left"/>
              <w:rPr>
                <w:rFonts w:ascii="Times New Roman" w:hAnsi="Times New Roman" w:cs="Times New Roman" w:eastAsia="Times New Roman" w:hint="default"/>
                <w:sz w:val="21"/>
                <w:szCs w:val="21"/>
              </w:rPr>
            </w:pPr>
            <w:r>
              <w:rPr>
                <w:rFonts w:ascii="Times New Roman"/>
                <w:sz w:val="21"/>
              </w:rPr>
              <w:t>Black-Scholes</w:t>
            </w:r>
            <w:r>
              <w:rPr>
                <w:rFonts w:ascii="Times New Roman"/>
                <w:spacing w:val="-3"/>
                <w:sz w:val="21"/>
              </w:rPr>
              <w:t> </w:t>
            </w:r>
            <w:r>
              <w:rPr>
                <w:rFonts w:ascii="Times New Roman"/>
                <w:sz w:val="21"/>
              </w:rPr>
              <w:t>model</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76" w:right="0"/>
              <w:jc w:val="left"/>
              <w:rPr>
                <w:rFonts w:ascii="宋体" w:hAnsi="宋体" w:cs="宋体" w:eastAsia="宋体" w:hint="default"/>
                <w:sz w:val="21"/>
                <w:szCs w:val="21"/>
              </w:rPr>
            </w:pPr>
            <w:r>
              <w:rPr>
                <w:rFonts w:ascii="宋体" w:hAnsi="宋体" w:cs="宋体" w:eastAsia="宋体" w:hint="default"/>
                <w:sz w:val="21"/>
                <w:szCs w:val="21"/>
              </w:rPr>
              <w:t>（布莱克</w:t>
            </w:r>
            <w:r>
              <w:rPr>
                <w:rFonts w:ascii="Times New Roman" w:hAnsi="Times New Roman" w:cs="Times New Roman" w:eastAsia="Times New Roman" w:hint="default"/>
                <w:sz w:val="21"/>
                <w:szCs w:val="21"/>
              </w:rPr>
              <w:t>-</w:t>
            </w:r>
            <w:r>
              <w:rPr>
                <w:rFonts w:ascii="宋体" w:hAnsi="宋体" w:cs="宋体" w:eastAsia="宋体" w:hint="default"/>
                <w:sz w:val="21"/>
                <w:szCs w:val="21"/>
              </w:rPr>
              <w:t>斯科尔斯期权定价模型）</w:t>
            </w:r>
          </w:p>
        </w:tc>
      </w:tr>
      <w:tr>
        <w:trPr>
          <w:trHeight w:val="1650"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6"/>
                <w:w w:val="100"/>
                <w:sz w:val="21"/>
                <w:szCs w:val="21"/>
              </w:rPr>
              <w:t>在等待期内每个资产负债表日，根据最新取得的可</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6"/>
                <w:w w:val="100"/>
                <w:sz w:val="21"/>
                <w:szCs w:val="21"/>
              </w:rPr>
              <w:t>行权职工人数变动等后续信息做出最佳估计，修正</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6"/>
                <w:sz w:val="21"/>
                <w:szCs w:val="21"/>
              </w:rPr>
              <w:t>预计可行权的权益工具数量。在可行权日，最终预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计可行权权益工具的数量与实际可行权工具的数</w:t>
            </w:r>
            <w:r>
              <w:rPr>
                <w:rFonts w:ascii="宋体" w:hAnsi="宋体" w:cs="宋体" w:eastAsia="宋体" w:hint="default"/>
                <w:w w:val="100"/>
                <w:sz w:val="21"/>
                <w:szCs w:val="21"/>
              </w:rPr>
              <w:t> </w:t>
            </w:r>
            <w:r>
              <w:rPr>
                <w:rFonts w:ascii="宋体" w:hAnsi="宋体" w:cs="宋体" w:eastAsia="宋体" w:hint="default"/>
                <w:sz w:val="21"/>
                <w:szCs w:val="21"/>
              </w:rPr>
              <w:t>量一致。</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16,766,256.19</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18,228.29</w:t>
            </w:r>
          </w:p>
        </w:tc>
      </w:tr>
    </w:tbl>
    <w:p>
      <w:pPr>
        <w:pStyle w:val="BodyText"/>
        <w:spacing w:line="240" w:lineRule="auto" w:before="39"/>
        <w:ind w:right="1273"/>
        <w:jc w:val="left"/>
      </w:pPr>
      <w:r>
        <w:rPr/>
        <w:t>其他说明</w:t>
      </w:r>
    </w:p>
    <w:p>
      <w:pPr>
        <w:pStyle w:val="Heading2"/>
        <w:spacing w:line="240" w:lineRule="auto" w:before="154"/>
        <w:ind w:right="1273"/>
        <w:jc w:val="left"/>
        <w:rPr>
          <w:b w:val="0"/>
          <w:bCs w:val="0"/>
        </w:rPr>
      </w:pPr>
      <w:r>
        <w:rPr>
          <w:rFonts w:ascii="Times New Roman" w:hAnsi="Times New Roman" w:cs="Times New Roman" w:eastAsia="Times New Roman" w:hint="default"/>
        </w:rPr>
        <w:t>3</w:t>
      </w:r>
      <w:r>
        <w:rPr/>
        <w:t>、其他</w:t>
      </w:r>
      <w:r>
        <w:rPr>
          <w:b w:val="0"/>
          <w:bCs w:val="0"/>
        </w:rPr>
      </w:r>
    </w:p>
    <w:p>
      <w:pPr>
        <w:pStyle w:val="Heading2"/>
        <w:spacing w:line="240" w:lineRule="auto" w:before="135"/>
        <w:ind w:left="575" w:right="1273"/>
        <w:jc w:val="left"/>
        <w:rPr>
          <w:b w:val="0"/>
          <w:bCs w:val="0"/>
        </w:rPr>
      </w:pPr>
      <w:r>
        <w:rPr/>
        <w:t>以股份支付服务情况</w:t>
      </w:r>
      <w:r>
        <w:rPr>
          <w:b w:val="0"/>
          <w:bCs w:val="0"/>
        </w:rPr>
      </w:r>
    </w:p>
    <w:p>
      <w:pPr>
        <w:spacing w:line="240" w:lineRule="auto" w:before="10"/>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7089"/>
        <w:gridCol w:w="2571"/>
      </w:tblGrid>
      <w:tr>
        <w:trPr>
          <w:trHeight w:val="341" w:hRule="exact"/>
        </w:trPr>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5"/>
                <w:sz w:val="21"/>
                <w:szCs w:val="21"/>
              </w:rPr>
              <w:t> </w:t>
            </w:r>
            <w:r>
              <w:rPr>
                <w:rFonts w:ascii="宋体" w:hAnsi="宋体" w:cs="宋体" w:eastAsia="宋体" w:hint="default"/>
                <w:sz w:val="21"/>
                <w:szCs w:val="21"/>
              </w:rPr>
              <w:t>额</w:t>
            </w:r>
          </w:p>
        </w:tc>
      </w:tr>
      <w:tr>
        <w:trPr>
          <w:trHeight w:val="343" w:hRule="exact"/>
        </w:trPr>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348" w:right="0"/>
              <w:jc w:val="left"/>
              <w:rPr>
                <w:rFonts w:ascii="Times New Roman" w:hAnsi="Times New Roman" w:cs="Times New Roman" w:eastAsia="Times New Roman" w:hint="default"/>
                <w:sz w:val="21"/>
                <w:szCs w:val="21"/>
              </w:rPr>
            </w:pPr>
            <w:r>
              <w:rPr>
                <w:rFonts w:ascii="Times New Roman"/>
                <w:sz w:val="21"/>
              </w:rPr>
              <w:t>16,766,256.19</w:t>
            </w:r>
          </w:p>
        </w:tc>
      </w:tr>
    </w:tbl>
    <w:p>
      <w:pPr>
        <w:spacing w:line="348" w:lineRule="auto" w:before="39"/>
        <w:ind w:left="153" w:right="7633" w:firstLine="0"/>
        <w:jc w:val="left"/>
        <w:rPr>
          <w:rFonts w:ascii="宋体" w:hAnsi="宋体" w:cs="宋体" w:eastAsia="宋体" w:hint="default"/>
          <w:sz w:val="24"/>
          <w:szCs w:val="24"/>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、重要承诺事项</w:t>
      </w:r>
      <w:r>
        <w:rPr>
          <w:rFonts w:ascii="宋体" w:hAnsi="宋体" w:cs="宋体" w:eastAsia="宋体" w:hint="default"/>
          <w:b/>
          <w:bCs/>
          <w:w w:val="99"/>
          <w:sz w:val="24"/>
          <w:szCs w:val="24"/>
        </w:rPr>
        <w:t> </w:t>
      </w:r>
      <w:r>
        <w:rPr>
          <w:rFonts w:ascii="宋体" w:hAnsi="宋体" w:cs="宋体" w:eastAsia="宋体" w:hint="default"/>
          <w:sz w:val="24"/>
          <w:szCs w:val="24"/>
        </w:rPr>
        <w:t>资产负债表日存在的重要承诺</w:t>
      </w:r>
    </w:p>
    <w:p>
      <w:pPr>
        <w:pStyle w:val="BodyText"/>
        <w:spacing w:line="240" w:lineRule="auto" w:before="46"/>
        <w:ind w:left="633" w:right="1189"/>
        <w:jc w:val="left"/>
      </w:pPr>
      <w:r>
        <w:rPr/>
        <w:t>截止资产负债表日，银行为公司开具项目履约保函</w:t>
      </w:r>
      <w:r>
        <w:rPr>
          <w:rFonts w:ascii="Times New Roman" w:hAnsi="Times New Roman" w:cs="Times New Roman" w:eastAsia="Times New Roman" w:hint="default"/>
        </w:rPr>
        <w:t>29,527,635.60</w:t>
      </w:r>
      <w:r>
        <w:rPr/>
        <w:t>元，同时银行冻结公司</w:t>
      </w:r>
    </w:p>
    <w:p>
      <w:pPr>
        <w:pStyle w:val="BodyText"/>
        <w:spacing w:line="338" w:lineRule="auto" w:before="136"/>
        <w:ind w:left="633" w:right="2353" w:hanging="480"/>
        <w:jc w:val="left"/>
      </w:pPr>
      <w:r>
        <w:rPr>
          <w:rFonts w:ascii="Times New Roman" w:hAnsi="Times New Roman" w:cs="Times New Roman" w:eastAsia="Times New Roman" w:hint="default"/>
        </w:rPr>
        <w:t>14,393,161.95</w:t>
      </w:r>
      <w:r>
        <w:rPr/>
        <w:t>元银行存款作为保函保证金。 截止资产负债表日，除上述事项外，本公司无应披露的其他重大承诺事项。</w:t>
      </w:r>
    </w:p>
    <w:p>
      <w:pPr>
        <w:pStyle w:val="Heading2"/>
        <w:spacing w:line="240" w:lineRule="auto" w:before="55"/>
        <w:ind w:right="1273"/>
        <w:jc w:val="left"/>
        <w:rPr>
          <w:b w:val="0"/>
          <w:bCs w:val="0"/>
        </w:rPr>
      </w:pPr>
      <w:r>
        <w:rPr>
          <w:rFonts w:ascii="Times New Roman" w:hAnsi="Times New Roman" w:cs="Times New Roman" w:eastAsia="Times New Roman" w:hint="default"/>
        </w:rPr>
        <w:t>2</w:t>
      </w:r>
      <w:r>
        <w:rPr/>
        <w:t>、或有事项</w:t>
      </w:r>
      <w:r>
        <w:rPr>
          <w:b w:val="0"/>
          <w:bCs w:val="0"/>
        </w:rPr>
      </w:r>
    </w:p>
    <w:p>
      <w:pPr>
        <w:spacing w:line="338" w:lineRule="auto" w:before="135"/>
        <w:ind w:left="578" w:right="4088" w:hanging="425"/>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）资产负债表日存在的重要或有事项</w:t>
      </w:r>
      <w:r>
        <w:rPr>
          <w:rFonts w:ascii="宋体" w:hAnsi="宋体" w:cs="宋体" w:eastAsia="宋体" w:hint="default"/>
          <w:b/>
          <w:bCs/>
          <w:w w:val="99"/>
          <w:sz w:val="24"/>
          <w:szCs w:val="24"/>
        </w:rPr>
        <w:t> </w:t>
      </w:r>
      <w:r>
        <w:rPr>
          <w:rFonts w:ascii="宋体" w:hAnsi="宋体" w:cs="宋体" w:eastAsia="宋体" w:hint="default"/>
          <w:sz w:val="24"/>
          <w:szCs w:val="24"/>
        </w:rPr>
        <w:t>截止资产负债表日，本公司没有需要披露的重要或有事项。</w:t>
      </w:r>
    </w:p>
    <w:p>
      <w:pPr>
        <w:spacing w:line="338" w:lineRule="auto" w:before="55"/>
        <w:ind w:left="873" w:right="4850" w:hanging="72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）公司没有需要披露的重要或有事项，也应予以说明</w:t>
      </w:r>
      <w:r>
        <w:rPr>
          <w:rFonts w:ascii="宋体" w:hAnsi="宋体" w:cs="宋体" w:eastAsia="宋体" w:hint="default"/>
          <w:b/>
          <w:bCs/>
          <w:w w:val="99"/>
          <w:sz w:val="24"/>
          <w:szCs w:val="24"/>
        </w:rPr>
        <w:t> </w:t>
      </w:r>
      <w:r>
        <w:rPr>
          <w:rFonts w:ascii="宋体" w:hAnsi="宋体" w:cs="宋体" w:eastAsia="宋体" w:hint="default"/>
          <w:sz w:val="24"/>
          <w:szCs w:val="24"/>
        </w:rPr>
        <w:t>公司不存在需要披露的重要或有事项。</w:t>
      </w:r>
    </w:p>
    <w:p>
      <w:pPr>
        <w:pStyle w:val="Heading2"/>
        <w:spacing w:line="240" w:lineRule="auto" w:before="56"/>
        <w:ind w:right="1273"/>
        <w:jc w:val="left"/>
        <w:rPr>
          <w:b w:val="0"/>
          <w:bCs w:val="0"/>
        </w:rPr>
      </w:pPr>
      <w:r>
        <w:rPr/>
        <w:t>十五、资产负债表日后事项</w:t>
      </w:r>
      <w:r>
        <w:rPr>
          <w:b w:val="0"/>
          <w:bCs w:val="0"/>
        </w:rPr>
      </w:r>
    </w:p>
    <w:p>
      <w:pPr>
        <w:pStyle w:val="BodyText"/>
        <w:spacing w:line="338" w:lineRule="auto" w:before="154"/>
        <w:ind w:right="1393"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日公司第四届董事会第十五次会议审议通过</w:t>
      </w:r>
      <w:r>
        <w:rPr>
          <w:rFonts w:ascii="Times New Roman" w:hAnsi="Times New Roman" w:cs="Times New Roman" w:eastAsia="Times New Roman" w:hint="default"/>
        </w:rPr>
        <w:t>2018</w:t>
      </w:r>
      <w:r>
        <w:rPr/>
        <w:t>年度利润分配预案，以报 告期末总股本</w:t>
      </w:r>
      <w:r>
        <w:rPr>
          <w:rFonts w:ascii="Times New Roman" w:hAnsi="Times New Roman" w:cs="Times New Roman" w:eastAsia="Times New Roman" w:hint="default"/>
        </w:rPr>
        <w:t>449,537,367</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0.75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 </w:t>
      </w:r>
      <w:r>
        <w:rPr>
          <w:rFonts w:ascii="Times New Roman" w:hAnsi="Times New Roman" w:cs="Times New Roman" w:eastAsia="Times New Roman" w:hint="default"/>
        </w:rPr>
        <w:t>33,715,302.53</w:t>
      </w:r>
      <w:r>
        <w:rPr/>
        <w:t>元。</w:t>
      </w:r>
    </w:p>
    <w:p>
      <w:pPr>
        <w:spacing w:after="0" w:line="338" w:lineRule="auto"/>
        <w:jc w:val="left"/>
        <w:sectPr>
          <w:pgSz w:w="11910" w:h="16840"/>
          <w:pgMar w:header="877" w:footer="979" w:top="1060" w:bottom="116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79" w:top="1060" w:bottom="1160" w:left="980" w:right="0"/>
        </w:sectPr>
      </w:pPr>
    </w:p>
    <w:p>
      <w:pPr>
        <w:pStyle w:val="Heading2"/>
        <w:spacing w:line="240" w:lineRule="auto" w:before="26"/>
        <w:ind w:right="0"/>
        <w:jc w:val="left"/>
        <w:rPr>
          <w:b w:val="0"/>
          <w:bCs w:val="0"/>
        </w:rPr>
      </w:pPr>
      <w:r>
        <w:rPr>
          <w:w w:val="95"/>
        </w:rPr>
        <w:t>十六、母公司财务报表主要项目注释</w:t>
      </w:r>
      <w:r>
        <w:rPr>
          <w:b w:val="0"/>
          <w:bCs w:val="0"/>
        </w:rPr>
      </w:r>
    </w:p>
    <w:p>
      <w:pPr>
        <w:pStyle w:val="Heading2"/>
        <w:spacing w:line="240" w:lineRule="auto" w:before="154"/>
        <w:ind w:right="0"/>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5"/>
          <w:szCs w:val="25"/>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007" w:space="4553"/>
            <w:col w:w="2370"/>
          </w:cols>
        </w:sectPr>
      </w:pP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6,285,178.00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4,117,040.00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263,415,225.39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278,146,269.88</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269,700,403.39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282,263,309.88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Heading2"/>
        <w:spacing w:line="240" w:lineRule="auto" w:before="39"/>
        <w:ind w:right="-11"/>
        <w:jc w:val="left"/>
        <w:rPr>
          <w:b w:val="0"/>
          <w:bCs w:val="0"/>
        </w:rPr>
      </w:pPr>
      <w:r>
        <w:rPr/>
        <w:t>（</w:t>
      </w:r>
      <w:r>
        <w:rPr>
          <w:rFonts w:ascii="Times New Roman" w:hAnsi="Times New Roman" w:cs="Times New Roman" w:eastAsia="Times New Roman" w:hint="default"/>
        </w:rPr>
        <w:t>1</w:t>
      </w:r>
      <w:r>
        <w:rPr/>
        <w:t>）应收票据</w:t>
      </w:r>
      <w:r>
        <w:rPr>
          <w:b w:val="0"/>
          <w:bCs w:val="0"/>
        </w:rPr>
      </w:r>
    </w:p>
    <w:p>
      <w:pPr>
        <w:pStyle w:val="BodyText"/>
        <w:spacing w:line="240" w:lineRule="auto" w:before="136"/>
        <w:ind w:right="-11"/>
        <w:jc w:val="left"/>
      </w:pPr>
      <w:r>
        <w:rPr>
          <w:rFonts w:ascii="Times New Roman" w:hAnsi="Times New Roman" w:cs="Times New Roman" w:eastAsia="Times New Roman" w:hint="default"/>
          <w:spacing w:val="-1"/>
        </w:rPr>
        <w:t>1)</w:t>
      </w:r>
      <w:r>
        <w:rPr>
          <w:spacing w:val="-1"/>
        </w:rPr>
        <w:t>应收票据分类列示</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273" w:space="6287"/>
            <w:col w:w="2370"/>
          </w:cols>
        </w:sectPr>
      </w:pP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5,085,178.00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3,887,140.00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229,900.00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6,285,178.00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4,117,040.00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pStyle w:val="Heading2"/>
        <w:spacing w:line="240" w:lineRule="auto" w:before="39"/>
        <w:ind w:right="-11"/>
        <w:jc w:val="left"/>
        <w:rPr>
          <w:b w:val="0"/>
          <w:bCs w:val="0"/>
        </w:rPr>
      </w:pPr>
      <w:r>
        <w:rPr/>
        <w:t>（</w:t>
      </w:r>
      <w:r>
        <w:rPr>
          <w:rFonts w:ascii="Times New Roman" w:hAnsi="Times New Roman" w:cs="Times New Roman" w:eastAsia="Times New Roman" w:hint="default"/>
        </w:rPr>
        <w:t>2</w:t>
      </w:r>
      <w:r>
        <w:rPr/>
        <w:t>）应收账款</w:t>
      </w:r>
      <w:r>
        <w:rPr>
          <w:b w:val="0"/>
          <w:bCs w:val="0"/>
        </w:rPr>
      </w:r>
    </w:p>
    <w:p>
      <w:pPr>
        <w:pStyle w:val="BodyText"/>
        <w:spacing w:line="240" w:lineRule="auto" w:before="135"/>
        <w:ind w:right="-11"/>
        <w:jc w:val="left"/>
      </w:pPr>
      <w:r>
        <w:rPr>
          <w:rFonts w:ascii="Times New Roman" w:hAnsi="Times New Roman" w:cs="Times New Roman" w:eastAsia="Times New Roman" w:hint="default"/>
          <w:spacing w:val="-1"/>
        </w:rPr>
        <w:t>1)</w:t>
      </w:r>
      <w:r>
        <w:rPr>
          <w:spacing w:val="-1"/>
        </w:rPr>
        <w:t>应收账款分类披露</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273" w:space="6287"/>
            <w:col w:w="2370"/>
          </w:cols>
        </w:sectPr>
      </w:pP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2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1" w:right="57"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10" w:space="0" w:color="D2D2D2"/>
              <w:right w:val="single" w:sz="12" w:space="0" w:color="D2D2D2"/>
            </w:tcBorders>
          </w:tcPr>
          <w:p>
            <w:pPr>
              <w:pStyle w:val="TableParagraph"/>
              <w:spacing w:line="262" w:lineRule="exact"/>
              <w:ind w:left="3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2" w:type="dxa"/>
            <w:vMerge/>
            <w:tcBorders>
              <w:left w:val="single" w:sz="10" w:space="0" w:color="D2D2D2"/>
              <w:bottom w:val="nil" w:sz="6" w:space="0" w:color="auto"/>
              <w:right w:val="single" w:sz="12" w:space="0" w:color="D2D2D2"/>
            </w:tcBorders>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306,818</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,664.69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43,403,</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439.30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14.15%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263,415</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,225.39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318,29</w:t>
            </w:r>
          </w:p>
          <w:p>
            <w:pPr>
              <w:pStyle w:val="TableParagraph"/>
              <w:spacing w:line="240" w:lineRule="auto" w:before="70"/>
              <w:ind w:left="98" w:right="0"/>
              <w:jc w:val="left"/>
              <w:rPr>
                <w:rFonts w:ascii="Times New Roman" w:hAnsi="Times New Roman" w:cs="Times New Roman" w:eastAsia="Times New Roman" w:hint="default"/>
                <w:sz w:val="21"/>
                <w:szCs w:val="21"/>
              </w:rPr>
            </w:pPr>
            <w:r>
              <w:rPr>
                <w:rFonts w:ascii="Times New Roman"/>
                <w:sz w:val="21"/>
              </w:rPr>
              <w:t>3,489.</w:t>
            </w:r>
          </w:p>
          <w:p>
            <w:pPr>
              <w:pStyle w:val="TableParagraph"/>
              <w:spacing w:line="240" w:lineRule="auto" w:before="70"/>
              <w:ind w:left="412" w:right="0"/>
              <w:jc w:val="left"/>
              <w:rPr>
                <w:rFonts w:ascii="Times New Roman" w:hAnsi="Times New Roman" w:cs="Times New Roman" w:eastAsia="Times New Roman" w:hint="default"/>
                <w:sz w:val="21"/>
                <w:szCs w:val="21"/>
              </w:rPr>
            </w:pPr>
            <w:r>
              <w:rPr>
                <w:rFonts w:ascii="Times New Roman"/>
                <w:sz w:val="21"/>
              </w:rPr>
              <w:t>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40,147,2</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20.04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12.61%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278,146,2</w:t>
            </w:r>
          </w:p>
          <w:p>
            <w:pPr>
              <w:pStyle w:val="TableParagraph"/>
              <w:spacing w:line="240" w:lineRule="auto" w:before="70"/>
              <w:ind w:left="427" w:right="0"/>
              <w:jc w:val="left"/>
              <w:rPr>
                <w:rFonts w:ascii="Times New Roman" w:hAnsi="Times New Roman" w:cs="Times New Roman" w:eastAsia="Times New Roman" w:hint="default"/>
                <w:sz w:val="21"/>
                <w:szCs w:val="21"/>
              </w:rPr>
            </w:pPr>
            <w:r>
              <w:rPr>
                <w:rFonts w:ascii="Times New Roman"/>
                <w:sz w:val="21"/>
              </w:rPr>
              <w:t>69.88</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306,818</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,664.69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43,403,</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439.30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14.15%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263,415</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,225.39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318,29</w:t>
            </w:r>
          </w:p>
          <w:p>
            <w:pPr>
              <w:pStyle w:val="TableParagraph"/>
              <w:spacing w:line="240" w:lineRule="auto" w:before="70"/>
              <w:ind w:left="98" w:right="0"/>
              <w:jc w:val="left"/>
              <w:rPr>
                <w:rFonts w:ascii="Times New Roman" w:hAnsi="Times New Roman" w:cs="Times New Roman" w:eastAsia="Times New Roman" w:hint="default"/>
                <w:sz w:val="21"/>
                <w:szCs w:val="21"/>
              </w:rPr>
            </w:pPr>
            <w:r>
              <w:rPr>
                <w:rFonts w:ascii="Times New Roman"/>
                <w:sz w:val="21"/>
              </w:rPr>
              <w:t>3,489.</w:t>
            </w:r>
          </w:p>
          <w:p>
            <w:pPr>
              <w:pStyle w:val="TableParagraph"/>
              <w:spacing w:line="240" w:lineRule="auto" w:before="71"/>
              <w:ind w:left="412" w:right="0"/>
              <w:jc w:val="left"/>
              <w:rPr>
                <w:rFonts w:ascii="Times New Roman" w:hAnsi="Times New Roman" w:cs="Times New Roman" w:eastAsia="Times New Roman" w:hint="default"/>
                <w:sz w:val="21"/>
                <w:szCs w:val="21"/>
              </w:rPr>
            </w:pPr>
            <w:r>
              <w:rPr>
                <w:rFonts w:ascii="Times New Roman"/>
                <w:sz w:val="21"/>
              </w:rPr>
              <w:t>92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40,147,2</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20.04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12.61%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278,146,2</w:t>
            </w:r>
          </w:p>
          <w:p>
            <w:pPr>
              <w:pStyle w:val="TableParagraph"/>
              <w:spacing w:line="240" w:lineRule="auto" w:before="70"/>
              <w:ind w:left="427" w:right="0"/>
              <w:jc w:val="left"/>
              <w:rPr>
                <w:rFonts w:ascii="Times New Roman" w:hAnsi="Times New Roman" w:cs="Times New Roman" w:eastAsia="Times New Roman" w:hint="default"/>
                <w:sz w:val="21"/>
                <w:szCs w:val="21"/>
              </w:rPr>
            </w:pPr>
            <w:r>
              <w:rPr>
                <w:rFonts w:ascii="Times New Roman"/>
                <w:sz w:val="21"/>
              </w:rPr>
              <w:t>69.88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240" w:lineRule="auto" w:before="39"/>
        <w:ind w:right="-20"/>
        <w:jc w:val="left"/>
      </w:pPr>
      <w:r>
        <w:rPr/>
        <w:t>期末单项金额重大并单项计提坏账准备的应收账款：</w:t>
      </w:r>
    </w:p>
    <w:p>
      <w:pPr>
        <w:pStyle w:val="BodyText"/>
        <w:spacing w:line="338" w:lineRule="auto" w:before="154"/>
        <w:ind w:right="2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组合中，按账龄分析法计提坏账准备的应收账款：</w:t>
      </w:r>
    </w:p>
    <w:p>
      <w:pPr>
        <w:pStyle w:val="BodyText"/>
        <w:spacing w:line="240" w:lineRule="auto" w:before="5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5674" w:space="2886"/>
            <w:col w:w="2370"/>
          </w:cols>
        </w:sectPr>
      </w:pP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7077"/>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248,834,408.78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12,441,720.44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15,916,037.10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7,958,018.55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18,603,700.31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18,603,700.31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305,354,146.19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43,403,439.30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14.21%</w:t>
            </w:r>
          </w:p>
        </w:tc>
      </w:tr>
    </w:tbl>
    <w:p>
      <w:pPr>
        <w:pStyle w:val="BodyText"/>
        <w:spacing w:line="357" w:lineRule="auto" w:before="39"/>
        <w:ind w:right="4993"/>
        <w:jc w:val="left"/>
      </w:pPr>
      <w:r>
        <w:rPr/>
        <w:t>确定该组合依据的说明： 以账龄为信用风险组合确认依据 组合中，采用余额百分比法计提坏账准备的应收账款：</w:t>
      </w:r>
    </w:p>
    <w:p>
      <w:pPr>
        <w:pStyle w:val="BodyText"/>
        <w:spacing w:line="338" w:lineRule="auto" w:before="37"/>
        <w:ind w:right="5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组合中，采用其他方法计提坏账准备的应收账款：</w:t>
      </w:r>
    </w:p>
    <w:tbl>
      <w:tblPr>
        <w:tblW w:w="0" w:type="auto"/>
        <w:jc w:val="left"/>
        <w:tblInd w:w="148" w:type="dxa"/>
        <w:tblLayout w:type="fixed"/>
        <w:tblCellMar>
          <w:top w:w="0" w:type="dxa"/>
          <w:left w:w="0" w:type="dxa"/>
          <w:bottom w:w="0" w:type="dxa"/>
          <w:right w:w="0" w:type="dxa"/>
        </w:tblCellMar>
        <w:tblLook w:val="01E0"/>
      </w:tblPr>
      <w:tblGrid>
        <w:gridCol w:w="2134"/>
        <w:gridCol w:w="2137"/>
        <w:gridCol w:w="2134"/>
        <w:gridCol w:w="2137"/>
      </w:tblGrid>
      <w:tr>
        <w:trPr>
          <w:trHeight w:val="34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65"/>
                <w:sz w:val="21"/>
                <w:szCs w:val="21"/>
              </w:rPr>
              <w:t> </w:t>
            </w:r>
            <w:r>
              <w:rPr>
                <w:rFonts w:ascii="宋体" w:hAnsi="宋体" w:cs="宋体" w:eastAsia="宋体" w:hint="default"/>
                <w:sz w:val="21"/>
                <w:szCs w:val="21"/>
              </w:rPr>
              <w:t>合</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9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1,464,518.50</w:t>
            </w:r>
          </w:p>
        </w:tc>
        <w:tc>
          <w:tcPr>
            <w:tcW w:w="2134"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right="127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35"/>
        <w:ind w:right="1273"/>
        <w:jc w:val="left"/>
      </w:pPr>
      <w:r>
        <w:rPr/>
        <w:t>本期计提坏账准备金额</w:t>
      </w:r>
      <w:r>
        <w:rPr>
          <w:spacing w:val="-60"/>
        </w:rPr>
        <w:t> </w:t>
      </w:r>
      <w:r>
        <w:rPr>
          <w:rFonts w:ascii="Times New Roman" w:hAnsi="Times New Roman" w:cs="Times New Roman" w:eastAsia="Times New Roman" w:hint="default"/>
        </w:rPr>
        <w:t>3,256,219.26 </w:t>
      </w:r>
      <w:r>
        <w:rPr/>
        <w:t>元；本期收回或转回坏账准备金额</w:t>
      </w:r>
      <w:r>
        <w:rPr>
          <w:spacing w:val="-59"/>
        </w:rPr>
        <w:t> </w:t>
      </w:r>
      <w:r>
        <w:rPr>
          <w:rFonts w:ascii="Times New Roman" w:hAnsi="Times New Roman" w:cs="Times New Roman" w:eastAsia="Times New Roman" w:hint="default"/>
        </w:rPr>
        <w:t>0 </w:t>
      </w:r>
      <w:r>
        <w:rPr/>
        <w:t>元。</w:t>
      </w:r>
    </w:p>
    <w:p>
      <w:pPr>
        <w:pStyle w:val="BodyText"/>
        <w:spacing w:line="240" w:lineRule="auto" w:before="135"/>
        <w:ind w:right="1273"/>
        <w:jc w:val="left"/>
      </w:pPr>
      <w:r>
        <w:rPr>
          <w:rFonts w:ascii="Times New Roman" w:hAnsi="Times New Roman" w:cs="Times New Roman" w:eastAsia="Times New Roman" w:hint="default"/>
        </w:rPr>
        <w:t>3)</w:t>
      </w:r>
      <w:r>
        <w:rPr/>
        <w:t>按欠款方归集的期末余额前五名的应收账款情况</w:t>
      </w:r>
    </w:p>
    <w:p>
      <w:pPr>
        <w:spacing w:line="240" w:lineRule="auto" w:before="5"/>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693"/>
        <w:gridCol w:w="1608"/>
        <w:gridCol w:w="1284"/>
        <w:gridCol w:w="2086"/>
        <w:gridCol w:w="1988"/>
      </w:tblGrid>
      <w:tr>
        <w:trPr>
          <w:trHeight w:val="65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89"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占应收账款期末余额</w:t>
            </w:r>
            <w:r>
              <w:rPr>
                <w:rFonts w:ascii="宋体" w:hAnsi="宋体" w:cs="宋体" w:eastAsia="宋体" w:hint="default"/>
                <w:w w:val="100"/>
                <w:sz w:val="21"/>
                <w:szCs w:val="21"/>
              </w:rPr>
              <w:t> </w:t>
            </w:r>
            <w:r>
              <w:rPr>
                <w:rFonts w:ascii="宋体" w:hAnsi="宋体" w:cs="宋体" w:eastAsia="宋体" w:hint="default"/>
                <w:sz w:val="21"/>
                <w:szCs w:val="21"/>
              </w:rPr>
              <w:t>合计数的比例</w:t>
            </w:r>
            <w:r>
              <w:rPr>
                <w:rFonts w:ascii="Times New Roman" w:hAnsi="Times New Roman" w:cs="Times New Roman" w:eastAsia="Times New Roman" w:hint="default"/>
                <w:sz w:val="21"/>
                <w:szCs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34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 w:right="0"/>
              <w:jc w:val="center"/>
              <w:rPr>
                <w:rFonts w:ascii="宋体" w:hAnsi="宋体" w:cs="宋体" w:eastAsia="宋体" w:hint="default"/>
                <w:sz w:val="21"/>
                <w:szCs w:val="21"/>
              </w:rPr>
            </w:pPr>
            <w:r>
              <w:rPr>
                <w:rFonts w:ascii="宋体" w:hAnsi="宋体" w:cs="宋体" w:eastAsia="宋体" w:hint="default"/>
                <w:sz w:val="21"/>
                <w:szCs w:val="21"/>
              </w:rPr>
              <w:t>应收账款金额前</w:t>
            </w:r>
            <w:r>
              <w:rPr>
                <w:rFonts w:ascii="Times New Roman" w:hAnsi="Times New Roman" w:cs="Times New Roman" w:eastAsia="Times New Roman" w:hint="default"/>
                <w:sz w:val="21"/>
                <w:szCs w:val="21"/>
              </w:rPr>
              <w:t>5</w:t>
            </w:r>
            <w:r>
              <w:rPr>
                <w:rFonts w:ascii="宋体" w:hAnsi="宋体" w:cs="宋体" w:eastAsia="宋体" w:hint="default"/>
                <w:sz w:val="21"/>
                <w:szCs w:val="21"/>
              </w:rPr>
              <w:t>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44,821,780.04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14.62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2,241,089.00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before="26"/>
        <w:ind w:right="1273"/>
        <w:jc w:val="left"/>
        <w:rPr>
          <w:b w:val="0"/>
          <w:bCs w:val="0"/>
        </w:rPr>
      </w:pPr>
      <w:r>
        <w:rPr>
          <w:rFonts w:ascii="Times New Roman" w:hAnsi="Times New Roman" w:cs="Times New Roman" w:eastAsia="Times New Roman" w:hint="default"/>
        </w:rPr>
        <w:t>2</w:t>
      </w:r>
      <w:r>
        <w:rPr/>
        <w:t>、其他应收款</w:t>
      </w:r>
      <w:r>
        <w:rPr>
          <w:b w:val="0"/>
          <w:bCs w:val="0"/>
        </w:rPr>
      </w:r>
    </w:p>
    <w:p>
      <w:pPr>
        <w:pStyle w:val="BodyText"/>
        <w:spacing w:line="240" w:lineRule="auto" w:before="135"/>
        <w:ind w:left="0" w:right="1130"/>
        <w:jc w:val="right"/>
      </w:pPr>
      <w:r>
        <w:rPr/>
        <w:t>单位： 元</w:t>
      </w:r>
    </w:p>
    <w:p>
      <w:pPr>
        <w:spacing w:line="240" w:lineRule="auto" w:before="1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99,729,516.62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42,421,406.93</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99,729,516.62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42,421,406.93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pStyle w:val="Heading2"/>
        <w:spacing w:line="240" w:lineRule="auto" w:before="39"/>
        <w:ind w:right="-10"/>
        <w:jc w:val="left"/>
        <w:rPr>
          <w:b w:val="0"/>
          <w:bCs w:val="0"/>
        </w:rPr>
      </w:pPr>
      <w:r>
        <w:rPr/>
        <w:t>（</w:t>
      </w:r>
      <w:r>
        <w:rPr>
          <w:rFonts w:ascii="Times New Roman" w:hAnsi="Times New Roman" w:cs="Times New Roman" w:eastAsia="Times New Roman" w:hint="default"/>
        </w:rPr>
        <w:t>1</w:t>
      </w:r>
      <w:r>
        <w:rPr/>
        <w:t>）其他应收款</w:t>
      </w:r>
      <w:r>
        <w:rPr>
          <w:b w:val="0"/>
          <w:bCs w:val="0"/>
        </w:rPr>
      </w:r>
    </w:p>
    <w:p>
      <w:pPr>
        <w:pStyle w:val="BodyText"/>
        <w:spacing w:line="240" w:lineRule="auto" w:before="136"/>
        <w:ind w:right="-10"/>
        <w:jc w:val="left"/>
      </w:pPr>
      <w:r>
        <w:rPr>
          <w:rFonts w:ascii="Times New Roman" w:hAnsi="Times New Roman" w:cs="Times New Roman" w:eastAsia="Times New Roman" w:hint="default"/>
          <w:spacing w:val="-1"/>
        </w:rPr>
        <w:t>1)</w:t>
      </w:r>
      <w:r>
        <w:rPr>
          <w:spacing w:val="-1"/>
        </w:rPr>
        <w:t>其他应收款分类披露</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513" w:space="6047"/>
            <w:col w:w="2370"/>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6"/>
        <w:gridCol w:w="752"/>
        <w:gridCol w:w="761"/>
        <w:gridCol w:w="775"/>
        <w:gridCol w:w="753"/>
        <w:gridCol w:w="788"/>
        <w:gridCol w:w="653"/>
        <w:gridCol w:w="761"/>
        <w:gridCol w:w="814"/>
        <w:gridCol w:w="922"/>
        <w:gridCol w:w="944"/>
      </w:tblGrid>
      <w:tr>
        <w:trPr>
          <w:trHeight w:val="398"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44" w:type="dxa"/>
            <w:vMerge w:val="restart"/>
            <w:tcBorders>
              <w:top w:val="single" w:sz="4" w:space="0" w:color="000000"/>
              <w:left w:val="single" w:sz="4" w:space="0" w:color="000000"/>
              <w:right w:val="single" w:sz="4" w:space="0" w:color="000000"/>
            </w:tcBorders>
            <w:shd w:val="clear" w:color="auto" w:fill="D2D2D2"/>
          </w:tcPr>
          <w:p>
            <w:pPr/>
          </w:p>
        </w:tc>
      </w:tr>
      <w:tr>
        <w:trPr>
          <w:trHeight w:val="220"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7"/>
              <w:jc w:val="center"/>
              <w:rPr>
                <w:rFonts w:ascii="宋体" w:hAnsi="宋体" w:cs="宋体" w:eastAsia="宋体" w:hint="default"/>
                <w:sz w:val="21"/>
                <w:szCs w:val="21"/>
              </w:rPr>
            </w:pPr>
            <w:r>
              <w:rPr>
                <w:rFonts w:ascii="宋体" w:hAnsi="宋体" w:cs="宋体" w:eastAsia="宋体" w:hint="default"/>
                <w:sz w:val="21"/>
                <w:szCs w:val="21"/>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28"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281" w:right="71"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1735" w:type="dxa"/>
            <w:gridSpan w:val="2"/>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59" w:right="57"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8" w:type="dxa"/>
            <w:vMerge/>
            <w:tcBorders>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10" w:space="0" w:color="D2D2D2"/>
              <w:right w:val="single" w:sz="12" w:space="0" w:color="D2D2D2"/>
            </w:tcBorders>
          </w:tcPr>
          <w:p>
            <w:pPr>
              <w:pStyle w:val="TableParagraph"/>
              <w:spacing w:line="262" w:lineRule="exact"/>
              <w:ind w:left="4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44" w:type="dxa"/>
            <w:vMerge/>
            <w:tcBorders>
              <w:left w:val="single" w:sz="10" w:space="0" w:color="D2D2D2"/>
              <w:bottom w:val="nil" w:sz="6" w:space="0" w:color="auto"/>
              <w:right w:val="single" w:sz="12" w:space="0" w:color="D2D2D2"/>
            </w:tcBorders>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53" w:type="dxa"/>
            <w:vMerge/>
            <w:tcBorders>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21"/>
                <w:szCs w:val="21"/>
              </w:rPr>
            </w:pPr>
            <w:r>
              <w:rPr>
                <w:rFonts w:ascii="宋体" w:hAnsi="宋体" w:cs="宋体" w:eastAsia="宋体" w:hint="default"/>
                <w:sz w:val="21"/>
                <w:szCs w:val="21"/>
              </w:rPr>
              <w:t>按信用风险特征</w:t>
            </w:r>
          </w:p>
        </w:tc>
        <w:tc>
          <w:tcPr>
            <w:tcW w:w="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left="39" w:right="0"/>
              <w:jc w:val="left"/>
              <w:rPr>
                <w:rFonts w:ascii="Times New Roman" w:hAnsi="Times New Roman" w:cs="Times New Roman" w:eastAsia="Times New Roman" w:hint="default"/>
                <w:sz w:val="21"/>
                <w:szCs w:val="21"/>
              </w:rPr>
            </w:pPr>
            <w:r>
              <w:rPr>
                <w:rFonts w:ascii="Times New Roman"/>
                <w:sz w:val="21"/>
              </w:rPr>
              <w:t>116,132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1" w:right="0"/>
              <w:jc w:val="left"/>
              <w:rPr>
                <w:rFonts w:ascii="Times New Roman" w:hAnsi="Times New Roman" w:cs="Times New Roman" w:eastAsia="Times New Roman" w:hint="default"/>
                <w:sz w:val="21"/>
                <w:szCs w:val="21"/>
              </w:rPr>
            </w:pPr>
            <w:r>
              <w:rPr>
                <w:rFonts w:ascii="Times New Roman"/>
                <w:sz w:val="21"/>
              </w:rPr>
              <w:t>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21"/>
                <w:szCs w:val="21"/>
              </w:rPr>
            </w:pPr>
            <w:r>
              <w:rPr>
                <w:rFonts w:ascii="Times New Roman"/>
                <w:sz w:val="21"/>
              </w:rPr>
              <w:t>16,402,</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 w:right="0"/>
              <w:jc w:val="left"/>
              <w:rPr>
                <w:rFonts w:ascii="Times New Roman" w:hAnsi="Times New Roman" w:cs="Times New Roman" w:eastAsia="Times New Roman" w:hint="default"/>
                <w:sz w:val="21"/>
                <w:szCs w:val="21"/>
              </w:rPr>
            </w:pPr>
            <w:r>
              <w:rPr>
                <w:rFonts w:ascii="Times New Roman"/>
                <w:sz w:val="21"/>
              </w:rPr>
              <w:t>14.12%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3" w:right="0"/>
              <w:jc w:val="left"/>
              <w:rPr>
                <w:rFonts w:ascii="Times New Roman" w:hAnsi="Times New Roman" w:cs="Times New Roman" w:eastAsia="Times New Roman" w:hint="default"/>
                <w:sz w:val="21"/>
                <w:szCs w:val="21"/>
              </w:rPr>
            </w:pPr>
            <w:r>
              <w:rPr>
                <w:rFonts w:ascii="Times New Roman"/>
                <w:sz w:val="21"/>
              </w:rPr>
              <w:t>99,729,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21"/>
                <w:szCs w:val="21"/>
              </w:rPr>
            </w:pPr>
            <w:r>
              <w:rPr>
                <w:rFonts w:ascii="Times New Roman"/>
                <w:sz w:val="21"/>
              </w:rPr>
              <w:t>56,911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1" w:right="0"/>
              <w:jc w:val="lef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 w:right="0"/>
              <w:jc w:val="left"/>
              <w:rPr>
                <w:rFonts w:ascii="Times New Roman" w:hAnsi="Times New Roman" w:cs="Times New Roman" w:eastAsia="Times New Roman" w:hint="default"/>
                <w:sz w:val="21"/>
                <w:szCs w:val="21"/>
              </w:rPr>
            </w:pPr>
            <w:r>
              <w:rPr>
                <w:rFonts w:ascii="Times New Roman"/>
                <w:sz w:val="21"/>
              </w:rPr>
              <w:t>14,490,2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1" w:right="0"/>
              <w:jc w:val="left"/>
              <w:rPr>
                <w:rFonts w:ascii="Times New Roman" w:hAnsi="Times New Roman" w:cs="Times New Roman" w:eastAsia="Times New Roman" w:hint="default"/>
                <w:sz w:val="21"/>
                <w:szCs w:val="21"/>
              </w:rPr>
            </w:pPr>
            <w:r>
              <w:rPr>
                <w:rFonts w:ascii="Times New Roman"/>
                <w:sz w:val="21"/>
              </w:rPr>
              <w:t>25.46%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21"/>
                <w:szCs w:val="21"/>
              </w:rPr>
            </w:pPr>
            <w:r>
              <w:rPr>
                <w:rFonts w:ascii="Times New Roman"/>
                <w:sz w:val="21"/>
              </w:rPr>
              <w:t>42,421,40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67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24"/>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,408.58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1" w:right="0"/>
              <w:jc w:val="left"/>
              <w:rPr>
                <w:rFonts w:ascii="Times New Roman" w:hAnsi="Times New Roman" w:cs="Times New Roman" w:eastAsia="Times New Roman" w:hint="default"/>
                <w:sz w:val="21"/>
                <w:szCs w:val="21"/>
              </w:rPr>
            </w:pPr>
            <w:r>
              <w:rPr>
                <w:rFonts w:ascii="Times New Roman"/>
                <w:sz w:val="21"/>
              </w:rPr>
              <w:t>891.96</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1"/>
                <w:szCs w:val="21"/>
              </w:rPr>
            </w:pPr>
            <w:r>
              <w:rPr>
                <w:rFonts w:ascii="Times New Roman"/>
                <w:sz w:val="21"/>
              </w:rPr>
              <w:t>516.62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,654.9</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9" w:right="0"/>
              <w:jc w:val="left"/>
              <w:rPr>
                <w:rFonts w:ascii="Times New Roman" w:hAnsi="Times New Roman" w:cs="Times New Roman" w:eastAsia="Times New Roman" w:hint="default"/>
                <w:sz w:val="21"/>
                <w:szCs w:val="21"/>
              </w:rPr>
            </w:pPr>
            <w:r>
              <w:rPr>
                <w:rFonts w:ascii="Times New Roman"/>
                <w:sz w:val="21"/>
              </w:rPr>
              <w:t>48.00</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3" w:right="0"/>
              <w:jc w:val="left"/>
              <w:rPr>
                <w:rFonts w:ascii="Times New Roman" w:hAnsi="Times New Roman" w:cs="Times New Roman" w:eastAsia="Times New Roman" w:hint="default"/>
                <w:sz w:val="21"/>
                <w:szCs w:val="21"/>
              </w:rPr>
            </w:pPr>
            <w:r>
              <w:rPr>
                <w:rFonts w:ascii="Times New Roman"/>
                <w:sz w:val="21"/>
              </w:rPr>
              <w:t>6.93</w:t>
            </w:r>
          </w:p>
        </w:tc>
      </w:tr>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116,132</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,408.58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16,402,</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891.96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14.12%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99,729,</w:t>
            </w:r>
          </w:p>
          <w:p>
            <w:pPr>
              <w:pStyle w:val="TableParagraph"/>
              <w:spacing w:line="240" w:lineRule="auto" w:before="70"/>
              <w:ind w:left="177" w:right="0"/>
              <w:jc w:val="left"/>
              <w:rPr>
                <w:rFonts w:ascii="Times New Roman" w:hAnsi="Times New Roman" w:cs="Times New Roman" w:eastAsia="Times New Roman" w:hint="default"/>
                <w:sz w:val="21"/>
                <w:szCs w:val="21"/>
              </w:rPr>
            </w:pPr>
            <w:r>
              <w:rPr>
                <w:rFonts w:ascii="Times New Roman"/>
                <w:sz w:val="21"/>
              </w:rPr>
              <w:t>516.62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56,911</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,654.9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14,490,2</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48.00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25.46%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42,421,40</w:t>
            </w:r>
          </w:p>
          <w:p>
            <w:pPr>
              <w:pStyle w:val="TableParagraph"/>
              <w:spacing w:line="240" w:lineRule="auto" w:before="70"/>
              <w:ind w:left="533" w:right="0"/>
              <w:jc w:val="left"/>
              <w:rPr>
                <w:rFonts w:ascii="Times New Roman" w:hAnsi="Times New Roman" w:cs="Times New Roman" w:eastAsia="Times New Roman" w:hint="default"/>
                <w:sz w:val="21"/>
                <w:szCs w:val="21"/>
              </w:rPr>
            </w:pPr>
            <w:r>
              <w:rPr>
                <w:rFonts w:ascii="Times New Roman"/>
                <w:sz w:val="21"/>
              </w:rPr>
              <w:t>6.93</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060" w:bottom="1160" w:left="980" w:right="0"/>
        </w:sectPr>
      </w:pPr>
    </w:p>
    <w:p>
      <w:pPr>
        <w:pStyle w:val="BodyText"/>
        <w:spacing w:line="240" w:lineRule="auto" w:before="39"/>
        <w:ind w:right="-20"/>
        <w:jc w:val="left"/>
      </w:pPr>
      <w:r>
        <w:rPr/>
        <w:t>期末单项金额重大并单项计提坏账准备的其他应收款：</w:t>
      </w:r>
    </w:p>
    <w:p>
      <w:pPr>
        <w:pStyle w:val="BodyText"/>
        <w:spacing w:line="338" w:lineRule="auto" w:before="154"/>
        <w:ind w:right="2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组合中，按账龄分析法计提坏账准备的其他应收款：</w:t>
      </w:r>
    </w:p>
    <w:p>
      <w:pPr>
        <w:pStyle w:val="BodyText"/>
        <w:spacing w:line="240" w:lineRule="auto" w:before="5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5914" w:space="2646"/>
            <w:col w:w="2370"/>
          </w:cols>
        </w:sectPr>
      </w:pPr>
    </w:p>
    <w:p>
      <w:pPr>
        <w:spacing w:line="240" w:lineRule="auto" w:before="1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5"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2"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2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4"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19,374,992.08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968,749.60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17,374,017.38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3,474,803.48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3,625,687.86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1,812,843.93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10,146,494.95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10,146,494.95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50,521,192.27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16,402,891.96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32.47%</w:t>
            </w:r>
          </w:p>
        </w:tc>
      </w:tr>
    </w:tbl>
    <w:p>
      <w:pPr>
        <w:pStyle w:val="BodyText"/>
        <w:spacing w:line="357" w:lineRule="auto" w:before="39"/>
        <w:ind w:right="7393"/>
        <w:jc w:val="left"/>
      </w:pPr>
      <w:r>
        <w:rPr/>
        <w:t>确定该组合依据的说明： 以账龄为信用风险组合确认依据</w:t>
      </w:r>
    </w:p>
    <w:p>
      <w:pPr>
        <w:pStyle w:val="BodyText"/>
        <w:spacing w:line="240" w:lineRule="auto"/>
        <w:ind w:right="1273"/>
        <w:jc w:val="left"/>
      </w:pPr>
      <w:r>
        <w:rPr/>
        <w:t>组合中，采用余额百分比法计提坏账准备的其他应收款：</w:t>
      </w:r>
    </w:p>
    <w:p>
      <w:pPr>
        <w:pStyle w:val="BodyText"/>
        <w:spacing w:line="338" w:lineRule="auto" w:before="154"/>
        <w:ind w:right="5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组合中，采用其他方法计提坏账准备的其他应收款：</w:t>
      </w:r>
    </w:p>
    <w:p>
      <w:pPr>
        <w:pStyle w:val="BodyText"/>
        <w:spacing w:line="240" w:lineRule="auto" w:before="55"/>
        <w:ind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415"/>
        <w:gridCol w:w="2415"/>
        <w:gridCol w:w="2415"/>
        <w:gridCol w:w="2415"/>
      </w:tblGrid>
      <w:tr>
        <w:trPr>
          <w:trHeight w:val="34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65"/>
                <w:sz w:val="21"/>
                <w:szCs w:val="21"/>
              </w:rPr>
              <w:t> </w:t>
            </w:r>
            <w:r>
              <w:rPr>
                <w:rFonts w:ascii="宋体" w:hAnsi="宋体" w:cs="宋体" w:eastAsia="宋体" w:hint="default"/>
                <w:sz w:val="21"/>
                <w:szCs w:val="21"/>
              </w:rPr>
              <w:t>合</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5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2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65,611,216.31</w:t>
            </w:r>
          </w:p>
        </w:tc>
        <w:tc>
          <w:tcPr>
            <w:tcW w:w="2415"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240" w:lineRule="auto" w:before="39"/>
        <w:ind w:right="-2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36"/>
        <w:ind w:right="-20"/>
        <w:jc w:val="left"/>
      </w:pPr>
      <w:r>
        <w:rPr/>
        <w:t>本期计提坏账准备金额</w:t>
      </w:r>
      <w:r>
        <w:rPr>
          <w:spacing w:val="-60"/>
        </w:rPr>
        <w:t> </w:t>
      </w:r>
      <w:r>
        <w:rPr>
          <w:rFonts w:ascii="Times New Roman" w:hAnsi="Times New Roman" w:cs="Times New Roman" w:eastAsia="Times New Roman" w:hint="default"/>
        </w:rPr>
        <w:t>1,912,643.96 </w:t>
      </w:r>
      <w:r>
        <w:rPr/>
        <w:t>元；本期收回或转回坏账准备金额</w:t>
      </w:r>
      <w:r>
        <w:rPr>
          <w:spacing w:val="-59"/>
        </w:rPr>
        <w:t> </w:t>
      </w:r>
      <w:r>
        <w:rPr>
          <w:rFonts w:ascii="Times New Roman" w:hAnsi="Times New Roman" w:cs="Times New Roman" w:eastAsia="Times New Roman" w:hint="default"/>
        </w:rPr>
        <w:t>0.00 </w:t>
      </w:r>
      <w:r>
        <w:rPr/>
        <w:t>元。</w:t>
      </w:r>
    </w:p>
    <w:p>
      <w:pPr>
        <w:pStyle w:val="BodyText"/>
        <w:spacing w:line="240" w:lineRule="auto" w:before="135"/>
        <w:ind w:right="-20"/>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7"/>
        <w:ind w:left="118" w:right="0"/>
        <w:jc w:val="left"/>
      </w:pPr>
      <w:r>
        <w:rPr/>
        <w:t>单位： 元</w:t>
      </w:r>
    </w:p>
    <w:p>
      <w:pPr>
        <w:spacing w:after="0" w:line="240" w:lineRule="auto"/>
        <w:jc w:val="left"/>
        <w:sectPr>
          <w:type w:val="continuous"/>
          <w:pgSz w:w="11910" w:h="16840"/>
          <w:pgMar w:top="1060" w:bottom="1160" w:left="980" w:right="0"/>
          <w:cols w:num="2" w:equalWidth="0">
            <w:col w:w="8555" w:space="40"/>
            <w:col w:w="2335"/>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65,611,216.31</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7,085,442.98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押金、保证金等</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30,123,806.88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32,298,535.99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16,909,798.94</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15,659,434.25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3,487,586.45</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1,868,241.71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116,132,408.58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56,911,654.93</w:t>
            </w:r>
          </w:p>
        </w:tc>
      </w:tr>
    </w:tbl>
    <w:p>
      <w:pPr>
        <w:pStyle w:val="BodyText"/>
        <w:spacing w:line="240" w:lineRule="auto" w:before="79"/>
        <w:ind w:right="1273"/>
        <w:jc w:val="left"/>
      </w:pPr>
      <w:r>
        <w:rPr>
          <w:rFonts w:ascii="Times New Roman" w:hAnsi="Times New Roman" w:cs="Times New Roman" w:eastAsia="Times New Roman" w:hint="default"/>
        </w:rPr>
        <w:t>4)</w:t>
      </w:r>
      <w:r>
        <w:rPr/>
        <w:t>按欠款方归集的期末余额前五名的其他应收款情况</w:t>
      </w:r>
    </w:p>
    <w:p>
      <w:pPr>
        <w:spacing w:line="240" w:lineRule="auto" w:before="4"/>
        <w:rPr>
          <w:rFonts w:ascii="宋体" w:hAnsi="宋体" w:cs="宋体" w:eastAsia="宋体" w:hint="default"/>
          <w:sz w:val="11"/>
          <w:szCs w:val="11"/>
        </w:rPr>
      </w:pPr>
    </w:p>
    <w:p>
      <w:pPr>
        <w:pStyle w:val="BodyText"/>
        <w:spacing w:line="240" w:lineRule="auto" w:before="26"/>
        <w:ind w:left="0" w:right="1130"/>
        <w:jc w:val="right"/>
      </w:pPr>
      <w:r>
        <w:rPr/>
        <w:t>单位： 元</w:t>
      </w:r>
    </w:p>
    <w:p>
      <w:pPr>
        <w:spacing w:line="240" w:lineRule="auto" w:before="1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1027"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 w:right="63"/>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98" w:right="63" w:hanging="632"/>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35,829,421.12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30.85%</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超图数据</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28,711,975.43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24.72%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4" w:right="175"/>
              <w:jc w:val="left"/>
              <w:rPr>
                <w:rFonts w:ascii="宋体" w:hAnsi="宋体" w:cs="宋体" w:eastAsia="宋体" w:hint="default"/>
                <w:sz w:val="21"/>
                <w:szCs w:val="21"/>
              </w:rPr>
            </w:pPr>
            <w:r>
              <w:rPr>
                <w:rFonts w:ascii="宋体" w:hAnsi="宋体" w:cs="宋体" w:eastAsia="宋体" w:hint="default"/>
                <w:sz w:val="21"/>
                <w:szCs w:val="21"/>
              </w:rPr>
              <w:t>北京东方园林环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境股份有限公司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1,013,081.28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0.87%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50,654.06</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北京华远众科科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955,345.27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0.82%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102,768.25</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芜湖市公共资源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886,856.58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0.76%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165,518.32</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67,396,679.68</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58.02%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318,940.63</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3</w:t>
      </w:r>
      <w:r>
        <w:rPr/>
        <w:t>、长期股权投资</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9"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956,928,631.2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1,000,000.00</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955,928,631.2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1</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956,928,631.2</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1</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1,000,000.00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955,928,631.2</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1</w:t>
            </w:r>
          </w:p>
        </w:tc>
      </w:tr>
      <w:tr>
        <w:trPr>
          <w:trHeight w:val="391" w:hRule="exact"/>
        </w:trPr>
        <w:tc>
          <w:tcPr>
            <w:tcW w:w="1368" w:type="dxa"/>
            <w:tcBorders>
              <w:top w:val="nil" w:sz="6" w:space="0" w:color="auto"/>
              <w:left w:val="single" w:sz="13" w:space="0" w:color="D2D2D2"/>
              <w:bottom w:val="nil" w:sz="6" w:space="0" w:color="auto"/>
              <w:right w:val="single" w:sz="12" w:space="0" w:color="D2D2D2"/>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对子公司投资</w:t>
            </w:r>
            <w:r>
              <w:rPr>
                <w:rFonts w:ascii="宋体" w:hAnsi="宋体" w:cs="宋体" w:eastAsia="宋体" w:hint="default"/>
                <w:sz w:val="21"/>
                <w:szCs w:val="21"/>
              </w:rPr>
            </w:r>
          </w:p>
        </w:tc>
        <w:tc>
          <w:tcPr>
            <w:tcW w:w="1369" w:type="dxa"/>
            <w:vMerge/>
            <w:tcBorders>
              <w:left w:val="single" w:sz="9" w:space="0" w:color="D2D2D2"/>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9"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9"/>
              <w:jc w:val="left"/>
              <w:rPr>
                <w:rFonts w:ascii="宋体" w:hAnsi="宋体" w:cs="宋体" w:eastAsia="宋体" w:hint="default"/>
                <w:sz w:val="21"/>
                <w:szCs w:val="21"/>
              </w:rPr>
            </w:pPr>
            <w:r>
              <w:rPr>
                <w:rFonts w:ascii="宋体" w:hAnsi="宋体" w:cs="宋体" w:eastAsia="宋体" w:hint="default"/>
                <w:sz w:val="21"/>
                <w:szCs w:val="21"/>
              </w:rPr>
              <w:t>对联营、合营</w:t>
            </w:r>
            <w:r>
              <w:rPr>
                <w:rFonts w:ascii="宋体" w:hAnsi="宋体" w:cs="宋体" w:eastAsia="宋体" w:hint="default"/>
                <w:w w:val="100"/>
                <w:sz w:val="21"/>
                <w:szCs w:val="21"/>
              </w:rPr>
              <w:t> </w:t>
            </w:r>
            <w:r>
              <w:rPr>
                <w:rFonts w:ascii="宋体" w:hAnsi="宋体" w:cs="宋体" w:eastAsia="宋体" w:hint="default"/>
                <w:sz w:val="21"/>
                <w:szCs w:val="21"/>
              </w:rPr>
              <w:t>企业投资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4" w:right="0"/>
              <w:jc w:val="left"/>
              <w:rPr>
                <w:rFonts w:ascii="Times New Roman" w:hAnsi="Times New Roman" w:cs="Times New Roman" w:eastAsia="Times New Roman" w:hint="default"/>
                <w:sz w:val="21"/>
                <w:szCs w:val="21"/>
              </w:rPr>
            </w:pPr>
            <w:r>
              <w:rPr>
                <w:rFonts w:ascii="Times New Roman"/>
                <w:sz w:val="21"/>
              </w:rPr>
              <w:t>1,962,373.91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1,962,373.91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1,948,820.21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1,948,820.21</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9"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958,891,005.1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2</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1,000,000.00</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957,891,005.1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2</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958,877,451.4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2</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1,000,000.00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957,877,451.4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2</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vMerge/>
            <w:tcBorders>
              <w:left w:val="single" w:sz="9" w:space="0" w:color="D2D2D2"/>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9"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1</w:t>
      </w:r>
      <w:r>
        <w:rPr/>
        <w:t>）对子公司投资</w:t>
      </w:r>
      <w:r>
        <w:rPr>
          <w:b w:val="0"/>
          <w:bCs w:val="0"/>
        </w:rPr>
      </w:r>
    </w:p>
    <w:p>
      <w:pPr>
        <w:pStyle w:val="BodyText"/>
        <w:spacing w:line="240" w:lineRule="auto" w:before="136"/>
        <w:ind w:left="0" w:right="1130"/>
        <w:jc w:val="right"/>
      </w:pPr>
      <w:r>
        <w:rPr/>
        <w:t>单位： 元</w:t>
      </w:r>
    </w:p>
    <w:p>
      <w:pPr>
        <w:spacing w:line="240" w:lineRule="auto" w:before="1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480" w:right="55" w:hanging="420"/>
              <w:jc w:val="left"/>
              <w:rPr>
                <w:rFonts w:ascii="宋体" w:hAnsi="宋体" w:cs="宋体" w:eastAsia="宋体" w:hint="default"/>
                <w:sz w:val="21"/>
                <w:szCs w:val="21"/>
              </w:rPr>
            </w:pPr>
            <w:r>
              <w:rPr>
                <w:rFonts w:ascii="宋体" w:hAnsi="宋体" w:cs="宋体" w:eastAsia="宋体" w:hint="default"/>
                <w:sz w:val="21"/>
                <w:szCs w:val="21"/>
              </w:rPr>
              <w:t>本期计提减值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479" w:right="55" w:hanging="420"/>
              <w:jc w:val="left"/>
              <w:rPr>
                <w:rFonts w:ascii="宋体" w:hAnsi="宋体" w:cs="宋体" w:eastAsia="宋体" w:hint="default"/>
                <w:sz w:val="21"/>
                <w:szCs w:val="21"/>
              </w:rPr>
            </w:pPr>
            <w:r>
              <w:rPr>
                <w:rFonts w:ascii="宋体" w:hAnsi="宋体" w:cs="宋体" w:eastAsia="宋体" w:hint="default"/>
                <w:sz w:val="21"/>
                <w:szCs w:val="21"/>
              </w:rPr>
              <w:t>减值准备期末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4" w:right="0"/>
              <w:jc w:val="left"/>
              <w:rPr>
                <w:rFonts w:ascii="Times New Roman" w:hAnsi="Times New Roman" w:cs="Times New Roman" w:eastAsia="Times New Roman" w:hint="default"/>
                <w:sz w:val="21"/>
                <w:szCs w:val="21"/>
              </w:rPr>
            </w:pPr>
            <w:r>
              <w:rPr>
                <w:rFonts w:ascii="Times New Roman"/>
                <w:sz w:val="21"/>
              </w:rPr>
              <w:t>1,000,000.00</w:t>
            </w: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21,393,851.78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21,393,851.78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上海超途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克拉玛依超图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87,836,376.22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87,836,376.22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山东超图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超图数据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467,999,807.2</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467,999,807.2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89,962,263.99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89,962,263.99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217,736,331.9</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217,736,331.9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956,928,631.2</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956,928,631.2</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Times New Roman"/>
                <w:sz w:val="21"/>
              </w:rPr>
              <w:t>1,000,000.00</w:t>
            </w:r>
          </w:p>
        </w:tc>
      </w:tr>
    </w:tbl>
    <w:p>
      <w:pPr>
        <w:pStyle w:val="Heading2"/>
        <w:spacing w:line="240" w:lineRule="auto" w:before="39"/>
        <w:ind w:right="127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pStyle w:val="BodyText"/>
        <w:spacing w:line="240" w:lineRule="auto" w:before="136"/>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8" w:right="74" w:hanging="212"/>
              <w:jc w:val="left"/>
              <w:rPr>
                <w:rFonts w:ascii="宋体" w:hAnsi="宋体" w:cs="宋体" w:eastAsia="宋体" w:hint="default"/>
                <w:sz w:val="21"/>
                <w:szCs w:val="21"/>
              </w:rPr>
            </w:pPr>
            <w:r>
              <w:rPr>
                <w:rFonts w:ascii="宋体" w:hAnsi="宋体" w:cs="宋体" w:eastAsia="宋体" w:hint="default"/>
                <w:sz w:val="21"/>
                <w:szCs w:val="21"/>
              </w:rPr>
              <w:t>投资单</w:t>
            </w:r>
            <w:r>
              <w:rPr>
                <w:rFonts w:ascii="宋体" w:hAnsi="宋体" w:cs="宋体" w:eastAsia="宋体" w:hint="default"/>
                <w:spacing w:val="-102"/>
                <w:sz w:val="21"/>
                <w:szCs w:val="21"/>
              </w:rPr>
              <w:t> </w:t>
            </w:r>
            <w:r>
              <w:rPr>
                <w:rFonts w:ascii="宋体" w:hAnsi="宋体" w:cs="宋体" w:eastAsia="宋体" w:hint="default"/>
                <w:sz w:val="21"/>
                <w:szCs w:val="21"/>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7" w:right="72"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33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79" w:right="72"/>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79" w:right="74"/>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79" w:right="75"/>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7"/>
              <w:jc w:val="left"/>
              <w:rPr>
                <w:rFonts w:ascii="宋体" w:hAnsi="宋体" w:cs="宋体" w:eastAsia="宋体" w:hint="default"/>
                <w:sz w:val="21"/>
                <w:szCs w:val="21"/>
              </w:rPr>
            </w:pPr>
            <w:r>
              <w:rPr>
                <w:rFonts w:ascii="宋体" w:hAnsi="宋体" w:cs="宋体" w:eastAsia="宋体" w:hint="default"/>
                <w:sz w:val="21"/>
                <w:szCs w:val="21"/>
              </w:rPr>
              <w:t>浙江中</w:t>
            </w:r>
            <w:r>
              <w:rPr>
                <w:rFonts w:ascii="宋体" w:hAnsi="宋体" w:cs="宋体" w:eastAsia="宋体" w:hint="default"/>
                <w:spacing w:val="-102"/>
                <w:sz w:val="21"/>
                <w:szCs w:val="21"/>
              </w:rPr>
              <w:t> </w:t>
            </w:r>
            <w:r>
              <w:rPr>
                <w:rFonts w:ascii="宋体" w:hAnsi="宋体" w:cs="宋体" w:eastAsia="宋体" w:hint="default"/>
                <w:sz w:val="21"/>
                <w:szCs w:val="21"/>
              </w:rPr>
              <w:t>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1,948,82</w:t>
            </w:r>
          </w:p>
          <w:p>
            <w:pPr>
              <w:pStyle w:val="TableParagraph"/>
              <w:spacing w:line="240" w:lineRule="auto" w:before="71"/>
              <w:ind w:left="398" w:right="0"/>
              <w:jc w:val="left"/>
              <w:rPr>
                <w:rFonts w:ascii="Times New Roman" w:hAnsi="Times New Roman" w:cs="Times New Roman" w:eastAsia="Times New Roman" w:hint="default"/>
                <w:sz w:val="21"/>
                <w:szCs w:val="21"/>
              </w:rPr>
            </w:pPr>
            <w:r>
              <w:rPr>
                <w:rFonts w:ascii="Times New Roman"/>
                <w:sz w:val="21"/>
              </w:rPr>
              <w:t>0.21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13,553.7</w:t>
            </w:r>
          </w:p>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1,962,37</w:t>
            </w:r>
          </w:p>
          <w:p>
            <w:pPr>
              <w:pStyle w:val="TableParagraph"/>
              <w:spacing w:line="240" w:lineRule="auto" w:before="71"/>
              <w:ind w:left="398" w:right="0"/>
              <w:jc w:val="left"/>
              <w:rPr>
                <w:rFonts w:ascii="Times New Roman" w:hAnsi="Times New Roman" w:cs="Times New Roman" w:eastAsia="Times New Roman" w:hint="default"/>
                <w:sz w:val="21"/>
                <w:szCs w:val="21"/>
              </w:rPr>
            </w:pPr>
            <w:r>
              <w:rPr>
                <w:rFonts w:ascii="Times New Roman"/>
                <w:sz w:val="21"/>
              </w:rPr>
              <w:t>3.91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1,948,82</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0.21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13,553.7</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1,962,37</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3.91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1,948,82</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0.21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13,553.7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1,962,37</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3.91</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39"/>
        <w:ind w:right="1273"/>
        <w:jc w:val="left"/>
        <w:rPr>
          <w:b w:val="0"/>
          <w:bCs w:val="0"/>
        </w:rPr>
      </w:pP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135"/>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966"/>
        <w:gridCol w:w="1847"/>
        <w:gridCol w:w="1913"/>
        <w:gridCol w:w="1913"/>
        <w:gridCol w:w="1916"/>
      </w:tblGrid>
      <w:tr>
        <w:trPr>
          <w:trHeight w:val="206" w:hRule="exact"/>
        </w:trPr>
        <w:tc>
          <w:tcPr>
            <w:tcW w:w="19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0" w:hRule="exact"/>
        </w:trPr>
        <w:tc>
          <w:tcPr>
            <w:tcW w:w="19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76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66" w:type="dxa"/>
            <w:vMerge/>
            <w:tcBorders>
              <w:left w:val="single" w:sz="4" w:space="0" w:color="000000"/>
              <w:bottom w:val="nil" w:sz="6" w:space="0" w:color="auto"/>
              <w:right w:val="single" w:sz="4" w:space="0" w:color="000000"/>
            </w:tcBorders>
            <w:shd w:val="clear" w:color="auto" w:fill="D2D2D2"/>
          </w:tcPr>
          <w:p>
            <w:pP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643,210,135.07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388,468,531.79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631,671,688.07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346,346,483.37</w:t>
            </w:r>
          </w:p>
        </w:tc>
      </w:tr>
      <w:tr>
        <w:trPr>
          <w:trHeight w:val="403"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19,086,521.90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3,890,249.52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18,695,277.57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3,785,554.42</w:t>
            </w:r>
          </w:p>
        </w:tc>
      </w:tr>
      <w:tr>
        <w:trPr>
          <w:trHeight w:val="401"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662,296,656.97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392,358,781.31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650,366,965.64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350,132,037.79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pStyle w:val="BodyText"/>
        <w:spacing w:line="240" w:lineRule="auto" w:before="39"/>
        <w:ind w:right="-20"/>
        <w:jc w:val="left"/>
      </w:pPr>
      <w:r>
        <w:rPr/>
        <w:t>其他说明：无</w:t>
      </w:r>
    </w:p>
    <w:p>
      <w:pPr>
        <w:pStyle w:val="Heading2"/>
        <w:spacing w:line="240" w:lineRule="auto" w:before="154"/>
        <w:ind w:right="-2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1594" w:space="6966"/>
            <w:col w:w="2370"/>
          </w:cols>
        </w:sectPr>
      </w:pPr>
    </w:p>
    <w:p>
      <w:pPr>
        <w:spacing w:line="240" w:lineRule="auto" w:before="1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7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13,553.70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701,216.26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9,533,092.71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7,946,534.11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9,546,646.41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8,647,750.37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pStyle w:val="Heading2"/>
        <w:spacing w:line="240" w:lineRule="auto" w:before="39"/>
        <w:ind w:right="-21"/>
        <w:jc w:val="left"/>
        <w:rPr>
          <w:b w:val="0"/>
          <w:bCs w:val="0"/>
        </w:rPr>
      </w:pPr>
      <w:r>
        <w:rPr/>
        <w:t>十七、补充资料</w:t>
      </w:r>
      <w:r>
        <w:rPr>
          <w:b w:val="0"/>
          <w:bCs w:val="0"/>
        </w:rPr>
      </w:r>
    </w:p>
    <w:p>
      <w:pPr>
        <w:pStyle w:val="Heading2"/>
        <w:spacing w:line="240" w:lineRule="auto" w:before="154"/>
        <w:ind w:right="-21"/>
        <w:jc w:val="left"/>
        <w:rPr>
          <w:b w:val="0"/>
          <w:bCs w:val="0"/>
        </w:rPr>
      </w:pPr>
      <w:r>
        <w:rPr>
          <w:rFonts w:ascii="Times New Roman" w:hAnsi="Times New Roman" w:cs="Times New Roman" w:eastAsia="Times New Roman" w:hint="default"/>
        </w:rPr>
        <w:t>1</w:t>
      </w:r>
      <w:r>
        <w:rPr/>
        <w:t>、当期非经常性损益明细表</w:t>
      </w:r>
      <w:r>
        <w:rPr>
          <w:b w:val="0"/>
          <w:bCs w:val="0"/>
        </w:rPr>
      </w:r>
    </w:p>
    <w:p>
      <w:pPr>
        <w:pStyle w:val="BodyText"/>
        <w:spacing w:line="240" w:lineRule="auto" w:before="135"/>
        <w:ind w:right="-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165" w:space="5530"/>
            <w:col w:w="2235"/>
          </w:cols>
        </w:sectPr>
      </w:pP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73,947.43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 w:right="6"/>
              <w:jc w:val="both"/>
              <w:rPr>
                <w:rFonts w:ascii="宋体" w:hAnsi="宋体" w:cs="宋体" w:eastAsia="宋体" w:hint="default"/>
                <w:sz w:val="21"/>
                <w:szCs w:val="21"/>
              </w:rPr>
            </w:pPr>
            <w:r>
              <w:rPr>
                <w:rFonts w:ascii="宋体" w:hAnsi="宋体" w:cs="宋体" w:eastAsia="宋体" w:hint="default"/>
                <w:spacing w:val="-7"/>
                <w:w w:val="100"/>
                <w:sz w:val="21"/>
                <w:szCs w:val="21"/>
              </w:rPr>
              <w:t>计入当期损益的政府补助（与企业业</w:t>
            </w:r>
            <w:r>
              <w:rPr>
                <w:rFonts w:ascii="宋体" w:hAnsi="宋体" w:cs="宋体" w:eastAsia="宋体" w:hint="default"/>
                <w:w w:val="100"/>
                <w:sz w:val="21"/>
                <w:szCs w:val="21"/>
              </w:rPr>
              <w:t> </w:t>
            </w:r>
            <w:r>
              <w:rPr>
                <w:rFonts w:ascii="宋体" w:hAnsi="宋体" w:cs="宋体" w:eastAsia="宋体" w:hint="default"/>
                <w:spacing w:val="-7"/>
                <w:w w:val="100"/>
                <w:sz w:val="21"/>
                <w:szCs w:val="21"/>
              </w:rPr>
              <w:t>务密切相关，按照国家统一标准定额</w:t>
            </w:r>
            <w:r>
              <w:rPr>
                <w:rFonts w:ascii="宋体" w:hAnsi="宋体" w:cs="宋体" w:eastAsia="宋体" w:hint="default"/>
                <w:w w:val="100"/>
                <w:sz w:val="21"/>
                <w:szCs w:val="21"/>
              </w:rPr>
              <w:t> </w:t>
            </w:r>
            <w:r>
              <w:rPr>
                <w:rFonts w:ascii="宋体" w:hAnsi="宋体" w:cs="宋体" w:eastAsia="宋体" w:hint="default"/>
                <w:sz w:val="21"/>
                <w:szCs w:val="21"/>
              </w:rPr>
              <w:t>或定量享受的政府补助除外）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22,300,796.56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w:t>
            </w:r>
            <w:r>
              <w:rPr>
                <w:rFonts w:ascii="宋体" w:hAnsi="宋体" w:cs="宋体" w:eastAsia="宋体" w:hint="default"/>
                <w:w w:val="100"/>
                <w:sz w:val="21"/>
                <w:szCs w:val="21"/>
              </w:rPr>
              <w:t> </w:t>
            </w:r>
            <w:r>
              <w:rPr>
                <w:rFonts w:ascii="宋体" w:hAnsi="宋体" w:cs="宋体" w:eastAsia="宋体" w:hint="default"/>
                <w:spacing w:val="-7"/>
                <w:w w:val="100"/>
                <w:sz w:val="21"/>
                <w:szCs w:val="21"/>
              </w:rPr>
              <w:t>套期保值业务外，持有交易性金融资</w:t>
            </w:r>
            <w:r>
              <w:rPr>
                <w:rFonts w:ascii="宋体" w:hAnsi="宋体" w:cs="宋体" w:eastAsia="宋体" w:hint="default"/>
                <w:w w:val="100"/>
                <w:sz w:val="21"/>
                <w:szCs w:val="21"/>
              </w:rPr>
              <w:t> </w:t>
            </w:r>
            <w:r>
              <w:rPr>
                <w:rFonts w:ascii="宋体" w:hAnsi="宋体" w:cs="宋体" w:eastAsia="宋体" w:hint="default"/>
                <w:spacing w:val="-7"/>
                <w:w w:val="100"/>
                <w:sz w:val="21"/>
                <w:szCs w:val="21"/>
              </w:rPr>
              <w:t>产、交易性金融负债产生的公允价值</w:t>
            </w:r>
            <w:r>
              <w:rPr>
                <w:rFonts w:ascii="宋体" w:hAnsi="宋体" w:cs="宋体" w:eastAsia="宋体" w:hint="default"/>
                <w:w w:val="100"/>
                <w:sz w:val="21"/>
                <w:szCs w:val="21"/>
              </w:rPr>
              <w:t> </w:t>
            </w:r>
            <w:r>
              <w:rPr>
                <w:rFonts w:ascii="宋体" w:hAnsi="宋体" w:cs="宋体" w:eastAsia="宋体" w:hint="default"/>
                <w:sz w:val="21"/>
                <w:szCs w:val="21"/>
              </w:rPr>
              <w:t>变动损益，以及处置交易性金融资</w:t>
            </w:r>
            <w:r>
              <w:rPr>
                <w:rFonts w:ascii="宋体" w:hAnsi="宋体" w:cs="宋体" w:eastAsia="宋体" w:hint="default"/>
                <w:w w:val="100"/>
                <w:sz w:val="21"/>
                <w:szCs w:val="21"/>
              </w:rPr>
              <w:t> </w:t>
            </w:r>
            <w:r>
              <w:rPr>
                <w:rFonts w:ascii="宋体" w:hAnsi="宋体" w:cs="宋体" w:eastAsia="宋体" w:hint="default"/>
                <w:spacing w:val="-7"/>
                <w:w w:val="100"/>
                <w:sz w:val="21"/>
                <w:szCs w:val="21"/>
              </w:rPr>
              <w:t>产、交易性金融负债和可供出售金融</w:t>
            </w:r>
            <w:r>
              <w:rPr>
                <w:rFonts w:ascii="宋体" w:hAnsi="宋体" w:cs="宋体" w:eastAsia="宋体" w:hint="default"/>
                <w:w w:val="100"/>
                <w:sz w:val="21"/>
                <w:szCs w:val="21"/>
              </w:rPr>
              <w:t> </w:t>
            </w:r>
            <w:r>
              <w:rPr>
                <w:rFonts w:ascii="宋体" w:hAnsi="宋体" w:cs="宋体" w:eastAsia="宋体" w:hint="default"/>
                <w:sz w:val="21"/>
                <w:szCs w:val="21"/>
              </w:rPr>
              <w:t>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240.43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24"/>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3,081.46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24"/>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10,549,448.87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3,295,335.40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-6,740.27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29,638,919.62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39"/>
        <w:ind w:right="1116"/>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非经常性损益》定义界定</w:t>
      </w:r>
    </w:p>
    <w:p>
      <w:pPr>
        <w:pStyle w:val="BodyText"/>
        <w:spacing w:line="338" w:lineRule="auto" w:before="135"/>
        <w:ind w:right="1152"/>
        <w:jc w:val="left"/>
      </w:pPr>
      <w:r>
        <w:rPr/>
        <w:t>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性损益》中列举的非经常性损益项目界定为经常性损益的项目，应说明原因。</w:t>
      </w:r>
    </w:p>
    <w:p>
      <w:pPr>
        <w:pStyle w:val="BodyText"/>
        <w:spacing w:line="240" w:lineRule="auto" w:before="56"/>
        <w:ind w:right="1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89" w:right="0"/>
              <w:jc w:val="left"/>
              <w:rPr>
                <w:rFonts w:ascii="宋体" w:hAnsi="宋体" w:cs="宋体" w:eastAsia="宋体" w:hint="default"/>
                <w:sz w:val="21"/>
                <w:szCs w:val="21"/>
              </w:rPr>
            </w:pPr>
            <w:r>
              <w:rPr>
                <w:rFonts w:ascii="宋体" w:hAnsi="宋体" w:cs="宋体" w:eastAsia="宋体" w:hint="default"/>
                <w:sz w:val="21"/>
                <w:szCs w:val="21"/>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7"/>
              <w:jc w:val="left"/>
              <w:rPr>
                <w:rFonts w:ascii="宋体" w:hAnsi="宋体" w:cs="宋体" w:eastAsia="宋体" w:hint="default"/>
                <w:sz w:val="21"/>
                <w:szCs w:val="21"/>
              </w:rPr>
            </w:pPr>
            <w:r>
              <w:rPr>
                <w:rFonts w:ascii="宋体" w:hAnsi="宋体" w:cs="宋体" w:eastAsia="宋体" w:hint="default"/>
                <w:sz w:val="21"/>
                <w:szCs w:val="21"/>
              </w:rPr>
              <w:t>增值税实际税负超过</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w:t>
            </w:r>
            <w:r>
              <w:rPr>
                <w:rFonts w:ascii="宋体" w:hAnsi="宋体" w:cs="宋体" w:eastAsia="宋体" w:hint="default"/>
                <w:w w:val="100"/>
                <w:sz w:val="21"/>
                <w:szCs w:val="21"/>
              </w:rPr>
              <w:t> </w:t>
            </w:r>
            <w:r>
              <w:rPr>
                <w:rFonts w:ascii="宋体" w:hAnsi="宋体" w:cs="宋体" w:eastAsia="宋体" w:hint="default"/>
                <w:sz w:val="21"/>
                <w:szCs w:val="21"/>
              </w:rPr>
              <w:t>即征即退</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19" w:right="0"/>
              <w:jc w:val="left"/>
              <w:rPr>
                <w:rFonts w:ascii="Times New Roman" w:hAnsi="Times New Roman" w:cs="Times New Roman" w:eastAsia="Times New Roman" w:hint="default"/>
                <w:sz w:val="21"/>
                <w:szCs w:val="21"/>
              </w:rPr>
            </w:pPr>
            <w:r>
              <w:rPr>
                <w:rFonts w:ascii="Times New Roman"/>
                <w:sz w:val="21"/>
              </w:rPr>
              <w:t>13,178,218.61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3"/>
                <w:sz w:val="21"/>
                <w:szCs w:val="21"/>
              </w:rPr>
              <w:t>软件产品销售，增值税实际税负超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w:t>
            </w:r>
          </w:p>
        </w:tc>
      </w:tr>
    </w:tbl>
    <w:p>
      <w:pPr>
        <w:pStyle w:val="Heading2"/>
        <w:spacing w:line="240" w:lineRule="auto" w:before="39"/>
        <w:ind w:right="127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086"/>
        <w:gridCol w:w="2657"/>
        <w:gridCol w:w="1913"/>
        <w:gridCol w:w="1916"/>
      </w:tblGrid>
      <w:tr>
        <w:trPr>
          <w:trHeight w:val="403" w:hRule="exact"/>
        </w:trPr>
        <w:tc>
          <w:tcPr>
            <w:tcW w:w="30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11"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713" w:hRule="exact"/>
        </w:trPr>
        <w:tc>
          <w:tcPr>
            <w:tcW w:w="3086" w:type="dxa"/>
            <w:vMerge/>
            <w:tcBorders>
              <w:left w:val="single" w:sz="4" w:space="0" w:color="000000"/>
              <w:bottom w:val="single" w:sz="4" w:space="0" w:color="000000"/>
              <w:right w:val="single" w:sz="4" w:space="0" w:color="000000"/>
            </w:tcBorders>
            <w:shd w:val="clear" w:color="auto" w:fill="D2D2D2"/>
          </w:tcPr>
          <w:p>
            <w:pPr/>
          </w:p>
        </w:tc>
        <w:tc>
          <w:tcPr>
            <w:tcW w:w="265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741" w:right="76" w:hanging="658"/>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741" w:right="78" w:hanging="658"/>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r>
    </w:tbl>
    <w:p>
      <w:pPr>
        <w:spacing w:after="0" w:line="256"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5"/>
        <w:gridCol w:w="2668"/>
        <w:gridCol w:w="1913"/>
        <w:gridCol w:w="1913"/>
      </w:tblGrid>
      <w:tr>
        <w:trPr>
          <w:trHeight w:val="401" w:hRule="exact"/>
        </w:trPr>
        <w:tc>
          <w:tcPr>
            <w:tcW w:w="3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6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r>
      <w:tr>
        <w:trPr>
          <w:trHeight w:val="715" w:hRule="exact"/>
        </w:trPr>
        <w:tc>
          <w:tcPr>
            <w:tcW w:w="3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95"/>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普通股股东的净利润</w:t>
            </w:r>
          </w:p>
        </w:tc>
        <w:tc>
          <w:tcPr>
            <w:tcW w:w="26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0.31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984" w:right="3965"/>
        <w:jc w:val="center"/>
        <w:rPr>
          <w:b w:val="0"/>
          <w:bCs w:val="0"/>
        </w:rPr>
      </w:pPr>
      <w:bookmarkStart w:name="_bookmark11" w:id="12"/>
      <w:bookmarkEnd w:id="12"/>
      <w:r>
        <w:rPr>
          <w:b w:val="0"/>
          <w:bCs w:val="0"/>
        </w:rPr>
      </w:r>
      <w:r>
        <w:rPr/>
        <w:t>第十二节</w:t>
      </w:r>
      <w:r>
        <w:rPr>
          <w:spacing w:val="-5"/>
        </w:rPr>
        <w:t> </w:t>
      </w:r>
      <w:r>
        <w:rPr/>
        <w:t>备查文件目录</w:t>
      </w:r>
      <w:r>
        <w:rPr>
          <w:b w:val="0"/>
          <w:bCs w:val="0"/>
        </w:rPr>
      </w:r>
    </w:p>
    <w:p>
      <w:pPr>
        <w:spacing w:line="240" w:lineRule="auto" w:before="0"/>
        <w:rPr>
          <w:rFonts w:ascii="宋体" w:hAnsi="宋体" w:cs="宋体" w:eastAsia="宋体" w:hint="default"/>
          <w:b/>
          <w:bCs/>
          <w:sz w:val="45"/>
          <w:szCs w:val="45"/>
        </w:rPr>
      </w:pPr>
    </w:p>
    <w:p>
      <w:pPr>
        <w:pStyle w:val="BodyText"/>
        <w:spacing w:line="357" w:lineRule="auto" w:before="0"/>
        <w:ind w:right="1153"/>
        <w:jc w:val="left"/>
      </w:pPr>
      <w:r>
        <w:rPr/>
        <w:t>（一）载有公司负责人、主管会计工作负责人、会计机构负责人（会计主管人员）签名并盖 章的财务报表。</w:t>
      </w:r>
    </w:p>
    <w:p>
      <w:pPr>
        <w:pStyle w:val="BodyText"/>
        <w:spacing w:line="240" w:lineRule="auto" w:before="74"/>
        <w:ind w:right="1273"/>
        <w:jc w:val="left"/>
      </w:pPr>
      <w:r>
        <w:rPr/>
        <w:t>（二）载有会计师事务所盖章、注册会计师签名并盖章的审计报告原件。</w:t>
      </w:r>
    </w:p>
    <w:p>
      <w:pPr>
        <w:pStyle w:val="BodyText"/>
        <w:spacing w:line="240" w:lineRule="auto" w:before="194"/>
        <w:ind w:right="1116"/>
        <w:jc w:val="left"/>
      </w:pPr>
      <w:r>
        <w:rPr/>
        <w:t>（三）报告期内在中国证监会指定网站上公开披露过的所有公司文件的正本及公告的原稿。</w:t>
      </w:r>
    </w:p>
    <w:p>
      <w:pPr>
        <w:pStyle w:val="BodyText"/>
        <w:spacing w:line="240" w:lineRule="auto" w:before="194"/>
        <w:ind w:right="1273"/>
        <w:jc w:val="left"/>
      </w:pPr>
      <w:r>
        <w:rPr/>
        <w:t>（四）在其他证券市场公布的年度报告。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2"/>
        <w:spacing w:line="386" w:lineRule="auto"/>
        <w:ind w:left="8079" w:right="1115" w:hanging="1179"/>
        <w:jc w:val="left"/>
        <w:rPr>
          <w:b w:val="0"/>
          <w:bCs w:val="0"/>
        </w:rPr>
      </w:pPr>
      <w:r>
        <w:rPr/>
        <w:t>北京超图软件股份有限公司</w:t>
      </w:r>
      <w:r>
        <w:rPr>
          <w:w w:val="99"/>
        </w:rPr>
        <w:t> </w:t>
      </w:r>
      <w:r>
        <w:rPr/>
        <w:t>董事会</w:t>
      </w:r>
      <w:r>
        <w:rPr>
          <w:b w:val="0"/>
          <w:bCs w:val="0"/>
        </w:rPr>
      </w:r>
    </w:p>
    <w:p>
      <w:pPr>
        <w:pStyle w:val="Heading2"/>
        <w:spacing w:line="240" w:lineRule="auto" w:before="48"/>
        <w:ind w:left="0" w:right="1553"/>
        <w:jc w:val="right"/>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b w:val="0"/>
          <w:bCs w:val="0"/>
        </w:rPr>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304" type="#_x0000_t75" stroked="false">
          <v:imagedata r:id="rId1" o:title=""/>
        </v:shape>
      </w:pict>
    </w:r>
    <w:r>
      <w:rPr/>
      <w:pict>
        <v:shape style="position:absolute;margin-left:527.679993pt;margin-top:781.957947pt;width:13.15pt;height:11pt;mso-position-horizontal-relative:page;mso-position-vertical-relative:page;z-index:-1065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256" type="#_x0000_t75" stroked="false">
          <v:imagedata r:id="rId1" o:title=""/>
        </v:shape>
      </w:pict>
    </w:r>
    <w:r>
      <w:rPr/>
      <w:pict>
        <v:shape style="position:absolute;margin-left:524.119995pt;margin-top:781.957947pt;width:15.7pt;height:11pt;mso-position-horizontal-relative:page;mso-position-vertical-relative:page;z-index:-1065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208" type="#_x0000_t75" stroked="false">
          <v:imagedata r:id="rId1" o:title=""/>
        </v:shape>
      </w:pict>
    </w:r>
    <w:r>
      <w:rPr/>
      <w:pict>
        <v:shape style="position:absolute;margin-left:523.119995pt;margin-top:781.957947pt;width:17.7pt;height:11pt;mso-position-horizontal-relative:page;mso-position-vertical-relative:page;z-index:-1065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160" type="#_x0000_t75" stroked="false">
          <v:imagedata r:id="rId1" o:title=""/>
        </v:shape>
      </w:pict>
    </w:r>
    <w:r>
      <w:rPr/>
      <w:pict>
        <v:shape style="position:absolute;margin-left:523.479980pt;margin-top:781.957947pt;width:17.3pt;height:11pt;mso-position-horizontal-relative:page;mso-position-vertical-relative:page;z-index:-1065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112" type="#_x0000_t75" stroked="false">
          <v:imagedata r:id="rId1" o:title=""/>
        </v:shape>
      </w:pict>
    </w:r>
    <w:r>
      <w:rPr/>
      <w:pict>
        <v:shape style="position:absolute;margin-left:523.119995pt;margin-top:781.957947pt;width:17.7pt;height:11pt;mso-position-horizontal-relative:page;mso-position-vertical-relative:page;z-index:-1065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064" type="#_x0000_t75" stroked="false">
          <v:imagedata r:id="rId1" o:title=""/>
        </v:shape>
      </w:pict>
    </w:r>
    <w:r>
      <w:rPr/>
      <w:pict>
        <v:shape style="position:absolute;margin-left:524.119995pt;margin-top:781.957947pt;width:15.7pt;height:11pt;mso-position-horizontal-relative:page;mso-position-vertical-relative:page;z-index:-1065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016" type="#_x0000_t75" stroked="false">
          <v:imagedata r:id="rId1" o:title=""/>
        </v:shape>
      </w:pict>
    </w:r>
    <w:r>
      <w:rPr/>
      <w:pict>
        <v:shape style="position:absolute;margin-left:523.119995pt;margin-top:781.957947pt;width:17.7pt;height:11pt;mso-position-horizontal-relative:page;mso-position-vertical-relative:page;z-index:-1064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23999pt;margin-top:55.559982pt;width:484.9pt;height:.1pt;mso-position-horizontal-relative:page;mso-position-vertical-relative:page;z-index:-10653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070007pt;margin-top:42.865608pt;width:195.75pt;height:11.5pt;mso-position-horizontal-relative:page;mso-position-vertical-relative:page;z-index:-1065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635"/>
    </w:pPr>
    <w:rPr>
      <w:rFonts w:ascii="宋体" w:hAnsi="宋体" w:eastAsia="宋体"/>
      <w:b/>
      <w:bCs/>
      <w:sz w:val="24"/>
      <w:szCs w:val="24"/>
    </w:rPr>
  </w:style>
  <w:style w:styleId="BodyText" w:type="paragraph">
    <w:name w:val="Body Text"/>
    <w:basedOn w:val="Normal"/>
    <w:uiPriority w:val="1"/>
    <w:qFormat/>
    <w:pPr>
      <w:spacing w:before="36"/>
      <w:ind w:left="153"/>
    </w:pPr>
    <w:rPr>
      <w:rFonts w:ascii="宋体" w:hAnsi="宋体" w:eastAsia="宋体"/>
      <w:sz w:val="24"/>
      <w:szCs w:val="24"/>
    </w:rPr>
  </w:style>
  <w:style w:styleId="Heading1" w:type="paragraph">
    <w:name w:val="Heading 1"/>
    <w:basedOn w:val="Normal"/>
    <w:uiPriority w:val="1"/>
    <w:qFormat/>
    <w:pPr>
      <w:ind w:left="3268"/>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supermap.com.cn/" TargetMode="External"/><Relationship Id="rId9" Type="http://schemas.openxmlformats.org/officeDocument/2006/relationships/hyperlink" Target="http://www.supermap.com/" TargetMode="External"/><Relationship Id="rId10" Type="http://schemas.openxmlformats.org/officeDocument/2006/relationships/hyperlink" Target="mailto:public@supermap.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北京超图软件股份有限公司</dc:creator>
  <dc:title>北京超图软件股份有限公司2018年年度报告全文</dc:title>
  <dcterms:created xsi:type="dcterms:W3CDTF">2020-05-04T22:35:27Z</dcterms:created>
  <dcterms:modified xsi:type="dcterms:W3CDTF">2020-05-04T22:35:27Z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Creator">
    <vt:lpwstr>Microsoft® Word 2010</vt:lpwstr>
  </property>
  <property fmtid="{D5CDD505-2E9C-101B-9397-08002B2CF9AE}" pid="4" name="LastSaved">
    <vt:filetime>2020-05-04T00:00:00Z</vt:filetime>
  </property>
</Properties>
</file>