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19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89" cy="13906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89" cy="139065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061" w:right="2060" w:firstLine="0"/>
        <w:jc w:val="center"/>
        <w:rPr>
          <w:rFonts w:ascii="宋体" w:hAnsi="宋体" w:cs="宋体" w:eastAsia="宋体" w:hint="default"/>
          <w:sz w:val="36"/>
          <w:szCs w:val="36"/>
        </w:rPr>
      </w:pPr>
      <w:r>
        <w:rPr>
          <w:rFonts w:ascii="宋体" w:hAnsi="宋体" w:cs="宋体" w:eastAsia="宋体" w:hint="default"/>
          <w:b/>
          <w:bCs/>
          <w:sz w:val="36"/>
          <w:szCs w:val="36"/>
        </w:rPr>
        <w:t>深圳天源迪科信息技术股份有限公司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061" w:right="2060" w:firstLine="0"/>
        <w:jc w:val="center"/>
        <w:rPr>
          <w:rFonts w:ascii="Times New Roman" w:hAnsi="Times New Roman" w:cs="Times New Roman" w:eastAsia="Times New Roman" w:hint="default"/>
          <w:sz w:val="22"/>
          <w:szCs w:val="22"/>
        </w:rPr>
      </w:pPr>
      <w:r>
        <w:rPr>
          <w:rFonts w:ascii="Times New Roman"/>
          <w:b/>
          <w:sz w:val="22"/>
        </w:rPr>
        <w:t>2013-10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061"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公司负责人陈友、主管会计工作负责人邹立文及会计机构负责人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钱文胜声明：保证年度报告中财务报告的真实、准确、完整。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1" w:right="20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r>
            <w:r>
              <w:rPr>
                <w:u w:val="single" w:color="000000"/>
              </w:rPr>
              <w:t>第一节</w:t>
            </w:r>
            <w:r>
              <w:rPr>
                <w:spacing w:val="-17"/>
                <w:u w:val="single" w:color="000000"/>
              </w:rPr>
              <w:t> </w:t>
            </w:r>
            <w:r>
              <w:rPr>
                <w:u w:val="single" w:color="000000"/>
              </w:rPr>
              <w:t>重要提示、目录和释义</w:t>
            </w:r>
            <w:r>
              <w:rPr/>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r>
            <w:r>
              <w:rPr>
                <w:u w:val="single" w:color="000000"/>
              </w:rPr>
              <w:t>第二节</w:t>
            </w:r>
            <w:r>
              <w:rPr>
                <w:spacing w:val="-17"/>
                <w:u w:val="single" w:color="000000"/>
              </w:rPr>
              <w:t> </w:t>
            </w:r>
            <w:r>
              <w:rPr>
                <w:u w:val="single" w:color="000000"/>
              </w:rPr>
              <w:t>公司基本情况简介</w:t>
            </w:r>
            <w:r>
              <w:rPr/>
            </w:r>
            <w:r>
              <w:rPr>
                <w:rFonts w:ascii="Times New Roman" w:hAnsi="Times New Roman" w:cs="Times New Roman" w:eastAsia="Times New Roman" w:hint="default"/>
              </w:rPr>
              <w:tab/>
              <w:t>5</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7">
            <w:r>
              <w:rPr/>
            </w:r>
            <w:r>
              <w:rPr>
                <w:u w:val="single" w:color="000000"/>
              </w:rPr>
              <w:t>第三节</w:t>
            </w:r>
            <w:r>
              <w:rPr>
                <w:spacing w:val="-17"/>
                <w:u w:val="single" w:color="000000"/>
              </w:rPr>
              <w:t> </w:t>
            </w:r>
            <w:r>
              <w:rPr>
                <w:u w:val="single" w:color="000000"/>
              </w:rPr>
              <w:t>会计数据和财务指标摘要</w:t>
            </w:r>
            <w:r>
              <w:rPr/>
            </w:r>
            <w:r>
              <w:rPr>
                <w:rFonts w:ascii="Times New Roman" w:hAnsi="Times New Roman" w:cs="Times New Roman" w:eastAsia="Times New Roman" w:hint="default"/>
              </w:rPr>
              <w:tab/>
              <w:t>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r>
            <w:r>
              <w:rPr>
                <w:u w:val="single" w:color="000000"/>
              </w:rPr>
              <w:t>第四节</w:t>
            </w:r>
            <w:r>
              <w:rPr>
                <w:spacing w:val="-17"/>
                <w:u w:val="single" w:color="000000"/>
              </w:rPr>
              <w:t> </w:t>
            </w:r>
            <w:r>
              <w:rPr>
                <w:u w:val="single" w:color="000000"/>
              </w:rPr>
              <w:t>董事会报告</w:t>
            </w:r>
            <w:r>
              <w:rPr/>
            </w:r>
            <w:r>
              <w:rPr>
                <w:rFonts w:ascii="Times New Roman" w:hAnsi="Times New Roman" w:cs="Times New Roman" w:eastAsia="Times New Roman" w:hint="default"/>
              </w:rPr>
              <w:tab/>
              <w:t>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r>
            <w:r>
              <w:rPr>
                <w:u w:val="single" w:color="000000"/>
              </w:rPr>
              <w:t>第五节</w:t>
            </w:r>
            <w:r>
              <w:rPr>
                <w:spacing w:val="-17"/>
                <w:u w:val="single" w:color="000000"/>
              </w:rPr>
              <w:t> </w:t>
            </w:r>
            <w:r>
              <w:rPr>
                <w:u w:val="single" w:color="000000"/>
              </w:rPr>
              <w:t>重要事项</w:t>
            </w:r>
            <w:r>
              <w:rPr/>
            </w:r>
            <w:r>
              <w:rPr>
                <w:rFonts w:ascii="Times New Roman" w:hAnsi="Times New Roman" w:cs="Times New Roman" w:eastAsia="Times New Roman" w:hint="default"/>
              </w:rPr>
              <w:tab/>
              <w:t>12</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4">
            <w:r>
              <w:rPr/>
            </w:r>
            <w:r>
              <w:rPr>
                <w:u w:val="single" w:color="000000"/>
              </w:rPr>
              <w:t>第六节</w:t>
            </w:r>
            <w:r>
              <w:rPr>
                <w:spacing w:val="-17"/>
                <w:u w:val="single" w:color="000000"/>
              </w:rPr>
              <w:t> </w:t>
            </w:r>
            <w:r>
              <w:rPr>
                <w:u w:val="single" w:color="000000"/>
              </w:rPr>
              <w:t>股份变动及股东情况</w:t>
            </w:r>
            <w:r>
              <w:rPr/>
            </w:r>
            <w:r>
              <w:rPr>
                <w:rFonts w:ascii="Times New Roman" w:hAnsi="Times New Roman" w:cs="Times New Roman" w:eastAsia="Times New Roman" w:hint="default"/>
              </w:rPr>
              <w:tab/>
              <w:t>16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r>
            <w:r>
              <w:rPr>
                <w:u w:val="single" w:color="000000"/>
              </w:rPr>
              <w:t>第七节</w:t>
            </w:r>
            <w:r>
              <w:rPr>
                <w:spacing w:val="-17"/>
                <w:u w:val="single" w:color="000000"/>
              </w:rPr>
              <w:t> </w:t>
            </w:r>
            <w:r>
              <w:rPr>
                <w:u w:val="single" w:color="000000"/>
              </w:rPr>
              <w:t>董事、监事、高级管理人员和员工情况</w:t>
            </w:r>
            <w:r>
              <w:rPr/>
            </w:r>
            <w:r>
              <w:rPr>
                <w:rFonts w:ascii="Times New Roman" w:hAnsi="Times New Roman" w:cs="Times New Roman" w:eastAsia="Times New Roman" w:hint="default"/>
              </w:rPr>
              <w:tab/>
              <w:t>18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r>
            <w:r>
              <w:rPr>
                <w:u w:val="single" w:color="000000"/>
              </w:rPr>
              <w:t>第八节</w:t>
            </w:r>
            <w:r>
              <w:rPr>
                <w:spacing w:val="-17"/>
                <w:u w:val="single" w:color="000000"/>
              </w:rPr>
              <w:t> </w:t>
            </w:r>
            <w:r>
              <w:rPr>
                <w:u w:val="single" w:color="000000"/>
              </w:rPr>
              <w:t>公司治理</w:t>
            </w:r>
            <w:r>
              <w:rPr/>
            </w:r>
            <w:r>
              <w:rPr>
                <w:rFonts w:ascii="Times New Roman" w:hAnsi="Times New Roman" w:cs="Times New Roman" w:eastAsia="Times New Roman" w:hint="default"/>
              </w:rPr>
              <w:tab/>
              <w:t>19</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1">
            <w:r>
              <w:rPr/>
            </w:r>
            <w:r>
              <w:rPr>
                <w:u w:val="single" w:color="000000"/>
              </w:rPr>
              <w:t>第九节</w:t>
            </w:r>
            <w:r>
              <w:rPr>
                <w:spacing w:val="-17"/>
                <w:u w:val="single" w:color="000000"/>
              </w:rPr>
              <w:t> </w:t>
            </w:r>
            <w:r>
              <w:rPr>
                <w:u w:val="single" w:color="000000"/>
              </w:rPr>
              <w:t>财务报告</w:t>
            </w:r>
            <w:r>
              <w:rPr/>
            </w:r>
            <w:r>
              <w:rPr>
                <w:rFonts w:ascii="Times New Roman" w:hAnsi="Times New Roman" w:cs="Times New Roman" w:eastAsia="Times New Roman" w:hint="default"/>
              </w:rPr>
              <w:tab/>
              <w:t>20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r>
            <w:r>
              <w:rPr>
                <w:u w:val="single" w:color="000000"/>
              </w:rPr>
              <w:t>第十节</w:t>
            </w:r>
            <w:r>
              <w:rPr>
                <w:spacing w:val="-17"/>
                <w:u w:val="single" w:color="000000"/>
              </w:rPr>
              <w:t> </w:t>
            </w:r>
            <w:r>
              <w:rPr>
                <w:u w:val="single" w:color="000000"/>
              </w:rPr>
              <w:t>备查文件目录</w:t>
            </w:r>
            <w:r>
              <w:rPr/>
            </w:r>
            <w:r>
              <w:rPr>
                <w:rFonts w:ascii="Times New Roman" w:hAnsi="Times New Roman" w:cs="Times New Roman" w:eastAsia="Times New Roman" w:hint="default"/>
              </w:rPr>
              <w:tab/>
              <w:t>68</w:t>
            </w:r>
          </w:hyperlink>
        </w:p>
        <w:p>
          <w:pPr/>
          <w:r>
            <w:fldChar w:fldCharType="end"/>
          </w:r>
        </w:p>
      </w:sdtContent>
    </w:sdt>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2061" w:right="20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公司、天源迪科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深圳汇巨</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金华威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广州正道</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广州正道软件有限公司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深圳天源迪科信息技术股份有限公司监事会</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2"/>
                <w:sz w:val="18"/>
                <w:szCs w:val="18"/>
              </w:rPr>
              <w:t>深圳天源迪科信息技术股份有限公司董事会战略与投资委员会、深圳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天源迪科信息技术股份有限公司董事会审计委员会、深圳天源迪科信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息技术股份有限公司董事会提名委员会、深圳天源迪科信息技术股份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有限公司董事会薪酬与考核委员会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中国证券监督管理委员会深圳证券监管局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5"/>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300047</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天源迪科</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SHENZHEN TIANYUAN DIC </w:t>
            </w:r>
            <w:r>
              <w:rPr>
                <w:rFonts w:ascii="Times New Roman"/>
                <w:spacing w:val="-3"/>
                <w:sz w:val="18"/>
              </w:rPr>
              <w:t>INFORMATION </w:t>
            </w:r>
            <w:r>
              <w:rPr>
                <w:rFonts w:ascii="Times New Roman"/>
                <w:sz w:val="18"/>
              </w:rPr>
              <w:t>TECHNOLOGY</w:t>
            </w:r>
            <w:r>
              <w:rPr>
                <w:rFonts w:ascii="Times New Roman"/>
                <w:spacing w:val="-28"/>
                <w:sz w:val="18"/>
              </w:rPr>
              <w:t> </w:t>
            </w:r>
            <w:r>
              <w:rPr>
                <w:rFonts w:ascii="Times New Roman"/>
                <w:spacing w:val="-3"/>
                <w:sz w:val="18"/>
              </w:rPr>
              <w:t>CO.,LTD.</w:t>
            </w:r>
            <w:r>
              <w:rPr>
                <w:rFonts w:ascii="Times New Roman"/>
                <w:sz w:val="18"/>
              </w:rPr>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TYDIC</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http://www.tydic.com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中瑞岳华会计师事务所（特殊普通合伙）深圳分所</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7028 </w:t>
            </w:r>
            <w:r>
              <w:rPr>
                <w:rFonts w:ascii="宋体" w:hAnsi="宋体" w:cs="宋体" w:eastAsia="宋体" w:hint="default"/>
                <w:sz w:val="18"/>
                <w:szCs w:val="18"/>
              </w:rPr>
              <w:t>号时代科技大厦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楼西</w:t>
            </w:r>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zhengyu1@tydic.com</w:t>
              </w:r>
            </w:hyperlink>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674"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巨潮资讯网，网址</w:t>
            </w:r>
            <w:r>
              <w:rPr>
                <w:rFonts w:ascii="宋体" w:hAnsi="宋体" w:cs="宋体" w:eastAsia="宋体" w:hint="default"/>
                <w:spacing w:val="-60"/>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；中证网，网址</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 中国证券网，网址</w:t>
            </w:r>
            <w:r>
              <w:rPr>
                <w:rFonts w:ascii="宋体" w:hAnsi="宋体" w:cs="宋体" w:eastAsia="宋体" w:hint="default"/>
                <w:spacing w:val="-62"/>
                <w:sz w:val="18"/>
                <w:szCs w:val="18"/>
              </w:rPr>
              <w:t> </w:t>
            </w:r>
            <w:hyperlink r:id="rId14">
              <w:r>
                <w:rPr>
                  <w:rFonts w:ascii="Times New Roman" w:hAnsi="Times New Roman" w:cs="Times New Roman" w:eastAsia="Times New Roman" w:hint="default"/>
                  <w:sz w:val="18"/>
                  <w:szCs w:val="18"/>
                </w:rPr>
                <w:t>www.cnstock.com</w:t>
              </w:r>
            </w:hyperlink>
            <w:r>
              <w:rPr>
                <w:rFonts w:ascii="宋体" w:hAnsi="宋体" w:cs="宋体" w:eastAsia="宋体" w:hint="default"/>
                <w:sz w:val="18"/>
                <w:szCs w:val="18"/>
              </w:rPr>
              <w:t>；证券时报网，网址</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r>
        <w:rPr/>
        <w:pict>
          <v:shape style="position:absolute;margin-left:112.5597pt;margin-top:346.440002pt;width:103.4pt;height:113.25pt;mso-position-horizontal-relative:page;mso-position-vertical-relative:page;z-index:-11520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before="0"/>
                    <w:ind w:left="0" w:right="0"/>
                    <w:jc w:val="left"/>
                  </w:pPr>
                  <w:r>
                    <w:rPr/>
                    <w:t>万股，</w:t>
                  </w:r>
                </w:p>
              </w:txbxContent>
            </v:textbox>
            <w10:wrap type="none"/>
          </v:shape>
        </w:pict>
      </w:r>
      <w:r>
        <w:rPr/>
        <w:pict>
          <v:group style="position:absolute;margin-left:136.740005pt;margin-top:346.440002pt;width:79.2pt;height:113.25pt;mso-position-horizontal-relative:page;mso-position-vertical-relative:page;z-index:-1152064" coordorigin="2735,6929" coordsize="1584,2265">
            <v:group style="position:absolute;left:2735;top:6929;width:1584;height:2265" coordorigin="2735,6929" coordsize="1584,2265">
              <v:shape style="position:absolute;left:2735;top:6929;width:1584;height:2265" coordorigin="2735,6929" coordsize="1584,2265" path="m2735,9193l4319,9193,4319,6929,2735,6929,2735,9193xe" filled="true" fillcolor="#ffffff" stroked="false">
                <v:path arrowok="t"/>
                <v:fill type="solid"/>
              </v:shape>
            </v:group>
            <v:group style="position:absolute;left:2758;top:7865;width:1539;height:393" coordorigin="2758,7865" coordsize="1539,393">
              <v:shape style="position:absolute;left:2758;top:7865;width:1539;height:393" coordorigin="2758,7865" coordsize="1539,393" path="m2758,8257l4296,8257,4296,7865,2758,7865,2758,825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860"/>
        <w:gridCol w:w="5708"/>
      </w:tblGrid>
      <w:tr>
        <w:trPr>
          <w:trHeight w:val="36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hyperlink r:id="rId15">
              <w:r>
                <w:rPr>
                  <w:rFonts w:ascii="Times New Roman" w:hAnsi="Times New Roman" w:cs="Times New Roman" w:eastAsia="Times New Roman" w:hint="default"/>
                  <w:spacing w:val="-1"/>
                  <w:sz w:val="18"/>
                  <w:szCs w:val="18"/>
                </w:rPr>
                <w:t>www.secutimes.com</w:t>
              </w:r>
            </w:hyperlink>
            <w:r>
              <w:rPr>
                <w:rFonts w:ascii="宋体" w:hAnsi="宋体" w:cs="宋体" w:eastAsia="宋体" w:hint="default"/>
                <w:spacing w:val="-1"/>
                <w:sz w:val="18"/>
                <w:szCs w:val="18"/>
              </w:rPr>
              <w:t>；中国资本证券网，网址</w:t>
            </w:r>
            <w:r>
              <w:rPr>
                <w:rFonts w:ascii="宋体" w:hAnsi="宋体" w:cs="宋体" w:eastAsia="宋体" w:hint="default"/>
                <w:spacing w:val="-35"/>
                <w:sz w:val="18"/>
                <w:szCs w:val="18"/>
              </w:rPr>
              <w:t> </w:t>
            </w:r>
            <w:hyperlink r:id="rId16">
              <w:r>
                <w:rPr>
                  <w:rFonts w:ascii="Times New Roman" w:hAnsi="Times New Roman" w:cs="Times New Roman" w:eastAsia="Times New Roman" w:hint="default"/>
                  <w:spacing w:val="-1"/>
                  <w:sz w:val="18"/>
                  <w:szCs w:val="18"/>
                </w:rPr>
                <w:t>www.ccstock.cn</w:t>
              </w:r>
            </w:hyperlink>
            <w:r>
              <w:rPr>
                <w:rFonts w:ascii="宋体" w:hAnsi="宋体" w:cs="宋体" w:eastAsia="宋体" w:hint="default"/>
                <w:spacing w:val="-1"/>
                <w:sz w:val="18"/>
                <w:szCs w:val="18"/>
              </w:rPr>
              <w:t>。</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深圳市工商局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工商外企合粤深字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103505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首次公开发行人民 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股，注册资本从 </w:t>
            </w:r>
            <w:r>
              <w:rPr>
                <w:rFonts w:ascii="Times New Roman" w:hAnsi="Times New Roman" w:cs="Times New Roman" w:eastAsia="Times New Roman" w:hint="default"/>
                <w:sz w:val="18"/>
                <w:szCs w:val="18"/>
              </w:rPr>
              <w:t>7,760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万元增加到</w:t>
            </w:r>
          </w:p>
          <w:p>
            <w:pPr>
              <w:pStyle w:val="TableParagraph"/>
              <w:spacing w:line="240" w:lineRule="auto" w:before="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年利 </w:t>
            </w:r>
            <w:r>
              <w:rPr>
                <w:rFonts w:ascii="宋体" w:hAnsi="宋体" w:cs="宋体" w:eastAsia="宋体" w:hint="default"/>
                <w:spacing w:val="-9"/>
                <w:sz w:val="18"/>
                <w:szCs w:val="18"/>
              </w:rPr>
              <w:t>润分配方案，公司总</w:t>
            </w:r>
            <w:r>
              <w:rPr>
                <w:rFonts w:ascii="宋体" w:hAnsi="宋体" w:cs="宋体" w:eastAsia="宋体" w:hint="default"/>
                <w:sz w:val="18"/>
                <w:szCs w:val="18"/>
              </w:rPr>
              <w:t> 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309" w:lineRule="auto" w:before="5"/>
              <w:ind w:left="22" w:right="77"/>
              <w:jc w:val="left"/>
              <w:rPr>
                <w:rFonts w:ascii="宋体" w:hAnsi="宋体" w:cs="宋体" w:eastAsia="宋体" w:hint="default"/>
                <w:sz w:val="18"/>
                <w:szCs w:val="18"/>
              </w:rPr>
            </w:pPr>
            <w:r>
              <w:rPr>
                <w:rFonts w:ascii="宋体" w:hAnsi="宋体" w:cs="宋体" w:eastAsia="宋体" w:hint="default"/>
                <w:sz w:val="18"/>
                <w:szCs w:val="18"/>
              </w:rPr>
              <w:t>增加至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15,690 </w:t>
            </w:r>
            <w:r>
              <w:rPr>
                <w:rFonts w:ascii="宋体" w:hAnsi="宋体" w:cs="宋体" w:eastAsia="宋体" w:hint="default"/>
                <w:sz w:val="18"/>
                <w:szCs w:val="18"/>
              </w:rPr>
              <w:t>公司注册资本从人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3"/>
        <w:spacing w:line="240" w:lineRule="auto" w:before="0"/>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公司是否因会计政策变更及会计差错更正等追溯调整或重述以前年度会计数据</w:t>
      </w:r>
    </w:p>
    <w:p>
      <w:pPr>
        <w:pStyle w:val="BodyText"/>
        <w:spacing w:line="338" w:lineRule="auto" w:before="117"/>
        <w:ind w:left="154" w:right="8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主要会计数据</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9"/>
        <w:gridCol w:w="1735"/>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665,088,034.69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417,445,269.73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247,255,460.72</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109,522,436.33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89,609,302.18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69,993,401.91</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112,513,943.16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100,968,420.44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70,689,020.08</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99,730,404.53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81,252,099.13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62,187,386.98</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97,099,722.49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77,511,023.71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61,690,561.39</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24,220,064.50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-30,071,508.47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35,502,455.85</w:t>
            </w:r>
          </w:p>
        </w:tc>
      </w:tr>
      <w:tr>
        <w:trPr>
          <w:trHeight w:val="161" w:hRule="exact"/>
        </w:trPr>
        <w:tc>
          <w:tcPr>
            <w:tcW w:w="2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1" w:hRule="exact"/>
        </w:trPr>
        <w:tc>
          <w:tcPr>
            <w:tcW w:w="2620"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9"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1,250,111,370.59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1,102,226,898.10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1,044,617,516.17</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188,482,697.42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42,832,719.62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26,317,946.77</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1,041,949,729.78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1,041,046,087.90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1,008,052,651.65</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156,900,000.00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156,900,000.00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104,600,000.00</w:t>
            </w:r>
          </w:p>
        </w:tc>
      </w:tr>
    </w:tbl>
    <w:p>
      <w:pPr>
        <w:pStyle w:val="BodyText"/>
        <w:spacing w:line="240" w:lineRule="auto" w:before="51"/>
        <w:ind w:left="154" w:right="0"/>
        <w:jc w:val="left"/>
      </w:pPr>
      <w:r>
        <w:rPr/>
        <w:t>主要财务指标</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401"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36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2" w:hRule="exact"/>
        </w:trPr>
        <w:tc>
          <w:tcPr>
            <w:tcW w:w="2624" w:type="dxa"/>
            <w:tcBorders>
              <w:top w:val="nil" w:sz="6" w:space="0" w:color="auto"/>
              <w:left w:val="single" w:sz="4" w:space="0" w:color="000000"/>
              <w:bottom w:val="nil" w:sz="6" w:space="0" w:color="auto"/>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bl>
    <w:p>
      <w:pPr>
        <w:spacing w:line="240" w:lineRule="auto" w:before="2"/>
        <w:rPr>
          <w:rFonts w:ascii="宋体" w:hAnsi="宋体" w:cs="宋体" w:eastAsia="宋体" w:hint="default"/>
          <w:sz w:val="18"/>
          <w:szCs w:val="18"/>
        </w:rPr>
      </w:pPr>
    </w:p>
    <w:p>
      <w:pPr>
        <w:pStyle w:val="Heading3"/>
        <w:spacing w:line="240" w:lineRule="auto"/>
        <w:ind w:right="90"/>
        <w:jc w:val="left"/>
        <w:rPr>
          <w:b w:val="0"/>
          <w:bCs w:val="0"/>
        </w:rPr>
      </w:pPr>
      <w:r>
        <w:rPr/>
        <w:t>二、报告期内非经常性损益的项目及金额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-336,026.62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-236,970.61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-56,268.60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3,287,250.00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4,557,368.00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252,353.00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40,283.45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111,812.08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355,944.03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362,664.44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664,831.42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55,202.84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-1,839.65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26,302.63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2,630,682.04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3,741,075.42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496,825.59</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left="154" w:right="17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before="0"/>
        <w:ind w:right="90"/>
        <w:jc w:val="left"/>
        <w:rPr>
          <w:b w:val="0"/>
          <w:bCs w:val="0"/>
        </w:rPr>
      </w:pPr>
      <w:r>
        <w:rPr/>
        <w:t>三、重大风险提示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513" w:right="90"/>
        <w:jc w:val="left"/>
      </w:pPr>
      <w:r>
        <w:rPr/>
        <w:t>（</w:t>
      </w:r>
      <w:r>
        <w:rPr>
          <w:rFonts w:ascii="Times New Roman" w:hAnsi="Times New Roman" w:cs="Times New Roman" w:eastAsia="Times New Roman" w:hint="default"/>
        </w:rPr>
        <w:t>1</w:t>
      </w:r>
      <w:r>
        <w:rPr/>
        <w:t>）市场竞争风险 </w:t>
      </w:r>
      <w:r>
        <w:rPr>
          <w:spacing w:val="-2"/>
        </w:rPr>
        <w:t>公司专注于电信行业和公安行业应用软件的开发，多年来通过自身技术的不断积累和对行业需求的研究与把握，形成了</w:t>
      </w:r>
    </w:p>
    <w:p>
      <w:pPr>
        <w:pStyle w:val="BodyText"/>
        <w:spacing w:line="316" w:lineRule="auto" w:before="31"/>
        <w:ind w:right="90"/>
        <w:jc w:val="left"/>
      </w:pPr>
      <w:r>
        <w:rPr>
          <w:spacing w:val="-4"/>
        </w:rPr>
        <w:t>较强的竞争能力。在市场机会大大增加的同时，参与竞争的软件企业数量也将不断增加，若公司不能在产品研发、技术创新、</w:t>
      </w:r>
      <w:r>
        <w:rPr>
          <w:spacing w:val="-46"/>
        </w:rPr>
        <w:t> </w:t>
      </w:r>
      <w:r>
        <w:rPr>
          <w:spacing w:val="-46"/>
        </w:rPr>
      </w:r>
      <w:r>
        <w:rPr/>
        <w:t>市场营销、客户服务等方面进一步增强实力，未来将面临更大的竞争压力。</w:t>
      </w:r>
    </w:p>
    <w:p>
      <w:pPr>
        <w:pStyle w:val="BodyText"/>
        <w:spacing w:line="240" w:lineRule="auto" w:before="19"/>
        <w:ind w:left="513" w:right="90"/>
        <w:jc w:val="left"/>
      </w:pPr>
      <w:r>
        <w:rPr>
          <w:spacing w:val="-4"/>
        </w:rPr>
        <w:t>针对上述风险，公司拟采取应对措施是继续加大研发中心建设，继续优化产品、服务和技术创新机制，提升市场竞争力。</w:t>
      </w:r>
    </w:p>
    <w:p>
      <w:pPr>
        <w:pStyle w:val="BodyText"/>
        <w:spacing w:line="240" w:lineRule="auto" w:before="76"/>
        <w:ind w:left="514" w:right="90"/>
        <w:jc w:val="left"/>
      </w:pPr>
      <w:r>
        <w:rPr/>
        <w:t>（</w:t>
      </w:r>
      <w:r>
        <w:rPr>
          <w:rFonts w:ascii="Times New Roman" w:hAnsi="Times New Roman" w:cs="Times New Roman" w:eastAsia="Times New Roman" w:hint="default"/>
        </w:rPr>
        <w:t>2</w:t>
      </w:r>
      <w:r>
        <w:rPr/>
        <w:t>）客户集中导致的风险</w:t>
      </w:r>
    </w:p>
    <w:p>
      <w:pPr>
        <w:pStyle w:val="BodyText"/>
        <w:spacing w:line="312" w:lineRule="auto" w:before="63"/>
        <w:ind w:left="154" w:right="90" w:firstLine="360"/>
        <w:jc w:val="left"/>
      </w:pPr>
      <w:r>
        <w:rPr>
          <w:rFonts w:ascii="Times New Roman" w:hAnsi="Times New Roman" w:cs="Times New Roman" w:eastAsia="Times New Roman" w:hint="default"/>
          <w:spacing w:val="-2"/>
        </w:rPr>
        <w:t>2012</w:t>
      </w:r>
      <w:r>
        <w:rPr>
          <w:spacing w:val="-2"/>
        </w:rPr>
        <w:t>年，公司继续开拓市场，扩大业务范围，客户集中度有所下降，但是在电信市场目标客户数量少，对大客户依赖性</w:t>
      </w:r>
      <w:r>
        <w:rPr/>
        <w:t> </w:t>
      </w:r>
      <w:r>
        <w:rPr>
          <w:spacing w:val="-2"/>
        </w:rPr>
        <w:t>较高。电信行业业务支撑系统软件是大型应用软件，是电信运营商生产经营的核心系统，直接关系到电信运营商对客户的服</w:t>
      </w:r>
      <w:r>
        <w:rPr>
          <w:spacing w:val="-66"/>
        </w:rPr>
        <w:t> </w:t>
      </w:r>
      <w:r>
        <w:rPr>
          <w:spacing w:val="-66"/>
        </w:rPr>
      </w:r>
      <w:r>
        <w:rPr>
          <w:spacing w:val="-4"/>
        </w:rPr>
        <w:t>务质量、电信运营商的市场竞争地位和收入。电信行业新业务不断推出，孕育着新的市场机会，如果公司持续创新能力不足，</w:t>
      </w:r>
      <w:r>
        <w:rPr>
          <w:spacing w:val="-46"/>
        </w:rPr>
        <w:t> </w:t>
      </w:r>
      <w:r>
        <w:rPr>
          <w:spacing w:val="-46"/>
        </w:rPr>
      </w:r>
      <w:r>
        <w:rPr/>
        <w:t>市场份额将降低。</w:t>
      </w:r>
    </w:p>
    <w:p>
      <w:pPr>
        <w:pStyle w:val="BodyText"/>
        <w:spacing w:line="240" w:lineRule="auto" w:before="22"/>
        <w:ind w:left="514" w:right="90"/>
        <w:jc w:val="left"/>
      </w:pPr>
      <w:r>
        <w:rPr/>
        <w:t>针对上述风险，公司拟采取如下应对措施：</w:t>
      </w:r>
    </w:p>
    <w:p>
      <w:pPr>
        <w:pStyle w:val="BodyText"/>
        <w:spacing w:line="240" w:lineRule="auto" w:before="76"/>
        <w:ind w:left="514" w:right="90"/>
        <w:jc w:val="left"/>
      </w:pPr>
      <w:r>
        <w:rPr>
          <w:rFonts w:ascii="Times New Roman" w:hAnsi="Times New Roman" w:cs="Times New Roman" w:eastAsia="Times New Roman" w:hint="default"/>
        </w:rPr>
        <w:t>1</w:t>
      </w:r>
      <w:r>
        <w:rPr/>
        <w:t>）公司在与客户建立长期的战略合作伙伴关系的基础上，持续创新，不断开发新产品，以满足客户不断增长的需求，</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ind w:right="190"/>
        <w:jc w:val="both"/>
      </w:pPr>
      <w:r>
        <w:rPr/>
        <w:t>提高服务质量，更好的服务大客户。</w:t>
      </w:r>
      <w:r>
        <w:rPr>
          <w:rFonts w:ascii="Times New Roman" w:hAnsi="Times New Roman" w:cs="Times New Roman" w:eastAsia="Times New Roman" w:hint="default"/>
        </w:rPr>
        <w:t>2</w:t>
      </w:r>
      <w:r>
        <w:rPr/>
        <w:t>）利用新业务机会，开发竞争性产品抢占市场，扩大原有市场规模。</w:t>
      </w:r>
      <w:r>
        <w:rPr>
          <w:spacing w:val="-19"/>
        </w:rPr>
        <w:t> </w:t>
      </w:r>
      <w:r>
        <w:rPr>
          <w:rFonts w:ascii="Times New Roman" w:hAnsi="Times New Roman" w:cs="Times New Roman" w:eastAsia="Times New Roman" w:hint="default"/>
        </w:rPr>
        <w:t>3</w:t>
      </w:r>
      <w:r>
        <w:rPr/>
        <w:t>）积极拓展中 国移动电信运营商市场，扩大运营商覆盖面，提高市场占有率。</w:t>
      </w:r>
      <w:r>
        <w:rPr>
          <w:spacing w:val="-42"/>
        </w:rPr>
        <w:t> </w:t>
      </w:r>
      <w:r>
        <w:rPr>
          <w:rFonts w:ascii="Times New Roman" w:hAnsi="Times New Roman" w:cs="Times New Roman" w:eastAsia="Times New Roman" w:hint="default"/>
        </w:rPr>
        <w:t>4</w:t>
      </w:r>
      <w:r>
        <w:rPr/>
        <w:t>）继续挖掘海外市场。</w:t>
      </w:r>
      <w:r>
        <w:rPr>
          <w:spacing w:val="-42"/>
        </w:rPr>
        <w:t> </w:t>
      </w:r>
      <w:r>
        <w:rPr>
          <w:rFonts w:ascii="Times New Roman" w:hAnsi="Times New Roman" w:cs="Times New Roman" w:eastAsia="Times New Roman" w:hint="default"/>
        </w:rPr>
        <w:t>5</w:t>
      </w:r>
      <w:r>
        <w:rPr/>
        <w:t>）利用电信运营商品牌和基础信 </w:t>
      </w:r>
      <w:r>
        <w:rPr>
          <w:spacing w:val="-1"/>
        </w:rPr>
        <w:t>息化能力，加大新业务开发，和电信运营商一起为最终客户创造价值；</w:t>
      </w:r>
      <w:r>
        <w:rPr>
          <w:spacing w:val="-13"/>
        </w:rPr>
        <w:t> </w:t>
      </w:r>
      <w:r>
        <w:rPr>
          <w:rFonts w:ascii="Times New Roman" w:hAnsi="Times New Roman" w:cs="Times New Roman" w:eastAsia="Times New Roman" w:hint="default"/>
          <w:spacing w:val="-2"/>
        </w:rPr>
        <w:t>6</w:t>
      </w:r>
      <w:r>
        <w:rPr>
          <w:spacing w:val="-2"/>
        </w:rPr>
        <w:t>）加大行业复制力度，公司积极将开发的优秀软件</w:t>
      </w:r>
      <w:r>
        <w:rPr>
          <w:spacing w:val="-87"/>
        </w:rPr>
        <w:t> </w:t>
      </w:r>
      <w:r>
        <w:rPr>
          <w:spacing w:val="-87"/>
        </w:rPr>
      </w:r>
      <w:r>
        <w:rPr/>
        <w:t>产品向其他应用领域推广。</w:t>
      </w:r>
    </w:p>
    <w:p>
      <w:pPr>
        <w:pStyle w:val="BodyText"/>
        <w:spacing w:line="300" w:lineRule="auto" w:before="31"/>
        <w:ind w:left="513" w:right="90"/>
        <w:jc w:val="left"/>
      </w:pPr>
      <w:r>
        <w:rPr/>
        <w:t>（</w:t>
      </w:r>
      <w:r>
        <w:rPr>
          <w:rFonts w:ascii="Times New Roman" w:hAnsi="Times New Roman" w:cs="Times New Roman" w:eastAsia="Times New Roman" w:hint="default"/>
        </w:rPr>
        <w:t>3</w:t>
      </w:r>
      <w:r>
        <w:rPr/>
        <w:t>）技术风险 </w:t>
      </w:r>
      <w:r>
        <w:rPr>
          <w:spacing w:val="-2"/>
        </w:rPr>
        <w:t>如果公司错误预测软件技术的发展趋势，使用落后的技术开发新产品，或新产品开发失败，则会给公司的生产经营造成</w:t>
      </w:r>
    </w:p>
    <w:p>
      <w:pPr>
        <w:pStyle w:val="BodyText"/>
        <w:spacing w:line="316" w:lineRule="auto" w:before="31"/>
        <w:ind w:right="90"/>
        <w:jc w:val="left"/>
      </w:pPr>
      <w:r>
        <w:rPr>
          <w:spacing w:val="-4"/>
        </w:rPr>
        <w:t>较大的影响，故公司存在新产品开发的技术风险。此外，新产品的市场潜力取决于市场的成熟度及公司对新产品的推广力度，</w:t>
      </w:r>
      <w:r>
        <w:rPr>
          <w:spacing w:val="-44"/>
        </w:rPr>
        <w:t> </w:t>
      </w:r>
      <w:r>
        <w:rPr>
          <w:spacing w:val="-44"/>
        </w:rPr>
      </w:r>
      <w:r>
        <w:rPr>
          <w:spacing w:val="-2"/>
        </w:rPr>
        <w:t>如果公司开发的新产品市场不成熟或不符合市场需求，公司又不能及时调整产品方向，则存在新产品开发的市场风险。由于</w:t>
      </w:r>
      <w:r>
        <w:rPr>
          <w:spacing w:val="-66"/>
        </w:rPr>
        <w:t> </w:t>
      </w:r>
      <w:r>
        <w:rPr>
          <w:spacing w:val="-66"/>
        </w:rPr>
      </w:r>
      <w:r>
        <w:rPr>
          <w:spacing w:val="-2"/>
        </w:rPr>
        <w:t>软件产品的高度复杂性，任何软件公司都不能完全杜绝软件错误或缺陷。如果公司开发的软件产品在运行过程中发生较多质</w:t>
      </w:r>
      <w:r>
        <w:rPr>
          <w:spacing w:val="-64"/>
        </w:rPr>
        <w:t> </w:t>
      </w:r>
      <w:r>
        <w:rPr>
          <w:spacing w:val="-64"/>
        </w:rPr>
      </w:r>
      <w:r>
        <w:rPr>
          <w:spacing w:val="-2"/>
        </w:rPr>
        <w:t>量问题，修正软件产品的错误或缺陷以及因质量问题而引致的纠纷、索赔或诉讼将直接导致公司成本、费用的增加，同时对</w:t>
      </w:r>
      <w:r>
        <w:rPr>
          <w:spacing w:val="-66"/>
        </w:rPr>
        <w:t> </w:t>
      </w:r>
      <w:r>
        <w:rPr>
          <w:spacing w:val="-66"/>
        </w:rPr>
      </w:r>
      <w:r>
        <w:rPr/>
        <w:t>公司的市场形象也有不利的影响。因此，公司存在软件产品质量风险。</w:t>
      </w:r>
    </w:p>
    <w:p>
      <w:pPr>
        <w:pStyle w:val="BodyText"/>
        <w:spacing w:line="240" w:lineRule="auto" w:before="19"/>
        <w:ind w:left="513" w:right="90"/>
        <w:jc w:val="left"/>
      </w:pPr>
      <w:r>
        <w:rPr/>
        <w:t>针对上述技术风险，公司采取了以下具体措施：</w:t>
      </w:r>
    </w:p>
    <w:p>
      <w:pPr>
        <w:pStyle w:val="BodyText"/>
        <w:spacing w:line="300" w:lineRule="auto" w:before="76"/>
        <w:ind w:right="188" w:firstLine="360"/>
        <w:jc w:val="both"/>
      </w:pPr>
      <w:r>
        <w:rPr>
          <w:rFonts w:ascii="Times New Roman" w:hAnsi="Times New Roman" w:cs="Times New Roman" w:eastAsia="Times New Roman" w:hint="default"/>
        </w:rPr>
        <w:t>1</w:t>
      </w:r>
      <w:r>
        <w:rPr/>
        <w:t>）将已开发的软件产品进行计算机软件著作权登记，对于关键技术，进行专利申请，通过法律手段保护公司的知识产 权； </w:t>
      </w:r>
      <w:r>
        <w:rPr>
          <w:rFonts w:ascii="Times New Roman" w:hAnsi="Times New Roman" w:cs="Times New Roman" w:eastAsia="Times New Roman" w:hint="default"/>
          <w:spacing w:val="-2"/>
        </w:rPr>
        <w:t>2</w:t>
      </w:r>
      <w:r>
        <w:rPr>
          <w:spacing w:val="-2"/>
        </w:rPr>
        <w:t>）为了防止核心技术秘密泄露，公司在与员工签订劳动合同的同时签订保密协议书，并计划进一步完善保密制度，加</w:t>
      </w:r>
      <w:r>
        <w:rPr>
          <w:spacing w:val="-72"/>
        </w:rPr>
        <w:t> </w:t>
      </w:r>
      <w:r>
        <w:rPr>
          <w:spacing w:val="-72"/>
        </w:rPr>
      </w:r>
      <w:r>
        <w:rPr>
          <w:spacing w:val="-1"/>
        </w:rPr>
        <w:t>强软件开发技术文档及软件源代码的管理，保证公司核心技术安全；</w:t>
      </w:r>
      <w:r>
        <w:rPr>
          <w:spacing w:val="-10"/>
        </w:rPr>
        <w:t> </w:t>
      </w:r>
      <w:r>
        <w:rPr>
          <w:rFonts w:ascii="Times New Roman" w:hAnsi="Times New Roman" w:cs="Times New Roman" w:eastAsia="Times New Roman" w:hint="default"/>
          <w:spacing w:val="-2"/>
        </w:rPr>
        <w:t>3</w:t>
      </w:r>
      <w:r>
        <w:rPr>
          <w:spacing w:val="-2"/>
        </w:rPr>
        <w:t>）公司将进一步完善激励机制，鼓励软件人员知识更</w:t>
      </w:r>
      <w:r>
        <w:rPr>
          <w:spacing w:val="-86"/>
        </w:rPr>
        <w:t> </w:t>
      </w:r>
      <w:r>
        <w:rPr>
          <w:spacing w:val="-86"/>
        </w:rPr>
      </w:r>
      <w:r>
        <w:rPr>
          <w:spacing w:val="-1"/>
        </w:rPr>
        <w:t>新、技术进步和产品创新；</w:t>
      </w:r>
      <w:r>
        <w:rPr/>
        <w:t> </w:t>
      </w:r>
      <w:r>
        <w:rPr>
          <w:rFonts w:ascii="Times New Roman" w:hAnsi="Times New Roman" w:cs="Times New Roman" w:eastAsia="Times New Roman" w:hint="default"/>
          <w:spacing w:val="-2"/>
        </w:rPr>
        <w:t>4</w:t>
      </w:r>
      <w:r>
        <w:rPr>
          <w:spacing w:val="-2"/>
        </w:rPr>
        <w:t>）继续保持研发投入，扩大研发规模，提前研究前瞻性软件技术和行业业务模式，保证公司软</w:t>
      </w:r>
      <w:r>
        <w:rPr>
          <w:spacing w:val="-78"/>
        </w:rPr>
        <w:t> </w:t>
      </w:r>
      <w:r>
        <w:rPr>
          <w:spacing w:val="-78"/>
        </w:rPr>
      </w:r>
      <w:r>
        <w:rPr/>
        <w:t>件产品开发保持领先；</w:t>
      </w:r>
      <w:r>
        <w:rPr>
          <w:spacing w:val="-5"/>
        </w:rPr>
        <w:t> </w:t>
      </w:r>
      <w:r>
        <w:rPr>
          <w:rFonts w:ascii="Times New Roman" w:hAnsi="Times New Roman" w:cs="Times New Roman" w:eastAsia="Times New Roman" w:hint="default"/>
          <w:spacing w:val="-2"/>
        </w:rPr>
        <w:t>5</w:t>
      </w:r>
      <w:r>
        <w:rPr>
          <w:spacing w:val="-2"/>
        </w:rPr>
        <w:t>）为保证软件产品的质量，公司在软件设计、编码、测试、联调、安装、试运行等各个环节均严格</w:t>
      </w:r>
      <w:r>
        <w:rPr>
          <w:spacing w:val="-85"/>
        </w:rPr>
        <w:t> </w:t>
      </w:r>
      <w:r>
        <w:rPr>
          <w:spacing w:val="-85"/>
        </w:rPr>
      </w:r>
      <w:r>
        <w:rPr/>
        <w:t>执行质量检查和控制制度，减少或避免软件错误或缺陷的产生。</w:t>
      </w:r>
    </w:p>
    <w:p>
      <w:pPr>
        <w:pStyle w:val="BodyText"/>
        <w:spacing w:line="300" w:lineRule="auto" w:before="31"/>
        <w:ind w:left="514" w:right="90"/>
        <w:jc w:val="left"/>
      </w:pPr>
      <w:r>
        <w:rPr/>
        <w:t>（</w:t>
      </w:r>
      <w:r>
        <w:rPr>
          <w:rFonts w:ascii="Times New Roman" w:hAnsi="Times New Roman" w:cs="Times New Roman" w:eastAsia="Times New Roman" w:hint="default"/>
        </w:rPr>
        <w:t>4</w:t>
      </w:r>
      <w:r>
        <w:rPr/>
        <w:t>）核心人才流失风险 软件企业对于核心人才依赖性高。企业对高端人才的争夺已经超出行业范围，核心人员流失对于公司业务发展影响大。</w:t>
      </w:r>
    </w:p>
    <w:p>
      <w:pPr>
        <w:pStyle w:val="BodyText"/>
        <w:spacing w:line="300" w:lineRule="auto" w:before="31"/>
        <w:ind w:left="154" w:right="190"/>
        <w:jc w:val="both"/>
      </w:pPr>
      <w:r>
        <w:rPr/>
        <w:t>针对上述风险，公司已进行了以下几个方面的管理改革：</w:t>
      </w:r>
      <w:r>
        <w:rPr>
          <w:spacing w:val="-42"/>
        </w:rPr>
        <w:t> </w:t>
      </w:r>
      <w:r>
        <w:rPr>
          <w:rFonts w:ascii="Times New Roman" w:hAnsi="Times New Roman" w:cs="Times New Roman" w:eastAsia="Times New Roman" w:hint="default"/>
        </w:rPr>
        <w:t>1</w:t>
      </w:r>
      <w:r>
        <w:rPr/>
        <w:t>）实施股权激励，核心骨干利益与企业利益绑定。</w:t>
      </w:r>
      <w:r>
        <w:rPr>
          <w:spacing w:val="-42"/>
        </w:rPr>
        <w:t> </w:t>
      </w:r>
      <w:r>
        <w:rPr>
          <w:rFonts w:ascii="Times New Roman" w:hAnsi="Times New Roman" w:cs="Times New Roman" w:eastAsia="Times New Roman" w:hint="default"/>
        </w:rPr>
        <w:t>2</w:t>
      </w:r>
      <w:r>
        <w:rPr/>
        <w:t>）优化组织 </w:t>
      </w:r>
      <w:r>
        <w:rPr>
          <w:spacing w:val="-2"/>
        </w:rPr>
        <w:t>架构，各业务单元按照子公司、事业部管理模式，充分授权，建立多层次员工关怀体系。</w:t>
      </w:r>
      <w:r>
        <w:rPr/>
        <w:t> </w:t>
      </w:r>
      <w:r>
        <w:rPr>
          <w:rFonts w:ascii="Times New Roman" w:hAnsi="Times New Roman" w:cs="Times New Roman" w:eastAsia="Times New Roman" w:hint="default"/>
          <w:spacing w:val="-2"/>
        </w:rPr>
        <w:t>3</w:t>
      </w:r>
      <w:r>
        <w:rPr>
          <w:spacing w:val="-2"/>
        </w:rPr>
        <w:t>）重视员工学习与训练，增强企</w:t>
      </w:r>
      <w:r>
        <w:rPr>
          <w:spacing w:val="-68"/>
        </w:rPr>
        <w:t> </w:t>
      </w:r>
      <w:r>
        <w:rPr>
          <w:spacing w:val="-68"/>
        </w:rPr>
      </w:r>
      <w:r>
        <w:rPr/>
        <w:t>业人才培养能力，为员工搭建持续发展的平台。</w:t>
      </w:r>
    </w:p>
    <w:p>
      <w:pPr>
        <w:spacing w:after="0" w:line="300"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right="90"/>
        <w:jc w:val="left"/>
        <w:rPr>
          <w:b w:val="0"/>
          <w:bCs w:val="0"/>
        </w:rPr>
      </w:pPr>
      <w:r>
        <w:rPr/>
        <w:t>一、管理层讨论与分析</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left="154" w:right="90" w:firstLine="319"/>
        <w:jc w:val="left"/>
      </w:pPr>
      <w:r>
        <w:rPr>
          <w:rFonts w:ascii="Times New Roman" w:hAnsi="Times New Roman" w:cs="Times New Roman" w:eastAsia="Times New Roman" w:hint="default"/>
        </w:rPr>
        <w:t>2012</w:t>
      </w:r>
      <w:r>
        <w:rPr/>
        <w:t>年是天源迪科发展第二十年，具有里程碑意义。公司以软件为核心事业，已成为中国电信市场的主导电信软件供应 </w:t>
      </w:r>
      <w:r>
        <w:rPr>
          <w:spacing w:val="-2"/>
        </w:rPr>
        <w:t>商之一，部分软件产品已经成功进入国际电信市场。</w:t>
      </w:r>
      <w:r>
        <w:rPr>
          <w:rFonts w:ascii="Times New Roman" w:hAnsi="Times New Roman" w:cs="Times New Roman" w:eastAsia="Times New Roman" w:hint="default"/>
          <w:spacing w:val="-2"/>
        </w:rPr>
        <w:t>2012</w:t>
      </w:r>
      <w:r>
        <w:rPr>
          <w:spacing w:val="-2"/>
        </w:rPr>
        <w:t>年全球宏观经济情况不佳，导致全球范围内运营商普遍在压缩资本</w:t>
      </w:r>
      <w:r>
        <w:rPr>
          <w:spacing w:val="-62"/>
        </w:rPr>
        <w:t> </w:t>
      </w:r>
      <w:r>
        <w:rPr>
          <w:spacing w:val="-62"/>
        </w:rPr>
      </w:r>
      <w:r>
        <w:rPr>
          <w:spacing w:val="-2"/>
        </w:rPr>
        <w:t>开支，国内运营商在全年的投资严重滞后。在宏观经济不利的情况下，公司聚焦用户，全力提升客户体验，适应市场竞争格</w:t>
      </w:r>
      <w:r>
        <w:rPr>
          <w:spacing w:val="-66"/>
        </w:rPr>
        <w:t> </w:t>
      </w:r>
      <w:r>
        <w:rPr>
          <w:spacing w:val="-66"/>
        </w:rPr>
      </w:r>
      <w:r>
        <w:rPr>
          <w:spacing w:val="-3"/>
        </w:rPr>
        <w:t>局变化，加强创新和研发体系建设，产品竞争力持续提升，市场份额继续扩大。报告期内，公司实现营业收入</w:t>
      </w:r>
      <w:r>
        <w:rPr>
          <w:rFonts w:ascii="Times New Roman" w:hAnsi="Times New Roman" w:cs="Times New Roman" w:eastAsia="Times New Roman" w:hint="default"/>
          <w:spacing w:val="-3"/>
        </w:rPr>
        <w:t>66,508.80</w:t>
      </w:r>
      <w:r>
        <w:rPr>
          <w:spacing w:val="-3"/>
        </w:rPr>
        <w:t>万元，</w:t>
      </w:r>
      <w:r>
        <w:rPr>
          <w:spacing w:val="-85"/>
        </w:rPr>
        <w:t> </w:t>
      </w:r>
      <w:r>
        <w:rPr/>
        <w:t>同比增长</w:t>
      </w:r>
      <w:r>
        <w:rPr>
          <w:rFonts w:ascii="Times New Roman" w:hAnsi="Times New Roman" w:cs="Times New Roman" w:eastAsia="Times New Roman" w:hint="default"/>
        </w:rPr>
        <w:t>59.32%</w:t>
      </w:r>
      <w:r>
        <w:rPr/>
        <w:t>；实现归属于母公司净利润</w:t>
      </w:r>
      <w:r>
        <w:rPr>
          <w:rFonts w:ascii="Times New Roman" w:hAnsi="Times New Roman" w:cs="Times New Roman" w:eastAsia="Times New Roman" w:hint="default"/>
        </w:rPr>
        <w:t>9,973.04</w:t>
      </w:r>
      <w:r>
        <w:rPr/>
        <w:t>万元，同比增长</w:t>
      </w:r>
      <w:r>
        <w:rPr>
          <w:rFonts w:ascii="Times New Roman" w:hAnsi="Times New Roman" w:cs="Times New Roman" w:eastAsia="Times New Roman" w:hint="default"/>
        </w:rPr>
        <w:t>22.74%</w:t>
      </w:r>
      <w:r>
        <w:rPr/>
        <w:t>；每股收益为</w:t>
      </w:r>
      <w:r>
        <w:rPr>
          <w:rFonts w:ascii="Times New Roman" w:hAnsi="Times New Roman" w:cs="Times New Roman" w:eastAsia="Times New Roman" w:hint="default"/>
        </w:rPr>
        <w:t>0.64</w:t>
      </w:r>
      <w:r>
        <w:rPr/>
        <w:t>元，同比增长</w:t>
      </w:r>
      <w:r>
        <w:rPr>
          <w:rFonts w:ascii="Times New Roman" w:hAnsi="Times New Roman" w:cs="Times New Roman" w:eastAsia="Times New Roman" w:hint="default"/>
        </w:rPr>
        <w:t>23.08%</w:t>
      </w:r>
      <w:r>
        <w:rPr/>
        <w:t>。</w:t>
      </w:r>
    </w:p>
    <w:p>
      <w:pPr>
        <w:pStyle w:val="BodyText"/>
        <w:spacing w:line="307" w:lineRule="auto" w:before="47"/>
        <w:ind w:left="154" w:right="119" w:firstLine="319"/>
        <w:jc w:val="both"/>
      </w:pPr>
      <w:r>
        <w:rPr/>
        <w:t>在电信运营商支撑软件领域，公司继续巩固在融合计费系统、</w:t>
      </w:r>
      <w:r>
        <w:rPr>
          <w:rFonts w:ascii="Times New Roman" w:hAnsi="Times New Roman" w:cs="Times New Roman" w:eastAsia="Times New Roman" w:hint="default"/>
        </w:rPr>
        <w:t>OCS</w:t>
      </w:r>
      <w:r>
        <w:rPr/>
        <w:t>在线计费系统、集团集客系统、总部数据枢纽系统、 </w:t>
      </w:r>
      <w:r>
        <w:rPr>
          <w:spacing w:val="-2"/>
        </w:rPr>
        <w:t>互联网业务大数据分析系统等业务领域的领先地位，积极推进业务和产品创新，优化完善软件项目交付体系，实施差异化的</w:t>
      </w:r>
      <w:r>
        <w:rPr>
          <w:spacing w:val="-66"/>
        </w:rPr>
        <w:t> </w:t>
      </w:r>
      <w:r>
        <w:rPr>
          <w:spacing w:val="-66"/>
        </w:rPr>
      </w:r>
      <w:r>
        <w:rPr/>
        <w:t>市场拓展策略，与主导运营商的合作不断深入。</w:t>
      </w:r>
      <w:r>
        <w:rPr>
          <w:rFonts w:ascii="Times New Roman" w:hAnsi="Times New Roman" w:cs="Times New Roman" w:eastAsia="Times New Roman" w:hint="default"/>
        </w:rPr>
        <w:t>2012</w:t>
      </w:r>
      <w:r>
        <w:rPr/>
        <w:t>年度，公司继续保持在中国联通集团</w:t>
      </w:r>
      <w:r>
        <w:rPr>
          <w:rFonts w:ascii="Times New Roman" w:hAnsi="Times New Roman" w:cs="Times New Roman" w:eastAsia="Times New Roman" w:hint="default"/>
        </w:rPr>
        <w:t>IT</w:t>
      </w:r>
      <w:r>
        <w:rPr/>
        <w:t>系统大集中过程中的优势地位， 新产品业务进入了</w:t>
      </w:r>
      <w:r>
        <w:rPr>
          <w:rFonts w:ascii="Times New Roman" w:hAnsi="Times New Roman" w:cs="Times New Roman" w:eastAsia="Times New Roman" w:hint="default"/>
        </w:rPr>
        <w:t>6</w:t>
      </w:r>
      <w:r>
        <w:rPr/>
        <w:t>个省份市场。在中国电信集团，核心业务产品新增</w:t>
      </w:r>
      <w:r>
        <w:rPr>
          <w:rFonts w:ascii="Times New Roman" w:hAnsi="Times New Roman" w:cs="Times New Roman" w:eastAsia="Times New Roman" w:hint="default"/>
        </w:rPr>
        <w:t>1</w:t>
      </w:r>
      <w:r>
        <w:rPr/>
        <w:t>个省份市场，通过新产品开拓了</w:t>
      </w:r>
      <w:r>
        <w:rPr>
          <w:rFonts w:ascii="Times New Roman" w:hAnsi="Times New Roman" w:cs="Times New Roman" w:eastAsia="Times New Roman" w:hint="default"/>
        </w:rPr>
        <w:t>4</w:t>
      </w:r>
      <w:r>
        <w:rPr/>
        <w:t>个省份市场。</w:t>
      </w:r>
    </w:p>
    <w:p>
      <w:pPr>
        <w:pStyle w:val="BodyText"/>
        <w:spacing w:line="319" w:lineRule="auto" w:before="45"/>
        <w:ind w:left="154" w:right="191" w:firstLine="360"/>
        <w:jc w:val="both"/>
      </w:pPr>
      <w:r>
        <w:rPr>
          <w:spacing w:val="-2"/>
        </w:rPr>
        <w:t>在广电运营商支撑软件领域，公司积极应对电信网、互联网和广播电视网三网融合趋势，公司继续巩固在广电业务运营</w:t>
      </w:r>
      <w:r>
        <w:rPr/>
        <w:t> 支撑（</w:t>
      </w:r>
      <w:r>
        <w:rPr>
          <w:rFonts w:ascii="Times New Roman" w:hAnsi="Times New Roman" w:cs="Times New Roman" w:eastAsia="Times New Roman" w:hint="default"/>
        </w:rPr>
        <w:t>BOSS</w:t>
      </w:r>
      <w:r>
        <w:rPr/>
        <w:t>）系统领域的领先地位，成功承接山东有线等大型广电网络运营商的</w:t>
      </w:r>
      <w:r>
        <w:rPr>
          <w:rFonts w:ascii="Times New Roman" w:hAnsi="Times New Roman" w:cs="Times New Roman" w:eastAsia="Times New Roman" w:hint="default"/>
        </w:rPr>
        <w:t>BOSS</w:t>
      </w:r>
      <w:r>
        <w:rPr/>
        <w:t>项目，市场地位得到进一步加强。</w:t>
      </w:r>
    </w:p>
    <w:p>
      <w:pPr>
        <w:pStyle w:val="BodyText"/>
        <w:spacing w:line="307" w:lineRule="auto" w:before="36"/>
        <w:ind w:right="190" w:firstLine="319"/>
        <w:jc w:val="both"/>
      </w:pPr>
      <w:r>
        <w:rPr/>
        <w:t>在移动互联网应用领域，公司继续加强</w:t>
      </w:r>
      <w:r>
        <w:rPr>
          <w:rFonts w:ascii="Times New Roman" w:hAnsi="Times New Roman" w:cs="Times New Roman" w:eastAsia="Times New Roman" w:hint="default"/>
        </w:rPr>
        <w:t>RCS</w:t>
      </w:r>
      <w:r>
        <w:rPr/>
        <w:t>（</w:t>
      </w:r>
      <w:r>
        <w:rPr>
          <w:rFonts w:ascii="Times New Roman" w:hAnsi="Times New Roman" w:cs="Times New Roman" w:eastAsia="Times New Roman" w:hint="default"/>
        </w:rPr>
        <w:t>Rich</w:t>
      </w:r>
      <w:r>
        <w:rPr>
          <w:rFonts w:ascii="Times New Roman" w:hAnsi="Times New Roman" w:cs="Times New Roman" w:eastAsia="Times New Roman" w:hint="default"/>
          <w:spacing w:val="-20"/>
        </w:rPr>
        <w:t> </w:t>
      </w:r>
      <w:r>
        <w:rPr>
          <w:rFonts w:ascii="Times New Roman" w:hAnsi="Times New Roman" w:cs="Times New Roman" w:eastAsia="Times New Roman" w:hint="default"/>
        </w:rPr>
        <w:t>Communication</w:t>
      </w:r>
      <w:r>
        <w:rPr>
          <w:rFonts w:ascii="Times New Roman" w:hAnsi="Times New Roman" w:cs="Times New Roman" w:eastAsia="Times New Roman" w:hint="default"/>
          <w:spacing w:val="-21"/>
        </w:rPr>
        <w:t> </w:t>
      </w:r>
      <w:r>
        <w:rPr>
          <w:rFonts w:ascii="Times New Roman" w:hAnsi="Times New Roman" w:cs="Times New Roman" w:eastAsia="Times New Roman" w:hint="default"/>
        </w:rPr>
        <w:t>Suite</w:t>
      </w:r>
      <w:r>
        <w:rPr/>
        <w:t>）融合通信平台、</w:t>
      </w:r>
      <w:r>
        <w:rPr>
          <w:rFonts w:ascii="Times New Roman" w:hAnsi="Times New Roman" w:cs="Times New Roman" w:eastAsia="Times New Roman" w:hint="default"/>
        </w:rPr>
        <w:t>SNS</w:t>
      </w:r>
      <w:r>
        <w:rPr/>
        <w:t>（</w:t>
      </w:r>
      <w:r>
        <w:rPr>
          <w:rFonts w:ascii="Times New Roman" w:hAnsi="Times New Roman" w:cs="Times New Roman" w:eastAsia="Times New Roman" w:hint="default"/>
        </w:rPr>
        <w:t>Social</w:t>
      </w:r>
      <w:r>
        <w:rPr>
          <w:rFonts w:ascii="Times New Roman" w:hAnsi="Times New Roman" w:cs="Times New Roman" w:eastAsia="Times New Roman" w:hint="default"/>
          <w:spacing w:val="-21"/>
        </w:rPr>
        <w:t> </w:t>
      </w:r>
      <w:r>
        <w:rPr>
          <w:rFonts w:ascii="Times New Roman" w:hAnsi="Times New Roman" w:cs="Times New Roman" w:eastAsia="Times New Roman" w:hint="default"/>
        </w:rPr>
        <w:t>Network</w:t>
      </w:r>
      <w:r>
        <w:rPr>
          <w:rFonts w:ascii="Times New Roman" w:hAnsi="Times New Roman" w:cs="Times New Roman" w:eastAsia="Times New Roman" w:hint="default"/>
          <w:spacing w:val="-21"/>
        </w:rPr>
        <w:t> </w:t>
      </w:r>
      <w:r>
        <w:rPr>
          <w:rFonts w:ascii="Times New Roman" w:hAnsi="Times New Roman" w:cs="Times New Roman" w:eastAsia="Times New Roman" w:hint="default"/>
        </w:rPr>
        <w:t>Suite</w:t>
      </w:r>
      <w:r>
        <w:rPr/>
        <w:t>）社</w:t>
      </w:r>
      <w:r>
        <w:rPr>
          <w:spacing w:val="-6"/>
        </w:rPr>
        <w:t> </w:t>
      </w:r>
      <w:r>
        <w:rPr>
          <w:spacing w:val="-2"/>
        </w:rPr>
        <w:t>交网络平台、移动互联网存储平台和智能语音业务平台的研发投入，积极拓展运营类业务市场。移动互联网手机客户端软件</w:t>
      </w:r>
      <w:r>
        <w:rPr>
          <w:spacing w:val="-66"/>
        </w:rPr>
        <w:t> </w:t>
      </w:r>
      <w:r>
        <w:rPr>
          <w:spacing w:val="-66"/>
        </w:rPr>
      </w:r>
      <w:r>
        <w:rPr>
          <w:spacing w:val="-2"/>
        </w:rPr>
        <w:t>开发团队已形成规模，交付能力全面提升。受世界经济低迷的影响，</w:t>
      </w:r>
      <w:r>
        <w:rPr>
          <w:rFonts w:ascii="Times New Roman" w:hAnsi="Times New Roman" w:cs="Times New Roman" w:eastAsia="Times New Roman" w:hint="default"/>
          <w:spacing w:val="-2"/>
        </w:rPr>
        <w:t>2012</w:t>
      </w:r>
      <w:r>
        <w:rPr>
          <w:spacing w:val="-2"/>
        </w:rPr>
        <w:t>年几大海外客户调整、放缓原来制定的软件产品策</w:t>
      </w:r>
      <w:r>
        <w:rPr>
          <w:spacing w:val="-62"/>
        </w:rPr>
        <w:t> </w:t>
      </w:r>
      <w:r>
        <w:rPr>
          <w:spacing w:val="-62"/>
        </w:rPr>
      </w:r>
      <w:r>
        <w:rPr/>
        <w:t>略，延迟了软件上线时间和订单的签订，导致融合通信软件产品收入完成情况低于原定的水平。</w:t>
      </w:r>
    </w:p>
    <w:p>
      <w:pPr>
        <w:pStyle w:val="BodyText"/>
        <w:spacing w:line="309" w:lineRule="auto" w:before="64"/>
        <w:ind w:right="191" w:firstLine="319"/>
        <w:jc w:val="both"/>
      </w:pPr>
      <w:r>
        <w:rPr>
          <w:spacing w:val="-1"/>
        </w:rPr>
        <w:t>在政企行业应用领域，公司致力于推广电子政务综合管理、数据研判分析、智慧城市建设等行业应用和解决方案，向行</w:t>
      </w:r>
      <w:r>
        <w:rPr/>
        <w:t> </w:t>
      </w:r>
      <w:r>
        <w:rPr>
          <w:spacing w:val="-2"/>
        </w:rPr>
        <w:t>业应用纵深发展。</w:t>
      </w:r>
      <w:r>
        <w:rPr>
          <w:rFonts w:ascii="Times New Roman" w:hAnsi="Times New Roman" w:cs="Times New Roman" w:eastAsia="Times New Roman" w:hint="default"/>
          <w:spacing w:val="-2"/>
        </w:rPr>
        <w:t>2012</w:t>
      </w:r>
      <w:r>
        <w:rPr>
          <w:spacing w:val="-2"/>
        </w:rPr>
        <w:t>年是公司公安业务走出去的一年，其中智能交通类业务新增</w:t>
      </w:r>
      <w:r>
        <w:rPr>
          <w:rFonts w:ascii="Times New Roman" w:hAnsi="Times New Roman" w:cs="Times New Roman" w:eastAsia="Times New Roman" w:hint="default"/>
          <w:spacing w:val="-2"/>
        </w:rPr>
        <w:t>2</w:t>
      </w:r>
      <w:r>
        <w:rPr>
          <w:spacing w:val="-2"/>
        </w:rPr>
        <w:t>个省份，刑侦类业务新增</w:t>
      </w:r>
      <w:r>
        <w:rPr>
          <w:rFonts w:ascii="Times New Roman" w:hAnsi="Times New Roman" w:cs="Times New Roman" w:eastAsia="Times New Roman" w:hint="default"/>
          <w:spacing w:val="-2"/>
        </w:rPr>
        <w:t>1</w:t>
      </w:r>
      <w:r>
        <w:rPr>
          <w:spacing w:val="-2"/>
        </w:rPr>
        <w:t>个省份，为未</w:t>
      </w:r>
      <w:r>
        <w:rPr>
          <w:spacing w:val="-60"/>
        </w:rPr>
        <w:t> </w:t>
      </w:r>
      <w:r>
        <w:rPr>
          <w:spacing w:val="-60"/>
        </w:rPr>
      </w:r>
      <w:r>
        <w:rPr/>
        <w:t>来政府业务的稳步快速成长奠定了基础。</w:t>
      </w:r>
    </w:p>
    <w:p>
      <w:pPr>
        <w:pStyle w:val="BodyText"/>
        <w:spacing w:line="300" w:lineRule="auto" w:before="62"/>
        <w:ind w:left="154" w:right="188" w:firstLine="319"/>
        <w:jc w:val="both"/>
      </w:pPr>
      <w:r>
        <w:rPr>
          <w:rFonts w:ascii="Times New Roman" w:hAnsi="Times New Roman" w:cs="Times New Roman" w:eastAsia="Times New Roman" w:hint="default"/>
          <w:spacing w:val="-1"/>
        </w:rPr>
        <w:t>2012</w:t>
      </w:r>
      <w:r>
        <w:rPr>
          <w:spacing w:val="-1"/>
        </w:rPr>
        <w:t>年度，公司继续通过并购和新设的方式拓宽业务范围，实现跨行业产业布局。</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月收购了广州正道软件有限</w:t>
      </w:r>
      <w:r>
        <w:rPr/>
        <w:t> </w:t>
      </w:r>
      <w:r>
        <w:rPr>
          <w:spacing w:val="-2"/>
        </w:rPr>
        <w:t>公司</w:t>
      </w:r>
      <w:r>
        <w:rPr>
          <w:rFonts w:ascii="Times New Roman" w:hAnsi="Times New Roman" w:cs="Times New Roman" w:eastAsia="Times New Roman" w:hint="default"/>
          <w:spacing w:val="-2"/>
        </w:rPr>
        <w:t>33</w:t>
      </w:r>
      <w:r>
        <w:rPr>
          <w:spacing w:val="-2"/>
        </w:rPr>
        <w:t>％股权，广州正道软件公司的主要客户为：中国电信集团、中国电信香港、中国电信欧洲、中国移动国际，收购广州</w:t>
      </w:r>
      <w:r>
        <w:rPr>
          <w:spacing w:val="-66"/>
        </w:rPr>
        <w:t> </w:t>
      </w:r>
      <w:r>
        <w:rPr>
          <w:spacing w:val="-66"/>
        </w:rPr>
      </w:r>
      <w:r>
        <w:rPr>
          <w:spacing w:val="-2"/>
        </w:rPr>
        <w:t>正道实现了在电信行业的客户关系与产品的优势互补，进一步增强竞争能力。</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月收购了广西驿途信息科技有限公司</w:t>
      </w:r>
      <w:r>
        <w:rPr>
          <w:spacing w:val="-58"/>
        </w:rPr>
        <w:t> </w:t>
      </w:r>
      <w:r>
        <w:rPr>
          <w:rFonts w:ascii="Times New Roman" w:hAnsi="Times New Roman" w:cs="Times New Roman" w:eastAsia="Times New Roman" w:hint="default"/>
          <w:spacing w:val="-2"/>
        </w:rPr>
        <w:t>51</w:t>
      </w:r>
      <w:r>
        <w:rPr>
          <w:spacing w:val="-2"/>
        </w:rPr>
        <w:t>％股权，布局广西电子、移动政务市场。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月，依托合肥软件研发基地，成立合肥英泽信息科技有限公司，建立</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1"/>
        </w:rPr>
        <w:t> </w:t>
      </w:r>
      <w:r>
        <w:rPr>
          <w:spacing w:val="-2"/>
        </w:rPr>
        <w:t>外包服务及人才培训为一体的业务体系，为客户提供一站式的</w:t>
      </w:r>
      <w:r>
        <w:rPr>
          <w:rFonts w:ascii="Times New Roman" w:hAnsi="Times New Roman" w:cs="Times New Roman" w:eastAsia="Times New Roman" w:hint="default"/>
          <w:spacing w:val="-2"/>
        </w:rPr>
        <w:t>IT</w:t>
      </w:r>
      <w:r>
        <w:rPr>
          <w:spacing w:val="-2"/>
        </w:rPr>
        <w:t>服务；整合公司在电信、广电、金融、政府等行业的能力和</w:t>
      </w:r>
      <w:r>
        <w:rPr>
          <w:spacing w:val="-55"/>
        </w:rPr>
        <w:t> </w:t>
      </w:r>
      <w:r>
        <w:rPr>
          <w:spacing w:val="-55"/>
        </w:rPr>
      </w:r>
      <w:r>
        <w:rPr/>
        <w:t>资源，结合服务国际厂商的经验，实现以客户为纵深的价值链整合、以行业复制为横向的市场规模扩张。</w:t>
      </w:r>
    </w:p>
    <w:p>
      <w:pPr>
        <w:pStyle w:val="BodyText"/>
        <w:spacing w:line="307" w:lineRule="auto" w:before="71"/>
        <w:ind w:right="188" w:firstLine="360"/>
        <w:jc w:val="both"/>
      </w:pPr>
      <w:r>
        <w:rPr>
          <w:spacing w:val="-2"/>
        </w:rPr>
        <w:t>报告期内，公司继续致力于提升运营和管理能力，以实现健康和可持续发展。技术创新是本公司发展的第一驱动力，公</w:t>
      </w:r>
      <w:r>
        <w:rPr/>
        <w:t> </w:t>
      </w:r>
      <w:r>
        <w:rPr>
          <w:spacing w:val="-1"/>
        </w:rPr>
        <w:t>司研发体系员工总数达到</w:t>
      </w:r>
      <w:r>
        <w:rPr>
          <w:rFonts w:ascii="Times New Roman" w:hAnsi="Times New Roman" w:cs="Times New Roman" w:eastAsia="Times New Roman" w:hint="default"/>
          <w:spacing w:val="-1"/>
        </w:rPr>
        <w:t>1295</w:t>
      </w:r>
      <w:r>
        <w:rPr>
          <w:spacing w:val="-1"/>
        </w:rPr>
        <w:t>人，占员工总数的</w:t>
      </w:r>
      <w:r>
        <w:rPr>
          <w:rFonts w:ascii="Times New Roman" w:hAnsi="Times New Roman" w:cs="Times New Roman" w:eastAsia="Times New Roman" w:hint="default"/>
          <w:spacing w:val="-1"/>
        </w:rPr>
        <w:t>77%</w:t>
      </w:r>
      <w:r>
        <w:rPr>
          <w:spacing w:val="-1"/>
        </w:rPr>
        <w:t>，设立了四大软件研发中心（北京、上海、深圳和合肥），九个软件技</w:t>
      </w:r>
      <w:r>
        <w:rPr/>
        <w:t> </w:t>
      </w:r>
      <w:r>
        <w:rPr>
          <w:spacing w:val="-2"/>
        </w:rPr>
        <w:t>术支持中心（广州、武汉、南京、成都、西安、郑州、重庆、南宁和拉萨）。</w:t>
      </w:r>
      <w:r>
        <w:rPr>
          <w:rFonts w:ascii="Times New Roman" w:hAnsi="Times New Roman" w:cs="Times New Roman" w:eastAsia="Times New Roman" w:hint="default"/>
          <w:spacing w:val="-2"/>
        </w:rPr>
        <w:t>2012</w:t>
      </w:r>
      <w:r>
        <w:rPr>
          <w:spacing w:val="-2"/>
        </w:rPr>
        <w:t>年研发投入</w:t>
      </w:r>
      <w:r>
        <w:rPr>
          <w:rFonts w:ascii="Times New Roman" w:hAnsi="Times New Roman" w:cs="Times New Roman" w:eastAsia="Times New Roman" w:hint="default"/>
          <w:spacing w:val="-2"/>
        </w:rPr>
        <w:t>13,368.51</w:t>
      </w:r>
      <w:r>
        <w:rPr>
          <w:spacing w:val="-2"/>
        </w:rPr>
        <w:t>万元，占业务收入的</w:t>
      </w:r>
      <w:r>
        <w:rPr>
          <w:spacing w:val="-60"/>
        </w:rPr>
        <w:t> </w:t>
      </w:r>
      <w:r>
        <w:rPr>
          <w:spacing w:val="-60"/>
        </w:rPr>
      </w:r>
      <w:r>
        <w:rPr>
          <w:rFonts w:ascii="Times New Roman" w:hAnsi="Times New Roman" w:cs="Times New Roman" w:eastAsia="Times New Roman" w:hint="default"/>
        </w:rPr>
        <w:t>20.01%</w:t>
      </w:r>
      <w:r>
        <w:rPr/>
        <w:t>，近五年累计研发投入超过</w:t>
      </w:r>
      <w:r>
        <w:rPr>
          <w:rFonts w:ascii="Times New Roman" w:hAnsi="Times New Roman" w:cs="Times New Roman" w:eastAsia="Times New Roman" w:hint="default"/>
        </w:rPr>
        <w:t>4</w:t>
      </w:r>
      <w:r>
        <w:rPr/>
        <w:t>亿元。</w:t>
      </w:r>
    </w:p>
    <w:p>
      <w:pPr>
        <w:pStyle w:val="BodyText"/>
        <w:spacing w:line="302" w:lineRule="auto" w:before="45"/>
        <w:ind w:left="154" w:right="258" w:firstLine="360"/>
        <w:jc w:val="both"/>
      </w:pPr>
      <w:r>
        <w:rPr/>
        <w:t>公司积极推进合肥软件研发基地工程建设，积极推进云计算、移动互联网、大数据、</w:t>
      </w:r>
      <w:r>
        <w:rPr>
          <w:rFonts w:ascii="Times New Roman" w:hAnsi="Times New Roman" w:cs="Times New Roman" w:eastAsia="Times New Roman" w:hint="default"/>
        </w:rPr>
        <w:t>Hadoop</w:t>
      </w:r>
      <w:r>
        <w:rPr/>
        <w:t>应用和国产主机海量数据 处理等平台建设和开发应用。</w:t>
      </w:r>
    </w:p>
    <w:p>
      <w:pPr>
        <w:pStyle w:val="BodyText"/>
        <w:spacing w:line="319" w:lineRule="auto" w:before="68"/>
        <w:ind w:left="154" w:right="108" w:firstLine="360"/>
        <w:jc w:val="both"/>
      </w:pPr>
      <w:r>
        <w:rPr/>
        <w:t>公司健全质量管理体系，不断提升产品质量，公司完善项目交付和服务体系，继续贴近用户以增强客户需求响应能力， 提供快速交付能力。</w:t>
      </w:r>
    </w:p>
    <w:p>
      <w:pPr>
        <w:pStyle w:val="BodyText"/>
        <w:spacing w:line="300" w:lineRule="auto" w:before="55"/>
        <w:ind w:right="190" w:firstLine="360"/>
        <w:jc w:val="both"/>
      </w:pPr>
      <w:r>
        <w:rPr/>
        <w:t>公司加强核心管理团队建设，优化人力资源结构，通过股权激励等形式完善激励机制。</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月经董事会审议通过， </w:t>
      </w:r>
      <w:r>
        <w:rPr>
          <w:spacing w:val="-1"/>
        </w:rPr>
        <w:t>公司向</w:t>
      </w:r>
      <w:r>
        <w:rPr>
          <w:rFonts w:ascii="Times New Roman" w:hAnsi="Times New Roman" w:cs="Times New Roman" w:eastAsia="Times New Roman" w:hint="default"/>
          <w:spacing w:val="-1"/>
        </w:rPr>
        <w:t>106</w:t>
      </w:r>
      <w:r>
        <w:rPr>
          <w:spacing w:val="-1"/>
        </w:rPr>
        <w:t>名激励对象授予股票期权，授予日为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日，行权价格为</w:t>
      </w:r>
      <w:r>
        <w:rPr>
          <w:rFonts w:ascii="Times New Roman" w:hAnsi="Times New Roman" w:cs="Times New Roman" w:eastAsia="Times New Roman" w:hint="default"/>
          <w:spacing w:val="-1"/>
        </w:rPr>
        <w:t>13.42</w:t>
      </w:r>
      <w:r>
        <w:rPr>
          <w:spacing w:val="-1"/>
        </w:rPr>
        <w:t>元，并于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月在中登公司完成首次授</w:t>
      </w:r>
      <w:r>
        <w:rPr>
          <w:spacing w:val="-64"/>
        </w:rPr>
        <w:t> </w:t>
      </w:r>
      <w:r>
        <w:rPr/>
        <w:t>予登记工作。</w:t>
      </w:r>
    </w:p>
    <w:p>
      <w:pPr>
        <w:pStyle w:val="BodyText"/>
        <w:spacing w:line="300" w:lineRule="auto" w:before="71"/>
        <w:ind w:right="191" w:firstLine="360"/>
        <w:jc w:val="both"/>
      </w:pPr>
      <w:r>
        <w:rPr/>
        <w:t>报告期内，公司参加了电信业务支撑领域《针对性营销》、《在线计费系统》、《</w:t>
      </w:r>
      <w:r>
        <w:rPr>
          <w:rFonts w:ascii="Times New Roman" w:hAnsi="Times New Roman" w:cs="Times New Roman" w:eastAsia="Times New Roman" w:hint="default"/>
        </w:rPr>
        <w:t>EDA</w:t>
      </w:r>
      <w:r>
        <w:rPr/>
        <w:t>大数据应用》等十多项软件标 </w:t>
      </w:r>
      <w:r>
        <w:rPr>
          <w:spacing w:val="-2"/>
        </w:rPr>
        <w:t>准及规范的制订工作，使公司掌握行业发展方向，在新产品的研发上走在行业前沿。</w:t>
      </w:r>
      <w:r>
        <w:rPr>
          <w:rFonts w:ascii="Times New Roman" w:hAnsi="Times New Roman" w:cs="Times New Roman" w:eastAsia="Times New Roman" w:hint="default"/>
          <w:spacing w:val="-2"/>
        </w:rPr>
        <w:t>2012</w:t>
      </w:r>
      <w:r>
        <w:rPr>
          <w:spacing w:val="-2"/>
        </w:rPr>
        <w:t>年，公司新取得《天源迪科在线计</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ind w:right="151"/>
        <w:jc w:val="both"/>
      </w:pPr>
      <w:r>
        <w:rPr/>
        <w:t>费会话管理系统软件》等</w:t>
      </w:r>
      <w:r>
        <w:rPr>
          <w:rFonts w:ascii="Times New Roman" w:hAnsi="Times New Roman" w:cs="Times New Roman" w:eastAsia="Times New Roman" w:hint="default"/>
        </w:rPr>
        <w:t>16</w:t>
      </w:r>
      <w:r>
        <w:rPr/>
        <w:t>项软件著作权，累计已获得</w:t>
      </w:r>
      <w:r>
        <w:rPr>
          <w:rFonts w:ascii="Times New Roman" w:hAnsi="Times New Roman" w:cs="Times New Roman" w:eastAsia="Times New Roman" w:hint="default"/>
        </w:rPr>
        <w:t>90</w:t>
      </w:r>
      <w:r>
        <w:rPr/>
        <w:t>项软件著作权；新申请《对</w:t>
      </w:r>
      <w:r>
        <w:rPr>
          <w:rFonts w:ascii="Times New Roman" w:hAnsi="Times New Roman" w:cs="Times New Roman" w:eastAsia="Times New Roman" w:hint="default"/>
        </w:rPr>
        <w:t>C/C++</w:t>
      </w:r>
      <w:r>
        <w:rPr/>
        <w:t>进行动态实例化的方法》等</w:t>
      </w:r>
      <w:r>
        <w:rPr>
          <w:rFonts w:ascii="Times New Roman" w:hAnsi="Times New Roman" w:cs="Times New Roman" w:eastAsia="Times New Roman" w:hint="default"/>
        </w:rPr>
        <w:t>3</w:t>
      </w:r>
      <w:r>
        <w:rPr/>
        <w:t>项 </w:t>
      </w:r>
      <w:r>
        <w:rPr>
          <w:spacing w:val="-2"/>
        </w:rPr>
        <w:t>发明专利，新获得授权</w:t>
      </w:r>
      <w:r>
        <w:rPr>
          <w:rFonts w:ascii="Times New Roman" w:hAnsi="Times New Roman" w:cs="Times New Roman" w:eastAsia="Times New Roman" w:hint="default"/>
          <w:spacing w:val="-2"/>
        </w:rPr>
        <w:t>1</w:t>
      </w:r>
      <w:r>
        <w:rPr>
          <w:spacing w:val="-2"/>
        </w:rPr>
        <w:t>项，累计申请发明专利</w:t>
      </w:r>
      <w:r>
        <w:rPr>
          <w:rFonts w:ascii="Times New Roman" w:hAnsi="Times New Roman" w:cs="Times New Roman" w:eastAsia="Times New Roman" w:hint="default"/>
          <w:spacing w:val="-2"/>
        </w:rPr>
        <w:t>14</w:t>
      </w:r>
      <w:r>
        <w:rPr>
          <w:spacing w:val="-2"/>
        </w:rPr>
        <w:t>项，其中获得授权</w:t>
      </w:r>
      <w:r>
        <w:rPr>
          <w:rFonts w:ascii="Times New Roman" w:hAnsi="Times New Roman" w:cs="Times New Roman" w:eastAsia="Times New Roman" w:hint="default"/>
          <w:spacing w:val="-2"/>
        </w:rPr>
        <w:t>1</w:t>
      </w:r>
      <w:r>
        <w:rPr>
          <w:spacing w:val="-2"/>
        </w:rPr>
        <w:t>项；新增加软件产品登记</w:t>
      </w:r>
      <w:r>
        <w:rPr>
          <w:rFonts w:ascii="Times New Roman" w:hAnsi="Times New Roman" w:cs="Times New Roman" w:eastAsia="Times New Roman" w:hint="default"/>
          <w:spacing w:val="-2"/>
        </w:rPr>
        <w:t>26</w:t>
      </w:r>
      <w:r>
        <w:rPr>
          <w:spacing w:val="-2"/>
        </w:rPr>
        <w:t>项，累计获得</w:t>
      </w:r>
      <w:r>
        <w:rPr>
          <w:rFonts w:ascii="Times New Roman" w:hAnsi="Times New Roman" w:cs="Times New Roman" w:eastAsia="Times New Roman" w:hint="default"/>
          <w:spacing w:val="-2"/>
        </w:rPr>
        <w:t>67</w:t>
      </w:r>
      <w:r>
        <w:rPr>
          <w:spacing w:val="-2"/>
        </w:rPr>
        <w:t>项软件产品</w:t>
      </w:r>
      <w:r>
        <w:rPr>
          <w:spacing w:val="-58"/>
        </w:rPr>
        <w:t> </w:t>
      </w:r>
      <w:r>
        <w:rPr>
          <w:spacing w:val="-58"/>
        </w:rPr>
      </w:r>
      <w:r>
        <w:rPr/>
        <w:t>登记。</w:t>
      </w:r>
    </w:p>
    <w:p>
      <w:pPr>
        <w:pStyle w:val="BodyText"/>
        <w:spacing w:line="302" w:lineRule="auto" w:before="70"/>
        <w:ind w:left="154" w:right="0" w:firstLine="360"/>
        <w:jc w:val="left"/>
      </w:pPr>
      <w:r>
        <w:rPr>
          <w:spacing w:val="-2"/>
        </w:rPr>
        <w:t>公司继续加强品牌建设，获颁广东省院士工作站，入选央视财经</w:t>
      </w:r>
      <w:r>
        <w:rPr>
          <w:rFonts w:ascii="Times New Roman" w:hAnsi="Times New Roman" w:cs="Times New Roman" w:eastAsia="Times New Roman" w:hint="default"/>
          <w:spacing w:val="-2"/>
        </w:rPr>
        <w:t>50</w:t>
      </w:r>
      <w:r>
        <w:rPr>
          <w:spacing w:val="-2"/>
        </w:rPr>
        <w:t>指数，获得第六届中国通信与信息化行业应用领军企</w:t>
      </w:r>
      <w:r>
        <w:rPr/>
        <w:t> 业奖、中国创新软件产品奖、第十六届软博会创新软件产品奖和深圳市优秀软件产品奖。</w:t>
      </w:r>
    </w:p>
    <w:p>
      <w:pPr>
        <w:spacing w:line="240" w:lineRule="auto" w:before="6"/>
        <w:rPr>
          <w:rFonts w:ascii="宋体" w:hAnsi="宋体" w:cs="宋体" w:eastAsia="宋体" w:hint="default"/>
          <w:sz w:val="21"/>
          <w:szCs w:val="21"/>
        </w:rPr>
      </w:pPr>
    </w:p>
    <w:p>
      <w:pPr>
        <w:pStyle w:val="Heading3"/>
        <w:spacing w:line="240" w:lineRule="auto" w:before="0"/>
        <w:ind w:right="0"/>
        <w:jc w:val="both"/>
        <w:rPr>
          <w:b w:val="0"/>
          <w:bCs w:val="0"/>
        </w:rPr>
      </w:pPr>
      <w:r>
        <w:rPr/>
        <w:t>二、报告期内主要经营情况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both"/>
      </w:pPr>
      <w:r>
        <w:rPr/>
        <w:t>说明</w:t>
      </w:r>
    </w:p>
    <w:p>
      <w:pPr>
        <w:pStyle w:val="BodyText"/>
        <w:spacing w:line="300" w:lineRule="auto" w:before="115"/>
        <w:ind w:right="0" w:firstLine="360"/>
        <w:jc w:val="left"/>
      </w:pPr>
      <w:r>
        <w:rPr>
          <w:spacing w:val="-2"/>
        </w:rPr>
        <w:t>公司秉承</w:t>
      </w:r>
      <w:r>
        <w:rPr>
          <w:rFonts w:ascii="Times New Roman" w:hAnsi="Times New Roman" w:cs="Times New Roman" w:eastAsia="Times New Roman" w:hint="default"/>
          <w:spacing w:val="-2"/>
        </w:rPr>
        <w:t>“</w:t>
      </w:r>
      <w:r>
        <w:rPr>
          <w:spacing w:val="-2"/>
        </w:rPr>
        <w:t>为客户创造价值，与客户共同成长</w:t>
      </w:r>
      <w:r>
        <w:rPr>
          <w:rFonts w:ascii="Times New Roman" w:hAnsi="Times New Roman" w:cs="Times New Roman" w:eastAsia="Times New Roman" w:hint="default"/>
          <w:spacing w:val="-2"/>
        </w:rPr>
        <w:t>”</w:t>
      </w:r>
      <w:r>
        <w:rPr>
          <w:spacing w:val="-2"/>
        </w:rPr>
        <w:t>的经营理念，坚持深度耕耘老市场、不断拓展新市场、发展新客户的销售</w:t>
      </w:r>
      <w:r>
        <w:rPr/>
        <w:t> 策略，营业收入</w:t>
      </w:r>
      <w:r>
        <w:rPr>
          <w:rFonts w:ascii="Times New Roman" w:hAnsi="Times New Roman" w:cs="Times New Roman" w:eastAsia="Times New Roman" w:hint="default"/>
        </w:rPr>
        <w:t>2012</w:t>
      </w:r>
      <w:r>
        <w:rPr/>
        <w:t>年度比</w:t>
      </w:r>
      <w:r>
        <w:rPr>
          <w:rFonts w:ascii="Times New Roman" w:hAnsi="Times New Roman" w:cs="Times New Roman" w:eastAsia="Times New Roman" w:hint="default"/>
        </w:rPr>
        <w:t>2011</w:t>
      </w:r>
      <w:r>
        <w:rPr/>
        <w:t>年度增长了</w:t>
      </w:r>
      <w:r>
        <w:rPr>
          <w:rFonts w:ascii="Times New Roman" w:hAnsi="Times New Roman" w:cs="Times New Roman" w:eastAsia="Times New Roman" w:hint="default"/>
        </w:rPr>
        <w:t>59.32%</w:t>
      </w:r>
      <w:r>
        <w:rPr/>
        <w:t>，主要是新增加的网络产品分销实现收入</w:t>
      </w:r>
      <w:r>
        <w:rPr>
          <w:rFonts w:ascii="Times New Roman" w:hAnsi="Times New Roman" w:cs="Times New Roman" w:eastAsia="Times New Roman" w:hint="default"/>
        </w:rPr>
        <w:t>21,758.74</w:t>
      </w:r>
      <w:r>
        <w:rPr/>
        <w:t>万元，另外公司核心 业务应用软件、技术服务和电信增值业务</w:t>
      </w:r>
      <w:r>
        <w:rPr>
          <w:rFonts w:ascii="Times New Roman" w:hAnsi="Times New Roman" w:cs="Times New Roman" w:eastAsia="Times New Roman" w:hint="default"/>
        </w:rPr>
        <w:t>2012</w:t>
      </w:r>
      <w:r>
        <w:rPr/>
        <w:t>年度比</w:t>
      </w:r>
      <w:r>
        <w:rPr>
          <w:rFonts w:ascii="Times New Roman" w:hAnsi="Times New Roman" w:cs="Times New Roman" w:eastAsia="Times New Roman" w:hint="default"/>
        </w:rPr>
        <w:t>2011</w:t>
      </w:r>
      <w:r>
        <w:rPr/>
        <w:t>年度分别增长了</w:t>
      </w:r>
      <w:r>
        <w:rPr>
          <w:rFonts w:ascii="Times New Roman" w:hAnsi="Times New Roman" w:cs="Times New Roman" w:eastAsia="Times New Roman" w:hint="default"/>
        </w:rPr>
        <w:t>27.09%</w:t>
      </w:r>
      <w:r>
        <w:rPr/>
        <w:t>、</w:t>
      </w:r>
      <w:r>
        <w:rPr>
          <w:rFonts w:ascii="Times New Roman" w:hAnsi="Times New Roman" w:cs="Times New Roman" w:eastAsia="Times New Roman" w:hint="default"/>
        </w:rPr>
        <w:t>62.90%</w:t>
      </w:r>
      <w:r>
        <w:rPr/>
        <w:t>和</w:t>
      </w:r>
      <w:r>
        <w:rPr>
          <w:rFonts w:ascii="Times New Roman" w:hAnsi="Times New Roman" w:cs="Times New Roman" w:eastAsia="Times New Roman" w:hint="default"/>
        </w:rPr>
        <w:t>44.75%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before="0"/>
        <w:ind w:left="154" w:right="0"/>
        <w:jc w:val="both"/>
      </w:pPr>
      <w:r>
        <w:rPr/>
        <w:t>公司实物销售收入是否大于劳务收入</w:t>
      </w:r>
    </w:p>
    <w:p>
      <w:pPr>
        <w:pStyle w:val="BodyText"/>
        <w:spacing w:line="340" w:lineRule="auto" w:before="116"/>
        <w:ind w:left="154"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0"/>
        <w:ind w:left="154"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38" w:lineRule="auto" w:before="43"/>
        <w:ind w:left="154"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2"/>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187,247,313.99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164,980,233.49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30,137,150.74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21,907,142.57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180,979,331.74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31,340,899.94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398,363,796.47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218,228,276.00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35,263,180.97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24,760,955.62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主要原因是加大应用软件市场开拓 力度、加大品牌建设力度，和增加子 公司合并报表，使得相应费用增加。</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122,952,416.24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89,639,632.38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其主要原因是研究费用增加和新增 合并子公司管理费用。</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-5,243,620.28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-11,937,955.33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主要原因是募投资金定期存款减少 和贷款利息增加。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10,798,731.54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12,081,229.12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24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240"/>
        <w:jc w:val="left"/>
      </w:pPr>
      <w:r>
        <w:rPr/>
        <w:t>公司长期专注于自主研发，重视研发投入，以支持产品的升级和优化，研发投入占营业收入比例</w:t>
      </w:r>
      <w:r>
        <w:rPr>
          <w:rFonts w:ascii="Times New Roman" w:hAnsi="Times New Roman" w:cs="Times New Roman" w:eastAsia="Times New Roman" w:hint="default"/>
        </w:rPr>
        <w:t>2012</w:t>
      </w:r>
      <w:r>
        <w:rPr/>
        <w:t>年度为</w:t>
      </w:r>
      <w:r>
        <w:rPr>
          <w:rFonts w:ascii="Times New Roman" w:hAnsi="Times New Roman" w:cs="Times New Roman" w:eastAsia="Times New Roman" w:hint="default"/>
        </w:rPr>
        <w:t>20.10</w:t>
      </w:r>
      <w:r>
        <w:rPr/>
        <w:t>％、</w:t>
      </w:r>
    </w:p>
    <w:p>
      <w:pPr>
        <w:pStyle w:val="BodyText"/>
        <w:spacing w:line="240" w:lineRule="auto" w:before="64"/>
        <w:ind w:left="154" w:right="240"/>
        <w:jc w:val="left"/>
      </w:pPr>
      <w:r>
        <w:rPr>
          <w:rFonts w:ascii="Times New Roman" w:hAnsi="Times New Roman" w:cs="Times New Roman" w:eastAsia="Times New Roman" w:hint="default"/>
        </w:rPr>
        <w:t>2011</w:t>
      </w:r>
      <w:r>
        <w:rPr/>
        <w:t>年度为</w:t>
      </w:r>
      <w:r>
        <w:rPr>
          <w:rFonts w:ascii="Times New Roman" w:hAnsi="Times New Roman" w:cs="Times New Roman" w:eastAsia="Times New Roman" w:hint="default"/>
        </w:rPr>
        <w:t>24.49</w:t>
      </w:r>
      <w:r>
        <w:rPr/>
        <w:t>％、</w:t>
      </w:r>
      <w:r>
        <w:rPr>
          <w:rFonts w:ascii="Times New Roman" w:hAnsi="Times New Roman" w:cs="Times New Roman" w:eastAsia="Times New Roman" w:hint="default"/>
        </w:rPr>
        <w:t>2010</w:t>
      </w:r>
      <w:r>
        <w:rPr/>
        <w:t>年度为</w:t>
      </w:r>
      <w:r>
        <w:rPr>
          <w:rFonts w:ascii="Times New Roman" w:hAnsi="Times New Roman" w:cs="Times New Roman" w:eastAsia="Times New Roman" w:hint="default"/>
        </w:rPr>
        <w:t>39.91</w:t>
      </w:r>
      <w:r>
        <w:rPr/>
        <w:t>％。</w:t>
      </w:r>
    </w:p>
    <w:p>
      <w:pPr>
        <w:pStyle w:val="BodyText"/>
        <w:spacing w:line="240" w:lineRule="auto" w:before="103"/>
        <w:ind w:left="514" w:right="240"/>
        <w:jc w:val="left"/>
      </w:pPr>
      <w:r>
        <w:rPr>
          <w:rFonts w:ascii="Times New Roman" w:hAnsi="Times New Roman" w:cs="Times New Roman" w:eastAsia="Times New Roman" w:hint="default"/>
        </w:rPr>
        <w:t>2012</w:t>
      </w:r>
      <w:r>
        <w:rPr/>
        <w:t>年度研发情况如下表：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754"/>
        <w:gridCol w:w="1852"/>
        <w:gridCol w:w="1585"/>
        <w:gridCol w:w="4075"/>
        <w:gridCol w:w="1589"/>
      </w:tblGrid>
      <w:tr>
        <w:trPr>
          <w:trHeight w:val="427" w:hRule="exact"/>
        </w:trPr>
        <w:tc>
          <w:tcPr>
            <w:tcW w:w="7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当前进展情况</w:t>
            </w:r>
          </w:p>
        </w:tc>
        <w:tc>
          <w:tcPr>
            <w:tcW w:w="40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拟达到的目标</w:t>
            </w:r>
          </w:p>
        </w:tc>
        <w:tc>
          <w:tcPr>
            <w:tcW w:w="15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所属行业</w:t>
            </w:r>
          </w:p>
        </w:tc>
      </w:tr>
      <w:tr>
        <w:trPr>
          <w:trHeight w:val="1363"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31"/>
              <w:jc w:val="left"/>
              <w:rPr>
                <w:rFonts w:ascii="宋体" w:hAnsi="宋体" w:cs="宋体" w:eastAsia="宋体" w:hint="default"/>
                <w:sz w:val="18"/>
                <w:szCs w:val="18"/>
              </w:rPr>
            </w:pPr>
            <w:r>
              <w:rPr>
                <w:rFonts w:ascii="宋体" w:hAnsi="宋体" w:cs="宋体" w:eastAsia="宋体" w:hint="default"/>
                <w:sz w:val="18"/>
                <w:szCs w:val="18"/>
              </w:rPr>
              <w:t>企业智能决策支持平台 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已交付、结项</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在一阶段版本基础上，支撑互联网及移动互联网分 </w:t>
            </w:r>
            <w:r>
              <w:rPr>
                <w:rFonts w:ascii="宋体" w:hAnsi="宋体" w:cs="宋体" w:eastAsia="宋体" w:hint="default"/>
                <w:spacing w:val="-4"/>
                <w:sz w:val="18"/>
                <w:szCs w:val="18"/>
              </w:rPr>
              <w:t>析，开发客户服务质量分析，充实分析模型，借助数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据挖掘手段从数据中发现规律，进而辅助电信运营商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进行经营决策。</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1051"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客户关系管理系统项目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已交付、结项</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4"/>
                <w:sz w:val="18"/>
                <w:szCs w:val="18"/>
              </w:rPr>
              <w:t>在一阶段版本基础上，支撑海外运营商，提升版本国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际化能力。完善系统对电子渠道支撑能力，改进服务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配置能力。</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73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融合计费系统项目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已交付、结项</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96"/>
              <w:jc w:val="left"/>
              <w:rPr>
                <w:rFonts w:ascii="宋体" w:hAnsi="宋体" w:cs="宋体" w:eastAsia="宋体" w:hint="default"/>
                <w:sz w:val="18"/>
                <w:szCs w:val="18"/>
              </w:rPr>
            </w:pPr>
            <w:r>
              <w:rPr>
                <w:rFonts w:ascii="宋体" w:hAnsi="宋体" w:cs="宋体" w:eastAsia="宋体" w:hint="default"/>
                <w:sz w:val="18"/>
                <w:szCs w:val="18"/>
              </w:rPr>
              <w:t>在一阶段版本基础上，重点强化对于内容计费的支 撑，增强不同付费模式的融合。</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739"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31"/>
              <w:jc w:val="left"/>
              <w:rPr>
                <w:rFonts w:ascii="宋体" w:hAnsi="宋体" w:cs="宋体" w:eastAsia="宋体" w:hint="default"/>
                <w:sz w:val="18"/>
                <w:szCs w:val="18"/>
              </w:rPr>
            </w:pPr>
            <w:r>
              <w:rPr>
                <w:rFonts w:ascii="宋体" w:hAnsi="宋体" w:cs="宋体" w:eastAsia="宋体" w:hint="default"/>
                <w:sz w:val="18"/>
                <w:szCs w:val="18"/>
              </w:rPr>
              <w:t>基于架构和构件库的电 信业务中间件平台项目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已交付、结项</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left"/>
              <w:rPr>
                <w:rFonts w:ascii="宋体" w:hAnsi="宋体" w:cs="宋体" w:eastAsia="宋体" w:hint="default"/>
                <w:sz w:val="18"/>
                <w:szCs w:val="18"/>
              </w:rPr>
            </w:pPr>
            <w:r>
              <w:rPr>
                <w:rFonts w:ascii="宋体" w:hAnsi="宋体" w:cs="宋体" w:eastAsia="宋体" w:hint="default"/>
                <w:spacing w:val="-4"/>
                <w:sz w:val="18"/>
                <w:szCs w:val="18"/>
              </w:rPr>
              <w:t>整合了通用技术平台的基础能力，形成面向电信行业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交易类系统的开发框架，提高产品开发效率和质量</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电信</w:t>
            </w:r>
          </w:p>
          <w:p>
            <w:pPr>
              <w:pStyle w:val="TableParagraph"/>
              <w:spacing w:line="240" w:lineRule="auto" w:before="77"/>
              <w:ind w:left="-11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39"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31"/>
              <w:jc w:val="left"/>
              <w:rPr>
                <w:rFonts w:ascii="宋体" w:hAnsi="宋体" w:cs="宋体" w:eastAsia="宋体" w:hint="default"/>
                <w:sz w:val="18"/>
                <w:szCs w:val="18"/>
              </w:rPr>
            </w:pPr>
            <w:r>
              <w:rPr>
                <w:rFonts w:ascii="宋体" w:hAnsi="宋体" w:cs="宋体" w:eastAsia="宋体" w:hint="default"/>
                <w:sz w:val="18"/>
                <w:szCs w:val="18"/>
              </w:rPr>
              <w:t>新一代电信运营支撑系 统项目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已交付、结项</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4"/>
                <w:sz w:val="18"/>
                <w:szCs w:val="18"/>
              </w:rPr>
              <w:t>优化服务标准能力，增强系统对于分布式处理支持能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力。</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联通</w:t>
            </w:r>
          </w:p>
        </w:tc>
      </w:tr>
      <w:tr>
        <w:trPr>
          <w:trHeight w:val="739"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情报线索分析系统项目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已交付、结项</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4"/>
                <w:sz w:val="18"/>
                <w:szCs w:val="18"/>
              </w:rPr>
              <w:t>引用互联网数据分析和挖掘技术，提升对于重大事件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的预警能力</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公安</w:t>
            </w:r>
          </w:p>
        </w:tc>
      </w:tr>
      <w:tr>
        <w:trPr>
          <w:trHeight w:val="739"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31"/>
              <w:jc w:val="left"/>
              <w:rPr>
                <w:rFonts w:ascii="宋体" w:hAnsi="宋体" w:cs="宋体" w:eastAsia="宋体" w:hint="default"/>
                <w:sz w:val="18"/>
                <w:szCs w:val="18"/>
              </w:rPr>
            </w:pPr>
            <w:r>
              <w:rPr>
                <w:rFonts w:ascii="宋体" w:hAnsi="宋体" w:cs="宋体" w:eastAsia="宋体" w:hint="default"/>
                <w:sz w:val="18"/>
                <w:szCs w:val="18"/>
              </w:rPr>
              <w:t>客户服务管理分析系统 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设计阶段</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4"/>
                <w:sz w:val="18"/>
                <w:szCs w:val="18"/>
              </w:rPr>
              <w:t>引入客户服务质量评测，并对原有客户服务分析相关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模块进行重构。</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739"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大数据查询平台项目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对非结构化数据的采集、处理，搭建一个稳定、高效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的基础数据平台。</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1363"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EDA</w:t>
            </w:r>
            <w:r>
              <w:rPr>
                <w:rFonts w:ascii="宋体" w:hAnsi="宋体" w:cs="宋体" w:eastAsia="宋体" w:hint="default"/>
                <w:sz w:val="18"/>
                <w:szCs w:val="18"/>
              </w:rPr>
              <w:t>业务网管开发项目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监控</w:t>
            </w:r>
            <w:r>
              <w:rPr>
                <w:rFonts w:ascii="Times New Roman" w:hAnsi="Times New Roman" w:cs="Times New Roman" w:eastAsia="Times New Roman" w:hint="default"/>
                <w:sz w:val="18"/>
                <w:szCs w:val="18"/>
              </w:rPr>
              <w:t>EDA</w:t>
            </w:r>
            <w:r>
              <w:rPr>
                <w:rFonts w:ascii="宋体" w:hAnsi="宋体" w:cs="宋体" w:eastAsia="宋体" w:hint="default"/>
                <w:sz w:val="18"/>
                <w:szCs w:val="18"/>
              </w:rPr>
              <w:t>数据处理过程及指标发布，自动核对、及 </w:t>
            </w:r>
            <w:r>
              <w:rPr>
                <w:rFonts w:ascii="宋体" w:hAnsi="宋体" w:cs="宋体" w:eastAsia="宋体" w:hint="default"/>
                <w:spacing w:val="-4"/>
                <w:sz w:val="18"/>
                <w:szCs w:val="18"/>
              </w:rPr>
              <w:t>时发现问题。提高数据监控的可视化、可控化，促进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数据运营工作的规范化、标准化，提升自动化运营能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力。</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电信</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r>
        <w:rPr/>
        <w:pict>
          <v:group style="position:absolute;margin-left:469.97998pt;margin-top:72pt;width:.1pt;height:692.1pt;mso-position-horizontal-relative:page;mso-position-vertical-relative:page;z-index:-1152040" coordorigin="9400,1440" coordsize="2,13842">
            <v:shape style="position:absolute;left:9400;top:1440;width:2;height:13842" coordorigin="9400,1440" coordsize="0,13842" path="m9400,1440l9400,15282e" filled="false" stroked="true" strokeweight=".71997pt" strokecolor="#000000">
              <v:path arrowok="t"/>
            </v:shape>
            <w10:wrap type="none"/>
          </v:group>
        </w:pict>
      </w:r>
    </w:p>
    <w:p>
      <w:pPr>
        <w:spacing w:line="240" w:lineRule="auto" w:before="1"/>
        <w:rPr>
          <w:rFonts w:ascii="Times New Roman" w:hAnsi="Times New Roman" w:cs="Times New Roman" w:eastAsia="Times New Roman"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754"/>
        <w:gridCol w:w="1852"/>
        <w:gridCol w:w="1585"/>
        <w:gridCol w:w="4333"/>
        <w:gridCol w:w="1331"/>
      </w:tblGrid>
      <w:tr>
        <w:trPr>
          <w:trHeight w:val="682"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电信</w:t>
            </w:r>
            <w:r>
              <w:rPr>
                <w:rFonts w:ascii="Times New Roman" w:hAnsi="Times New Roman" w:cs="Times New Roman" w:eastAsia="Times New Roman" w:hint="default"/>
                <w:sz w:val="18"/>
                <w:szCs w:val="18"/>
              </w:rPr>
              <w:t>iBilling</w:t>
            </w:r>
            <w:r>
              <w:rPr>
                <w:rFonts w:ascii="宋体" w:hAnsi="宋体" w:cs="宋体" w:eastAsia="宋体" w:hint="default"/>
                <w:sz w:val="18"/>
                <w:szCs w:val="18"/>
              </w:rPr>
              <w:t>开发项目</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试运行阶段</w:t>
            </w:r>
          </w:p>
        </w:tc>
        <w:tc>
          <w:tcPr>
            <w:tcW w:w="4333" w:type="dxa"/>
            <w:tcBorders>
              <w:top w:val="single" w:sz="6" w:space="0" w:color="000000"/>
              <w:left w:val="single" w:sz="6" w:space="0" w:color="000000"/>
              <w:bottom w:val="nil" w:sz="6" w:space="0" w:color="auto"/>
              <w:right w:val="nil" w:sz="6" w:space="0" w:color="auto"/>
            </w:tcBorders>
          </w:tcPr>
          <w:p>
            <w:pPr>
              <w:pStyle w:val="TableParagraph"/>
              <w:spacing w:line="316" w:lineRule="auto" w:before="62"/>
              <w:ind w:left="2" w:right="266"/>
              <w:jc w:val="left"/>
              <w:rPr>
                <w:rFonts w:ascii="宋体" w:hAnsi="宋体" w:cs="宋体" w:eastAsia="宋体" w:hint="default"/>
                <w:sz w:val="18"/>
                <w:szCs w:val="18"/>
              </w:rPr>
            </w:pPr>
            <w:r>
              <w:rPr>
                <w:rFonts w:ascii="宋体" w:hAnsi="宋体" w:cs="宋体" w:eastAsia="宋体" w:hint="default"/>
                <w:spacing w:val="-4"/>
                <w:sz w:val="18"/>
                <w:szCs w:val="18"/>
              </w:rPr>
              <w:t>针对海外市场运营商特性，特别是中小运营商的业务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特点，提供一套能够快速交付、基础模块高效内聚的</w:t>
            </w:r>
          </w:p>
        </w:tc>
        <w:tc>
          <w:tcPr>
            <w:tcW w:w="1331" w:type="dxa"/>
            <w:tcBorders>
              <w:top w:val="single" w:sz="6" w:space="0" w:color="000000"/>
              <w:left w:val="nil" w:sz="6" w:space="0" w:color="auto"/>
              <w:bottom w:val="nil" w:sz="6" w:space="0" w:color="auto"/>
              <w:right w:val="single" w:sz="6" w:space="0" w:color="000000"/>
            </w:tcBorders>
          </w:tcPr>
          <w:p>
            <w:pPr>
              <w:pStyle w:val="TableParagraph"/>
              <w:spacing w:line="240" w:lineRule="auto" w:before="62"/>
              <w:ind w:right="248"/>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369"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333"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业务支撑系统。</w:t>
            </w:r>
          </w:p>
        </w:tc>
        <w:tc>
          <w:tcPr>
            <w:tcW w:w="1331" w:type="dxa"/>
            <w:tcBorders>
              <w:top w:val="nil" w:sz="6" w:space="0" w:color="auto"/>
              <w:left w:val="nil" w:sz="6" w:space="0" w:color="auto"/>
              <w:bottom w:val="single" w:sz="6" w:space="0" w:color="000000"/>
              <w:right w:val="single" w:sz="6" w:space="0" w:color="000000"/>
            </w:tcBorders>
          </w:tcPr>
          <w:p>
            <w:pPr/>
          </w:p>
        </w:tc>
      </w:tr>
      <w:tr>
        <w:trPr>
          <w:trHeight w:val="739"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ICenter</w:t>
            </w:r>
            <w:r>
              <w:rPr>
                <w:rFonts w:ascii="宋体" w:hAnsi="宋体" w:cs="宋体" w:eastAsia="宋体" w:hint="default"/>
                <w:sz w:val="18"/>
                <w:szCs w:val="18"/>
              </w:rPr>
              <w:t>移动互联网信息 平台研发项目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4333"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62"/>
              <w:ind w:left="2" w:right="175"/>
              <w:jc w:val="left"/>
              <w:rPr>
                <w:rFonts w:ascii="宋体" w:hAnsi="宋体" w:cs="宋体" w:eastAsia="宋体" w:hint="default"/>
                <w:sz w:val="18"/>
                <w:szCs w:val="18"/>
              </w:rPr>
            </w:pPr>
            <w:r>
              <w:rPr>
                <w:rFonts w:ascii="宋体" w:hAnsi="宋体" w:cs="宋体" w:eastAsia="宋体" w:hint="default"/>
                <w:sz w:val="18"/>
                <w:szCs w:val="18"/>
              </w:rPr>
              <w:t>设计移动互联网核心引擎，兼容移动终端和操作系 </w:t>
            </w:r>
            <w:r>
              <w:rPr>
                <w:rFonts w:ascii="宋体" w:hAnsi="宋体" w:cs="宋体" w:eastAsia="宋体" w:hint="default"/>
                <w:spacing w:val="-8"/>
                <w:sz w:val="18"/>
                <w:szCs w:val="18"/>
              </w:rPr>
              <w:t>统，整合工作、生活和学习邓应用的资讯和服务平台。</w:t>
            </w:r>
          </w:p>
        </w:tc>
        <w:tc>
          <w:tcPr>
            <w:tcW w:w="1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right="248"/>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994"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302" w:lineRule="auto" w:before="61"/>
              <w:ind w:left="3" w:right="41"/>
              <w:jc w:val="left"/>
              <w:rPr>
                <w:rFonts w:ascii="宋体" w:hAnsi="宋体" w:cs="宋体" w:eastAsia="宋体" w:hint="default"/>
                <w:sz w:val="18"/>
                <w:szCs w:val="18"/>
              </w:rPr>
            </w:pPr>
            <w:r>
              <w:rPr>
                <w:rFonts w:ascii="宋体" w:hAnsi="宋体" w:cs="宋体" w:eastAsia="宋体" w:hint="default"/>
                <w:spacing w:val="-11"/>
                <w:sz w:val="18"/>
                <w:szCs w:val="18"/>
              </w:rPr>
              <w:t>共享数据中心（</w:t>
            </w:r>
            <w:r>
              <w:rPr>
                <w:rFonts w:ascii="Times New Roman" w:hAnsi="Times New Roman" w:cs="Times New Roman" w:eastAsia="Times New Roman" w:hint="default"/>
                <w:spacing w:val="-11"/>
                <w:sz w:val="18"/>
                <w:szCs w:val="18"/>
              </w:rPr>
              <w:t>SID</w:t>
            </w:r>
            <w:r>
              <w:rPr>
                <w:rFonts w:ascii="宋体" w:hAnsi="宋体" w:cs="宋体" w:eastAsia="宋体" w:hint="default"/>
                <w:spacing w:val="-11"/>
                <w:sz w:val="18"/>
                <w:szCs w:val="18"/>
              </w:rPr>
              <w:t>）项</w:t>
            </w:r>
            <w:r>
              <w:rPr>
                <w:rFonts w:ascii="宋体" w:hAnsi="宋体" w:cs="宋体" w:eastAsia="宋体" w:hint="default"/>
                <w:spacing w:val="-81"/>
                <w:sz w:val="18"/>
                <w:szCs w:val="18"/>
              </w:rPr>
              <w:t> </w:t>
            </w:r>
            <w:r>
              <w:rPr>
                <w:rFonts w:ascii="宋体" w:hAnsi="宋体" w:cs="宋体" w:eastAsia="宋体" w:hint="default"/>
                <w:sz w:val="18"/>
                <w:szCs w:val="18"/>
              </w:rPr>
              <w:t>目</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试运行阶段</w:t>
            </w:r>
          </w:p>
        </w:tc>
        <w:tc>
          <w:tcPr>
            <w:tcW w:w="4333" w:type="dxa"/>
            <w:tcBorders>
              <w:top w:val="single" w:sz="6" w:space="0" w:color="000000"/>
              <w:left w:val="single" w:sz="6" w:space="0" w:color="000000"/>
              <w:bottom w:val="nil" w:sz="6" w:space="0" w:color="auto"/>
              <w:right w:val="nil" w:sz="6" w:space="0" w:color="auto"/>
            </w:tcBorders>
          </w:tcPr>
          <w:p>
            <w:pPr>
              <w:pStyle w:val="TableParagraph"/>
              <w:spacing w:line="309" w:lineRule="auto" w:before="61"/>
              <w:ind w:left="2" w:right="266"/>
              <w:jc w:val="left"/>
              <w:rPr>
                <w:rFonts w:ascii="宋体" w:hAnsi="宋体" w:cs="宋体" w:eastAsia="宋体" w:hint="default"/>
                <w:sz w:val="18"/>
                <w:szCs w:val="18"/>
              </w:rPr>
            </w:pPr>
            <w:r>
              <w:rPr>
                <w:rFonts w:ascii="宋体" w:hAnsi="宋体" w:cs="宋体" w:eastAsia="宋体" w:hint="default"/>
                <w:sz w:val="18"/>
                <w:szCs w:val="18"/>
              </w:rPr>
              <w:t>以共享数据服务为核心的数据共享平台，通过适配 </w:t>
            </w:r>
            <w:r>
              <w:rPr>
                <w:rFonts w:ascii="Times New Roman" w:hAnsi="Times New Roman" w:cs="Times New Roman" w:eastAsia="Times New Roman" w:hint="default"/>
                <w:spacing w:val="-1"/>
                <w:sz w:val="18"/>
                <w:szCs w:val="18"/>
              </w:rPr>
              <w:t>SOAP</w:t>
            </w:r>
            <w:r>
              <w:rPr>
                <w:rFonts w:ascii="宋体" w:hAnsi="宋体" w:cs="宋体" w:eastAsia="宋体" w:hint="default"/>
                <w:spacing w:val="-1"/>
                <w:sz w:val="18"/>
                <w:szCs w:val="18"/>
              </w:rPr>
              <w:t>协议，能为各类</w:t>
            </w:r>
            <w:r>
              <w:rPr>
                <w:rFonts w:ascii="Times New Roman" w:hAnsi="Times New Roman" w:cs="Times New Roman" w:eastAsia="Times New Roman" w:hint="default"/>
                <w:spacing w:val="-1"/>
                <w:sz w:val="18"/>
                <w:szCs w:val="18"/>
              </w:rPr>
              <w:t>SOA</w:t>
            </w:r>
            <w:r>
              <w:rPr>
                <w:rFonts w:ascii="宋体" w:hAnsi="宋体" w:cs="宋体" w:eastAsia="宋体" w:hint="default"/>
                <w:spacing w:val="-1"/>
                <w:sz w:val="18"/>
                <w:szCs w:val="18"/>
              </w:rPr>
              <w:t>架构的系统提供统一数据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共享层。在一阶段版本基础上，支持跨线程边界的分</w:t>
            </w:r>
          </w:p>
        </w:tc>
        <w:tc>
          <w:tcPr>
            <w:tcW w:w="1331"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248"/>
              <w:jc w:val="center"/>
              <w:rPr>
                <w:rFonts w:ascii="宋体" w:hAnsi="宋体" w:cs="宋体" w:eastAsia="宋体" w:hint="default"/>
                <w:sz w:val="18"/>
                <w:szCs w:val="18"/>
              </w:rPr>
            </w:pPr>
            <w:r>
              <w:rPr>
                <w:rFonts w:ascii="宋体" w:hAnsi="宋体" w:cs="宋体" w:eastAsia="宋体" w:hint="default"/>
                <w:sz w:val="18"/>
                <w:szCs w:val="18"/>
              </w:rPr>
              <w:t>联通</w:t>
            </w: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布式事务服务；提供多线程多进程部署模式（支持分</w:t>
            </w:r>
          </w:p>
        </w:tc>
        <w:tc>
          <w:tcPr>
            <w:tcW w:w="1331" w:type="dxa"/>
            <w:tcBorders>
              <w:top w:val="nil" w:sz="6" w:space="0" w:color="auto"/>
              <w:left w:val="nil" w:sz="6" w:space="0" w:color="auto"/>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8"/>
                <w:sz w:val="18"/>
                <w:szCs w:val="18"/>
              </w:rPr>
              <w:t>布式部署），高效且稳定；支持物理数据分库、分表；</w:t>
            </w:r>
          </w:p>
        </w:tc>
        <w:tc>
          <w:tcPr>
            <w:tcW w:w="1331" w:type="dxa"/>
            <w:tcBorders>
              <w:top w:val="nil" w:sz="6" w:space="0" w:color="auto"/>
              <w:left w:val="nil" w:sz="6" w:space="0" w:color="auto"/>
              <w:bottom w:val="nil" w:sz="6" w:space="0" w:color="auto"/>
              <w:right w:val="single" w:sz="6" w:space="0" w:color="000000"/>
            </w:tcBorders>
          </w:tcPr>
          <w:p>
            <w:pPr/>
          </w:p>
        </w:tc>
      </w:tr>
      <w:tr>
        <w:trPr>
          <w:trHeight w:val="313"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提供快速服务配置工具，降低服务配置难度；支持刀</w:t>
            </w:r>
          </w:p>
        </w:tc>
        <w:tc>
          <w:tcPr>
            <w:tcW w:w="1331" w:type="dxa"/>
            <w:tcBorders>
              <w:top w:val="nil" w:sz="6" w:space="0" w:color="auto"/>
              <w:left w:val="nil" w:sz="6" w:space="0" w:color="auto"/>
              <w:bottom w:val="nil" w:sz="6" w:space="0" w:color="auto"/>
              <w:right w:val="single" w:sz="6" w:space="0" w:color="000000"/>
            </w:tcBorders>
          </w:tcPr>
          <w:p>
            <w:pPr/>
          </w:p>
        </w:tc>
      </w:tr>
      <w:tr>
        <w:trPr>
          <w:trHeight w:val="368"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333"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片化（已被成功迁移到</w:t>
            </w:r>
            <w:r>
              <w:rPr>
                <w:rFonts w:ascii="Times New Roman" w:hAnsi="Times New Roman" w:cs="Times New Roman" w:eastAsia="Times New Roman" w:hint="default"/>
                <w:sz w:val="18"/>
                <w:szCs w:val="18"/>
              </w:rPr>
              <w:t>Linux</w:t>
            </w:r>
            <w:r>
              <w:rPr>
                <w:rFonts w:ascii="宋体" w:hAnsi="宋体" w:cs="宋体" w:eastAsia="宋体" w:hint="default"/>
                <w:sz w:val="18"/>
                <w:szCs w:val="18"/>
              </w:rPr>
              <w:t>）。</w:t>
            </w:r>
          </w:p>
        </w:tc>
        <w:tc>
          <w:tcPr>
            <w:tcW w:w="1331" w:type="dxa"/>
            <w:tcBorders>
              <w:top w:val="nil" w:sz="6" w:space="0" w:color="auto"/>
              <w:left w:val="nil" w:sz="6" w:space="0" w:color="auto"/>
              <w:bottom w:val="single" w:sz="6" w:space="0" w:color="000000"/>
              <w:right w:val="single" w:sz="6" w:space="0" w:color="000000"/>
            </w:tcBorders>
          </w:tcPr>
          <w:p>
            <w:pPr/>
          </w:p>
        </w:tc>
      </w:tr>
      <w:tr>
        <w:trPr>
          <w:trHeight w:val="683"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302" w:lineRule="auto" w:before="62"/>
              <w:ind w:left="3" w:right="61"/>
              <w:jc w:val="left"/>
              <w:rPr>
                <w:rFonts w:ascii="宋体" w:hAnsi="宋体" w:cs="宋体" w:eastAsia="宋体" w:hint="default"/>
                <w:sz w:val="18"/>
                <w:szCs w:val="18"/>
              </w:rPr>
            </w:pPr>
            <w:r>
              <w:rPr>
                <w:rFonts w:ascii="宋体" w:hAnsi="宋体" w:cs="宋体" w:eastAsia="宋体" w:hint="default"/>
                <w:sz w:val="18"/>
                <w:szCs w:val="18"/>
              </w:rPr>
              <w:t>企业服务总线（</w:t>
            </w:r>
            <w:r>
              <w:rPr>
                <w:rFonts w:ascii="Times New Roman" w:hAnsi="Times New Roman" w:cs="Times New Roman" w:eastAsia="Times New Roman" w:hint="default"/>
                <w:sz w:val="18"/>
                <w:szCs w:val="18"/>
              </w:rPr>
              <w:t>ESB</w:t>
            </w:r>
            <w:r>
              <w:rPr>
                <w:rFonts w:ascii="宋体" w:hAnsi="宋体" w:cs="宋体" w:eastAsia="宋体" w:hint="default"/>
                <w:sz w:val="18"/>
                <w:szCs w:val="18"/>
              </w:rPr>
              <w:t>） 项目</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试运行阶段</w:t>
            </w:r>
          </w:p>
        </w:tc>
        <w:tc>
          <w:tcPr>
            <w:tcW w:w="4333" w:type="dxa"/>
            <w:tcBorders>
              <w:top w:val="single" w:sz="6" w:space="0" w:color="000000"/>
              <w:left w:val="single" w:sz="6" w:space="0" w:color="000000"/>
              <w:bottom w:val="nil" w:sz="6" w:space="0" w:color="auto"/>
              <w:right w:val="nil" w:sz="6" w:space="0" w:color="auto"/>
            </w:tcBorders>
          </w:tcPr>
          <w:p>
            <w:pPr>
              <w:pStyle w:val="TableParagraph"/>
              <w:spacing w:line="316" w:lineRule="auto" w:before="62"/>
              <w:ind w:left="2" w:right="265"/>
              <w:jc w:val="left"/>
              <w:rPr>
                <w:rFonts w:ascii="宋体" w:hAnsi="宋体" w:cs="宋体" w:eastAsia="宋体" w:hint="default"/>
                <w:sz w:val="18"/>
                <w:szCs w:val="18"/>
              </w:rPr>
            </w:pPr>
            <w:r>
              <w:rPr>
                <w:rFonts w:ascii="宋体" w:hAnsi="宋体" w:cs="宋体" w:eastAsia="宋体" w:hint="default"/>
                <w:spacing w:val="-4"/>
                <w:sz w:val="18"/>
                <w:szCs w:val="18"/>
              </w:rPr>
              <w:t>为业务系统集成提供基础技术支撑平台，实现服务注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册、服务路由、服务编排、协议适配、服务审计与分</w:t>
            </w:r>
          </w:p>
        </w:tc>
        <w:tc>
          <w:tcPr>
            <w:tcW w:w="1331" w:type="dxa"/>
            <w:tcBorders>
              <w:top w:val="single" w:sz="6" w:space="0" w:color="000000"/>
              <w:left w:val="nil" w:sz="6" w:space="0" w:color="auto"/>
              <w:bottom w:val="nil" w:sz="6" w:space="0" w:color="auto"/>
              <w:right w:val="single" w:sz="6" w:space="0" w:color="000000"/>
            </w:tcBorders>
          </w:tcPr>
          <w:p>
            <w:pPr>
              <w:pStyle w:val="TableParagraph"/>
              <w:spacing w:line="240" w:lineRule="auto" w:before="62"/>
              <w:ind w:right="248"/>
              <w:jc w:val="center"/>
              <w:rPr>
                <w:rFonts w:ascii="宋体" w:hAnsi="宋体" w:cs="宋体" w:eastAsia="宋体" w:hint="default"/>
                <w:sz w:val="18"/>
                <w:szCs w:val="18"/>
              </w:rPr>
            </w:pPr>
            <w:r>
              <w:rPr>
                <w:rFonts w:ascii="宋体" w:hAnsi="宋体" w:cs="宋体" w:eastAsia="宋体" w:hint="default"/>
                <w:sz w:val="18"/>
                <w:szCs w:val="18"/>
              </w:rPr>
              <w:t>联通</w:t>
            </w:r>
          </w:p>
        </w:tc>
      </w:tr>
      <w:tr>
        <w:trPr>
          <w:trHeight w:val="624"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300" w:lineRule="auto" w:before="10"/>
              <w:ind w:left="2" w:right="182"/>
              <w:jc w:val="left"/>
              <w:rPr>
                <w:rFonts w:ascii="宋体" w:hAnsi="宋体" w:cs="宋体" w:eastAsia="宋体" w:hint="default"/>
                <w:sz w:val="18"/>
                <w:szCs w:val="18"/>
              </w:rPr>
            </w:pPr>
            <w:r>
              <w:rPr>
                <w:rFonts w:ascii="宋体" w:hAnsi="宋体" w:cs="宋体" w:eastAsia="宋体" w:hint="default"/>
                <w:sz w:val="18"/>
                <w:szCs w:val="18"/>
              </w:rPr>
              <w:t>析、服务</w:t>
            </w:r>
            <w:r>
              <w:rPr>
                <w:rFonts w:ascii="Times New Roman" w:hAnsi="Times New Roman" w:cs="Times New Roman" w:eastAsia="Times New Roman" w:hint="default"/>
                <w:sz w:val="18"/>
                <w:szCs w:val="18"/>
              </w:rPr>
              <w:t>QoS</w:t>
            </w:r>
            <w:r>
              <w:rPr>
                <w:rFonts w:ascii="宋体" w:hAnsi="宋体" w:cs="宋体" w:eastAsia="宋体" w:hint="default"/>
                <w:sz w:val="18"/>
                <w:szCs w:val="18"/>
              </w:rPr>
              <w:t>、服务权限、服务监控、服务生命周期 管理、业务路由、消息校验、消息格式和类型转换、</w:t>
            </w:r>
          </w:p>
        </w:tc>
        <w:tc>
          <w:tcPr>
            <w:tcW w:w="1331" w:type="dxa"/>
            <w:tcBorders>
              <w:top w:val="nil" w:sz="6" w:space="0" w:color="auto"/>
              <w:left w:val="nil" w:sz="6" w:space="0" w:color="auto"/>
              <w:bottom w:val="nil" w:sz="6" w:space="0" w:color="auto"/>
              <w:right w:val="single" w:sz="6" w:space="0" w:color="000000"/>
            </w:tcBorders>
          </w:tcPr>
          <w:p>
            <w:pPr/>
          </w:p>
        </w:tc>
      </w:tr>
      <w:tr>
        <w:trPr>
          <w:trHeight w:val="368"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333"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业务告警、附件交互管理等功能。</w:t>
            </w:r>
          </w:p>
        </w:tc>
        <w:tc>
          <w:tcPr>
            <w:tcW w:w="1331" w:type="dxa"/>
            <w:tcBorders>
              <w:top w:val="nil" w:sz="6" w:space="0" w:color="auto"/>
              <w:left w:val="nil" w:sz="6" w:space="0" w:color="auto"/>
              <w:bottom w:val="single" w:sz="6" w:space="0" w:color="000000"/>
              <w:right w:val="single" w:sz="6" w:space="0" w:color="000000"/>
            </w:tcBorders>
          </w:tcPr>
          <w:p>
            <w:pPr/>
          </w:p>
        </w:tc>
      </w:tr>
      <w:tr>
        <w:trPr>
          <w:trHeight w:val="682"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316" w:lineRule="auto" w:before="62"/>
              <w:ind w:left="3" w:right="31"/>
              <w:jc w:val="left"/>
              <w:rPr>
                <w:rFonts w:ascii="宋体" w:hAnsi="宋体" w:cs="宋体" w:eastAsia="宋体" w:hint="default"/>
                <w:sz w:val="18"/>
                <w:szCs w:val="18"/>
              </w:rPr>
            </w:pPr>
            <w:r>
              <w:rPr>
                <w:rFonts w:ascii="宋体" w:hAnsi="宋体" w:cs="宋体" w:eastAsia="宋体" w:hint="default"/>
                <w:sz w:val="18"/>
                <w:szCs w:val="18"/>
              </w:rPr>
              <w:t>集团客户自服务服务平 台项目</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4333" w:type="dxa"/>
            <w:tcBorders>
              <w:top w:val="single" w:sz="6" w:space="0" w:color="000000"/>
              <w:left w:val="single" w:sz="6" w:space="0" w:color="000000"/>
              <w:bottom w:val="nil" w:sz="6" w:space="0" w:color="auto"/>
              <w:right w:val="nil" w:sz="6" w:space="0" w:color="auto"/>
            </w:tcBorders>
          </w:tcPr>
          <w:p>
            <w:pPr>
              <w:pStyle w:val="TableParagraph"/>
              <w:spacing w:line="316" w:lineRule="auto" w:before="62"/>
              <w:ind w:left="2" w:right="266"/>
              <w:jc w:val="left"/>
              <w:rPr>
                <w:rFonts w:ascii="宋体" w:hAnsi="宋体" w:cs="宋体" w:eastAsia="宋体" w:hint="default"/>
                <w:sz w:val="18"/>
                <w:szCs w:val="18"/>
              </w:rPr>
            </w:pPr>
            <w:r>
              <w:rPr>
                <w:rFonts w:ascii="宋体" w:hAnsi="宋体" w:cs="宋体" w:eastAsia="宋体" w:hint="default"/>
                <w:spacing w:val="-4"/>
                <w:sz w:val="18"/>
                <w:szCs w:val="18"/>
              </w:rPr>
              <w:t>完成系统架构开发，搭建可灵活配置的系统平台；分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析目标客户使用习惯和业务需求，提供便于客户使用</w:t>
            </w:r>
          </w:p>
        </w:tc>
        <w:tc>
          <w:tcPr>
            <w:tcW w:w="1331" w:type="dxa"/>
            <w:tcBorders>
              <w:top w:val="single" w:sz="6" w:space="0" w:color="000000"/>
              <w:left w:val="nil" w:sz="6" w:space="0" w:color="auto"/>
              <w:bottom w:val="nil" w:sz="6" w:space="0" w:color="auto"/>
              <w:right w:val="single" w:sz="6" w:space="0" w:color="000000"/>
            </w:tcBorders>
          </w:tcPr>
          <w:p>
            <w:pPr>
              <w:pStyle w:val="TableParagraph"/>
              <w:spacing w:line="240" w:lineRule="auto" w:before="62"/>
              <w:ind w:right="248"/>
              <w:jc w:val="center"/>
              <w:rPr>
                <w:rFonts w:ascii="宋体" w:hAnsi="宋体" w:cs="宋体" w:eastAsia="宋体" w:hint="default"/>
                <w:sz w:val="18"/>
                <w:szCs w:val="18"/>
              </w:rPr>
            </w:pPr>
            <w:r>
              <w:rPr>
                <w:rFonts w:ascii="宋体" w:hAnsi="宋体" w:cs="宋体" w:eastAsia="宋体" w:hint="default"/>
                <w:sz w:val="18"/>
                <w:szCs w:val="18"/>
              </w:rPr>
              <w:t>联通</w:t>
            </w:r>
          </w:p>
        </w:tc>
      </w:tr>
      <w:tr>
        <w:trPr>
          <w:trHeight w:val="935"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300" w:lineRule="auto" w:before="10"/>
              <w:ind w:left="2" w:right="265"/>
              <w:jc w:val="both"/>
              <w:rPr>
                <w:rFonts w:ascii="宋体" w:hAnsi="宋体" w:cs="宋体" w:eastAsia="宋体" w:hint="default"/>
                <w:sz w:val="18"/>
                <w:szCs w:val="18"/>
              </w:rPr>
            </w:pPr>
            <w:r>
              <w:rPr>
                <w:rFonts w:ascii="宋体" w:hAnsi="宋体" w:cs="宋体" w:eastAsia="宋体" w:hint="default"/>
                <w:spacing w:val="-2"/>
                <w:sz w:val="18"/>
                <w:szCs w:val="18"/>
              </w:rPr>
              <w:t>的交互设计体验；对开源的</w:t>
            </w:r>
            <w:r>
              <w:rPr>
                <w:rFonts w:ascii="Times New Roman" w:hAnsi="Times New Roman" w:cs="Times New Roman" w:eastAsia="Times New Roman" w:hint="default"/>
                <w:spacing w:val="-2"/>
                <w:sz w:val="18"/>
                <w:szCs w:val="18"/>
              </w:rPr>
              <w:t>JS</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jQuery</w:t>
            </w:r>
            <w:r>
              <w:rPr>
                <w:rFonts w:ascii="宋体" w:hAnsi="宋体" w:cs="宋体" w:eastAsia="宋体" w:hint="default"/>
                <w:spacing w:val="-2"/>
                <w:sz w:val="18"/>
                <w:szCs w:val="18"/>
              </w:rPr>
              <w:t>控件进行二次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封装，形成私有控件库；通过使用</w:t>
            </w:r>
            <w:r>
              <w:rPr>
                <w:rFonts w:ascii="Times New Roman" w:hAnsi="Times New Roman" w:cs="Times New Roman" w:eastAsia="Times New Roman" w:hint="default"/>
                <w:spacing w:val="-4"/>
                <w:sz w:val="18"/>
                <w:szCs w:val="18"/>
              </w:rPr>
              <w:t>SOA</w:t>
            </w:r>
            <w:r>
              <w:rPr>
                <w:rFonts w:ascii="宋体" w:hAnsi="宋体" w:cs="宋体" w:eastAsia="宋体" w:hint="default"/>
                <w:spacing w:val="-4"/>
                <w:sz w:val="18"/>
                <w:szCs w:val="18"/>
              </w:rPr>
              <w:t>形成自服务系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统的服务调用引擎；完成后台多任务处理平台的开</w:t>
            </w:r>
          </w:p>
        </w:tc>
        <w:tc>
          <w:tcPr>
            <w:tcW w:w="1331" w:type="dxa"/>
            <w:tcBorders>
              <w:top w:val="nil" w:sz="6" w:space="0" w:color="auto"/>
              <w:left w:val="nil" w:sz="6" w:space="0" w:color="auto"/>
              <w:bottom w:val="nil" w:sz="6" w:space="0" w:color="auto"/>
              <w:right w:val="single" w:sz="6" w:space="0" w:color="000000"/>
            </w:tcBorders>
          </w:tcPr>
          <w:p>
            <w:pPr/>
          </w:p>
        </w:tc>
      </w:tr>
      <w:tr>
        <w:trPr>
          <w:trHeight w:val="313"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发，提供可对发布任务自动处理的多线程平台；与外</w:t>
            </w:r>
          </w:p>
        </w:tc>
        <w:tc>
          <w:tcPr>
            <w:tcW w:w="1331" w:type="dxa"/>
            <w:tcBorders>
              <w:top w:val="nil" w:sz="6" w:space="0" w:color="auto"/>
              <w:left w:val="nil" w:sz="6" w:space="0" w:color="auto"/>
              <w:bottom w:val="nil" w:sz="6" w:space="0" w:color="auto"/>
              <w:right w:val="single" w:sz="6" w:space="0" w:color="000000"/>
            </w:tcBorders>
          </w:tcPr>
          <w:p>
            <w:pPr/>
          </w:p>
        </w:tc>
      </w:tr>
      <w:tr>
        <w:trPr>
          <w:trHeight w:val="369"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333"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系统提供的服务完成联调。</w:t>
            </w:r>
          </w:p>
        </w:tc>
        <w:tc>
          <w:tcPr>
            <w:tcW w:w="1331" w:type="dxa"/>
            <w:tcBorders>
              <w:top w:val="nil" w:sz="6" w:space="0" w:color="auto"/>
              <w:left w:val="nil" w:sz="6" w:space="0" w:color="auto"/>
              <w:bottom w:val="single" w:sz="6" w:space="0" w:color="000000"/>
              <w:right w:val="single" w:sz="6" w:space="0" w:color="000000"/>
            </w:tcBorders>
          </w:tcPr>
          <w:p>
            <w:pPr/>
          </w:p>
        </w:tc>
      </w:tr>
      <w:tr>
        <w:trPr>
          <w:trHeight w:val="1618"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交通指挥调度系统</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试运行阶段</w:t>
            </w:r>
          </w:p>
        </w:tc>
        <w:tc>
          <w:tcPr>
            <w:tcW w:w="4333" w:type="dxa"/>
            <w:tcBorders>
              <w:top w:val="single" w:sz="6" w:space="0" w:color="000000"/>
              <w:left w:val="single" w:sz="6" w:space="0" w:color="000000"/>
              <w:bottom w:val="nil" w:sz="6" w:space="0" w:color="auto"/>
              <w:right w:val="nil" w:sz="6" w:space="0" w:color="auto"/>
            </w:tcBorders>
          </w:tcPr>
          <w:p>
            <w:pPr>
              <w:pStyle w:val="TableParagraph"/>
              <w:spacing w:line="300" w:lineRule="auto" w:before="62"/>
              <w:ind w:left="2" w:right="176"/>
              <w:jc w:val="left"/>
              <w:rPr>
                <w:rFonts w:ascii="宋体" w:hAnsi="宋体" w:cs="宋体" w:eastAsia="宋体" w:hint="default"/>
                <w:sz w:val="18"/>
                <w:szCs w:val="18"/>
              </w:rPr>
            </w:pPr>
            <w:r>
              <w:rPr>
                <w:rFonts w:ascii="宋体" w:hAnsi="宋体" w:cs="宋体" w:eastAsia="宋体" w:hint="default"/>
                <w:sz w:val="18"/>
                <w:szCs w:val="18"/>
              </w:rPr>
              <w:t>在一阶段版本基础上，达到</w:t>
            </w:r>
            <w:r>
              <w:rPr>
                <w:rFonts w:ascii="Times New Roman" w:hAnsi="Times New Roman" w:cs="Times New Roman" w:eastAsia="Times New Roman" w:hint="default"/>
                <w:sz w:val="18"/>
                <w:szCs w:val="18"/>
              </w:rPr>
              <w:t>“</w:t>
            </w:r>
            <w:r>
              <w:rPr>
                <w:rFonts w:ascii="宋体" w:hAnsi="宋体" w:cs="宋体" w:eastAsia="宋体" w:hint="default"/>
                <w:sz w:val="18"/>
                <w:szCs w:val="18"/>
              </w:rPr>
              <w:t>四显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三控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一发 布</w:t>
            </w:r>
            <w:r>
              <w:rPr>
                <w:rFonts w:ascii="Times New Roman" w:hAnsi="Times New Roman" w:cs="Times New Roman" w:eastAsia="Times New Roman" w:hint="default"/>
                <w:sz w:val="18"/>
                <w:szCs w:val="18"/>
              </w:rPr>
              <w:t>”</w:t>
            </w:r>
            <w:r>
              <w:rPr>
                <w:rFonts w:ascii="宋体" w:hAnsi="宋体" w:cs="宋体" w:eastAsia="宋体" w:hint="default"/>
                <w:sz w:val="18"/>
                <w:szCs w:val="18"/>
              </w:rPr>
              <w:t>的目标。即实现警情、警力、交通智能设备、路 </w:t>
            </w:r>
            <w:r>
              <w:rPr>
                <w:rFonts w:ascii="宋体" w:hAnsi="宋体" w:cs="宋体" w:eastAsia="宋体" w:hint="default"/>
                <w:spacing w:val="-7"/>
                <w:sz w:val="18"/>
                <w:szCs w:val="18"/>
              </w:rPr>
              <w:t>况在电子地图上实时展示，即</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四显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；通过警力调度、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视频、信号灯的控制，实现</w:t>
            </w:r>
            <w:r>
              <w:rPr>
                <w:rFonts w:ascii="Times New Roman" w:hAnsi="Times New Roman" w:cs="Times New Roman" w:eastAsia="Times New Roman" w:hint="default"/>
                <w:sz w:val="18"/>
                <w:szCs w:val="18"/>
              </w:rPr>
              <w:t>“</w:t>
            </w:r>
            <w:r>
              <w:rPr>
                <w:rFonts w:ascii="宋体" w:hAnsi="宋体" w:cs="宋体" w:eastAsia="宋体" w:hint="default"/>
                <w:sz w:val="18"/>
                <w:szCs w:val="18"/>
              </w:rPr>
              <w:t>三控</w:t>
            </w:r>
            <w:r>
              <w:rPr>
                <w:rFonts w:ascii="Times New Roman" w:hAnsi="Times New Roman" w:cs="Times New Roman" w:eastAsia="Times New Roman" w:hint="default"/>
                <w:sz w:val="18"/>
                <w:szCs w:val="18"/>
              </w:rPr>
              <w:t>”</w:t>
            </w:r>
            <w:r>
              <w:rPr>
                <w:rFonts w:ascii="宋体" w:hAnsi="宋体" w:cs="宋体" w:eastAsia="宋体" w:hint="default"/>
                <w:sz w:val="18"/>
                <w:szCs w:val="18"/>
              </w:rPr>
              <w:t>，快速发现警情， </w:t>
            </w:r>
            <w:r>
              <w:rPr>
                <w:rFonts w:ascii="宋体" w:hAnsi="宋体" w:cs="宋体" w:eastAsia="宋体" w:hint="default"/>
                <w:spacing w:val="-4"/>
                <w:sz w:val="18"/>
                <w:szCs w:val="18"/>
              </w:rPr>
              <w:t>调度警力与调控，快速处理警情；通过公众交通信息</w:t>
            </w:r>
          </w:p>
        </w:tc>
        <w:tc>
          <w:tcPr>
            <w:tcW w:w="1331" w:type="dxa"/>
            <w:tcBorders>
              <w:top w:val="single" w:sz="6" w:space="0" w:color="000000"/>
              <w:left w:val="nil" w:sz="6" w:space="0" w:color="auto"/>
              <w:bottom w:val="nil" w:sz="6" w:space="0" w:color="auto"/>
              <w:right w:val="single" w:sz="6" w:space="0" w:color="000000"/>
            </w:tcBorders>
          </w:tcPr>
          <w:p>
            <w:pPr>
              <w:pStyle w:val="TableParagraph"/>
              <w:spacing w:line="240" w:lineRule="auto" w:before="62"/>
              <w:ind w:right="248"/>
              <w:jc w:val="center"/>
              <w:rPr>
                <w:rFonts w:ascii="宋体" w:hAnsi="宋体" w:cs="宋体" w:eastAsia="宋体" w:hint="default"/>
                <w:sz w:val="18"/>
                <w:szCs w:val="18"/>
              </w:rPr>
            </w:pPr>
            <w:r>
              <w:rPr>
                <w:rFonts w:ascii="宋体" w:hAnsi="宋体" w:cs="宋体" w:eastAsia="宋体" w:hint="default"/>
                <w:sz w:val="18"/>
                <w:szCs w:val="18"/>
              </w:rPr>
              <w:t>公安</w:t>
            </w:r>
          </w:p>
        </w:tc>
      </w:tr>
      <w:tr>
        <w:trPr>
          <w:trHeight w:val="313"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发布平台，及时发布交通警情、拥堵等信息，使公众</w:t>
            </w:r>
          </w:p>
        </w:tc>
        <w:tc>
          <w:tcPr>
            <w:tcW w:w="1331" w:type="dxa"/>
            <w:tcBorders>
              <w:top w:val="nil" w:sz="6" w:space="0" w:color="auto"/>
              <w:left w:val="nil" w:sz="6" w:space="0" w:color="auto"/>
              <w:bottom w:val="nil" w:sz="6" w:space="0" w:color="auto"/>
              <w:right w:val="single" w:sz="6" w:space="0" w:color="000000"/>
            </w:tcBorders>
          </w:tcPr>
          <w:p>
            <w:pPr/>
          </w:p>
        </w:tc>
      </w:tr>
      <w:tr>
        <w:trPr>
          <w:trHeight w:val="369"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333"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在第一时间了解交通情况，达到疏导交通的目标</w:t>
            </w:r>
          </w:p>
        </w:tc>
        <w:tc>
          <w:tcPr>
            <w:tcW w:w="1331" w:type="dxa"/>
            <w:tcBorders>
              <w:top w:val="nil" w:sz="6" w:space="0" w:color="auto"/>
              <w:left w:val="nil" w:sz="6" w:space="0" w:color="auto"/>
              <w:bottom w:val="single" w:sz="6" w:space="0" w:color="000000"/>
              <w:right w:val="single" w:sz="6" w:space="0" w:color="000000"/>
            </w:tcBorders>
          </w:tcPr>
          <w:p>
            <w:pPr/>
          </w:p>
        </w:tc>
      </w:tr>
      <w:tr>
        <w:trPr>
          <w:trHeight w:val="682"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出入境电子政务平台</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试运行阶段</w:t>
            </w:r>
          </w:p>
        </w:tc>
        <w:tc>
          <w:tcPr>
            <w:tcW w:w="4333" w:type="dxa"/>
            <w:tcBorders>
              <w:top w:val="single" w:sz="6" w:space="0" w:color="000000"/>
              <w:left w:val="single" w:sz="6" w:space="0" w:color="000000"/>
              <w:bottom w:val="nil" w:sz="6" w:space="0" w:color="auto"/>
              <w:right w:val="nil" w:sz="6" w:space="0" w:color="auto"/>
            </w:tcBorders>
          </w:tcPr>
          <w:p>
            <w:pPr>
              <w:pStyle w:val="TableParagraph"/>
              <w:spacing w:line="300" w:lineRule="auto" w:before="62"/>
              <w:ind w:left="2" w:right="264"/>
              <w:jc w:val="left"/>
              <w:rPr>
                <w:rFonts w:ascii="宋体" w:hAnsi="宋体" w:cs="宋体" w:eastAsia="宋体" w:hint="default"/>
                <w:sz w:val="18"/>
                <w:szCs w:val="18"/>
              </w:rPr>
            </w:pPr>
            <w:r>
              <w:rPr>
                <w:rFonts w:ascii="宋体" w:hAnsi="宋体" w:cs="宋体" w:eastAsia="宋体" w:hint="default"/>
                <w:spacing w:val="-3"/>
                <w:sz w:val="18"/>
                <w:szCs w:val="18"/>
              </w:rPr>
              <w:t>旨在</w:t>
            </w:r>
            <w:r>
              <w:rPr>
                <w:rFonts w:ascii="Times New Roman" w:hAnsi="Times New Roman" w:cs="Times New Roman" w:eastAsia="Times New Roman" w:hint="default"/>
                <w:spacing w:val="-3"/>
                <w:sz w:val="18"/>
                <w:szCs w:val="18"/>
              </w:rPr>
              <w:t>INTERNET</w:t>
            </w:r>
            <w:r>
              <w:rPr>
                <w:rFonts w:ascii="宋体" w:hAnsi="宋体" w:cs="宋体" w:eastAsia="宋体" w:hint="default"/>
                <w:spacing w:val="-3"/>
                <w:sz w:val="18"/>
                <w:szCs w:val="18"/>
              </w:rPr>
              <w:t>网建立一套基于出入境业务办理、咨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询的服务平台，依托内外网安全数据交换，拓宽现有</w:t>
            </w:r>
          </w:p>
        </w:tc>
        <w:tc>
          <w:tcPr>
            <w:tcW w:w="1331" w:type="dxa"/>
            <w:tcBorders>
              <w:top w:val="single" w:sz="6" w:space="0" w:color="000000"/>
              <w:left w:val="nil" w:sz="6" w:space="0" w:color="auto"/>
              <w:bottom w:val="nil" w:sz="6" w:space="0" w:color="auto"/>
              <w:right w:val="single" w:sz="6" w:space="0" w:color="000000"/>
            </w:tcBorders>
          </w:tcPr>
          <w:p>
            <w:pPr>
              <w:pStyle w:val="TableParagraph"/>
              <w:spacing w:line="240" w:lineRule="auto" w:before="62"/>
              <w:ind w:right="248"/>
              <w:jc w:val="center"/>
              <w:rPr>
                <w:rFonts w:ascii="宋体" w:hAnsi="宋体" w:cs="宋体" w:eastAsia="宋体" w:hint="default"/>
                <w:sz w:val="18"/>
                <w:szCs w:val="18"/>
              </w:rPr>
            </w:pPr>
            <w:r>
              <w:rPr>
                <w:rFonts w:ascii="宋体" w:hAnsi="宋体" w:cs="宋体" w:eastAsia="宋体" w:hint="default"/>
                <w:sz w:val="18"/>
                <w:szCs w:val="18"/>
              </w:rPr>
              <w:t>公安</w:t>
            </w:r>
          </w:p>
        </w:tc>
      </w:tr>
      <w:tr>
        <w:trPr>
          <w:trHeight w:val="313"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333"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出入境业务受理渠道，进一步简化办证流程，提升面</w:t>
            </w:r>
          </w:p>
        </w:tc>
        <w:tc>
          <w:tcPr>
            <w:tcW w:w="1331" w:type="dxa"/>
            <w:tcBorders>
              <w:top w:val="nil" w:sz="6" w:space="0" w:color="auto"/>
              <w:left w:val="nil" w:sz="6" w:space="0" w:color="auto"/>
              <w:bottom w:val="nil" w:sz="6" w:space="0" w:color="auto"/>
              <w:right w:val="single" w:sz="6" w:space="0" w:color="000000"/>
            </w:tcBorders>
          </w:tcPr>
          <w:p>
            <w:pPr/>
          </w:p>
        </w:tc>
      </w:tr>
      <w:tr>
        <w:trPr>
          <w:trHeight w:val="369"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333"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向社会群众的出入境公众服务能力。</w:t>
            </w:r>
          </w:p>
        </w:tc>
        <w:tc>
          <w:tcPr>
            <w:tcW w:w="1331" w:type="dxa"/>
            <w:tcBorders>
              <w:top w:val="nil" w:sz="6" w:space="0" w:color="auto"/>
              <w:left w:val="nil" w:sz="6" w:space="0" w:color="auto"/>
              <w:bottom w:val="single" w:sz="6" w:space="0" w:color="000000"/>
              <w:right w:val="single" w:sz="6" w:space="0" w:color="000000"/>
            </w:tcBorders>
          </w:tcPr>
          <w:p>
            <w:pPr/>
          </w:p>
        </w:tc>
      </w:tr>
      <w:tr>
        <w:trPr>
          <w:trHeight w:val="682"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数据分析系统项目</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试运行阶段</w:t>
            </w:r>
          </w:p>
        </w:tc>
        <w:tc>
          <w:tcPr>
            <w:tcW w:w="4333" w:type="dxa"/>
            <w:tcBorders>
              <w:top w:val="single" w:sz="6" w:space="0" w:color="000000"/>
              <w:left w:val="single" w:sz="6" w:space="0" w:color="000000"/>
              <w:bottom w:val="nil" w:sz="6" w:space="0" w:color="auto"/>
              <w:right w:val="nil" w:sz="6" w:space="0" w:color="auto"/>
            </w:tcBorders>
          </w:tcPr>
          <w:p>
            <w:pPr>
              <w:pStyle w:val="TableParagraph"/>
              <w:spacing w:line="316" w:lineRule="auto" w:before="62"/>
              <w:ind w:left="2" w:right="266"/>
              <w:jc w:val="left"/>
              <w:rPr>
                <w:rFonts w:ascii="宋体" w:hAnsi="宋体" w:cs="宋体" w:eastAsia="宋体" w:hint="default"/>
                <w:sz w:val="18"/>
                <w:szCs w:val="18"/>
              </w:rPr>
            </w:pPr>
            <w:r>
              <w:rPr>
                <w:rFonts w:ascii="宋体" w:hAnsi="宋体" w:cs="宋体" w:eastAsia="宋体" w:hint="default"/>
                <w:spacing w:val="-4"/>
                <w:sz w:val="18"/>
                <w:szCs w:val="18"/>
              </w:rPr>
              <w:t>在一阶段的基础上，扩展可视化分析手段；数据源层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支持对列存数据库的访问，以提升分析效率。支持多</w:t>
            </w:r>
          </w:p>
        </w:tc>
        <w:tc>
          <w:tcPr>
            <w:tcW w:w="1331" w:type="dxa"/>
            <w:tcBorders>
              <w:top w:val="single" w:sz="6" w:space="0" w:color="000000"/>
              <w:left w:val="nil" w:sz="6" w:space="0" w:color="auto"/>
              <w:bottom w:val="nil" w:sz="6" w:space="0" w:color="auto"/>
              <w:right w:val="single" w:sz="6" w:space="0" w:color="000000"/>
            </w:tcBorders>
          </w:tcPr>
          <w:p>
            <w:pPr>
              <w:pStyle w:val="TableParagraph"/>
              <w:spacing w:line="240" w:lineRule="auto" w:before="62"/>
              <w:ind w:right="248"/>
              <w:jc w:val="center"/>
              <w:rPr>
                <w:rFonts w:ascii="宋体" w:hAnsi="宋体" w:cs="宋体" w:eastAsia="宋体" w:hint="default"/>
                <w:sz w:val="18"/>
                <w:szCs w:val="18"/>
              </w:rPr>
            </w:pPr>
            <w:r>
              <w:rPr>
                <w:rFonts w:ascii="宋体" w:hAnsi="宋体" w:cs="宋体" w:eastAsia="宋体" w:hint="default"/>
                <w:sz w:val="18"/>
                <w:szCs w:val="18"/>
              </w:rPr>
              <w:t>公安</w:t>
            </w:r>
          </w:p>
        </w:tc>
      </w:tr>
      <w:tr>
        <w:trPr>
          <w:trHeight w:val="369"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333"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数据集的混合碰撞、支持批量目标的并行分析。</w:t>
            </w:r>
          </w:p>
        </w:tc>
        <w:tc>
          <w:tcPr>
            <w:tcW w:w="1331" w:type="dxa"/>
            <w:tcBorders>
              <w:top w:val="nil" w:sz="6" w:space="0" w:color="auto"/>
              <w:left w:val="nil" w:sz="6" w:space="0" w:color="auto"/>
              <w:bottom w:val="single" w:sz="6" w:space="0" w:color="000000"/>
              <w:right w:val="single" w:sz="6" w:space="0" w:color="000000"/>
            </w:tcBorders>
          </w:tcPr>
          <w:p>
            <w:pPr/>
          </w:p>
        </w:tc>
      </w:tr>
      <w:tr>
        <w:trPr>
          <w:trHeight w:val="1051"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B2B</w:t>
            </w:r>
            <w:r>
              <w:rPr>
                <w:rFonts w:ascii="宋体" w:hAnsi="宋体" w:cs="宋体" w:eastAsia="宋体" w:hint="default"/>
                <w:sz w:val="18"/>
                <w:szCs w:val="18"/>
              </w:rPr>
              <w:t>电子商务系统</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试运行阶段</w:t>
            </w:r>
          </w:p>
        </w:tc>
        <w:tc>
          <w:tcPr>
            <w:tcW w:w="4333" w:type="dxa"/>
            <w:tcBorders>
              <w:top w:val="single" w:sz="6" w:space="0" w:color="000000"/>
              <w:left w:val="single" w:sz="6" w:space="0" w:color="000000"/>
              <w:bottom w:val="single" w:sz="6" w:space="0" w:color="000000"/>
              <w:right w:val="nil" w:sz="6" w:space="0" w:color="auto"/>
            </w:tcBorders>
          </w:tcPr>
          <w:p>
            <w:pPr>
              <w:pStyle w:val="TableParagraph"/>
              <w:spacing w:line="309" w:lineRule="auto" w:before="61"/>
              <w:ind w:left="2" w:right="265"/>
              <w:jc w:val="left"/>
              <w:rPr>
                <w:rFonts w:ascii="宋体" w:hAnsi="宋体" w:cs="宋体" w:eastAsia="宋体" w:hint="default"/>
                <w:sz w:val="18"/>
                <w:szCs w:val="18"/>
              </w:rPr>
            </w:pPr>
            <w:r>
              <w:rPr>
                <w:rFonts w:ascii="宋体" w:hAnsi="宋体" w:cs="宋体" w:eastAsia="宋体" w:hint="default"/>
                <w:spacing w:val="-4"/>
                <w:sz w:val="18"/>
                <w:szCs w:val="18"/>
              </w:rPr>
              <w:t>在上一阶段的基础上，支撑内部销售订单的定制，采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购订单的定制，库存分析等功能，增加支持</w:t>
            </w:r>
            <w:r>
              <w:rPr>
                <w:rFonts w:ascii="Times New Roman" w:hAnsi="Times New Roman" w:cs="Times New Roman" w:eastAsia="Times New Roman" w:hint="default"/>
                <w:sz w:val="18"/>
                <w:szCs w:val="18"/>
              </w:rPr>
              <w:t>iOS</w:t>
            </w:r>
            <w:r>
              <w:rPr>
                <w:rFonts w:ascii="宋体" w:hAnsi="宋体" w:cs="宋体" w:eastAsia="宋体" w:hint="default"/>
                <w:sz w:val="18"/>
                <w:szCs w:val="18"/>
              </w:rPr>
              <w:t>、 </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等移动操作系统的移动终端支持。</w:t>
            </w:r>
          </w:p>
        </w:tc>
        <w:tc>
          <w:tcPr>
            <w:tcW w:w="1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248"/>
              <w:jc w:val="center"/>
              <w:rPr>
                <w:rFonts w:ascii="宋体" w:hAnsi="宋体" w:cs="宋体" w:eastAsia="宋体" w:hint="default"/>
                <w:sz w:val="18"/>
                <w:szCs w:val="18"/>
              </w:rPr>
            </w:pPr>
            <w:r>
              <w:rPr>
                <w:rFonts w:ascii="宋体" w:hAnsi="宋体" w:cs="宋体" w:eastAsia="宋体" w:hint="default"/>
                <w:sz w:val="18"/>
                <w:szCs w:val="18"/>
              </w:rPr>
              <w:t>电子商务</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54"/>
        <w:gridCol w:w="1852"/>
        <w:gridCol w:w="1585"/>
        <w:gridCol w:w="4075"/>
        <w:gridCol w:w="1589"/>
      </w:tblGrid>
      <w:tr>
        <w:trPr>
          <w:trHeight w:val="375"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1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移动查勘系统项目</w:t>
            </w: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424" w:right="0"/>
              <w:jc w:val="left"/>
              <w:rPr>
                <w:rFonts w:ascii="宋体" w:hAnsi="宋体" w:cs="宋体" w:eastAsia="宋体" w:hint="default"/>
                <w:sz w:val="18"/>
                <w:szCs w:val="18"/>
              </w:rPr>
            </w:pPr>
            <w:r>
              <w:rPr>
                <w:rFonts w:ascii="宋体" w:hAnsi="宋体" w:cs="宋体" w:eastAsia="宋体" w:hint="default"/>
                <w:sz w:val="18"/>
                <w:szCs w:val="18"/>
              </w:rPr>
              <w:t>测试阶段</w:t>
            </w:r>
          </w:p>
        </w:tc>
        <w:tc>
          <w:tcPr>
            <w:tcW w:w="40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已经完成了系统的开发</w:t>
            </w:r>
            <w:r>
              <w:rPr>
                <w:rFonts w:ascii="Times New Roman" w:hAnsi="Times New Roman" w:cs="Times New Roman" w:eastAsia="Times New Roman" w:hint="default"/>
                <w:sz w:val="18"/>
                <w:szCs w:val="18"/>
              </w:rPr>
              <w:t>(</w:t>
            </w:r>
            <w:r>
              <w:rPr>
                <w:rFonts w:ascii="宋体" w:hAnsi="宋体" w:cs="宋体" w:eastAsia="宋体" w:hint="default"/>
                <w:sz w:val="18"/>
                <w:szCs w:val="18"/>
              </w:rPr>
              <w:t>包括多种终端平台的系统开</w:t>
            </w:r>
          </w:p>
        </w:tc>
        <w:tc>
          <w:tcPr>
            <w:tcW w:w="15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保险</w:t>
            </w:r>
          </w:p>
        </w:tc>
      </w:tr>
      <w:tr>
        <w:trPr>
          <w:trHeight w:val="311"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发和运维平台的开发</w:t>
            </w:r>
            <w:r>
              <w:rPr>
                <w:rFonts w:ascii="Times New Roman" w:hAnsi="Times New Roman" w:cs="Times New Roman" w:eastAsia="Times New Roman" w:hint="default"/>
                <w:sz w:val="18"/>
                <w:szCs w:val="18"/>
              </w:rPr>
              <w:t>)</w:t>
            </w:r>
            <w:r>
              <w:rPr>
                <w:rFonts w:ascii="宋体" w:hAnsi="宋体" w:cs="宋体" w:eastAsia="宋体" w:hint="default"/>
                <w:sz w:val="18"/>
                <w:szCs w:val="18"/>
              </w:rPr>
              <w:t>，正在进行最后的测试工作。</w:t>
            </w:r>
          </w:p>
        </w:tc>
        <w:tc>
          <w:tcPr>
            <w:tcW w:w="1589"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84"/>
                <w:sz w:val="18"/>
                <w:szCs w:val="18"/>
              </w:rPr>
              <w:t>，</w:t>
            </w:r>
            <w:r>
              <w:rPr>
                <w:rFonts w:ascii="宋体" w:hAnsi="宋体" w:cs="宋体" w:eastAsia="宋体" w:hint="default"/>
                <w:sz w:val="18"/>
                <w:szCs w:val="18"/>
              </w:rPr>
              <w:t>整个系统将是业内最先进的综合车险查勘支</w:t>
            </w:r>
          </w:p>
        </w:tc>
        <w:tc>
          <w:tcPr>
            <w:tcW w:w="158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持平台</w:t>
            </w:r>
            <w:r>
              <w:rPr>
                <w:rFonts w:ascii="宋体" w:hAnsi="宋体" w:cs="宋体" w:eastAsia="宋体" w:hint="default"/>
                <w:spacing w:val="-84"/>
                <w:sz w:val="18"/>
                <w:szCs w:val="18"/>
              </w:rPr>
              <w:t>，</w:t>
            </w:r>
            <w:r>
              <w:rPr>
                <w:rFonts w:ascii="宋体" w:hAnsi="宋体" w:cs="宋体" w:eastAsia="宋体" w:hint="default"/>
                <w:sz w:val="18"/>
                <w:szCs w:val="18"/>
              </w:rPr>
              <w:t>本平台不仅整合了基于多种终端设备的车险</w:t>
            </w:r>
          </w:p>
        </w:tc>
        <w:tc>
          <w:tcPr>
            <w:tcW w:w="158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查勘工具，还充分考虑了复杂的网络环境的应用问</w:t>
            </w:r>
          </w:p>
        </w:tc>
        <w:tc>
          <w:tcPr>
            <w:tcW w:w="1589"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754" w:type="dxa"/>
            <w:tcBorders>
              <w:top w:val="nil" w:sz="6" w:space="0" w:color="auto"/>
              <w:left w:val="single" w:sz="6" w:space="0" w:color="000000"/>
              <w:bottom w:val="nil" w:sz="6" w:space="0" w:color="auto"/>
              <w:right w:val="single" w:sz="6" w:space="0" w:color="000000"/>
            </w:tcBorders>
          </w:tcPr>
          <w:p>
            <w:pPr/>
          </w:p>
        </w:tc>
        <w:tc>
          <w:tcPr>
            <w:tcW w:w="1852"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题</w:t>
            </w:r>
            <w:r>
              <w:rPr>
                <w:rFonts w:ascii="宋体" w:hAnsi="宋体" w:cs="宋体" w:eastAsia="宋体" w:hint="default"/>
                <w:spacing w:val="-84"/>
                <w:sz w:val="18"/>
                <w:szCs w:val="18"/>
              </w:rPr>
              <w:t>，</w:t>
            </w:r>
            <w:r>
              <w:rPr>
                <w:rFonts w:ascii="宋体" w:hAnsi="宋体" w:cs="宋体" w:eastAsia="宋体" w:hint="default"/>
                <w:sz w:val="18"/>
                <w:szCs w:val="18"/>
              </w:rPr>
              <w:t>为保险公司的车险理赔服务提供了坚实可靠的基</w:t>
            </w:r>
          </w:p>
        </w:tc>
        <w:tc>
          <w:tcPr>
            <w:tcW w:w="1589" w:type="dxa"/>
            <w:tcBorders>
              <w:top w:val="nil" w:sz="6" w:space="0" w:color="auto"/>
              <w:left w:val="single" w:sz="6" w:space="0" w:color="000000"/>
              <w:bottom w:val="nil" w:sz="6" w:space="0" w:color="auto"/>
              <w:right w:val="single" w:sz="6" w:space="0" w:color="000000"/>
            </w:tcBorders>
          </w:tcPr>
          <w:p>
            <w:pPr/>
          </w:p>
        </w:tc>
      </w:tr>
      <w:tr>
        <w:trPr>
          <w:trHeight w:val="369" w:hRule="exact"/>
        </w:trPr>
        <w:tc>
          <w:tcPr>
            <w:tcW w:w="754" w:type="dxa"/>
            <w:tcBorders>
              <w:top w:val="nil" w:sz="6" w:space="0" w:color="auto"/>
              <w:left w:val="single" w:sz="6" w:space="0" w:color="000000"/>
              <w:bottom w:val="single" w:sz="6" w:space="0" w:color="000000"/>
              <w:right w:val="single" w:sz="6" w:space="0" w:color="000000"/>
            </w:tcBorders>
          </w:tcPr>
          <w:p>
            <w:pPr/>
          </w:p>
        </w:tc>
        <w:tc>
          <w:tcPr>
            <w:tcW w:w="1852"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40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础。</w:t>
            </w:r>
          </w:p>
        </w:tc>
        <w:tc>
          <w:tcPr>
            <w:tcW w:w="1589"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before="0"/>
        <w:ind w:left="154" w:right="240"/>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133,685,130.39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102,225,014.03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98,686,707.95</w:t>
            </w:r>
          </w:p>
        </w:tc>
      </w:tr>
      <w:tr>
        <w:trPr>
          <w:trHeight w:val="403" w:hRule="exact"/>
        </w:trPr>
        <w:tc>
          <w:tcPr>
            <w:tcW w:w="239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20.1%</w:t>
            </w:r>
          </w:p>
        </w:tc>
        <w:tc>
          <w:tcPr>
            <w:tcW w:w="23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39.91%</w:t>
            </w:r>
          </w:p>
        </w:tc>
      </w:tr>
    </w:tbl>
    <w:p>
      <w:pPr>
        <w:spacing w:line="240" w:lineRule="auto" w:before="2"/>
        <w:rPr>
          <w:rFonts w:ascii="宋体" w:hAnsi="宋体" w:cs="宋体" w:eastAsia="宋体" w:hint="default"/>
          <w:sz w:val="19"/>
          <w:szCs w:val="19"/>
        </w:rPr>
      </w:pPr>
    </w:p>
    <w:p>
      <w:pPr>
        <w:pStyle w:val="Heading5"/>
        <w:spacing w:line="240" w:lineRule="auto" w:before="35"/>
        <w:ind w:right="240"/>
        <w:jc w:val="left"/>
        <w:rPr>
          <w:b w:val="0"/>
          <w:bCs w:val="0"/>
        </w:rPr>
      </w:pPr>
      <w:r>
        <w:rPr/>
        <w:pict>
          <v:shape style="position:absolute;margin-left:170.399994pt;margin-top:-32.666012pt;width:125.3pt;height:19.6pt;mso-position-horizontal-relative:page;mso-position-vertical-relative:paragraph;z-index:-1152016" type="#_x0000_t202" filled="false" stroked="false">
            <v:textbox inset="0,0,0,0">
              <w:txbxContent>
                <w:p>
                  <w:pPr>
                    <w:pStyle w:val="BodyText"/>
                    <w:spacing w:line="240" w:lineRule="auto" w:before="51"/>
                    <w:ind w:left="0" w:right="0"/>
                    <w:jc w:val="left"/>
                  </w:pPr>
                  <w:r>
                    <w:rPr/>
                    <w:t>）</w:t>
                  </w:r>
                </w:p>
              </w:txbxContent>
            </v:textbox>
            <w10:wrap type="none"/>
          </v:shape>
        </w:pict>
      </w:r>
      <w:r>
        <w:rPr/>
        <w:t>（</w:t>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648,337,339.06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319,858,700.30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624,117,274.56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349,930,208.77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24,220,064.50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-30,071,508.47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117,743.10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229,780,055.87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166,781,665.84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-229,662,312.77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-166,743,555.10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121,368,000.00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2,744,560.80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4,322.13%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126,259,421.46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302.36%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-4,891,421.46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-28,635,439.20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-210,333,669.73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-225,450,502.77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r>
    </w:tbl>
    <w:p>
      <w:pPr>
        <w:pStyle w:val="BodyText"/>
        <w:spacing w:line="240" w:lineRule="auto" w:before="51"/>
        <w:ind w:left="154" w:right="24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4" w:right="3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24,220,064.50</w:t>
      </w:r>
      <w:r>
        <w:rPr/>
        <w:t>元，比年初数增加</w:t>
      </w:r>
      <w:r>
        <w:rPr>
          <w:rFonts w:ascii="Times New Roman" w:hAnsi="Times New Roman" w:cs="Times New Roman" w:eastAsia="Times New Roman" w:hint="default"/>
        </w:rPr>
        <w:t>180.54%</w:t>
      </w:r>
      <w:r>
        <w:rPr/>
        <w:t>，其主要原因是销售回款较上</w:t>
      </w:r>
    </w:p>
    <w:p>
      <w:pPr>
        <w:pStyle w:val="BodyText"/>
        <w:spacing w:line="218" w:lineRule="exact" w:before="0"/>
        <w:ind w:right="240"/>
        <w:jc w:val="left"/>
      </w:pPr>
      <w:r>
        <w:rPr/>
        <w:t>期增加和系统集成业务下降致支付现金流相对减少综合影响。</w:t>
      </w:r>
    </w:p>
    <w:p>
      <w:pPr>
        <w:pStyle w:val="BodyText"/>
        <w:spacing w:line="302" w:lineRule="auto" w:before="116"/>
        <w:ind w:right="240" w:firstLine="360"/>
        <w:jc w:val="left"/>
      </w:pPr>
      <w:r>
        <w:rPr>
          <w:spacing w:val="-1"/>
        </w:rPr>
        <w:t>投资活动产生的现金流量净额</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-229,662,312.77</w:t>
      </w:r>
      <w:r>
        <w:rPr>
          <w:spacing w:val="-1"/>
        </w:rPr>
        <w:t>元，比年初数减少</w:t>
      </w:r>
      <w:r>
        <w:rPr>
          <w:rFonts w:ascii="Times New Roman" w:hAnsi="Times New Roman" w:cs="Times New Roman" w:eastAsia="Times New Roman" w:hint="default"/>
          <w:spacing w:val="-1"/>
        </w:rPr>
        <w:t>37.73%</w:t>
      </w:r>
      <w:r>
        <w:rPr>
          <w:spacing w:val="-1"/>
        </w:rPr>
        <w:t>，其主要原因是购建合肥研发</w:t>
      </w:r>
      <w:r>
        <w:rPr/>
        <w:t> 基地、无形资产增加以及股权投资增加。</w:t>
      </w:r>
    </w:p>
    <w:p>
      <w:pPr>
        <w:pStyle w:val="BodyText"/>
        <w:spacing w:line="302" w:lineRule="auto" w:before="68"/>
        <w:ind w:left="154" w:right="240" w:firstLine="360"/>
        <w:jc w:val="left"/>
      </w:pPr>
      <w:r>
        <w:rPr>
          <w:spacing w:val="-2"/>
        </w:rPr>
        <w:t>筹资活动产生的现金流量净额</w:t>
      </w:r>
      <w:r>
        <w:rPr>
          <w:rFonts w:ascii="Times New Roman" w:hAnsi="Times New Roman" w:cs="Times New Roman" w:eastAsia="Times New Roman" w:hint="default"/>
          <w:spacing w:val="-2"/>
        </w:rPr>
        <w:t>2012</w:t>
      </w:r>
      <w:r>
        <w:rPr>
          <w:spacing w:val="-2"/>
        </w:rPr>
        <w:t>年度发生数为</w:t>
      </w:r>
      <w:r>
        <w:rPr>
          <w:rFonts w:ascii="Times New Roman" w:hAnsi="Times New Roman" w:cs="Times New Roman" w:eastAsia="Times New Roman" w:hint="default"/>
          <w:spacing w:val="-2"/>
        </w:rPr>
        <w:t>-4,891,421.46</w:t>
      </w:r>
      <w:r>
        <w:rPr>
          <w:spacing w:val="-2"/>
        </w:rPr>
        <w:t>元，比年初数增加</w:t>
      </w:r>
      <w:r>
        <w:rPr>
          <w:rFonts w:ascii="Times New Roman" w:hAnsi="Times New Roman" w:cs="Times New Roman" w:eastAsia="Times New Roman" w:hint="default"/>
          <w:spacing w:val="-2"/>
        </w:rPr>
        <w:t>82.92%</w:t>
      </w:r>
      <w:r>
        <w:rPr>
          <w:spacing w:val="-2"/>
        </w:rPr>
        <w:t>，主要原因是增加银行贷款所致。</w:t>
      </w:r>
      <w:r>
        <w:rPr/>
        <w:t> 报告期内公司经营活动的现金流量与本年度净利润存在重大差异的原因说明。</w:t>
      </w:r>
    </w:p>
    <w:p>
      <w:pPr>
        <w:spacing w:after="0" w:line="302" w:lineRule="auto"/>
        <w:jc w:val="left"/>
        <w:sectPr>
          <w:pgSz w:w="11910" w:h="16840"/>
          <w:pgMar w:header="747" w:footer="982" w:top="1060" w:bottom="1180" w:left="980" w:right="80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报告期内公司经营活动的现金流量与本年度净利润存在重大差异的原因说明</w:t>
      </w:r>
    </w:p>
    <w:p>
      <w:pPr>
        <w:pStyle w:val="BodyText"/>
        <w:spacing w:line="338" w:lineRule="auto" w:before="116"/>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报告期内净利润为</w:t>
      </w:r>
      <w:r>
        <w:rPr>
          <w:rFonts w:ascii="Times New Roman" w:hAnsi="Times New Roman" w:cs="Times New Roman" w:eastAsia="Times New Roman" w:hint="default"/>
          <w:spacing w:val="-2"/>
        </w:rPr>
        <w:t>10,171.52</w:t>
      </w:r>
      <w:r>
        <w:rPr>
          <w:spacing w:val="-2"/>
        </w:rPr>
        <w:t>万元，与经营净现金流</w:t>
      </w:r>
      <w:r>
        <w:rPr>
          <w:rFonts w:ascii="Times New Roman" w:hAnsi="Times New Roman" w:cs="Times New Roman" w:eastAsia="Times New Roman" w:hint="default"/>
          <w:spacing w:val="-2"/>
        </w:rPr>
        <w:t>2,422.01</w:t>
      </w:r>
      <w:r>
        <w:rPr>
          <w:spacing w:val="-2"/>
        </w:rPr>
        <w:t>万元相差</w:t>
      </w:r>
      <w:r>
        <w:rPr>
          <w:rFonts w:ascii="Times New Roman" w:hAnsi="Times New Roman" w:cs="Times New Roman" w:eastAsia="Times New Roman" w:hint="default"/>
          <w:spacing w:val="-2"/>
        </w:rPr>
        <w:t>7,749.51</w:t>
      </w:r>
      <w:r>
        <w:rPr>
          <w:spacing w:val="-2"/>
        </w:rPr>
        <w:t>万元。主要原因是联通和电信的项目在报告</w:t>
      </w:r>
    </w:p>
    <w:p>
      <w:pPr>
        <w:pStyle w:val="BodyText"/>
        <w:spacing w:line="230" w:lineRule="exact" w:before="0"/>
        <w:ind w:left="154" w:right="0"/>
        <w:jc w:val="left"/>
      </w:pPr>
      <w:r>
        <w:rPr/>
        <w:t>期末验收较多，应收账款较上年同期增加</w:t>
      </w:r>
      <w:r>
        <w:rPr>
          <w:rFonts w:ascii="Times New Roman" w:hAnsi="Times New Roman" w:cs="Times New Roman" w:eastAsia="Times New Roman" w:hint="default"/>
        </w:rPr>
        <w:t>9,437.22</w:t>
      </w:r>
      <w:r>
        <w:rPr/>
        <w:t>万元，增长</w:t>
      </w:r>
      <w:r>
        <w:rPr>
          <w:rFonts w:ascii="Times New Roman" w:hAnsi="Times New Roman" w:cs="Times New Roman" w:eastAsia="Times New Roman" w:hint="default"/>
        </w:rPr>
        <w:t>35.41%</w:t>
      </w:r>
      <w:r>
        <w:rPr/>
        <w:t>；同时由于金华威首次纳入合并报表，该子公司年末存</w:t>
      </w:r>
    </w:p>
    <w:p>
      <w:pPr>
        <w:pStyle w:val="BodyText"/>
        <w:spacing w:line="240" w:lineRule="auto" w:before="64"/>
        <w:ind w:left="154" w:right="0"/>
        <w:jc w:val="left"/>
      </w:pPr>
      <w:r>
        <w:rPr/>
        <w:t>货较上年同期大幅增加</w:t>
      </w:r>
      <w:r>
        <w:rPr>
          <w:rFonts w:ascii="Times New Roman" w:hAnsi="Times New Roman" w:cs="Times New Roman" w:eastAsia="Times New Roman" w:hint="default"/>
        </w:rPr>
        <w:t>2,768.84</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202,241,826.18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30.41%</w:t>
            </w:r>
          </w:p>
        </w:tc>
      </w:tr>
    </w:tbl>
    <w:p>
      <w:pPr>
        <w:pStyle w:val="BodyText"/>
        <w:spacing w:line="240" w:lineRule="auto" w:before="51"/>
        <w:ind w:left="154"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left="154"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341,761,366.35</w:t>
            </w:r>
          </w:p>
        </w:tc>
      </w:tr>
      <w:tr>
        <w:trPr>
          <w:trHeight w:val="403" w:hRule="exact"/>
        </w:trPr>
        <w:tc>
          <w:tcPr>
            <w:tcW w:w="4257"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2"/>
                <w:sz w:val="18"/>
              </w:rPr>
              <w:t>64.11%</w:t>
            </w:r>
          </w:p>
        </w:tc>
      </w:tr>
    </w:tbl>
    <w:p>
      <w:pPr>
        <w:pStyle w:val="BodyText"/>
        <w:spacing w:line="240" w:lineRule="auto" w:before="51"/>
        <w:ind w:left="154" w:right="0"/>
        <w:jc w:val="left"/>
      </w:pPr>
      <w:r>
        <w:rPr/>
        <w:pict>
          <v:shape style="position:absolute;margin-left:263.579712pt;margin-top:-20.117987pt;width:271.3pt;height:19.6pt;mso-position-horizontal-relative:page;mso-position-vertical-relative:paragraph;z-index:-1151992" type="#_x0000_t202" filled="false" stroked="false">
            <v:textbox inset="0,0,0,0">
              <w:txbxContent>
                <w:p>
                  <w:pPr>
                    <w:pStyle w:val="BodyText"/>
                    <w:spacing w:line="240" w:lineRule="auto" w:before="51"/>
                    <w:ind w:left="0" w:right="0"/>
                    <w:jc w:val="left"/>
                  </w:pPr>
                  <w:r>
                    <w:rPr/>
                    <w:t>）</w:t>
                  </w:r>
                </w:p>
              </w:txbxContent>
            </v:textbox>
            <w10:wrap type="none"/>
          </v:shape>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2"/>
        <w:gridCol w:w="2086"/>
        <w:gridCol w:w="2820"/>
        <w:gridCol w:w="2820"/>
      </w:tblGrid>
      <w:tr>
        <w:trPr>
          <w:trHeight w:val="714" w:hRule="exact"/>
        </w:trPr>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63" w:right="54" w:hanging="810"/>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采购金额或比例与以前年度相比变 化情况的说明</w:t>
            </w:r>
          </w:p>
        </w:tc>
      </w:tr>
      <w:tr>
        <w:trPr>
          <w:trHeight w:val="714"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北京华为数字技术有 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232,330,526.20</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43.58%</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主要原因是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年首次纳入合并的 金华威公司采购增加。</w:t>
            </w:r>
          </w:p>
        </w:tc>
      </w:tr>
      <w:tr>
        <w:trPr>
          <w:trHeight w:val="402" w:hRule="exact"/>
        </w:trPr>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232,330,526.20</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w:t>
            </w:r>
          </w:p>
        </w:tc>
        <w:tc>
          <w:tcPr>
            <w:tcW w:w="2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首次公开发行招股说明书中披露的未来发展与规划在本报告期的实施情况</w:t>
      </w:r>
    </w:p>
    <w:p>
      <w:pPr>
        <w:pStyle w:val="BodyText"/>
        <w:spacing w:line="340" w:lineRule="auto" w:before="116"/>
        <w:ind w:left="424" w:right="5720" w:hanging="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公司招股说明书中对未来三年经营目标的描述：</w:t>
      </w:r>
    </w:p>
    <w:p>
      <w:pPr>
        <w:pStyle w:val="BodyText"/>
        <w:spacing w:line="300" w:lineRule="auto" w:before="39"/>
        <w:ind w:right="149" w:firstLine="270"/>
        <w:jc w:val="both"/>
      </w:pPr>
      <w:r>
        <w:rPr>
          <w:spacing w:val="-1"/>
        </w:rPr>
        <w:t>公司预计</w:t>
      </w:r>
      <w:r>
        <w:rPr>
          <w:rFonts w:ascii="Times New Roman" w:hAnsi="Times New Roman" w:cs="Times New Roman" w:eastAsia="Times New Roman" w:hint="default"/>
          <w:spacing w:val="-1"/>
        </w:rPr>
        <w:t>2009</w:t>
      </w:r>
      <w:r>
        <w:rPr>
          <w:spacing w:val="-1"/>
        </w:rPr>
        <w:t>年营业收入为</w:t>
      </w:r>
      <w:r>
        <w:rPr>
          <w:rFonts w:ascii="Times New Roman" w:hAnsi="Times New Roman" w:cs="Times New Roman" w:eastAsia="Times New Roman" w:hint="default"/>
          <w:spacing w:val="-1"/>
        </w:rPr>
        <w:t>2.5</w:t>
      </w:r>
      <w:r>
        <w:rPr>
          <w:spacing w:val="-1"/>
        </w:rPr>
        <w:t>亿元。为实现公司的上述发展战略，公司计划在</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2011</w:t>
      </w:r>
      <w:r>
        <w:rPr>
          <w:spacing w:val="-1"/>
        </w:rPr>
        <w:t>年的营业收入年均较前一年</w:t>
      </w:r>
      <w:r>
        <w:rPr/>
        <w:t> 增长</w:t>
      </w:r>
      <w:r>
        <w:rPr>
          <w:rFonts w:ascii="Times New Roman" w:hAnsi="Times New Roman" w:cs="Times New Roman" w:eastAsia="Times New Roman" w:hint="default"/>
        </w:rPr>
        <w:t>25</w:t>
      </w:r>
      <w:r>
        <w:rPr/>
        <w:t>％，到</w:t>
      </w:r>
      <w:r>
        <w:rPr>
          <w:rFonts w:ascii="Times New Roman" w:hAnsi="Times New Roman" w:cs="Times New Roman" w:eastAsia="Times New Roman" w:hint="default"/>
        </w:rPr>
        <w:t>2012</w:t>
      </w:r>
      <w:r>
        <w:rPr/>
        <w:t>年营业收入达到</w:t>
      </w:r>
      <w:r>
        <w:rPr>
          <w:rFonts w:ascii="Times New Roman" w:hAnsi="Times New Roman" w:cs="Times New Roman" w:eastAsia="Times New Roman" w:hint="default"/>
        </w:rPr>
        <w:t>4.9</w:t>
      </w:r>
      <w:r>
        <w:rPr/>
        <w:t>亿元，其中，软件及技术服务收入超过</w:t>
      </w:r>
      <w:r>
        <w:rPr>
          <w:rFonts w:ascii="Times New Roman" w:hAnsi="Times New Roman" w:cs="Times New Roman" w:eastAsia="Times New Roman" w:hint="default"/>
        </w:rPr>
        <w:t>2.5</w:t>
      </w:r>
      <w:r>
        <w:rPr/>
        <w:t>亿元。成为国内最具成长性的电信软件供应 商和国内知名的公安行业软件供应商，并成为中国软件产业的骨干企业。</w:t>
      </w:r>
    </w:p>
    <w:p>
      <w:pPr>
        <w:pStyle w:val="BodyText"/>
        <w:spacing w:line="338" w:lineRule="auto" w:before="71"/>
        <w:ind w:left="513" w:right="0"/>
        <w:jc w:val="left"/>
      </w:pPr>
      <w:r>
        <w:rPr/>
        <w:t>持续强化软件开发规范化、流程化管理，提高软件产品的成熟度，争取在</w:t>
      </w:r>
      <w:r>
        <w:rPr>
          <w:rFonts w:ascii="Times New Roman" w:hAnsi="Times New Roman" w:cs="Times New Roman" w:eastAsia="Times New Roman" w:hint="default"/>
        </w:rPr>
        <w:t>2012</w:t>
      </w:r>
      <w:r>
        <w:rPr/>
        <w:t>年底通过</w:t>
      </w:r>
      <w:r>
        <w:rPr>
          <w:rFonts w:ascii="Times New Roman" w:hAnsi="Times New Roman" w:cs="Times New Roman" w:eastAsia="Times New Roman" w:hint="default"/>
        </w:rPr>
        <w:t>CMMI5</w:t>
      </w:r>
      <w:r>
        <w:rPr/>
        <w:t>级认证。 </w:t>
      </w:r>
      <w:r>
        <w:rPr>
          <w:spacing w:val="-2"/>
        </w:rPr>
        <w:t>在海外市场开拓方面，公司将充分利用与国际知名</w:t>
      </w:r>
      <w:r>
        <w:rPr>
          <w:rFonts w:ascii="Times New Roman" w:hAnsi="Times New Roman" w:cs="Times New Roman" w:eastAsia="Times New Roman" w:hint="default"/>
          <w:spacing w:val="-2"/>
        </w:rPr>
        <w:t>IT</w:t>
      </w:r>
      <w:r>
        <w:rPr>
          <w:spacing w:val="-2"/>
        </w:rPr>
        <w:t>公司已建立的良好合作关系，并逐步建立自己的海外销售及售后服</w:t>
      </w:r>
    </w:p>
    <w:p>
      <w:pPr>
        <w:pStyle w:val="BodyText"/>
        <w:spacing w:line="231" w:lineRule="exact" w:before="0"/>
        <w:ind w:right="0"/>
        <w:jc w:val="left"/>
      </w:pPr>
      <w:r>
        <w:rPr/>
        <w:t>务体系，计划到</w:t>
      </w:r>
      <w:r>
        <w:rPr>
          <w:rFonts w:ascii="Times New Roman" w:hAnsi="Times New Roman" w:cs="Times New Roman" w:eastAsia="Times New Roman" w:hint="default"/>
        </w:rPr>
        <w:t>2012</w:t>
      </w:r>
      <w:r>
        <w:rPr/>
        <w:t>年，海外业务收入占到公司总收入</w:t>
      </w:r>
      <w:r>
        <w:rPr>
          <w:rFonts w:ascii="Times New Roman" w:hAnsi="Times New Roman" w:cs="Times New Roman" w:eastAsia="Times New Roman" w:hint="default"/>
        </w:rPr>
        <w:t>10</w:t>
      </w:r>
      <w:r>
        <w:rPr/>
        <w:t>％以上。</w:t>
      </w:r>
    </w:p>
    <w:p>
      <w:pPr>
        <w:pStyle w:val="BodyText"/>
        <w:spacing w:line="357" w:lineRule="auto" w:before="102"/>
        <w:ind w:left="513" w:right="186"/>
        <w:jc w:val="left"/>
      </w:pPr>
      <w:r>
        <w:rPr/>
        <w:t>报告期经营目标实施情况： 报告期内公司营业总收入为</w:t>
      </w:r>
      <w:r>
        <w:rPr>
          <w:rFonts w:ascii="Times New Roman" w:hAnsi="Times New Roman" w:cs="Times New Roman" w:eastAsia="Times New Roman" w:hint="default"/>
        </w:rPr>
        <w:t>6.65</w:t>
      </w:r>
      <w:r>
        <w:rPr/>
        <w:t>亿元，应用软件及服务收入为</w:t>
      </w:r>
      <w:r>
        <w:rPr>
          <w:rFonts w:ascii="Times New Roman" w:hAnsi="Times New Roman" w:cs="Times New Roman" w:eastAsia="Times New Roman" w:hint="default"/>
        </w:rPr>
        <w:t>4</w:t>
      </w:r>
      <w:r>
        <w:rPr/>
        <w:t>亿元，应用软件及服务收入较去年同期增长了</w:t>
      </w:r>
      <w:r>
        <w:rPr>
          <w:rFonts w:ascii="Times New Roman" w:hAnsi="Times New Roman" w:cs="Times New Roman" w:eastAsia="Times New Roman" w:hint="default"/>
        </w:rPr>
        <w:t>30</w:t>
      </w:r>
      <w:r>
        <w:rPr/>
        <w:t>％。远</w:t>
      </w:r>
    </w:p>
    <w:p>
      <w:pPr>
        <w:pStyle w:val="BodyText"/>
        <w:spacing w:line="216" w:lineRule="exact" w:before="0"/>
        <w:ind w:left="154" w:right="0"/>
        <w:jc w:val="left"/>
      </w:pPr>
      <w:r>
        <w:rPr/>
        <w:t>远超过了招股说明书中计划的</w:t>
      </w:r>
      <w:r>
        <w:rPr>
          <w:rFonts w:ascii="Times New Roman" w:hAnsi="Times New Roman" w:cs="Times New Roman" w:eastAsia="Times New Roman" w:hint="default"/>
        </w:rPr>
        <w:t>4.9</w:t>
      </w:r>
      <w:r>
        <w:rPr/>
        <w:t>亿元营业收入、</w:t>
      </w:r>
      <w:r>
        <w:rPr>
          <w:rFonts w:ascii="Times New Roman" w:hAnsi="Times New Roman" w:cs="Times New Roman" w:eastAsia="Times New Roman" w:hint="default"/>
        </w:rPr>
        <w:t>2.5</w:t>
      </w:r>
      <w:r>
        <w:rPr/>
        <w:t>亿元应用软件及服务收入的目标。</w:t>
      </w:r>
    </w:p>
    <w:p>
      <w:pPr>
        <w:spacing w:after="0" w:line="216" w:lineRule="exact"/>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ind w:left="513" w:right="186"/>
        <w:jc w:val="left"/>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月通过了</w:t>
      </w:r>
      <w:r>
        <w:rPr>
          <w:rFonts w:ascii="Times New Roman" w:hAnsi="Times New Roman" w:cs="Times New Roman" w:eastAsia="Times New Roman" w:hint="default"/>
        </w:rPr>
        <w:t>CMMI4</w:t>
      </w:r>
      <w:r>
        <w:rPr/>
        <w:t>级认证，未完成在</w:t>
      </w:r>
      <w:r>
        <w:rPr>
          <w:rFonts w:ascii="Times New Roman" w:hAnsi="Times New Roman" w:cs="Times New Roman" w:eastAsia="Times New Roman" w:hint="default"/>
        </w:rPr>
        <w:t>2012</w:t>
      </w:r>
      <w:r>
        <w:rPr/>
        <w:t>年底通过</w:t>
      </w:r>
      <w:r>
        <w:rPr>
          <w:rFonts w:ascii="Times New Roman" w:hAnsi="Times New Roman" w:cs="Times New Roman" w:eastAsia="Times New Roman" w:hint="default"/>
        </w:rPr>
        <w:t>CMMI5</w:t>
      </w:r>
      <w:r>
        <w:rPr/>
        <w:t>级认证的目标。 报告期受全球宏观经济下行的影响，</w:t>
      </w:r>
      <w:r>
        <w:rPr>
          <w:rFonts w:ascii="Times New Roman" w:hAnsi="Times New Roman" w:cs="Times New Roman" w:eastAsia="Times New Roman" w:hint="default"/>
        </w:rPr>
        <w:t>2012</w:t>
      </w:r>
      <w:r>
        <w:rPr/>
        <w:t>年度海外软件收入</w:t>
      </w:r>
      <w:r>
        <w:rPr>
          <w:rFonts w:ascii="Times New Roman" w:hAnsi="Times New Roman" w:cs="Times New Roman" w:eastAsia="Times New Roman" w:hint="default"/>
        </w:rPr>
        <w:t>1,428.04</w:t>
      </w:r>
      <w:r>
        <w:rPr/>
        <w:t>万元，仅占软件及服务收入比重的</w:t>
      </w:r>
      <w:r>
        <w:rPr>
          <w:rFonts w:ascii="Times New Roman" w:hAnsi="Times New Roman" w:cs="Times New Roman" w:eastAsia="Times New Roman" w:hint="default"/>
        </w:rPr>
        <w:t>3.57</w:t>
      </w:r>
      <w:r>
        <w:rPr/>
        <w:t>％，较去年</w:t>
      </w:r>
    </w:p>
    <w:p>
      <w:pPr>
        <w:pStyle w:val="BodyText"/>
        <w:spacing w:line="231" w:lineRule="exact" w:before="0"/>
        <w:ind w:right="0"/>
        <w:jc w:val="left"/>
      </w:pPr>
      <w:r>
        <w:rPr/>
        <w:t>同期下降</w:t>
      </w:r>
      <w:r>
        <w:rPr>
          <w:rFonts w:ascii="Times New Roman" w:hAnsi="Times New Roman" w:cs="Times New Roman" w:eastAsia="Times New Roman" w:hint="default"/>
        </w:rPr>
        <w:t>39.30</w:t>
      </w:r>
      <w:r>
        <w:rPr/>
        <w:t>％，未达成招股说明书中计划的海外收入占总收入</w:t>
      </w:r>
      <w:r>
        <w:rPr>
          <w:rFonts w:ascii="Times New Roman" w:hAnsi="Times New Roman" w:cs="Times New Roman" w:eastAsia="Times New Roman" w:hint="default"/>
        </w:rPr>
        <w:t>10</w:t>
      </w:r>
      <w:r>
        <w:rPr/>
        <w:t>％以上的目标。</w:t>
      </w:r>
    </w:p>
    <w:p>
      <w:pPr>
        <w:pStyle w:val="BodyText"/>
        <w:spacing w:line="357" w:lineRule="auto" w:before="103"/>
        <w:ind w:left="513" w:right="142" w:hanging="360"/>
        <w:jc w:val="left"/>
      </w:pPr>
      <w:r>
        <w:rPr/>
        <w:t>公司回顾总结前期披露的发展战略和经营计划在报告期内的进展情况 </w:t>
      </w:r>
      <w:r>
        <w:rPr>
          <w:spacing w:val="-1"/>
        </w:rPr>
        <w:t>在</w:t>
      </w:r>
      <w:r>
        <w:rPr>
          <w:rFonts w:ascii="Times New Roman" w:hAnsi="Times New Roman" w:cs="Times New Roman" w:eastAsia="Times New Roman" w:hint="default"/>
          <w:spacing w:val="-1"/>
        </w:rPr>
        <w:t>2010</w:t>
      </w:r>
      <w:r>
        <w:rPr>
          <w:spacing w:val="-1"/>
        </w:rPr>
        <w:t>年年报中，公司计划在</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2012</w:t>
      </w:r>
      <w:r>
        <w:rPr>
          <w:spacing w:val="-1"/>
        </w:rPr>
        <w:t>年的软件及服务收入年均较前一年增长</w:t>
      </w:r>
      <w:r>
        <w:rPr>
          <w:rFonts w:ascii="Times New Roman" w:hAnsi="Times New Roman" w:cs="Times New Roman" w:eastAsia="Times New Roman" w:hint="default"/>
          <w:spacing w:val="-1"/>
        </w:rPr>
        <w:t>30%</w:t>
      </w:r>
      <w:r>
        <w:rPr>
          <w:spacing w:val="-1"/>
        </w:rPr>
        <w:t>，到</w:t>
      </w:r>
      <w:r>
        <w:rPr>
          <w:rFonts w:ascii="Times New Roman" w:hAnsi="Times New Roman" w:cs="Times New Roman" w:eastAsia="Times New Roman" w:hint="default"/>
          <w:spacing w:val="-1"/>
        </w:rPr>
        <w:t>2012</w:t>
      </w:r>
      <w:r>
        <w:rPr>
          <w:spacing w:val="-1"/>
        </w:rPr>
        <w:t>年软件及技术服务收入</w:t>
      </w:r>
    </w:p>
    <w:p>
      <w:pPr>
        <w:pStyle w:val="BodyText"/>
        <w:spacing w:line="216" w:lineRule="exact" w:before="0"/>
        <w:ind w:left="154" w:right="0"/>
        <w:jc w:val="left"/>
      </w:pPr>
      <w:r>
        <w:rPr/>
        <w:t>超过</w:t>
      </w:r>
      <w:r>
        <w:rPr>
          <w:rFonts w:ascii="Times New Roman" w:hAnsi="Times New Roman" w:cs="Times New Roman" w:eastAsia="Times New Roman" w:hint="default"/>
        </w:rPr>
        <w:t>3.6</w:t>
      </w:r>
      <w:r>
        <w:rPr/>
        <w:t>亿元，营业总收入达到</w:t>
      </w:r>
      <w:r>
        <w:rPr>
          <w:rFonts w:ascii="Times New Roman" w:hAnsi="Times New Roman" w:cs="Times New Roman" w:eastAsia="Times New Roman" w:hint="default"/>
        </w:rPr>
        <w:t>5</w:t>
      </w:r>
      <w:r>
        <w:rPr/>
        <w:t>亿元。</w:t>
      </w:r>
    </w:p>
    <w:p>
      <w:pPr>
        <w:pStyle w:val="BodyText"/>
        <w:spacing w:line="340" w:lineRule="auto" w:before="102"/>
        <w:ind w:left="444" w:right="111" w:firstLine="69"/>
        <w:jc w:val="left"/>
      </w:pPr>
      <w:r>
        <w:rPr/>
        <w:t>在</w:t>
      </w:r>
      <w:r>
        <w:rPr>
          <w:rFonts w:ascii="Times New Roman" w:hAnsi="Times New Roman" w:cs="Times New Roman" w:eastAsia="Times New Roman" w:hint="default"/>
        </w:rPr>
        <w:t>2011</w:t>
      </w:r>
      <w:r>
        <w:rPr/>
        <w:t>年年报中，公司计划在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年的软件及服务收入年均较前一年增长</w:t>
      </w:r>
      <w:r>
        <w:rPr>
          <w:rFonts w:ascii="Times New Roman" w:hAnsi="Times New Roman" w:cs="Times New Roman" w:eastAsia="Times New Roman" w:hint="default"/>
        </w:rPr>
        <w:t>30%</w:t>
      </w:r>
      <w:r>
        <w:rPr/>
        <w:t>，营业收入较前一年增长</w:t>
      </w:r>
      <w:r>
        <w:rPr>
          <w:rFonts w:ascii="Times New Roman" w:hAnsi="Times New Roman" w:cs="Times New Roman" w:eastAsia="Times New Roman" w:hint="default"/>
        </w:rPr>
        <w:t>60%</w:t>
      </w:r>
      <w:r>
        <w:rPr/>
        <w:t>。 报告期已达成</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年年报披露的经营目标。</w:t>
      </w:r>
    </w:p>
    <w:p>
      <w:pPr>
        <w:pStyle w:val="BodyText"/>
        <w:spacing w:line="240" w:lineRule="auto" w:before="18"/>
        <w:ind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407,869,557.68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187,247,313.99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55,241,211.00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30,137,150.74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201,977,266.01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180,979,331.74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354,012,047.06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144,486,844.19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30,246,548.36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10,513,717.58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47,434,068.87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42,215,495.56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网络产品分销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217,587,447.50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196,085,458.37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15,807,922.90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5,062,280.77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73,884,701.73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50,013,294.86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140,464,858.12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73,780,782.99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111,581,107.81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67,892,004.41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132,049,990.43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85,334,930.34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192,827,020.02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115,539,245.38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14,280,356.58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5,803,538.49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r>
    </w:tbl>
    <w:p>
      <w:pPr>
        <w:pStyle w:val="BodyText"/>
        <w:spacing w:line="240" w:lineRule="auto" w:before="51"/>
        <w:ind w:left="15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244,323,834.5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451,664,597.14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68"/>
              <w:jc w:val="both"/>
              <w:rPr>
                <w:rFonts w:ascii="宋体" w:hAnsi="宋体" w:cs="宋体" w:eastAsia="宋体" w:hint="default"/>
                <w:sz w:val="18"/>
                <w:szCs w:val="18"/>
              </w:rPr>
            </w:pPr>
            <w:r>
              <w:rPr>
                <w:rFonts w:ascii="宋体" w:hAnsi="宋体" w:cs="宋体" w:eastAsia="宋体" w:hint="default"/>
                <w:sz w:val="18"/>
                <w:szCs w:val="18"/>
              </w:rPr>
              <w:t>主要原因是收购广州易杰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 及其他对外股权收购和合肥研发基 地基建及项目开发投入。</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360,863,695.7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266,491,496.48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主要原因是销售增长相应应收账款 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103,462,262.3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2,127,044.00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主要原因是增加了新纳入合并范围 子公司存货和新项目投入尚未完工。</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56,221,726.78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46,390,521.53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73,166,980.62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76,851,102.50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102,769,924.4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22,936,749.90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主要原因是合肥研发基地基建投入。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1,250,111,370.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1,102,226,898.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82,568,000.00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both"/>
              <w:rPr>
                <w:rFonts w:ascii="宋体" w:hAnsi="宋体" w:cs="宋体" w:eastAsia="宋体" w:hint="default"/>
                <w:sz w:val="18"/>
                <w:szCs w:val="18"/>
              </w:rPr>
            </w:pPr>
            <w:r>
              <w:rPr>
                <w:rFonts w:ascii="宋体" w:hAnsi="宋体" w:cs="宋体" w:eastAsia="宋体" w:hint="default"/>
                <w:sz w:val="18"/>
                <w:szCs w:val="18"/>
              </w:rPr>
              <w:t>主要原因是本期新增非同一控制下 合并子公司增加银行贷款及母公司 为其统借统还增加银行贷款。</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188,482,697.4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42,832,719.62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11.19%</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513" w:right="1311"/>
        <w:jc w:val="left"/>
      </w:pPr>
      <w:r>
        <w:rPr/>
        <w:t>公司的核心竞争能力主要体现在无形资产，公司无形资产包括商标、计算机软件著作权、科研成果等。 报告期内，公司无形资产更新情况如下：</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7"/>
        <w:spacing w:line="240" w:lineRule="auto"/>
        <w:ind w:left="513" w:right="3411"/>
        <w:jc w:val="left"/>
        <w:rPr>
          <w:b w:val="0"/>
          <w:bCs w:val="0"/>
        </w:rPr>
      </w:pPr>
      <w:r>
        <w:rPr/>
        <w:t>一、母公司无形资产情况</w:t>
      </w:r>
      <w:r>
        <w:rPr>
          <w:b w:val="0"/>
          <w:bCs w:val="0"/>
        </w:rPr>
      </w:r>
    </w:p>
    <w:p>
      <w:pPr>
        <w:pStyle w:val="BodyText"/>
        <w:spacing w:line="338" w:lineRule="auto" w:before="117"/>
        <w:ind w:left="513" w:right="3411"/>
        <w:jc w:val="left"/>
      </w:pPr>
      <w:r>
        <w:rPr/>
        <w:t>（</w:t>
      </w:r>
      <w:r>
        <w:rPr>
          <w:rFonts w:ascii="Times New Roman" w:hAnsi="Times New Roman" w:cs="Times New Roman" w:eastAsia="Times New Roman" w:hint="default"/>
        </w:rPr>
        <w:t>1</w:t>
      </w:r>
      <w:r>
        <w:rPr/>
        <w:t>）商标 本公司使用的商标均已在国家工商行政管理总局商标局注册，具体情况如下：</w:t>
      </w:r>
    </w:p>
    <w:p>
      <w:pPr>
        <w:spacing w:line="240" w:lineRule="auto" w:before="9"/>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560"/>
        <w:gridCol w:w="2268"/>
        <w:gridCol w:w="1134"/>
        <w:gridCol w:w="2126"/>
        <w:gridCol w:w="1985"/>
      </w:tblGrid>
      <w:tr>
        <w:trPr>
          <w:trHeight w:val="40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603" w:right="0"/>
              <w:jc w:val="left"/>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核定服务项目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类别</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39" w:hRule="exact"/>
        </w:trPr>
        <w:tc>
          <w:tcPr>
            <w:tcW w:w="15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451" w:lineRule="exact"/>
              <w:ind w:left="424"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52036" cy="28670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352036" cy="286702"/>
                          </a:xfrm>
                          <a:prstGeom prst="rect">
                            <a:avLst/>
                          </a:prstGeom>
                        </pic:spPr>
                      </pic:pic>
                    </a:graphicData>
                  </a:graphic>
                </wp:inline>
              </w:drawing>
            </w:r>
            <w:r>
              <w:rPr>
                <w:rFonts w:ascii="宋体" w:hAnsi="宋体" w:cs="宋体" w:eastAsia="宋体" w:hint="default"/>
                <w:position w:val="-8"/>
                <w:sz w:val="20"/>
                <w:szCs w:val="20"/>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65" w:right="47" w:hanging="720"/>
              <w:jc w:val="left"/>
              <w:rPr>
                <w:rFonts w:ascii="宋体" w:hAnsi="宋体" w:cs="宋体" w:eastAsia="宋体" w:hint="default"/>
                <w:sz w:val="18"/>
                <w:szCs w:val="18"/>
              </w:rPr>
            </w:pPr>
            <w:r>
              <w:rPr>
                <w:rFonts w:ascii="宋体" w:hAnsi="宋体" w:cs="宋体" w:eastAsia="宋体" w:hint="default"/>
                <w:sz w:val="18"/>
                <w:szCs w:val="18"/>
              </w:rPr>
              <w:t>深圳天源迪科信息技术股份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1159731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3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3"/>
                <w:szCs w:val="3"/>
              </w:rPr>
            </w:pPr>
          </w:p>
          <w:p>
            <w:pPr>
              <w:pStyle w:val="TableParagraph"/>
              <w:spacing w:line="238" w:lineRule="exact"/>
              <w:ind w:left="177"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12232" cy="15154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612232" cy="151542"/>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ind w:right="0"/>
              <w:jc w:val="left"/>
              <w:rPr>
                <w:rFonts w:ascii="宋体" w:hAnsi="宋体" w:cs="宋体" w:eastAsia="宋体" w:hint="default"/>
                <w:sz w:val="20"/>
                <w:szCs w:val="20"/>
              </w:rPr>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65" w:right="47" w:hanging="720"/>
              <w:jc w:val="left"/>
              <w:rPr>
                <w:rFonts w:ascii="宋体" w:hAnsi="宋体" w:cs="宋体" w:eastAsia="宋体" w:hint="default"/>
                <w:sz w:val="18"/>
                <w:szCs w:val="18"/>
              </w:rPr>
            </w:pPr>
            <w:r>
              <w:rPr>
                <w:rFonts w:ascii="宋体" w:hAnsi="宋体" w:cs="宋体" w:eastAsia="宋体" w:hint="default"/>
                <w:sz w:val="18"/>
                <w:szCs w:val="18"/>
              </w:rPr>
              <w:t>深圳天源迪科信息技术股份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6055545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3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Times New Roman" w:hAnsi="Times New Roman" w:cs="Times New Roman" w:eastAsia="Times New Roman" w:hint="default"/>
                <w:sz w:val="24"/>
                <w:szCs w:val="24"/>
              </w:rPr>
            </w:pPr>
            <w:r>
              <w:rPr>
                <w:rFonts w:ascii="Times New Roman"/>
                <w:b/>
                <w:sz w:val="24"/>
              </w:rPr>
              <w:t>DIC</w:t>
            </w:r>
            <w:r>
              <w:rPr>
                <w:rFonts w:ascii="Times New Roman"/>
                <w:sz w:val="24"/>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65" w:right="47" w:hanging="720"/>
              <w:jc w:val="left"/>
              <w:rPr>
                <w:rFonts w:ascii="宋体" w:hAnsi="宋体" w:cs="宋体" w:eastAsia="宋体" w:hint="default"/>
                <w:sz w:val="18"/>
                <w:szCs w:val="18"/>
              </w:rPr>
            </w:pPr>
            <w:r>
              <w:rPr>
                <w:rFonts w:ascii="宋体" w:hAnsi="宋体" w:cs="宋体" w:eastAsia="宋体" w:hint="default"/>
                <w:sz w:val="18"/>
                <w:szCs w:val="18"/>
              </w:rPr>
              <w:t>深圳天源迪科信息技术股份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8589719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bl>
    <w:p>
      <w:pPr>
        <w:pStyle w:val="BodyText"/>
        <w:spacing w:line="338" w:lineRule="auto" w:before="51"/>
        <w:ind w:left="513" w:right="0" w:hanging="360"/>
        <w:jc w:val="left"/>
      </w:pPr>
      <w:r>
        <w:rPr/>
        <w:t>（</w:t>
      </w:r>
      <w:r>
        <w:rPr>
          <w:rFonts w:ascii="Times New Roman" w:hAnsi="Times New Roman" w:cs="Times New Roman" w:eastAsia="Times New Roman" w:hint="default"/>
        </w:rPr>
        <w:t>2</w:t>
      </w:r>
      <w:r>
        <w:rPr/>
        <w:t>）计算机软件著作权 </w:t>
      </w: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日，公司获得国家版权局计算机软件著作权登记</w:t>
      </w:r>
      <w:r>
        <w:rPr>
          <w:rFonts w:ascii="Times New Roman" w:hAnsi="Times New Roman" w:cs="Times New Roman" w:eastAsia="Times New Roman" w:hint="default"/>
          <w:spacing w:val="-2"/>
        </w:rPr>
        <w:t>90</w:t>
      </w:r>
      <w:r>
        <w:rPr>
          <w:spacing w:val="-2"/>
        </w:rPr>
        <w:t>项，这些软件产品属于公司自主知识产权的软件成</w:t>
      </w:r>
    </w:p>
    <w:p>
      <w:pPr>
        <w:pStyle w:val="BodyText"/>
        <w:spacing w:line="231" w:lineRule="exact" w:before="0"/>
        <w:ind w:right="3411"/>
        <w:jc w:val="left"/>
      </w:pPr>
      <w:r>
        <w:rPr/>
        <w:t>果，其中</w:t>
      </w:r>
      <w:r>
        <w:rPr>
          <w:rFonts w:ascii="Times New Roman" w:hAnsi="Times New Roman" w:cs="Times New Roman" w:eastAsia="Times New Roman" w:hint="default"/>
        </w:rPr>
        <w:t>2012</w:t>
      </w:r>
      <w:r>
        <w:rPr/>
        <w:t>年度新增的计算机软件著作权见下表：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710"/>
        <w:gridCol w:w="2551"/>
        <w:gridCol w:w="851"/>
        <w:gridCol w:w="1700"/>
        <w:gridCol w:w="1559"/>
        <w:gridCol w:w="2410"/>
      </w:tblGrid>
      <w:tr>
        <w:trPr>
          <w:trHeight w:val="427"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首次发表日期</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天源迪科重大事件预警软件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2012SR002133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天源迪科电信领导视窗软件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2012SR009015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3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2"/>
              <w:jc w:val="left"/>
              <w:rPr>
                <w:rFonts w:ascii="宋体" w:hAnsi="宋体" w:cs="宋体" w:eastAsia="宋体" w:hint="default"/>
                <w:sz w:val="18"/>
                <w:szCs w:val="18"/>
              </w:rPr>
            </w:pPr>
            <w:r>
              <w:rPr>
                <w:rFonts w:ascii="宋体" w:hAnsi="宋体" w:cs="宋体" w:eastAsia="宋体" w:hint="default"/>
                <w:sz w:val="18"/>
                <w:szCs w:val="18"/>
              </w:rPr>
              <w:t>天源迪科在线计费会话管理系统 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2012SR009011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3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2"/>
              <w:jc w:val="left"/>
              <w:rPr>
                <w:rFonts w:ascii="宋体" w:hAnsi="宋体" w:cs="宋体" w:eastAsia="宋体" w:hint="default"/>
                <w:sz w:val="18"/>
                <w:szCs w:val="18"/>
              </w:rPr>
            </w:pPr>
            <w:r>
              <w:rPr>
                <w:rFonts w:ascii="宋体" w:hAnsi="宋体" w:cs="宋体" w:eastAsia="宋体" w:hint="default"/>
                <w:sz w:val="18"/>
                <w:szCs w:val="18"/>
              </w:rPr>
              <w:t>天源迪科增值业务订购关系管理 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2012SR009014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3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left"/>
              <w:rPr>
                <w:rFonts w:ascii="宋体" w:hAnsi="宋体" w:cs="宋体" w:eastAsia="宋体" w:hint="default"/>
                <w:sz w:val="18"/>
                <w:szCs w:val="18"/>
              </w:rPr>
            </w:pPr>
            <w:r>
              <w:rPr>
                <w:rFonts w:ascii="宋体" w:hAnsi="宋体" w:cs="宋体" w:eastAsia="宋体" w:hint="default"/>
                <w:sz w:val="18"/>
                <w:szCs w:val="18"/>
              </w:rPr>
              <w:t>天源迪科营业厅统一运营管理门 户软件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2012SR034793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天源迪科分析型日帐系统软件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2012SR034796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天源迪科图行天下彩信平台软件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2012SR034799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天源迪科共享数据平台软件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V2.0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2012SR070078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天源迪科业务网关系统软件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2012SR070075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天源迪科电子商城系统软件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2012SR083365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73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left"/>
              <w:rPr>
                <w:rFonts w:ascii="宋体" w:hAnsi="宋体" w:cs="宋体" w:eastAsia="宋体" w:hint="default"/>
                <w:sz w:val="18"/>
                <w:szCs w:val="18"/>
              </w:rPr>
            </w:pPr>
            <w:r>
              <w:rPr>
                <w:rFonts w:ascii="宋体" w:hAnsi="宋体" w:cs="宋体" w:eastAsia="宋体" w:hint="default"/>
                <w:sz w:val="18"/>
                <w:szCs w:val="18"/>
              </w:rPr>
              <w:t>天源迪科电信绩效动态评估平台 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2012SR083364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网格化协同营销支撑系统软件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2012SR094399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天源迪科客户行为分析系统软件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2012SR094366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天源迪科交付管理系统软件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2012SR107143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73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2"/>
              <w:jc w:val="left"/>
              <w:rPr>
                <w:rFonts w:ascii="宋体" w:hAnsi="宋体" w:cs="宋体" w:eastAsia="宋体" w:hint="default"/>
                <w:sz w:val="18"/>
                <w:szCs w:val="18"/>
              </w:rPr>
            </w:pPr>
            <w:r>
              <w:rPr>
                <w:rFonts w:ascii="宋体" w:hAnsi="宋体" w:cs="宋体" w:eastAsia="宋体" w:hint="default"/>
                <w:sz w:val="18"/>
                <w:szCs w:val="18"/>
              </w:rPr>
              <w:t>天源迪科客户服务分析管理系统 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2012SR098901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42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天源迪科手机营业厅（翼营销）</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2012SR099799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86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0"/>
        <w:gridCol w:w="2551"/>
        <w:gridCol w:w="851"/>
        <w:gridCol w:w="1700"/>
        <w:gridCol w:w="1559"/>
        <w:gridCol w:w="2410"/>
      </w:tblGrid>
      <w:tr>
        <w:trPr>
          <w:trHeight w:val="388"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7"/>
          <w:szCs w:val="27"/>
        </w:rPr>
      </w:pPr>
    </w:p>
    <w:p>
      <w:pPr>
        <w:pStyle w:val="BodyText"/>
        <w:spacing w:line="240" w:lineRule="auto"/>
        <w:ind w:left="514"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w:t>
      </w:r>
      <w:r>
        <w:rPr>
          <w:rFonts w:ascii="Times New Roman" w:hAnsi="Times New Roman" w:cs="Times New Roman" w:eastAsia="Times New Roman" w:hint="default"/>
        </w:rPr>
        <w:t>68</w:t>
      </w:r>
      <w:r>
        <w:rPr/>
        <w:t>项产品登记证书（在</w:t>
      </w:r>
      <w:r>
        <w:rPr>
          <w:rFonts w:ascii="Times New Roman" w:hAnsi="Times New Roman" w:cs="Times New Roman" w:eastAsia="Times New Roman" w:hint="default"/>
        </w:rPr>
        <w:t>2012</w:t>
      </w:r>
      <w:r>
        <w:rPr/>
        <w:t>年有</w:t>
      </w:r>
      <w:r>
        <w:rPr>
          <w:rFonts w:ascii="Times New Roman" w:hAnsi="Times New Roman" w:cs="Times New Roman" w:eastAsia="Times New Roman" w:hint="default"/>
        </w:rPr>
        <w:t>11</w:t>
      </w:r>
      <w:r>
        <w:rPr/>
        <w:t>项证书已过期，不归纳到获取的证书之内），其中</w:t>
      </w:r>
    </w:p>
    <w:p>
      <w:pPr>
        <w:pStyle w:val="BodyText"/>
        <w:spacing w:line="240" w:lineRule="auto" w:before="64"/>
        <w:ind w:left="154" w:right="3411"/>
        <w:jc w:val="left"/>
      </w:pPr>
      <w:r>
        <w:rPr>
          <w:rFonts w:ascii="Times New Roman" w:hAnsi="Times New Roman" w:cs="Times New Roman" w:eastAsia="Times New Roman" w:hint="default"/>
        </w:rPr>
        <w:t>2012</w:t>
      </w:r>
      <w:r>
        <w:rPr/>
        <w:t>年度新增的产品登记证书见下表：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851"/>
        <w:gridCol w:w="3402"/>
        <w:gridCol w:w="851"/>
        <w:gridCol w:w="1985"/>
        <w:gridCol w:w="1985"/>
      </w:tblGrid>
      <w:tr>
        <w:trPr>
          <w:trHeight w:val="427" w:hRule="exact"/>
        </w:trPr>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62" w:right="0"/>
              <w:jc w:val="left"/>
              <w:rPr>
                <w:rFonts w:ascii="宋体" w:hAnsi="宋体" w:cs="宋体" w:eastAsia="宋体" w:hint="default"/>
                <w:sz w:val="18"/>
                <w:szCs w:val="18"/>
              </w:rPr>
            </w:pPr>
            <w:r>
              <w:rPr>
                <w:rFonts w:ascii="宋体" w:hAnsi="宋体" w:cs="宋体" w:eastAsia="宋体" w:hint="default"/>
                <w:b/>
                <w:bCs/>
                <w:sz w:val="18"/>
                <w:szCs w:val="18"/>
              </w:rPr>
              <w:t>产品登记证书编号</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23" w:right="0"/>
              <w:jc w:val="left"/>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8" w:hRule="exact"/>
        </w:trPr>
        <w:tc>
          <w:tcPr>
            <w:tcW w:w="85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天源迪科在线计费会话管理系统软件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DGY-2012-0418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42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天源迪科电信领导视窗软件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DGY-2012-0414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天源迪科增值业务订购关系管理系统软件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DGY-2012-0413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天源迪科公安情报信息资源群系统软件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DGY-2012-0417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天源迪科网络舆情系统软件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DGY-2012-0416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天源迪科重大事件预警软件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DGY-2012-0415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天源迪科分析型日帐系统软件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DGY-2012-1207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42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天源迪科图形天下彩信平台软件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DGY-2012-1208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天源迪科营业厅统一运营管理门户软件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DGY-2012-1206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天源迪科共享数据平台软件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V2.0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DGY-2012-2064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天源迪科业务网关系统软件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DGY-2012-2062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天源迪科电子商城系统软件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DGY-2012-2065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天源迪科电信绩效动态评估平台软件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DGY-2012-2063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天源迪科网格化协同营销支撑系统软件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DGY-2012-3016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天源迪科交付管理系统软件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DGY-2012-3015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天源迪科客户服务分析管理系统软件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DGY-2012-3013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天源迪科手机营业厅（翼营销）软件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DGY-2012-3014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天源迪科客户行为分析系统软件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V2.0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DGY-2012-3256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bl>
    <w:p>
      <w:pPr>
        <w:pStyle w:val="BodyText"/>
        <w:spacing w:line="340" w:lineRule="auto" w:before="51"/>
        <w:ind w:left="513" w:right="1431"/>
        <w:jc w:val="left"/>
      </w:pPr>
      <w:r>
        <w:rPr/>
        <w:t>（</w:t>
      </w:r>
      <w:r>
        <w:rPr>
          <w:rFonts w:ascii="Times New Roman" w:hAnsi="Times New Roman" w:cs="Times New Roman" w:eastAsia="Times New Roman" w:hint="default"/>
        </w:rPr>
        <w:t>4</w:t>
      </w:r>
      <w:r>
        <w:rPr/>
        <w:t>）发明专利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日，公司共申请了</w:t>
      </w:r>
      <w:r>
        <w:rPr>
          <w:rFonts w:ascii="Times New Roman" w:hAnsi="Times New Roman" w:cs="Times New Roman" w:eastAsia="Times New Roman" w:hint="default"/>
        </w:rPr>
        <w:t>14</w:t>
      </w:r>
      <w:r>
        <w:rPr/>
        <w:t>项发明专利，其中有一项发明专利获得授权，具体情况见下表：</w:t>
      </w:r>
    </w:p>
    <w:tbl>
      <w:tblPr>
        <w:tblW w:w="0" w:type="auto"/>
        <w:jc w:val="left"/>
        <w:tblInd w:w="146" w:type="dxa"/>
        <w:tblLayout w:type="fixed"/>
        <w:tblCellMar>
          <w:top w:w="0" w:type="dxa"/>
          <w:left w:w="0" w:type="dxa"/>
          <w:bottom w:w="0" w:type="dxa"/>
          <w:right w:w="0" w:type="dxa"/>
        </w:tblCellMar>
        <w:tblLook w:val="01E0"/>
      </w:tblPr>
      <w:tblGrid>
        <w:gridCol w:w="952"/>
        <w:gridCol w:w="3586"/>
        <w:gridCol w:w="2268"/>
        <w:gridCol w:w="2268"/>
      </w:tblGrid>
      <w:tr>
        <w:trPr>
          <w:trHeight w:val="427" w:hRule="exact"/>
        </w:trPr>
        <w:tc>
          <w:tcPr>
            <w:tcW w:w="9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获得日</w:t>
            </w:r>
            <w:r>
              <w:rPr>
                <w:rFonts w:ascii="宋体" w:hAnsi="宋体" w:cs="宋体" w:eastAsia="宋体" w:hint="default"/>
                <w:sz w:val="18"/>
                <w:szCs w:val="18"/>
              </w:rPr>
            </w: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内存数据库和物理数据库间的数据同步方法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获取固话与手机间家庭关联关系的方法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处理</w:t>
            </w:r>
            <w:r>
              <w:rPr>
                <w:rFonts w:ascii="Times New Roman" w:hAnsi="Times New Roman" w:cs="Times New Roman" w:eastAsia="Times New Roman" w:hint="default"/>
                <w:sz w:val="18"/>
                <w:szCs w:val="18"/>
              </w:rPr>
              <w:t>Diameter</w:t>
            </w:r>
            <w:r>
              <w:rPr>
                <w:rFonts w:ascii="宋体" w:hAnsi="宋体" w:cs="宋体" w:eastAsia="宋体" w:hint="default"/>
                <w:sz w:val="18"/>
                <w:szCs w:val="18"/>
              </w:rPr>
              <w:t>协议消息的方法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定时器的管理方法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应用于电信行业计费系统的共享数据中心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07"/>
              <w:jc w:val="left"/>
              <w:rPr>
                <w:rFonts w:ascii="宋体" w:hAnsi="宋体" w:cs="宋体" w:eastAsia="宋体" w:hint="default"/>
                <w:sz w:val="18"/>
                <w:szCs w:val="18"/>
              </w:rPr>
            </w:pPr>
            <w:r>
              <w:rPr>
                <w:rFonts w:ascii="宋体" w:hAnsi="宋体" w:cs="宋体" w:eastAsia="宋体" w:hint="default"/>
                <w:sz w:val="18"/>
                <w:szCs w:val="18"/>
              </w:rPr>
              <w:t>基于带抑制弧的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w:t>
            </w:r>
            <w:r>
              <w:rPr>
                <w:rFonts w:ascii="Times New Roman" w:hAnsi="Times New Roman" w:cs="Times New Roman" w:eastAsia="Times New Roman" w:hint="default"/>
                <w:sz w:val="18"/>
                <w:szCs w:val="18"/>
              </w:rPr>
              <w:t>HB</w:t>
            </w:r>
            <w:r>
              <w:rPr>
                <w:rFonts w:ascii="宋体" w:hAnsi="宋体" w:cs="宋体" w:eastAsia="宋体" w:hint="default"/>
                <w:sz w:val="18"/>
                <w:szCs w:val="18"/>
              </w:rPr>
              <w:t>系统状态转换 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82" w:top="1060" w:bottom="1180" w:left="980" w:right="86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52"/>
        <w:gridCol w:w="3586"/>
        <w:gridCol w:w="2268"/>
        <w:gridCol w:w="2268"/>
      </w:tblGrid>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出账系统的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网模拟的分析</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彩信图片的生成方法及系统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TUXEDO</w:t>
            </w:r>
            <w:r>
              <w:rPr>
                <w:rFonts w:ascii="宋体" w:hAnsi="宋体" w:cs="宋体" w:eastAsia="宋体" w:hint="default"/>
                <w:sz w:val="18"/>
                <w:szCs w:val="18"/>
              </w:rPr>
              <w:t>数据协议转换方法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软件缺陷严重级别测定方法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软件质量的检测方法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C/C++</w:t>
            </w:r>
            <w:r>
              <w:rPr>
                <w:rFonts w:ascii="宋体" w:hAnsi="宋体" w:cs="宋体" w:eastAsia="宋体" w:hint="default"/>
                <w:sz w:val="18"/>
                <w:szCs w:val="18"/>
              </w:rPr>
              <w:t>进行动态实例化的方法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服务端基于</w:t>
            </w:r>
            <w:r>
              <w:rPr>
                <w:rFonts w:ascii="Times New Roman" w:hAnsi="Times New Roman" w:cs="Times New Roman" w:eastAsia="Times New Roman" w:hint="default"/>
                <w:sz w:val="18"/>
                <w:szCs w:val="18"/>
              </w:rPr>
              <w:t>TCP</w:t>
            </w:r>
            <w:r>
              <w:rPr>
                <w:rFonts w:ascii="宋体" w:hAnsi="宋体" w:cs="宋体" w:eastAsia="宋体" w:hint="default"/>
                <w:sz w:val="18"/>
                <w:szCs w:val="18"/>
              </w:rPr>
              <w:t>的交互处理方法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基于位置的支付安全监控方法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27"/>
          <w:szCs w:val="27"/>
        </w:rPr>
      </w:pPr>
    </w:p>
    <w:p>
      <w:pPr>
        <w:pStyle w:val="BodyText"/>
        <w:spacing w:line="338" w:lineRule="auto"/>
        <w:ind w:left="513" w:right="1671"/>
        <w:jc w:val="left"/>
      </w:pPr>
      <w:r>
        <w:rPr/>
        <w:t>（</w:t>
      </w:r>
      <w:r>
        <w:rPr>
          <w:rFonts w:ascii="Times New Roman" w:hAnsi="Times New Roman" w:cs="Times New Roman" w:eastAsia="Times New Roman" w:hint="default"/>
        </w:rPr>
        <w:t>5</w:t>
      </w:r>
      <w:r>
        <w:rPr/>
        <w:t>）科技成果登记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w:t>
      </w:r>
      <w:r>
        <w:rPr>
          <w:rFonts w:ascii="Times New Roman" w:hAnsi="Times New Roman" w:cs="Times New Roman" w:eastAsia="Times New Roman" w:hint="default"/>
        </w:rPr>
        <w:t>30</w:t>
      </w:r>
      <w:r>
        <w:rPr/>
        <w:t>项科技成果登记，其中</w:t>
      </w:r>
      <w:r>
        <w:rPr>
          <w:rFonts w:ascii="Times New Roman" w:hAnsi="Times New Roman" w:cs="Times New Roman" w:eastAsia="Times New Roman" w:hint="default"/>
        </w:rPr>
        <w:t>2012</w:t>
      </w:r>
      <w:r>
        <w:rPr/>
        <w:t>年度新增的科技成果登记见下表：</w:t>
      </w:r>
    </w:p>
    <w:tbl>
      <w:tblPr>
        <w:tblW w:w="0" w:type="auto"/>
        <w:jc w:val="left"/>
        <w:tblInd w:w="146" w:type="dxa"/>
        <w:tblLayout w:type="fixed"/>
        <w:tblCellMar>
          <w:top w:w="0" w:type="dxa"/>
          <w:left w:w="0" w:type="dxa"/>
          <w:bottom w:w="0" w:type="dxa"/>
          <w:right w:w="0" w:type="dxa"/>
        </w:tblCellMar>
        <w:tblLook w:val="01E0"/>
      </w:tblPr>
      <w:tblGrid>
        <w:gridCol w:w="710"/>
        <w:gridCol w:w="4238"/>
        <w:gridCol w:w="1572"/>
        <w:gridCol w:w="2411"/>
      </w:tblGrid>
      <w:tr>
        <w:trPr>
          <w:trHeight w:val="422"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5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证书编号</w:t>
            </w:r>
            <w:r>
              <w:rPr>
                <w:rFonts w:ascii="宋体" w:hAnsi="宋体" w:cs="宋体" w:eastAsia="宋体" w:hint="default"/>
                <w:sz w:val="18"/>
                <w:szCs w:val="18"/>
              </w:rPr>
            </w:r>
          </w:p>
        </w:tc>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天源迪科统一充值平台软件</w:t>
            </w:r>
            <w:r>
              <w:rPr>
                <w:rFonts w:ascii="Times New Roman" w:hAnsi="Times New Roman" w:cs="Times New Roman" w:eastAsia="Times New Roman" w:hint="default"/>
                <w:sz w:val="18"/>
                <w:szCs w:val="18"/>
              </w:rPr>
              <w:t>V2.0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2012Y0017</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天源迪科在线计费软件</w:t>
            </w:r>
            <w:r>
              <w:rPr>
                <w:rFonts w:ascii="Times New Roman" w:hAnsi="Times New Roman" w:cs="Times New Roman" w:eastAsia="Times New Roman" w:hint="default"/>
                <w:sz w:val="18"/>
                <w:szCs w:val="18"/>
              </w:rPr>
              <w:t>V3.0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2012Y0131</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天源迪科客户服务分析平台软件</w:t>
            </w:r>
            <w:r>
              <w:rPr>
                <w:rFonts w:ascii="Times New Roman" w:hAnsi="Times New Roman" w:cs="Times New Roman" w:eastAsia="Times New Roman" w:hint="default"/>
                <w:sz w:val="18"/>
                <w:szCs w:val="18"/>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2012Y0133</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天源迪科增值业务订购关系管理系统软件</w:t>
            </w:r>
            <w:r>
              <w:rPr>
                <w:rFonts w:ascii="Times New Roman" w:hAnsi="Times New Roman" w:cs="Times New Roman" w:eastAsia="Times New Roman" w:hint="default"/>
                <w:sz w:val="18"/>
                <w:szCs w:val="18"/>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2012Y0134</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340" w:lineRule="auto"/>
        <w:ind w:left="513" w:right="3831"/>
        <w:jc w:val="left"/>
      </w:pPr>
      <w:r>
        <w:rPr/>
        <w:t>（</w:t>
      </w:r>
      <w:r>
        <w:rPr>
          <w:rFonts w:ascii="Times New Roman" w:hAnsi="Times New Roman" w:cs="Times New Roman" w:eastAsia="Times New Roman" w:hint="default"/>
        </w:rPr>
        <w:t>6</w:t>
      </w:r>
      <w:r>
        <w:rPr/>
        <w:t>）国家及行业资质认证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日，公司取得的比较重要的国家及行业资质见下表：</w:t>
      </w:r>
    </w:p>
    <w:tbl>
      <w:tblPr>
        <w:tblW w:w="0" w:type="auto"/>
        <w:jc w:val="left"/>
        <w:tblInd w:w="146" w:type="dxa"/>
        <w:tblLayout w:type="fixed"/>
        <w:tblCellMar>
          <w:top w:w="0" w:type="dxa"/>
          <w:left w:w="0" w:type="dxa"/>
          <w:bottom w:w="0" w:type="dxa"/>
          <w:right w:w="0" w:type="dxa"/>
        </w:tblCellMar>
        <w:tblLook w:val="01E0"/>
      </w:tblPr>
      <w:tblGrid>
        <w:gridCol w:w="744"/>
        <w:gridCol w:w="1772"/>
        <w:gridCol w:w="2126"/>
        <w:gridCol w:w="1822"/>
        <w:gridCol w:w="2478"/>
      </w:tblGrid>
      <w:tr>
        <w:trPr>
          <w:trHeight w:val="427" w:hRule="exact"/>
        </w:trPr>
        <w:tc>
          <w:tcPr>
            <w:tcW w:w="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17" w:right="0"/>
              <w:jc w:val="left"/>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42" w:right="0"/>
              <w:jc w:val="left"/>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18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41"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4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92"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375" w:hRule="exact"/>
        </w:trPr>
        <w:tc>
          <w:tcPr>
            <w:tcW w:w="7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7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14"/>
              <w:jc w:val="left"/>
              <w:rPr>
                <w:rFonts w:ascii="宋体" w:hAnsi="宋体" w:cs="宋体" w:eastAsia="宋体" w:hint="default"/>
                <w:sz w:val="18"/>
                <w:szCs w:val="18"/>
              </w:rPr>
            </w:pPr>
            <w:r>
              <w:rPr>
                <w:rFonts w:ascii="宋体" w:hAnsi="宋体" w:cs="宋体" w:eastAsia="宋体" w:hint="default"/>
                <w:spacing w:val="14"/>
                <w:sz w:val="18"/>
                <w:szCs w:val="18"/>
              </w:rPr>
              <w:t>国家级高新技术企业</w:t>
            </w:r>
            <w:r>
              <w:rPr>
                <w:rFonts w:ascii="宋体" w:hAnsi="宋体" w:cs="宋体" w:eastAsia="宋体" w:hint="default"/>
                <w:spacing w:val="-74"/>
                <w:sz w:val="18"/>
                <w:szCs w:val="18"/>
              </w:rPr>
              <w:t> </w:t>
            </w:r>
            <w:r>
              <w:rPr>
                <w:rFonts w:ascii="宋体" w:hAnsi="宋体" w:cs="宋体" w:eastAsia="宋体" w:hint="default"/>
                <w:sz w:val="18"/>
                <w:szCs w:val="18"/>
              </w:rPr>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GR200844200362</w:t>
            </w:r>
          </w:p>
        </w:tc>
        <w:tc>
          <w:tcPr>
            <w:tcW w:w="18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深圳市科技和信息局、</w:t>
            </w:r>
          </w:p>
        </w:tc>
        <w:tc>
          <w:tcPr>
            <w:tcW w:w="24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日初次领证，</w:t>
            </w:r>
            <w:r>
              <w:rPr>
                <w:rFonts w:ascii="Times New Roman" w:hAnsi="Times New Roman" w:cs="Times New Roman" w:eastAsia="Times New Roman" w:hint="default"/>
                <w:spacing w:val="-4"/>
                <w:sz w:val="18"/>
                <w:szCs w:val="18"/>
              </w:rPr>
              <w:t>2011</w:t>
            </w:r>
          </w:p>
        </w:tc>
      </w:tr>
      <w:tr>
        <w:trPr>
          <w:trHeight w:val="312"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证书</w:t>
            </w:r>
          </w:p>
        </w:tc>
        <w:tc>
          <w:tcPr>
            <w:tcW w:w="2126"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深圳市财政局、深圳市</w:t>
            </w: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日复审领证；</w:t>
            </w:r>
          </w:p>
        </w:tc>
      </w:tr>
      <w:tr>
        <w:trPr>
          <w:trHeight w:val="307"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国家税务局、深圳市地</w:t>
            </w:r>
          </w:p>
        </w:tc>
        <w:tc>
          <w:tcPr>
            <w:tcW w:w="2478" w:type="dxa"/>
            <w:tcBorders>
              <w:top w:val="nil" w:sz="6" w:space="0" w:color="auto"/>
              <w:left w:val="single" w:sz="6" w:space="0" w:color="000000"/>
              <w:bottom w:val="nil" w:sz="6" w:space="0" w:color="auto"/>
              <w:right w:val="single" w:sz="6" w:space="0" w:color="000000"/>
            </w:tcBorders>
          </w:tcPr>
          <w:p>
            <w:pPr/>
          </w:p>
        </w:tc>
      </w:tr>
      <w:tr>
        <w:trPr>
          <w:trHeight w:val="369" w:hRule="exact"/>
        </w:trPr>
        <w:tc>
          <w:tcPr>
            <w:tcW w:w="744" w:type="dxa"/>
            <w:tcBorders>
              <w:top w:val="nil" w:sz="6" w:space="0" w:color="auto"/>
              <w:left w:val="single" w:sz="6" w:space="0" w:color="000000"/>
              <w:bottom w:val="single" w:sz="6" w:space="0" w:color="000000"/>
              <w:right w:val="single" w:sz="6" w:space="0" w:color="000000"/>
            </w:tcBorders>
          </w:tcPr>
          <w:p>
            <w:pPr/>
          </w:p>
        </w:tc>
        <w:tc>
          <w:tcPr>
            <w:tcW w:w="1772"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8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方税务局</w:t>
            </w:r>
          </w:p>
        </w:tc>
        <w:tc>
          <w:tcPr>
            <w:tcW w:w="2478" w:type="dxa"/>
            <w:tcBorders>
              <w:top w:val="nil" w:sz="6" w:space="0" w:color="auto"/>
              <w:left w:val="single" w:sz="6" w:space="0" w:color="000000"/>
              <w:bottom w:val="single" w:sz="6" w:space="0" w:color="000000"/>
              <w:right w:val="single" w:sz="6" w:space="0" w:color="000000"/>
            </w:tcBorders>
          </w:tcPr>
          <w:p>
            <w:pPr/>
          </w:p>
        </w:tc>
      </w:tr>
      <w:tr>
        <w:trPr>
          <w:trHeight w:val="370" w:hRule="exact"/>
        </w:trPr>
        <w:tc>
          <w:tcPr>
            <w:tcW w:w="7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7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1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2011-2012</w:t>
            </w:r>
            <w:r>
              <w:rPr>
                <w:rFonts w:ascii="宋体" w:hAnsi="宋体" w:cs="宋体" w:eastAsia="宋体" w:hint="default"/>
                <w:spacing w:val="6"/>
                <w:sz w:val="18"/>
                <w:szCs w:val="18"/>
              </w:rPr>
              <w:t>年国家规划</w:t>
            </w:r>
            <w:r>
              <w:rPr>
                <w:rFonts w:ascii="宋体" w:hAnsi="宋体" w:cs="宋体" w:eastAsia="宋体" w:hint="default"/>
                <w:sz w:val="18"/>
                <w:szCs w:val="18"/>
              </w:rPr>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18"/>
                <w:szCs w:val="18"/>
              </w:rPr>
              <w:t>已获得，</w:t>
            </w:r>
            <w:r>
              <w:rPr>
                <w:rFonts w:ascii="宋体" w:hAnsi="宋体" w:cs="宋体" w:eastAsia="宋体" w:hint="default"/>
                <w:sz w:val="20"/>
                <w:szCs w:val="20"/>
              </w:rPr>
              <w:t>《关于认定</w:t>
            </w:r>
          </w:p>
        </w:tc>
        <w:tc>
          <w:tcPr>
            <w:tcW w:w="18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中华人民共和国国家发</w:t>
            </w:r>
          </w:p>
        </w:tc>
        <w:tc>
          <w:tcPr>
            <w:tcW w:w="2478" w:type="dxa"/>
            <w:vMerge w:val="restart"/>
            <w:tcBorders>
              <w:top w:val="single" w:sz="6" w:space="0" w:color="000000"/>
              <w:left w:val="single" w:sz="6" w:space="0" w:color="000000"/>
              <w:right w:val="single" w:sz="6" w:space="0" w:color="000000"/>
            </w:tcBorders>
          </w:tcPr>
          <w:p>
            <w:pPr/>
          </w:p>
        </w:tc>
      </w:tr>
      <w:tr>
        <w:trPr>
          <w:trHeight w:val="317"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14"/>
              <w:jc w:val="left"/>
              <w:rPr>
                <w:rFonts w:ascii="宋体" w:hAnsi="宋体" w:cs="宋体" w:eastAsia="宋体" w:hint="default"/>
                <w:sz w:val="18"/>
                <w:szCs w:val="18"/>
              </w:rPr>
            </w:pPr>
            <w:r>
              <w:rPr>
                <w:rFonts w:ascii="宋体" w:hAnsi="宋体" w:cs="宋体" w:eastAsia="宋体" w:hint="default"/>
                <w:spacing w:val="14"/>
                <w:sz w:val="18"/>
                <w:szCs w:val="18"/>
              </w:rPr>
              <w:t>布局内重点软件企业</w:t>
            </w:r>
            <w:r>
              <w:rPr>
                <w:rFonts w:ascii="宋体" w:hAnsi="宋体" w:cs="宋体" w:eastAsia="宋体" w:hint="default"/>
                <w:spacing w:val="-74"/>
                <w:sz w:val="18"/>
                <w:szCs w:val="18"/>
              </w:rPr>
              <w:t> </w:t>
            </w:r>
            <w:r>
              <w:rPr>
                <w:rFonts w:ascii="宋体" w:hAnsi="宋体" w:cs="宋体" w:eastAsia="宋体" w:hint="default"/>
                <w:sz w:val="18"/>
                <w:szCs w:val="18"/>
              </w:rPr>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2011-2012</w:t>
            </w:r>
            <w:r>
              <w:rPr>
                <w:rFonts w:ascii="宋体" w:hAnsi="宋体" w:cs="宋体" w:eastAsia="宋体" w:hint="default"/>
                <w:sz w:val="20"/>
                <w:szCs w:val="20"/>
              </w:rPr>
              <w:t>年度国家规划</w:t>
            </w: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展和改革委员会、中华</w:t>
            </w:r>
          </w:p>
        </w:tc>
        <w:tc>
          <w:tcPr>
            <w:tcW w:w="2478" w:type="dxa"/>
            <w:vMerge/>
            <w:tcBorders>
              <w:left w:val="single" w:sz="6" w:space="0" w:color="000000"/>
              <w:right w:val="single" w:sz="6" w:space="0" w:color="000000"/>
            </w:tcBorders>
          </w:tcPr>
          <w:p>
            <w:pPr/>
          </w:p>
        </w:tc>
      </w:tr>
      <w:tr>
        <w:trPr>
          <w:trHeight w:val="307"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证书</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布局内重点软件企业和</w:t>
            </w: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人民共和国工业和信息</w:t>
            </w:r>
          </w:p>
        </w:tc>
        <w:tc>
          <w:tcPr>
            <w:tcW w:w="2478" w:type="dxa"/>
            <w:vMerge/>
            <w:tcBorders>
              <w:left w:val="single" w:sz="6" w:space="0" w:color="000000"/>
              <w:right w:val="single" w:sz="6" w:space="0" w:color="000000"/>
            </w:tcBorders>
          </w:tcPr>
          <w:p>
            <w:pPr/>
          </w:p>
        </w:tc>
      </w:tr>
      <w:tr>
        <w:trPr>
          <w:trHeight w:val="313"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集成电路设计企业的通</w:t>
            </w: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化部、中华人民共和国</w:t>
            </w:r>
          </w:p>
        </w:tc>
        <w:tc>
          <w:tcPr>
            <w:tcW w:w="2478" w:type="dxa"/>
            <w:vMerge/>
            <w:tcBorders>
              <w:left w:val="single" w:sz="6" w:space="0" w:color="000000"/>
              <w:right w:val="single" w:sz="6" w:space="0" w:color="000000"/>
            </w:tcBorders>
          </w:tcPr>
          <w:p>
            <w:pPr/>
          </w:p>
        </w:tc>
      </w:tr>
      <w:tr>
        <w:trPr>
          <w:trHeight w:val="369" w:hRule="exact"/>
        </w:trPr>
        <w:tc>
          <w:tcPr>
            <w:tcW w:w="744" w:type="dxa"/>
            <w:tcBorders>
              <w:top w:val="nil" w:sz="6" w:space="0" w:color="auto"/>
              <w:left w:val="single" w:sz="6" w:space="0" w:color="000000"/>
              <w:bottom w:val="single" w:sz="6" w:space="0" w:color="000000"/>
              <w:right w:val="single" w:sz="6" w:space="0" w:color="000000"/>
            </w:tcBorders>
          </w:tcPr>
          <w:p>
            <w:pPr/>
          </w:p>
        </w:tc>
        <w:tc>
          <w:tcPr>
            <w:tcW w:w="1772"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0"/>
                <w:szCs w:val="20"/>
              </w:rPr>
            </w:pPr>
            <w:r>
              <w:rPr>
                <w:rFonts w:ascii="宋体" w:hAnsi="宋体" w:cs="宋体" w:eastAsia="宋体" w:hint="default"/>
                <w:sz w:val="20"/>
                <w:szCs w:val="20"/>
              </w:rPr>
              <w:t>知》</w:t>
            </w:r>
          </w:p>
        </w:tc>
        <w:tc>
          <w:tcPr>
            <w:tcW w:w="18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商务部、国家税务局</w:t>
            </w:r>
          </w:p>
        </w:tc>
        <w:tc>
          <w:tcPr>
            <w:tcW w:w="2478" w:type="dxa"/>
            <w:vMerge/>
            <w:tcBorders>
              <w:left w:val="single" w:sz="6" w:space="0" w:color="000000"/>
              <w:bottom w:val="single" w:sz="6" w:space="0" w:color="000000"/>
              <w:right w:val="single" w:sz="6" w:space="0" w:color="000000"/>
            </w:tcBorders>
          </w:tcPr>
          <w:p>
            <w:pPr/>
          </w:p>
        </w:tc>
      </w:tr>
      <w:tr>
        <w:trPr>
          <w:trHeight w:val="375" w:hRule="exact"/>
        </w:trPr>
        <w:tc>
          <w:tcPr>
            <w:tcW w:w="7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17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14"/>
              <w:jc w:val="left"/>
              <w:rPr>
                <w:rFonts w:ascii="宋体" w:hAnsi="宋体" w:cs="宋体" w:eastAsia="宋体" w:hint="default"/>
                <w:sz w:val="18"/>
                <w:szCs w:val="18"/>
              </w:rPr>
            </w:pPr>
            <w:r>
              <w:rPr>
                <w:rFonts w:ascii="宋体" w:hAnsi="宋体" w:cs="宋体" w:eastAsia="宋体" w:hint="default"/>
                <w:spacing w:val="14"/>
                <w:sz w:val="18"/>
                <w:szCs w:val="18"/>
              </w:rPr>
              <w:t>深圳市高新技术企业</w:t>
            </w:r>
            <w:r>
              <w:rPr>
                <w:rFonts w:ascii="宋体" w:hAnsi="宋体" w:cs="宋体" w:eastAsia="宋体" w:hint="default"/>
                <w:spacing w:val="-74"/>
                <w:sz w:val="18"/>
                <w:szCs w:val="18"/>
              </w:rPr>
              <w:t> </w:t>
            </w:r>
            <w:r>
              <w:rPr>
                <w:rFonts w:ascii="宋体" w:hAnsi="宋体" w:cs="宋体" w:eastAsia="宋体" w:hint="default"/>
                <w:sz w:val="18"/>
                <w:szCs w:val="18"/>
              </w:rPr>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SZ2011114</w:t>
            </w:r>
          </w:p>
        </w:tc>
        <w:tc>
          <w:tcPr>
            <w:tcW w:w="18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深圳市科技工贸和信息</w:t>
            </w:r>
          </w:p>
        </w:tc>
        <w:tc>
          <w:tcPr>
            <w:tcW w:w="24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1998</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日初次通过，</w:t>
            </w:r>
            <w:r>
              <w:rPr>
                <w:rFonts w:ascii="Times New Roman" w:hAnsi="Times New Roman" w:cs="Times New Roman" w:eastAsia="Times New Roman" w:hint="default"/>
                <w:spacing w:val="6"/>
                <w:sz w:val="18"/>
                <w:szCs w:val="18"/>
              </w:rPr>
              <w:t>2011</w:t>
            </w:r>
          </w:p>
        </w:tc>
      </w:tr>
      <w:tr>
        <w:trPr>
          <w:trHeight w:val="312"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证书</w:t>
            </w:r>
          </w:p>
        </w:tc>
        <w:tc>
          <w:tcPr>
            <w:tcW w:w="2126"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化委员会、深圳市财政</w:t>
            </w: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日重新获证；有效期</w:t>
            </w:r>
          </w:p>
        </w:tc>
      </w:tr>
      <w:tr>
        <w:trPr>
          <w:trHeight w:val="313"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nil" w:sz="6" w:space="0" w:color="auto"/>
              <w:right w:val="single" w:sz="6" w:space="0" w:color="000000"/>
            </w:tcBorders>
          </w:tcPr>
          <w:p>
            <w:pPr/>
          </w:p>
        </w:tc>
        <w:tc>
          <w:tcPr>
            <w:tcW w:w="182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委员会</w:t>
            </w: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日至</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w:t>
            </w:r>
          </w:p>
        </w:tc>
      </w:tr>
      <w:tr>
        <w:trPr>
          <w:trHeight w:val="363" w:hRule="exact"/>
        </w:trPr>
        <w:tc>
          <w:tcPr>
            <w:tcW w:w="744" w:type="dxa"/>
            <w:tcBorders>
              <w:top w:val="nil" w:sz="6" w:space="0" w:color="auto"/>
              <w:left w:val="single" w:sz="6" w:space="0" w:color="000000"/>
              <w:bottom w:val="single" w:sz="6" w:space="0" w:color="000000"/>
              <w:right w:val="single" w:sz="6" w:space="0" w:color="000000"/>
            </w:tcBorders>
          </w:tcPr>
          <w:p>
            <w:pPr/>
          </w:p>
        </w:tc>
        <w:tc>
          <w:tcPr>
            <w:tcW w:w="1772"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822" w:type="dxa"/>
            <w:tcBorders>
              <w:top w:val="nil" w:sz="6" w:space="0" w:color="auto"/>
              <w:left w:val="single" w:sz="6" w:space="0" w:color="000000"/>
              <w:bottom w:val="single" w:sz="6" w:space="0" w:color="000000"/>
              <w:right w:val="single" w:sz="6" w:space="0" w:color="000000"/>
            </w:tcBorders>
          </w:tcPr>
          <w:p>
            <w:pPr/>
          </w:p>
        </w:tc>
        <w:tc>
          <w:tcPr>
            <w:tcW w:w="24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376" w:hRule="exact"/>
        </w:trPr>
        <w:tc>
          <w:tcPr>
            <w:tcW w:w="7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7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14"/>
              <w:jc w:val="left"/>
              <w:rPr>
                <w:rFonts w:ascii="宋体" w:hAnsi="宋体" w:cs="宋体" w:eastAsia="宋体" w:hint="default"/>
                <w:sz w:val="18"/>
                <w:szCs w:val="18"/>
              </w:rPr>
            </w:pPr>
            <w:r>
              <w:rPr>
                <w:rFonts w:ascii="宋体" w:hAnsi="宋体" w:cs="宋体" w:eastAsia="宋体" w:hint="default"/>
                <w:spacing w:val="14"/>
                <w:sz w:val="18"/>
                <w:szCs w:val="18"/>
              </w:rPr>
              <w:t>深圳市软件企业认定</w:t>
            </w:r>
            <w:r>
              <w:rPr>
                <w:rFonts w:ascii="宋体" w:hAnsi="宋体" w:cs="宋体" w:eastAsia="宋体" w:hint="default"/>
                <w:spacing w:val="-74"/>
                <w:sz w:val="18"/>
                <w:szCs w:val="18"/>
              </w:rPr>
              <w:t> </w:t>
            </w:r>
            <w:r>
              <w:rPr>
                <w:rFonts w:ascii="宋体" w:hAnsi="宋体" w:cs="宋体" w:eastAsia="宋体" w:hint="default"/>
                <w:sz w:val="18"/>
                <w:szCs w:val="18"/>
              </w:rPr>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R-2000-0015</w:t>
            </w:r>
          </w:p>
        </w:tc>
        <w:tc>
          <w:tcPr>
            <w:tcW w:w="18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深圳市科技和信息局</w:t>
            </w:r>
          </w:p>
        </w:tc>
        <w:tc>
          <w:tcPr>
            <w:tcW w:w="24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日通过认定至今每</w:t>
            </w:r>
          </w:p>
        </w:tc>
      </w:tr>
      <w:tr>
        <w:trPr>
          <w:trHeight w:val="363" w:hRule="exact"/>
        </w:trPr>
        <w:tc>
          <w:tcPr>
            <w:tcW w:w="744" w:type="dxa"/>
            <w:tcBorders>
              <w:top w:val="nil" w:sz="6" w:space="0" w:color="auto"/>
              <w:left w:val="single" w:sz="6" w:space="0" w:color="000000"/>
              <w:bottom w:val="single" w:sz="6" w:space="0" w:color="000000"/>
              <w:right w:val="single" w:sz="6" w:space="0" w:color="000000"/>
            </w:tcBorders>
          </w:tcPr>
          <w:p>
            <w:pPr/>
          </w:p>
        </w:tc>
        <w:tc>
          <w:tcPr>
            <w:tcW w:w="17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证书</w:t>
            </w:r>
          </w:p>
        </w:tc>
        <w:tc>
          <w:tcPr>
            <w:tcW w:w="2126" w:type="dxa"/>
            <w:tcBorders>
              <w:top w:val="nil" w:sz="6" w:space="0" w:color="auto"/>
              <w:left w:val="single" w:sz="6" w:space="0" w:color="000000"/>
              <w:bottom w:val="single" w:sz="6" w:space="0" w:color="000000"/>
              <w:right w:val="single" w:sz="6" w:space="0" w:color="000000"/>
            </w:tcBorders>
          </w:tcPr>
          <w:p>
            <w:pPr/>
          </w:p>
        </w:tc>
        <w:tc>
          <w:tcPr>
            <w:tcW w:w="1822" w:type="dxa"/>
            <w:tcBorders>
              <w:top w:val="nil" w:sz="6" w:space="0" w:color="auto"/>
              <w:left w:val="single" w:sz="6" w:space="0" w:color="000000"/>
              <w:bottom w:val="single" w:sz="6" w:space="0" w:color="000000"/>
              <w:right w:val="single" w:sz="6" w:space="0" w:color="000000"/>
            </w:tcBorders>
          </w:tcPr>
          <w:p>
            <w:pPr/>
          </w:p>
        </w:tc>
        <w:tc>
          <w:tcPr>
            <w:tcW w:w="24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年通过年审</w:t>
            </w:r>
          </w:p>
        </w:tc>
      </w:tr>
      <w:tr>
        <w:trPr>
          <w:trHeight w:val="428"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4"/>
              <w:jc w:val="left"/>
              <w:rPr>
                <w:rFonts w:ascii="宋体" w:hAnsi="宋体" w:cs="宋体" w:eastAsia="宋体" w:hint="default"/>
                <w:sz w:val="18"/>
                <w:szCs w:val="18"/>
              </w:rPr>
            </w:pPr>
            <w:r>
              <w:rPr>
                <w:rFonts w:ascii="宋体" w:hAnsi="宋体" w:cs="宋体" w:eastAsia="宋体" w:hint="default"/>
                <w:spacing w:val="14"/>
                <w:sz w:val="18"/>
                <w:szCs w:val="18"/>
              </w:rPr>
              <w:t>计算机信息系统集成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Z1440320100261</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中华人民共和国信息产</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7"/>
                <w:sz w:val="18"/>
                <w:szCs w:val="18"/>
              </w:rPr>
              <w:t> </w:t>
            </w:r>
            <w:r>
              <w:rPr>
                <w:rFonts w:ascii="宋体" w:hAnsi="宋体" w:cs="宋体" w:eastAsia="宋体" w:hint="default"/>
                <w:spacing w:val="16"/>
                <w:sz w:val="18"/>
                <w:szCs w:val="18"/>
              </w:rPr>
              <w:t>日为最新取证时</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44"/>
        <w:gridCol w:w="1772"/>
        <w:gridCol w:w="2126"/>
        <w:gridCol w:w="1822"/>
        <w:gridCol w:w="2478"/>
      </w:tblGrid>
      <w:tr>
        <w:trPr>
          <w:trHeight w:val="698" w:hRule="exact"/>
        </w:trPr>
        <w:tc>
          <w:tcPr>
            <w:tcW w:w="744"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资质一级证书</w:t>
            </w:r>
          </w:p>
        </w:tc>
        <w:tc>
          <w:tcPr>
            <w:tcW w:w="212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业部</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间，有效期为</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日至</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739"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4"/>
              <w:jc w:val="left"/>
              <w:rPr>
                <w:rFonts w:ascii="宋体" w:hAnsi="宋体" w:cs="宋体" w:eastAsia="宋体" w:hint="default"/>
                <w:sz w:val="18"/>
                <w:szCs w:val="18"/>
              </w:rPr>
            </w:pPr>
            <w:r>
              <w:rPr>
                <w:rFonts w:ascii="宋体" w:hAnsi="宋体" w:cs="宋体" w:eastAsia="宋体" w:hint="default"/>
                <w:spacing w:val="14"/>
                <w:sz w:val="18"/>
                <w:szCs w:val="18"/>
              </w:rPr>
              <w:t>深圳市重点软件企业</w:t>
            </w:r>
            <w:r>
              <w:rPr>
                <w:rFonts w:ascii="宋体" w:hAnsi="宋体" w:cs="宋体" w:eastAsia="宋体" w:hint="default"/>
                <w:spacing w:val="-74"/>
                <w:sz w:val="18"/>
                <w:szCs w:val="18"/>
              </w:rPr>
              <w:t> </w:t>
            </w:r>
            <w:r>
              <w:rPr>
                <w:rFonts w:ascii="宋体" w:hAnsi="宋体" w:cs="宋体" w:eastAsia="宋体" w:hint="default"/>
                <w:sz w:val="18"/>
                <w:szCs w:val="18"/>
              </w:rPr>
              <w:t>认定证书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ZR-2011-0027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深圳市经济贸易和信息 化委员会</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427"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CMMI3</w:t>
            </w:r>
            <w:r>
              <w:rPr>
                <w:rFonts w:ascii="宋体" w:hAnsi="宋体" w:cs="宋体" w:eastAsia="宋体" w:hint="default"/>
                <w:sz w:val="18"/>
                <w:szCs w:val="18"/>
              </w:rPr>
              <w:t>级认证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Soft</w:t>
            </w:r>
            <w:r>
              <w:rPr>
                <w:rFonts w:ascii="Times New Roman"/>
                <w:spacing w:val="-5"/>
                <w:sz w:val="18"/>
              </w:rPr>
              <w:t> </w:t>
            </w:r>
            <w:r>
              <w:rPr>
                <w:rFonts w:ascii="Times New Roman"/>
                <w:sz w:val="18"/>
              </w:rPr>
              <w:t>tech</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r>
      <w:tr>
        <w:trPr>
          <w:trHeight w:val="739"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认定</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02411Q20497R2L</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环通认证中心</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left"/>
              <w:rPr>
                <w:rFonts w:ascii="宋体" w:hAnsi="宋体" w:cs="宋体" w:eastAsia="宋体" w:hint="default"/>
                <w:sz w:val="18"/>
                <w:szCs w:val="18"/>
              </w:rPr>
            </w:pPr>
            <w:r>
              <w:rPr>
                <w:rFonts w:ascii="宋体" w:hAnsi="宋体" w:cs="宋体" w:eastAsia="宋体" w:hint="default"/>
                <w:spacing w:val="6"/>
                <w:sz w:val="18"/>
                <w:szCs w:val="18"/>
              </w:rPr>
              <w:t>有效期为</w:t>
            </w:r>
            <w:r>
              <w:rPr>
                <w:rFonts w:ascii="Times New Roman" w:hAnsi="Times New Roman" w:cs="Times New Roman" w:eastAsia="Times New Roman" w:hint="default"/>
                <w:spacing w:val="6"/>
                <w:sz w:val="18"/>
                <w:szCs w:val="18"/>
              </w:rPr>
              <w:t>2011</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日至</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1051"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7"/>
              <w:jc w:val="left"/>
              <w:rPr>
                <w:rFonts w:ascii="宋体" w:hAnsi="宋体" w:cs="宋体" w:eastAsia="宋体" w:hint="default"/>
                <w:sz w:val="18"/>
                <w:szCs w:val="18"/>
              </w:rPr>
            </w:pPr>
            <w:r>
              <w:rPr>
                <w:rFonts w:ascii="宋体" w:hAnsi="宋体" w:cs="宋体" w:eastAsia="宋体" w:hint="default"/>
                <w:spacing w:val="35"/>
                <w:sz w:val="18"/>
                <w:szCs w:val="18"/>
              </w:rPr>
              <w:t>软件服务企</w:t>
            </w:r>
            <w:r>
              <w:rPr>
                <w:rFonts w:ascii="宋体" w:hAnsi="宋体" w:cs="宋体" w:eastAsia="宋体" w:hint="default"/>
                <w:spacing w:val="-45"/>
                <w:sz w:val="18"/>
                <w:szCs w:val="18"/>
              </w:rPr>
              <w:t> </w:t>
            </w:r>
            <w:r>
              <w:rPr>
                <w:rFonts w:ascii="宋体" w:hAnsi="宋体" w:cs="宋体" w:eastAsia="宋体" w:hint="default"/>
                <w:spacing w:val="22"/>
                <w:sz w:val="18"/>
                <w:szCs w:val="18"/>
              </w:rPr>
              <w:t>业信</w:t>
            </w:r>
            <w:r>
              <w:rPr>
                <w:rFonts w:ascii="宋体" w:hAnsi="宋体" w:cs="宋体" w:eastAsia="宋体" w:hint="default"/>
                <w:spacing w:val="-46"/>
                <w:sz w:val="18"/>
                <w:szCs w:val="18"/>
              </w:rPr>
              <w:t> </w:t>
            </w:r>
            <w:r>
              <w:rPr>
                <w:rFonts w:ascii="宋体" w:hAnsi="宋体" w:cs="宋体" w:eastAsia="宋体" w:hint="default"/>
                <w:sz w:val="18"/>
                <w:szCs w:val="18"/>
              </w:rPr>
              <w:t>用</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AAA</w:t>
            </w:r>
            <w:r>
              <w:rPr>
                <w:rFonts w:ascii="宋体" w:hAnsi="宋体" w:cs="宋体" w:eastAsia="宋体" w:hint="default"/>
                <w:sz w:val="18"/>
                <w:szCs w:val="18"/>
              </w:rPr>
              <w:t>等级证书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200908811100022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月评价，</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30"/>
                <w:sz w:val="18"/>
                <w:szCs w:val="18"/>
              </w:rPr>
              <w:t> </w:t>
            </w:r>
            <w:r>
              <w:rPr>
                <w:rFonts w:ascii="宋体" w:hAnsi="宋体" w:cs="宋体" w:eastAsia="宋体" w:hint="default"/>
                <w:spacing w:val="-4"/>
                <w:sz w:val="18"/>
                <w:szCs w:val="18"/>
              </w:rPr>
              <w:t>日发证，已通过</w:t>
            </w: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年年审，有</w:t>
            </w:r>
            <w:r>
              <w:rPr>
                <w:rFonts w:ascii="宋体" w:hAnsi="宋体" w:cs="宋体" w:eastAsia="宋体" w:hint="default"/>
                <w:sz w:val="18"/>
                <w:szCs w:val="18"/>
              </w:rPr>
              <w:t> 效期至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051"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
              <w:jc w:val="both"/>
              <w:rPr>
                <w:rFonts w:ascii="宋体" w:hAnsi="宋体" w:cs="宋体" w:eastAsia="宋体" w:hint="default"/>
                <w:sz w:val="18"/>
                <w:szCs w:val="18"/>
              </w:rPr>
            </w:pPr>
            <w:r>
              <w:rPr>
                <w:rFonts w:ascii="宋体" w:hAnsi="宋体" w:cs="宋体" w:eastAsia="宋体" w:hint="default"/>
                <w:spacing w:val="14"/>
                <w:sz w:val="18"/>
                <w:szCs w:val="18"/>
              </w:rPr>
              <w:t>第六届中国通信与信</w:t>
            </w:r>
            <w:r>
              <w:rPr>
                <w:rFonts w:ascii="宋体" w:hAnsi="宋体" w:cs="宋体" w:eastAsia="宋体" w:hint="default"/>
                <w:spacing w:val="-74"/>
                <w:sz w:val="18"/>
                <w:szCs w:val="18"/>
              </w:rPr>
              <w:t> </w:t>
            </w:r>
            <w:r>
              <w:rPr>
                <w:rFonts w:ascii="宋体" w:hAnsi="宋体" w:cs="宋体" w:eastAsia="宋体" w:hint="default"/>
                <w:spacing w:val="14"/>
                <w:sz w:val="18"/>
                <w:szCs w:val="18"/>
              </w:rPr>
              <w:t>息化行业应用领军企</w:t>
            </w:r>
            <w:r>
              <w:rPr>
                <w:rFonts w:ascii="宋体" w:hAnsi="宋体" w:cs="宋体" w:eastAsia="宋体" w:hint="default"/>
                <w:spacing w:val="-74"/>
                <w:sz w:val="18"/>
                <w:szCs w:val="18"/>
              </w:rPr>
              <w:t> </w:t>
            </w:r>
            <w:r>
              <w:rPr>
                <w:rFonts w:ascii="宋体" w:hAnsi="宋体" w:cs="宋体" w:eastAsia="宋体" w:hint="default"/>
                <w:sz w:val="18"/>
                <w:szCs w:val="18"/>
              </w:rPr>
              <w:t>业奖</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中国通信港论坛组委会</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1362"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4"/>
              <w:jc w:val="both"/>
              <w:rPr>
                <w:rFonts w:ascii="宋体" w:hAnsi="宋体" w:cs="宋体" w:eastAsia="宋体" w:hint="default"/>
                <w:sz w:val="18"/>
                <w:szCs w:val="18"/>
              </w:rPr>
            </w:pPr>
            <w:r>
              <w:rPr>
                <w:rFonts w:ascii="宋体" w:hAnsi="宋体" w:cs="宋体" w:eastAsia="宋体" w:hint="default"/>
                <w:spacing w:val="14"/>
                <w:sz w:val="18"/>
                <w:szCs w:val="18"/>
              </w:rPr>
              <w:t>广东省软件和集成电</w:t>
            </w:r>
            <w:r>
              <w:rPr>
                <w:rFonts w:ascii="宋体" w:hAnsi="宋体" w:cs="宋体" w:eastAsia="宋体" w:hint="default"/>
                <w:spacing w:val="-74"/>
                <w:sz w:val="18"/>
                <w:szCs w:val="18"/>
              </w:rPr>
              <w:t> </w:t>
            </w:r>
            <w:r>
              <w:rPr>
                <w:rFonts w:ascii="宋体" w:hAnsi="宋体" w:cs="宋体" w:eastAsia="宋体" w:hint="default"/>
                <w:spacing w:val="14"/>
                <w:sz w:val="18"/>
                <w:szCs w:val="18"/>
              </w:rPr>
              <w:t>路设计产业百强培育</w:t>
            </w:r>
            <w:r>
              <w:rPr>
                <w:rFonts w:ascii="宋体" w:hAnsi="宋体" w:cs="宋体" w:eastAsia="宋体" w:hint="default"/>
                <w:spacing w:val="-74"/>
                <w:sz w:val="18"/>
                <w:szCs w:val="18"/>
              </w:rPr>
              <w:t> </w:t>
            </w:r>
            <w:r>
              <w:rPr>
                <w:rFonts w:ascii="宋体" w:hAnsi="宋体" w:cs="宋体" w:eastAsia="宋体" w:hint="default"/>
                <w:sz w:val="18"/>
                <w:szCs w:val="18"/>
              </w:rPr>
              <w:t>企业</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2" w:right="-14"/>
              <w:jc w:val="both"/>
              <w:rPr>
                <w:rFonts w:ascii="宋体" w:hAnsi="宋体" w:cs="宋体" w:eastAsia="宋体" w:hint="default"/>
                <w:sz w:val="18"/>
                <w:szCs w:val="18"/>
              </w:rPr>
            </w:pPr>
            <w:r>
              <w:rPr>
                <w:rFonts w:ascii="宋体" w:hAnsi="宋体" w:cs="宋体" w:eastAsia="宋体" w:hint="default"/>
                <w:spacing w:val="10"/>
                <w:sz w:val="18"/>
                <w:szCs w:val="18"/>
              </w:rPr>
              <w:t>关于发布</w:t>
            </w:r>
            <w:r>
              <w:rPr>
                <w:rFonts w:ascii="Times New Roman" w:hAnsi="Times New Roman" w:cs="Times New Roman" w:eastAsia="Times New Roman" w:hint="default"/>
                <w:spacing w:val="10"/>
                <w:sz w:val="18"/>
                <w:szCs w:val="18"/>
              </w:rPr>
              <w:t>2011</w:t>
            </w:r>
            <w:r>
              <w:rPr>
                <w:rFonts w:ascii="宋体" w:hAnsi="宋体" w:cs="宋体" w:eastAsia="宋体" w:hint="default"/>
                <w:spacing w:val="10"/>
                <w:sz w:val="18"/>
                <w:szCs w:val="18"/>
              </w:rPr>
              <w:t>年广东省软</w:t>
            </w:r>
            <w:r>
              <w:rPr>
                <w:rFonts w:ascii="宋体" w:hAnsi="宋体" w:cs="宋体" w:eastAsia="宋体" w:hint="default"/>
                <w:spacing w:val="-82"/>
                <w:sz w:val="18"/>
                <w:szCs w:val="18"/>
              </w:rPr>
              <w:t> </w:t>
            </w:r>
            <w:r>
              <w:rPr>
                <w:rFonts w:ascii="宋体" w:hAnsi="宋体" w:cs="宋体" w:eastAsia="宋体" w:hint="default"/>
                <w:spacing w:val="2"/>
                <w:sz w:val="18"/>
                <w:szCs w:val="18"/>
              </w:rPr>
              <w:t>件和集成电路设计</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强培</w:t>
            </w:r>
            <w:r>
              <w:rPr>
                <w:rFonts w:ascii="宋体" w:hAnsi="宋体" w:cs="宋体" w:eastAsia="宋体" w:hint="default"/>
                <w:spacing w:val="-84"/>
                <w:sz w:val="18"/>
                <w:szCs w:val="18"/>
              </w:rPr>
              <w:t> </w:t>
            </w:r>
            <w:r>
              <w:rPr>
                <w:rFonts w:ascii="宋体" w:hAnsi="宋体" w:cs="宋体" w:eastAsia="宋体" w:hint="default"/>
                <w:spacing w:val="-5"/>
                <w:sz w:val="18"/>
                <w:szCs w:val="18"/>
              </w:rPr>
              <w:t>育企业名单的通知（经信软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776</w:t>
            </w:r>
            <w:r>
              <w:rPr>
                <w:rFonts w:ascii="宋体" w:hAnsi="宋体" w:cs="宋体" w:eastAsia="宋体" w:hint="default"/>
                <w:sz w:val="18"/>
                <w:szCs w:val="18"/>
              </w:rPr>
              <w:t>号）</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广东省经济和信息化委 员会</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pacing w:val="16"/>
                <w:sz w:val="18"/>
                <w:szCs w:val="18"/>
              </w:rPr>
              <w:t>年广东省软件业</w:t>
            </w:r>
            <w:r>
              <w:rPr>
                <w:rFonts w:ascii="宋体" w:hAnsi="宋体" w:cs="宋体" w:eastAsia="宋体" w:hint="default"/>
                <w:spacing w:val="-71"/>
                <w:sz w:val="18"/>
                <w:szCs w:val="18"/>
              </w:rPr>
              <w:t> </w:t>
            </w:r>
            <w:r>
              <w:rPr>
                <w:rFonts w:ascii="宋体" w:hAnsi="宋体" w:cs="宋体" w:eastAsia="宋体" w:hint="default"/>
                <w:sz w:val="18"/>
                <w:szCs w:val="18"/>
              </w:rPr>
              <w:t>务收入前百家企业</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广东软件行业协会</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r>
      <w:tr>
        <w:trPr>
          <w:trHeight w:val="739"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4"/>
              <w:jc w:val="left"/>
              <w:rPr>
                <w:rFonts w:ascii="宋体" w:hAnsi="宋体" w:cs="宋体" w:eastAsia="宋体" w:hint="default"/>
                <w:sz w:val="18"/>
                <w:szCs w:val="18"/>
              </w:rPr>
            </w:pPr>
            <w:r>
              <w:rPr>
                <w:rFonts w:ascii="宋体" w:hAnsi="宋体" w:cs="宋体" w:eastAsia="宋体" w:hint="default"/>
                <w:spacing w:val="14"/>
                <w:sz w:val="18"/>
                <w:szCs w:val="18"/>
              </w:rPr>
              <w:t>广东省诚信示范企业</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2008—2011</w:t>
            </w:r>
            <w:r>
              <w:rPr>
                <w:rFonts w:ascii="宋体" w:hAnsi="宋体" w:cs="宋体" w:eastAsia="宋体" w:hint="default"/>
                <w:sz w:val="18"/>
                <w:szCs w:val="18"/>
              </w:rPr>
              <w:t>）</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GD2012020043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广东省企业联合会、广 东省企业家协会</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1987"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
              <w:jc w:val="left"/>
              <w:rPr>
                <w:rFonts w:ascii="宋体" w:hAnsi="宋体" w:cs="宋体" w:eastAsia="宋体" w:hint="default"/>
                <w:sz w:val="18"/>
                <w:szCs w:val="18"/>
              </w:rPr>
            </w:pPr>
            <w:r>
              <w:rPr>
                <w:rFonts w:ascii="宋体" w:hAnsi="宋体" w:cs="宋体" w:eastAsia="宋体" w:hint="default"/>
                <w:spacing w:val="14"/>
                <w:sz w:val="18"/>
                <w:szCs w:val="18"/>
              </w:rPr>
              <w:t>深圳市市级研发开发</w:t>
            </w:r>
            <w:r>
              <w:rPr>
                <w:rFonts w:ascii="宋体" w:hAnsi="宋体" w:cs="宋体" w:eastAsia="宋体" w:hint="default"/>
                <w:spacing w:val="-74"/>
                <w:sz w:val="18"/>
                <w:szCs w:val="18"/>
              </w:rPr>
              <w:t> </w:t>
            </w:r>
            <w:r>
              <w:rPr>
                <w:rFonts w:ascii="宋体" w:hAnsi="宋体" w:cs="宋体" w:eastAsia="宋体" w:hint="default"/>
                <w:sz w:val="18"/>
                <w:szCs w:val="18"/>
              </w:rPr>
              <w:t>中心（技术中心类）</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4"/>
              <w:jc w:val="both"/>
              <w:rPr>
                <w:rFonts w:ascii="宋体" w:hAnsi="宋体" w:cs="宋体" w:eastAsia="宋体" w:hint="default"/>
                <w:sz w:val="18"/>
                <w:szCs w:val="18"/>
              </w:rPr>
            </w:pPr>
            <w:r>
              <w:rPr>
                <w:rFonts w:ascii="宋体" w:hAnsi="宋体" w:cs="宋体" w:eastAsia="宋体" w:hint="default"/>
                <w:spacing w:val="10"/>
                <w:sz w:val="18"/>
                <w:szCs w:val="18"/>
              </w:rPr>
              <w:t>深圳市</w:t>
            </w:r>
            <w:r>
              <w:rPr>
                <w:rFonts w:ascii="Times New Roman" w:hAnsi="Times New Roman" w:cs="Times New Roman" w:eastAsia="Times New Roman" w:hint="default"/>
                <w:spacing w:val="10"/>
                <w:sz w:val="18"/>
                <w:szCs w:val="18"/>
              </w:rPr>
              <w:t>2010</w:t>
            </w:r>
            <w:r>
              <w:rPr>
                <w:rFonts w:ascii="宋体" w:hAnsi="宋体" w:cs="宋体" w:eastAsia="宋体" w:hint="default"/>
                <w:spacing w:val="10"/>
                <w:sz w:val="18"/>
                <w:szCs w:val="18"/>
              </w:rPr>
              <w:t>年度市级研究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开发中心（技术中心类）拟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认定名单公示通告</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z w:val="18"/>
                <w:szCs w:val="18"/>
              </w:rPr>
              <w:t>深圳市科技工贸和信息 化委员会、深圳市发展 与改革委员会、深圳市 财政委员会、深圳市国 家税务局、深圳市地方 税务局</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739"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6"/>
                <w:sz w:val="18"/>
                <w:szCs w:val="18"/>
              </w:rPr>
              <w:t> </w:t>
            </w:r>
            <w:r>
              <w:rPr>
                <w:rFonts w:ascii="宋体" w:hAnsi="宋体" w:cs="宋体" w:eastAsia="宋体" w:hint="default"/>
                <w:spacing w:val="16"/>
                <w:sz w:val="18"/>
                <w:szCs w:val="18"/>
              </w:rPr>
              <w:t>年度深圳市软件</w:t>
            </w:r>
            <w:r>
              <w:rPr>
                <w:rFonts w:ascii="宋体" w:hAnsi="宋体" w:cs="宋体" w:eastAsia="宋体" w:hint="default"/>
                <w:spacing w:val="-71"/>
                <w:sz w:val="18"/>
                <w:szCs w:val="18"/>
              </w:rPr>
              <w:t> </w:t>
            </w:r>
            <w:r>
              <w:rPr>
                <w:rFonts w:ascii="宋体" w:hAnsi="宋体" w:cs="宋体" w:eastAsia="宋体" w:hint="default"/>
                <w:sz w:val="18"/>
                <w:szCs w:val="18"/>
              </w:rPr>
              <w:t>业务收入前百家企业</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深圳市经济贸易和信息 化委员会</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r>
    </w:tbl>
    <w:p>
      <w:pPr>
        <w:pStyle w:val="BodyText"/>
        <w:spacing w:line="340" w:lineRule="auto" w:before="51"/>
        <w:ind w:left="513" w:right="2931"/>
        <w:jc w:val="left"/>
      </w:pPr>
      <w:r>
        <w:rPr/>
        <w:t>（</w:t>
      </w:r>
      <w:r>
        <w:rPr>
          <w:rFonts w:ascii="Times New Roman" w:hAnsi="Times New Roman" w:cs="Times New Roman" w:eastAsia="Times New Roman" w:hint="default"/>
        </w:rPr>
        <w:t>7</w:t>
      </w:r>
      <w:r>
        <w:rPr/>
        <w:t>）产品荣誉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日，公司共取得产品荣誉证书</w:t>
      </w:r>
      <w:r>
        <w:rPr>
          <w:rFonts w:ascii="Times New Roman" w:hAnsi="Times New Roman" w:cs="Times New Roman" w:eastAsia="Times New Roman" w:hint="default"/>
        </w:rPr>
        <w:t>74</w:t>
      </w:r>
      <w:r>
        <w:rPr/>
        <w:t>项，其中</w:t>
      </w:r>
      <w:r>
        <w:rPr>
          <w:rFonts w:ascii="Times New Roman" w:hAnsi="Times New Roman" w:cs="Times New Roman" w:eastAsia="Times New Roman" w:hint="default"/>
        </w:rPr>
        <w:t>2012</w:t>
      </w:r>
      <w:r>
        <w:rPr/>
        <w:t>年新增的如下表：</w:t>
      </w:r>
    </w:p>
    <w:tbl>
      <w:tblPr>
        <w:tblW w:w="0" w:type="auto"/>
        <w:jc w:val="left"/>
        <w:tblInd w:w="146" w:type="dxa"/>
        <w:tblLayout w:type="fixed"/>
        <w:tblCellMar>
          <w:top w:w="0" w:type="dxa"/>
          <w:left w:w="0" w:type="dxa"/>
          <w:bottom w:w="0" w:type="dxa"/>
          <w:right w:w="0" w:type="dxa"/>
        </w:tblCellMar>
        <w:tblLook w:val="01E0"/>
      </w:tblPr>
      <w:tblGrid>
        <w:gridCol w:w="744"/>
        <w:gridCol w:w="1772"/>
        <w:gridCol w:w="2126"/>
        <w:gridCol w:w="2054"/>
        <w:gridCol w:w="2245"/>
      </w:tblGrid>
      <w:tr>
        <w:trPr>
          <w:trHeight w:val="427" w:hRule="exact"/>
        </w:trPr>
        <w:tc>
          <w:tcPr>
            <w:tcW w:w="74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517" w:right="0"/>
              <w:jc w:val="left"/>
              <w:rPr>
                <w:rFonts w:ascii="宋体" w:hAnsi="宋体" w:cs="宋体" w:eastAsia="宋体" w:hint="default"/>
                <w:sz w:val="18"/>
                <w:szCs w:val="18"/>
              </w:rPr>
            </w:pPr>
            <w:r>
              <w:rPr>
                <w:rFonts w:ascii="宋体" w:hAnsi="宋体" w:cs="宋体" w:eastAsia="宋体" w:hint="default"/>
                <w:b/>
                <w:bCs/>
                <w:sz w:val="18"/>
                <w:szCs w:val="18"/>
              </w:rPr>
              <w:t>证书名称</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69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05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24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发证时间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有限期</w:t>
            </w:r>
            <w:r>
              <w:rPr>
                <w:rFonts w:ascii="宋体" w:hAnsi="宋体" w:cs="宋体" w:eastAsia="宋体" w:hint="default"/>
                <w:sz w:val="18"/>
                <w:szCs w:val="18"/>
              </w:rPr>
            </w:r>
          </w:p>
        </w:tc>
      </w:tr>
      <w:tr>
        <w:trPr>
          <w:trHeight w:val="375" w:hRule="exact"/>
        </w:trPr>
        <w:tc>
          <w:tcPr>
            <w:tcW w:w="7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7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pacing w:val="16"/>
                <w:sz w:val="18"/>
                <w:szCs w:val="18"/>
              </w:rPr>
              <w:t>年度中国创新软</w:t>
            </w:r>
            <w:r>
              <w:rPr>
                <w:rFonts w:ascii="宋体" w:hAnsi="宋体" w:cs="宋体" w:eastAsia="宋体" w:hint="default"/>
                <w:spacing w:val="-71"/>
                <w:sz w:val="18"/>
                <w:szCs w:val="18"/>
              </w:rPr>
              <w:t> </w:t>
            </w:r>
            <w:r>
              <w:rPr>
                <w:rFonts w:ascii="宋体" w:hAnsi="宋体" w:cs="宋体" w:eastAsia="宋体" w:hint="default"/>
                <w:sz w:val="18"/>
                <w:szCs w:val="18"/>
              </w:rPr>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11"/>
              <w:jc w:val="left"/>
              <w:rPr>
                <w:rFonts w:ascii="宋体" w:hAnsi="宋体" w:cs="宋体" w:eastAsia="宋体" w:hint="default"/>
                <w:sz w:val="18"/>
                <w:szCs w:val="18"/>
              </w:rPr>
            </w:pPr>
            <w:r>
              <w:rPr>
                <w:rFonts w:ascii="宋体" w:hAnsi="宋体" w:cs="宋体" w:eastAsia="宋体" w:hint="default"/>
                <w:spacing w:val="12"/>
                <w:sz w:val="18"/>
                <w:szCs w:val="18"/>
              </w:rPr>
              <w:t>天源迪科电信行业高端客</w:t>
            </w:r>
            <w:r>
              <w:rPr>
                <w:rFonts w:ascii="宋体" w:hAnsi="宋体" w:cs="宋体" w:eastAsia="宋体" w:hint="default"/>
                <w:sz w:val="18"/>
                <w:szCs w:val="18"/>
              </w:rPr>
            </w:r>
          </w:p>
        </w:tc>
        <w:tc>
          <w:tcPr>
            <w:tcW w:w="20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2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r>
      <w:tr>
        <w:trPr>
          <w:trHeight w:val="311" w:hRule="exact"/>
        </w:trPr>
        <w:tc>
          <w:tcPr>
            <w:tcW w:w="744" w:type="dxa"/>
            <w:tcBorders>
              <w:top w:val="nil" w:sz="6" w:space="0" w:color="auto"/>
              <w:left w:val="single" w:sz="6" w:space="0" w:color="000000"/>
              <w:bottom w:val="nil" w:sz="6" w:space="0" w:color="auto"/>
              <w:right w:val="single" w:sz="6" w:space="0" w:color="000000"/>
            </w:tcBorders>
          </w:tcPr>
          <w:p>
            <w:pPr/>
          </w:p>
        </w:tc>
        <w:tc>
          <w:tcPr>
            <w:tcW w:w="177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件产品</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1"/>
              <w:jc w:val="left"/>
              <w:rPr>
                <w:rFonts w:ascii="宋体" w:hAnsi="宋体" w:cs="宋体" w:eastAsia="宋体" w:hint="default"/>
                <w:sz w:val="18"/>
                <w:szCs w:val="18"/>
              </w:rPr>
            </w:pPr>
            <w:r>
              <w:rPr>
                <w:rFonts w:ascii="宋体" w:hAnsi="宋体" w:cs="宋体" w:eastAsia="宋体" w:hint="default"/>
                <w:spacing w:val="22"/>
                <w:sz w:val="18"/>
                <w:szCs w:val="18"/>
              </w:rPr>
              <w:t>户管理</w:t>
            </w:r>
            <w:r>
              <w:rPr>
                <w:rFonts w:ascii="宋体" w:hAnsi="宋体" w:cs="宋体" w:eastAsia="宋体" w:hint="default"/>
                <w:spacing w:val="-56"/>
                <w:sz w:val="18"/>
                <w:szCs w:val="18"/>
              </w:rPr>
              <w:t> </w:t>
            </w:r>
            <w:r>
              <w:rPr>
                <w:rFonts w:ascii="宋体" w:hAnsi="宋体" w:cs="宋体" w:eastAsia="宋体" w:hint="default"/>
                <w:spacing w:val="16"/>
                <w:sz w:val="18"/>
                <w:szCs w:val="18"/>
              </w:rPr>
              <w:t>与服</w:t>
            </w:r>
            <w:r>
              <w:rPr>
                <w:rFonts w:ascii="宋体" w:hAnsi="宋体" w:cs="宋体" w:eastAsia="宋体" w:hint="default"/>
                <w:spacing w:val="-56"/>
                <w:sz w:val="18"/>
                <w:szCs w:val="18"/>
              </w:rPr>
              <w:t> </w:t>
            </w:r>
            <w:r>
              <w:rPr>
                <w:rFonts w:ascii="宋体" w:hAnsi="宋体" w:cs="宋体" w:eastAsia="宋体" w:hint="default"/>
                <w:spacing w:val="22"/>
                <w:sz w:val="18"/>
                <w:szCs w:val="18"/>
              </w:rPr>
              <w:t>务系统</w:t>
            </w:r>
            <w:r>
              <w:rPr>
                <w:rFonts w:ascii="宋体" w:hAnsi="宋体" w:cs="宋体" w:eastAsia="宋体" w:hint="default"/>
                <w:spacing w:val="-56"/>
                <w:sz w:val="18"/>
                <w:szCs w:val="18"/>
              </w:rPr>
              <w:t> </w:t>
            </w:r>
            <w:r>
              <w:rPr>
                <w:rFonts w:ascii="宋体" w:hAnsi="宋体" w:cs="宋体" w:eastAsia="宋体" w:hint="default"/>
                <w:spacing w:val="16"/>
                <w:sz w:val="18"/>
                <w:szCs w:val="18"/>
              </w:rPr>
              <w:t>软件</w:t>
            </w:r>
            <w:r>
              <w:rPr>
                <w:rFonts w:ascii="宋体" w:hAnsi="宋体" w:cs="宋体" w:eastAsia="宋体" w:hint="default"/>
                <w:spacing w:val="-57"/>
                <w:sz w:val="18"/>
                <w:szCs w:val="18"/>
              </w:rPr>
              <w:t> </w:t>
            </w:r>
            <w:r>
              <w:rPr>
                <w:rFonts w:ascii="宋体" w:hAnsi="宋体" w:cs="宋体" w:eastAsia="宋体" w:hint="default"/>
                <w:sz w:val="18"/>
                <w:szCs w:val="18"/>
              </w:rPr>
            </w:r>
          </w:p>
        </w:tc>
        <w:tc>
          <w:tcPr>
            <w:tcW w:w="2054" w:type="dxa"/>
            <w:tcBorders>
              <w:top w:val="nil" w:sz="6" w:space="0" w:color="auto"/>
              <w:left w:val="single" w:sz="6" w:space="0" w:color="000000"/>
              <w:bottom w:val="nil" w:sz="6" w:space="0" w:color="auto"/>
              <w:right w:val="single" w:sz="6" w:space="0" w:color="000000"/>
            </w:tcBorders>
          </w:tcPr>
          <w:p>
            <w:pPr/>
          </w:p>
        </w:tc>
        <w:tc>
          <w:tcPr>
            <w:tcW w:w="2245" w:type="dxa"/>
            <w:tcBorders>
              <w:top w:val="nil" w:sz="6" w:space="0" w:color="auto"/>
              <w:left w:val="single" w:sz="6" w:space="0" w:color="000000"/>
              <w:bottom w:val="nil" w:sz="6" w:space="0" w:color="auto"/>
              <w:right w:val="single" w:sz="6" w:space="0" w:color="000000"/>
            </w:tcBorders>
          </w:tcPr>
          <w:p>
            <w:pPr/>
          </w:p>
        </w:tc>
      </w:tr>
      <w:tr>
        <w:trPr>
          <w:trHeight w:val="365" w:hRule="exact"/>
        </w:trPr>
        <w:tc>
          <w:tcPr>
            <w:tcW w:w="744" w:type="dxa"/>
            <w:tcBorders>
              <w:top w:val="nil" w:sz="6" w:space="0" w:color="auto"/>
              <w:left w:val="single" w:sz="6" w:space="0" w:color="000000"/>
              <w:bottom w:val="single" w:sz="6" w:space="0" w:color="000000"/>
              <w:right w:val="single" w:sz="6" w:space="0" w:color="000000"/>
            </w:tcBorders>
          </w:tcPr>
          <w:p>
            <w:pPr/>
          </w:p>
        </w:tc>
        <w:tc>
          <w:tcPr>
            <w:tcW w:w="1772"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2054" w:type="dxa"/>
            <w:tcBorders>
              <w:top w:val="nil" w:sz="6" w:space="0" w:color="auto"/>
              <w:left w:val="single" w:sz="6" w:space="0" w:color="000000"/>
              <w:bottom w:val="single" w:sz="6" w:space="0" w:color="000000"/>
              <w:right w:val="single" w:sz="6" w:space="0" w:color="000000"/>
            </w:tcBorders>
          </w:tcPr>
          <w:p>
            <w:pPr/>
          </w:p>
        </w:tc>
        <w:tc>
          <w:tcPr>
            <w:tcW w:w="2245" w:type="dxa"/>
            <w:tcBorders>
              <w:top w:val="nil" w:sz="6" w:space="0" w:color="auto"/>
              <w:left w:val="single" w:sz="6" w:space="0" w:color="000000"/>
              <w:bottom w:val="single" w:sz="6" w:space="0" w:color="000000"/>
              <w:right w:val="single" w:sz="6" w:space="0" w:color="000000"/>
            </w:tcBorders>
          </w:tcPr>
          <w:p>
            <w:pPr/>
          </w:p>
        </w:tc>
      </w:tr>
      <w:tr>
        <w:trPr>
          <w:trHeight w:val="376" w:hRule="exact"/>
        </w:trPr>
        <w:tc>
          <w:tcPr>
            <w:tcW w:w="7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7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14"/>
              <w:jc w:val="left"/>
              <w:rPr>
                <w:rFonts w:ascii="宋体" w:hAnsi="宋体" w:cs="宋体" w:eastAsia="宋体" w:hint="default"/>
                <w:sz w:val="18"/>
                <w:szCs w:val="18"/>
              </w:rPr>
            </w:pPr>
            <w:r>
              <w:rPr>
                <w:rFonts w:ascii="宋体" w:hAnsi="宋体" w:cs="宋体" w:eastAsia="宋体" w:hint="default"/>
                <w:spacing w:val="14"/>
                <w:sz w:val="18"/>
                <w:szCs w:val="18"/>
              </w:rPr>
              <w:t>第十六届中国国际软</w:t>
            </w:r>
            <w:r>
              <w:rPr>
                <w:rFonts w:ascii="宋体" w:hAnsi="宋体" w:cs="宋体" w:eastAsia="宋体" w:hint="default"/>
                <w:spacing w:val="-74"/>
                <w:sz w:val="18"/>
                <w:szCs w:val="18"/>
              </w:rPr>
              <w:t> </w:t>
            </w:r>
            <w:r>
              <w:rPr>
                <w:rFonts w:ascii="宋体" w:hAnsi="宋体" w:cs="宋体" w:eastAsia="宋体" w:hint="default"/>
                <w:sz w:val="18"/>
                <w:szCs w:val="18"/>
              </w:rPr>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31"/>
              <w:jc w:val="left"/>
              <w:rPr>
                <w:rFonts w:ascii="宋体" w:hAnsi="宋体" w:cs="宋体" w:eastAsia="宋体" w:hint="default"/>
                <w:sz w:val="18"/>
                <w:szCs w:val="18"/>
              </w:rPr>
            </w:pPr>
            <w:r>
              <w:rPr>
                <w:rFonts w:ascii="宋体" w:hAnsi="宋体" w:cs="宋体" w:eastAsia="宋体" w:hint="default"/>
                <w:spacing w:val="22"/>
                <w:sz w:val="18"/>
                <w:szCs w:val="18"/>
              </w:rPr>
              <w:t>天源迪</w:t>
            </w:r>
            <w:r>
              <w:rPr>
                <w:rFonts w:ascii="宋体" w:hAnsi="宋体" w:cs="宋体" w:eastAsia="宋体" w:hint="default"/>
                <w:spacing w:val="-56"/>
                <w:sz w:val="18"/>
                <w:szCs w:val="18"/>
              </w:rPr>
              <w:t> </w:t>
            </w:r>
            <w:r>
              <w:rPr>
                <w:rFonts w:ascii="宋体" w:hAnsi="宋体" w:cs="宋体" w:eastAsia="宋体" w:hint="default"/>
                <w:spacing w:val="16"/>
                <w:sz w:val="18"/>
                <w:szCs w:val="18"/>
              </w:rPr>
              <w:t>科智</w:t>
            </w:r>
            <w:r>
              <w:rPr>
                <w:rFonts w:ascii="宋体" w:hAnsi="宋体" w:cs="宋体" w:eastAsia="宋体" w:hint="default"/>
                <w:spacing w:val="-56"/>
                <w:sz w:val="18"/>
                <w:szCs w:val="18"/>
              </w:rPr>
              <w:t> </w:t>
            </w:r>
            <w:r>
              <w:rPr>
                <w:rFonts w:ascii="宋体" w:hAnsi="宋体" w:cs="宋体" w:eastAsia="宋体" w:hint="default"/>
                <w:spacing w:val="22"/>
                <w:sz w:val="18"/>
                <w:szCs w:val="18"/>
              </w:rPr>
              <w:t>能门户</w:t>
            </w:r>
            <w:r>
              <w:rPr>
                <w:rFonts w:ascii="宋体" w:hAnsi="宋体" w:cs="宋体" w:eastAsia="宋体" w:hint="default"/>
                <w:spacing w:val="-56"/>
                <w:sz w:val="18"/>
                <w:szCs w:val="18"/>
              </w:rPr>
              <w:t> </w:t>
            </w:r>
            <w:r>
              <w:rPr>
                <w:rFonts w:ascii="宋体" w:hAnsi="宋体" w:cs="宋体" w:eastAsia="宋体" w:hint="default"/>
                <w:spacing w:val="16"/>
                <w:sz w:val="18"/>
                <w:szCs w:val="18"/>
              </w:rPr>
              <w:t>软件</w:t>
            </w:r>
            <w:r>
              <w:rPr>
                <w:rFonts w:ascii="宋体" w:hAnsi="宋体" w:cs="宋体" w:eastAsia="宋体" w:hint="default"/>
                <w:spacing w:val="-57"/>
                <w:sz w:val="18"/>
                <w:szCs w:val="18"/>
              </w:rPr>
              <w:t> </w:t>
            </w:r>
            <w:r>
              <w:rPr>
                <w:rFonts w:ascii="宋体" w:hAnsi="宋体" w:cs="宋体" w:eastAsia="宋体" w:hint="default"/>
                <w:sz w:val="18"/>
                <w:szCs w:val="18"/>
              </w:rPr>
            </w:r>
          </w:p>
        </w:tc>
        <w:tc>
          <w:tcPr>
            <w:tcW w:w="20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中国国际软件博览会组委</w:t>
            </w:r>
          </w:p>
        </w:tc>
        <w:tc>
          <w:tcPr>
            <w:tcW w:w="22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r>
      <w:tr>
        <w:trPr>
          <w:trHeight w:val="363" w:hRule="exact"/>
        </w:trPr>
        <w:tc>
          <w:tcPr>
            <w:tcW w:w="744" w:type="dxa"/>
            <w:tcBorders>
              <w:top w:val="nil" w:sz="6" w:space="0" w:color="auto"/>
              <w:left w:val="single" w:sz="6" w:space="0" w:color="000000"/>
              <w:bottom w:val="single" w:sz="6" w:space="0" w:color="000000"/>
              <w:right w:val="single" w:sz="6" w:space="0" w:color="000000"/>
            </w:tcBorders>
          </w:tcPr>
          <w:p>
            <w:pPr/>
          </w:p>
        </w:tc>
        <w:tc>
          <w:tcPr>
            <w:tcW w:w="17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件博览会金奖</w:t>
            </w: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18"/>
                <w:szCs w:val="18"/>
              </w:rPr>
            </w:pPr>
            <w:r>
              <w:rPr>
                <w:rFonts w:ascii="Times New Roman"/>
                <w:sz w:val="18"/>
              </w:rPr>
              <w:t>V1.0</w:t>
            </w:r>
          </w:p>
        </w:tc>
        <w:tc>
          <w:tcPr>
            <w:tcW w:w="20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会</w:t>
            </w:r>
          </w:p>
        </w:tc>
        <w:tc>
          <w:tcPr>
            <w:tcW w:w="2245" w:type="dxa"/>
            <w:tcBorders>
              <w:top w:val="nil" w:sz="6" w:space="0" w:color="auto"/>
              <w:left w:val="single" w:sz="6" w:space="0" w:color="000000"/>
              <w:bottom w:val="single" w:sz="6" w:space="0" w:color="000000"/>
              <w:right w:val="single" w:sz="6" w:space="0" w:color="000000"/>
            </w:tcBorders>
          </w:tcPr>
          <w:p>
            <w:pPr/>
          </w:p>
        </w:tc>
      </w:tr>
      <w:tr>
        <w:trPr>
          <w:trHeight w:val="427"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6"/>
                <w:sz w:val="18"/>
                <w:szCs w:val="18"/>
              </w:rPr>
              <w:t> </w:t>
            </w:r>
            <w:r>
              <w:rPr>
                <w:rFonts w:ascii="宋体" w:hAnsi="宋体" w:cs="宋体" w:eastAsia="宋体" w:hint="default"/>
                <w:spacing w:val="16"/>
                <w:sz w:val="18"/>
                <w:szCs w:val="18"/>
              </w:rPr>
              <w:t>年度广东省科学</w:t>
            </w:r>
            <w:r>
              <w:rPr>
                <w:rFonts w:ascii="宋体" w:hAnsi="宋体" w:cs="宋体" w:eastAsia="宋体" w:hint="default"/>
                <w:spacing w:val="-71"/>
                <w:sz w:val="18"/>
                <w:szCs w:val="18"/>
              </w:rPr>
              <w:t> </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11"/>
                <w:sz w:val="18"/>
                <w:szCs w:val="18"/>
              </w:rPr>
              <w:t>运用云计算与数据挖掘的</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广东省人民政府</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44"/>
        <w:gridCol w:w="1772"/>
        <w:gridCol w:w="2126"/>
        <w:gridCol w:w="2054"/>
        <w:gridCol w:w="2245"/>
      </w:tblGrid>
      <w:tr>
        <w:trPr>
          <w:trHeight w:val="386" w:hRule="exact"/>
        </w:trPr>
        <w:tc>
          <w:tcPr>
            <w:tcW w:w="744"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技术奖励</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企业数据仓库系统</w:t>
            </w:r>
          </w:p>
        </w:tc>
        <w:tc>
          <w:tcPr>
            <w:tcW w:w="2054" w:type="dxa"/>
            <w:tcBorders>
              <w:top w:val="single" w:sz="6" w:space="0" w:color="000000"/>
              <w:left w:val="single" w:sz="6" w:space="0" w:color="000000"/>
              <w:bottom w:val="single" w:sz="6" w:space="0" w:color="000000"/>
              <w:right w:val="single" w:sz="6" w:space="0" w:color="000000"/>
            </w:tcBorders>
          </w:tcPr>
          <w:p>
            <w:pPr/>
          </w:p>
        </w:tc>
        <w:tc>
          <w:tcPr>
            <w:tcW w:w="224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6"/>
                <w:sz w:val="18"/>
                <w:szCs w:val="18"/>
              </w:rPr>
              <w:t> </w:t>
            </w:r>
            <w:r>
              <w:rPr>
                <w:rFonts w:ascii="宋体" w:hAnsi="宋体" w:cs="宋体" w:eastAsia="宋体" w:hint="default"/>
                <w:spacing w:val="16"/>
                <w:sz w:val="18"/>
                <w:szCs w:val="18"/>
              </w:rPr>
              <w:t>年度深圳市科技</w:t>
            </w:r>
            <w:r>
              <w:rPr>
                <w:rFonts w:ascii="宋体" w:hAnsi="宋体" w:cs="宋体" w:eastAsia="宋体" w:hint="default"/>
                <w:spacing w:val="-71"/>
                <w:sz w:val="18"/>
                <w:szCs w:val="18"/>
              </w:rPr>
              <w:t> </w:t>
            </w:r>
            <w:r>
              <w:rPr>
                <w:rFonts w:ascii="宋体" w:hAnsi="宋体" w:cs="宋体" w:eastAsia="宋体" w:hint="default"/>
                <w:sz w:val="18"/>
                <w:szCs w:val="18"/>
              </w:rPr>
              <w:t>进步奖</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
              <w:jc w:val="left"/>
              <w:rPr>
                <w:rFonts w:ascii="宋体" w:hAnsi="宋体" w:cs="宋体" w:eastAsia="宋体" w:hint="default"/>
                <w:sz w:val="18"/>
                <w:szCs w:val="18"/>
              </w:rPr>
            </w:pPr>
            <w:r>
              <w:rPr>
                <w:rFonts w:ascii="宋体" w:hAnsi="宋体" w:cs="宋体" w:eastAsia="宋体" w:hint="default"/>
                <w:spacing w:val="12"/>
                <w:sz w:val="18"/>
                <w:szCs w:val="18"/>
              </w:rPr>
              <w:t>运用云计算与数据挖掘的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企业数据仓库系统</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深圳市人民政府</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r>
      <w:tr>
        <w:trPr>
          <w:trHeight w:val="740"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6"/>
                <w:sz w:val="18"/>
                <w:szCs w:val="18"/>
              </w:rPr>
              <w:t> </w:t>
            </w:r>
            <w:r>
              <w:rPr>
                <w:rFonts w:ascii="宋体" w:hAnsi="宋体" w:cs="宋体" w:eastAsia="宋体" w:hint="default"/>
                <w:spacing w:val="16"/>
                <w:sz w:val="18"/>
                <w:szCs w:val="18"/>
              </w:rPr>
              <w:t>年度深圳市优秀</w:t>
            </w:r>
            <w:r>
              <w:rPr>
                <w:rFonts w:ascii="宋体" w:hAnsi="宋体" w:cs="宋体" w:eastAsia="宋体" w:hint="default"/>
                <w:spacing w:val="-71"/>
                <w:sz w:val="18"/>
                <w:szCs w:val="18"/>
              </w:rPr>
              <w:t> </w:t>
            </w:r>
            <w:r>
              <w:rPr>
                <w:rFonts w:ascii="宋体" w:hAnsi="宋体" w:cs="宋体" w:eastAsia="宋体" w:hint="default"/>
                <w:sz w:val="18"/>
                <w:szCs w:val="18"/>
              </w:rPr>
              <w:t>软件产品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天源迪科企业数据应用门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户软件</w:t>
            </w:r>
            <w:r>
              <w:rPr>
                <w:rFonts w:ascii="Times New Roman" w:hAnsi="Times New Roman" w:cs="Times New Roman" w:eastAsia="Times New Roman" w:hint="default"/>
                <w:sz w:val="18"/>
                <w:szCs w:val="18"/>
              </w:rPr>
              <w:t>V1.0</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r>
    </w:tbl>
    <w:p>
      <w:pPr>
        <w:pStyle w:val="Heading7"/>
        <w:spacing w:line="240" w:lineRule="auto" w:before="51"/>
        <w:ind w:left="514" w:right="240"/>
        <w:jc w:val="left"/>
        <w:rPr>
          <w:b w:val="0"/>
          <w:bCs w:val="0"/>
        </w:rPr>
      </w:pPr>
      <w:r>
        <w:rPr/>
        <w:t>二、子公司无形资产情况汇总</w:t>
      </w:r>
      <w:r>
        <w:rPr>
          <w:b w:val="0"/>
          <w:bCs w:val="0"/>
        </w:rPr>
      </w:r>
    </w:p>
    <w:p>
      <w:pPr>
        <w:pStyle w:val="BodyText"/>
        <w:spacing w:line="338" w:lineRule="auto" w:before="116"/>
        <w:ind w:left="513" w:right="240" w:hanging="360"/>
        <w:jc w:val="left"/>
      </w:pPr>
      <w:r>
        <w:rPr/>
        <w:t>（</w:t>
      </w:r>
      <w:r>
        <w:rPr>
          <w:rFonts w:ascii="Times New Roman" w:hAnsi="Times New Roman" w:cs="Times New Roman" w:eastAsia="Times New Roman" w:hint="default"/>
        </w:rPr>
        <w:t>1</w:t>
      </w:r>
      <w:r>
        <w:rPr/>
        <w:t>）计算机软件著作权 </w:t>
      </w: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日，子公司共获得国家版权局计算机软件著作权登记</w:t>
      </w:r>
      <w:r>
        <w:rPr>
          <w:rFonts w:ascii="Times New Roman" w:hAnsi="Times New Roman" w:cs="Times New Roman" w:eastAsia="Times New Roman" w:hint="default"/>
          <w:spacing w:val="-2"/>
        </w:rPr>
        <w:t>76</w:t>
      </w:r>
      <w:r>
        <w:rPr>
          <w:spacing w:val="-2"/>
        </w:rPr>
        <w:t>项，这些软件产品属于子公司自主知识产权的</w:t>
      </w:r>
    </w:p>
    <w:p>
      <w:pPr>
        <w:pStyle w:val="BodyText"/>
        <w:spacing w:line="231" w:lineRule="exact" w:before="0"/>
        <w:ind w:right="240"/>
        <w:jc w:val="left"/>
      </w:pPr>
      <w:r>
        <w:rPr/>
        <w:t>软件成果，其中</w:t>
      </w:r>
      <w:r>
        <w:rPr>
          <w:rFonts w:ascii="Times New Roman" w:hAnsi="Times New Roman" w:cs="Times New Roman" w:eastAsia="Times New Roman" w:hint="default"/>
        </w:rPr>
        <w:t>2012</w:t>
      </w:r>
      <w:r>
        <w:rPr/>
        <w:t>年新增的计算机软件著作权如下表：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677"/>
        <w:gridCol w:w="3544"/>
        <w:gridCol w:w="805"/>
        <w:gridCol w:w="1675"/>
        <w:gridCol w:w="1464"/>
        <w:gridCol w:w="1690"/>
      </w:tblGrid>
      <w:tr>
        <w:trPr>
          <w:trHeight w:val="419" w:hRule="exact"/>
        </w:trPr>
        <w:tc>
          <w:tcPr>
            <w:tcW w:w="677" w:type="dxa"/>
            <w:tcBorders>
              <w:top w:val="nil" w:sz="6" w:space="0" w:color="auto"/>
              <w:left w:val="nil" w:sz="6" w:space="0" w:color="auto"/>
              <w:bottom w:val="single" w:sz="6" w:space="0" w:color="000000"/>
              <w:right w:val="single" w:sz="6" w:space="0" w:color="000000"/>
            </w:tcBorders>
            <w:shd w:val="clear" w:color="auto" w:fill="D9D9D9"/>
          </w:tcPr>
          <w:p>
            <w:pPr>
              <w:pStyle w:val="TableParagraph"/>
              <w:spacing w:line="240" w:lineRule="auto" w:before="62"/>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4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805"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675"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6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c>
          <w:tcPr>
            <w:tcW w:w="1690"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29"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left"/>
              <w:rPr>
                <w:rFonts w:ascii="宋体" w:hAnsi="宋体" w:cs="宋体" w:eastAsia="宋体" w:hint="default"/>
                <w:sz w:val="18"/>
                <w:szCs w:val="18"/>
              </w:rPr>
            </w:pPr>
            <w:r>
              <w:rPr>
                <w:rFonts w:ascii="宋体" w:hAnsi="宋体" w:cs="宋体" w:eastAsia="宋体" w:hint="default"/>
                <w:sz w:val="18"/>
                <w:szCs w:val="18"/>
              </w:rPr>
              <w:t>天缘迪柯研判分析平台软件</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2012SR072825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 w:right="50"/>
              <w:jc w:val="left"/>
              <w:rPr>
                <w:rFonts w:ascii="宋体" w:hAnsi="宋体" w:cs="宋体" w:eastAsia="宋体" w:hint="default"/>
                <w:sz w:val="18"/>
                <w:szCs w:val="18"/>
              </w:rPr>
            </w:pPr>
            <w:r>
              <w:rPr>
                <w:rFonts w:ascii="宋体" w:hAnsi="宋体" w:cs="宋体" w:eastAsia="宋体" w:hint="default"/>
                <w:sz w:val="18"/>
                <w:szCs w:val="18"/>
              </w:rPr>
              <w:t>上海天缘迪柯信息技 术有限公司</w:t>
            </w:r>
          </w:p>
        </w:tc>
      </w:tr>
      <w:tr>
        <w:trPr>
          <w:trHeight w:val="730"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left"/>
              <w:rPr>
                <w:rFonts w:ascii="宋体" w:hAnsi="宋体" w:cs="宋体" w:eastAsia="宋体" w:hint="default"/>
                <w:sz w:val="18"/>
                <w:szCs w:val="18"/>
              </w:rPr>
            </w:pPr>
            <w:r>
              <w:rPr>
                <w:rFonts w:ascii="宋体" w:hAnsi="宋体" w:cs="宋体" w:eastAsia="宋体" w:hint="default"/>
                <w:sz w:val="18"/>
                <w:szCs w:val="18"/>
              </w:rPr>
              <w:t>天缘迪柯海关执法评估信息管理软件</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2012SR071973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 w:right="50"/>
              <w:jc w:val="left"/>
              <w:rPr>
                <w:rFonts w:ascii="宋体" w:hAnsi="宋体" w:cs="宋体" w:eastAsia="宋体" w:hint="default"/>
                <w:sz w:val="18"/>
                <w:szCs w:val="18"/>
              </w:rPr>
            </w:pPr>
            <w:r>
              <w:rPr>
                <w:rFonts w:ascii="宋体" w:hAnsi="宋体" w:cs="宋体" w:eastAsia="宋体" w:hint="default"/>
                <w:sz w:val="18"/>
                <w:szCs w:val="18"/>
              </w:rPr>
              <w:t>上海天缘迪柯信息技 术有限公司</w:t>
            </w:r>
          </w:p>
        </w:tc>
      </w:tr>
      <w:tr>
        <w:trPr>
          <w:trHeight w:val="728"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天缘迪柯安全信息比对平台软件</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2012SR071912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 w:right="50"/>
              <w:jc w:val="left"/>
              <w:rPr>
                <w:rFonts w:ascii="宋体" w:hAnsi="宋体" w:cs="宋体" w:eastAsia="宋体" w:hint="default"/>
                <w:sz w:val="18"/>
                <w:szCs w:val="18"/>
              </w:rPr>
            </w:pPr>
            <w:r>
              <w:rPr>
                <w:rFonts w:ascii="宋体" w:hAnsi="宋体" w:cs="宋体" w:eastAsia="宋体" w:hint="default"/>
                <w:sz w:val="18"/>
                <w:szCs w:val="18"/>
              </w:rPr>
              <w:t>上海天缘迪柯信息技 术有限公司</w:t>
            </w:r>
          </w:p>
        </w:tc>
      </w:tr>
      <w:tr>
        <w:trPr>
          <w:trHeight w:val="730"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left"/>
              <w:rPr>
                <w:rFonts w:ascii="宋体" w:hAnsi="宋体" w:cs="宋体" w:eastAsia="宋体" w:hint="default"/>
                <w:sz w:val="18"/>
                <w:szCs w:val="18"/>
              </w:rPr>
            </w:pPr>
            <w:r>
              <w:rPr>
                <w:rFonts w:ascii="宋体" w:hAnsi="宋体" w:cs="宋体" w:eastAsia="宋体" w:hint="default"/>
                <w:sz w:val="18"/>
                <w:szCs w:val="18"/>
              </w:rPr>
              <w:t>天缘迪柯重点人员研判软件</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2012SR116225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 w:right="50"/>
              <w:jc w:val="left"/>
              <w:rPr>
                <w:rFonts w:ascii="宋体" w:hAnsi="宋体" w:cs="宋体" w:eastAsia="宋体" w:hint="default"/>
                <w:sz w:val="18"/>
                <w:szCs w:val="18"/>
              </w:rPr>
            </w:pPr>
            <w:r>
              <w:rPr>
                <w:rFonts w:ascii="宋体" w:hAnsi="宋体" w:cs="宋体" w:eastAsia="宋体" w:hint="default"/>
                <w:sz w:val="18"/>
                <w:szCs w:val="18"/>
              </w:rPr>
              <w:t>上海天缘迪柯信息技 术有限公司</w:t>
            </w:r>
          </w:p>
        </w:tc>
      </w:tr>
      <w:tr>
        <w:trPr>
          <w:trHeight w:val="728"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易杰融合消息应用软件</w:t>
            </w:r>
          </w:p>
        </w:tc>
        <w:tc>
          <w:tcPr>
            <w:tcW w:w="805"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2012SR120657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 w:right="50"/>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30"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left"/>
              <w:rPr>
                <w:rFonts w:ascii="宋体" w:hAnsi="宋体" w:cs="宋体" w:eastAsia="宋体" w:hint="default"/>
                <w:sz w:val="18"/>
                <w:szCs w:val="18"/>
              </w:rPr>
            </w:pPr>
            <w:r>
              <w:rPr>
                <w:rFonts w:ascii="宋体" w:hAnsi="宋体" w:cs="宋体" w:eastAsia="宋体" w:hint="default"/>
                <w:sz w:val="18"/>
                <w:szCs w:val="18"/>
              </w:rPr>
              <w:t>易杰融合地址本应用软件</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2012SR124680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 w:right="50"/>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28"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易杰语音通信应用软件</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2012SR124898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 w:right="50"/>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30"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left"/>
              <w:rPr>
                <w:rFonts w:ascii="宋体" w:hAnsi="宋体" w:cs="宋体" w:eastAsia="宋体" w:hint="default"/>
                <w:sz w:val="18"/>
                <w:szCs w:val="18"/>
              </w:rPr>
            </w:pPr>
            <w:r>
              <w:rPr>
                <w:rFonts w:ascii="宋体" w:hAnsi="宋体" w:cs="宋体" w:eastAsia="宋体" w:hint="default"/>
                <w:sz w:val="18"/>
                <w:szCs w:val="18"/>
              </w:rPr>
              <w:t>易杰融合社交业务应用软件</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2012SR124967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 w:right="50"/>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28"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SoftCo</w:t>
            </w:r>
            <w:r>
              <w:rPr>
                <w:rFonts w:ascii="宋体" w:hAnsi="宋体" w:cs="宋体" w:eastAsia="宋体" w:hint="default"/>
                <w:sz w:val="18"/>
                <w:szCs w:val="18"/>
              </w:rPr>
              <w:t>语音数字端口控制软件</w:t>
            </w:r>
            <w:r>
              <w:rPr>
                <w:rFonts w:ascii="Times New Roman" w:hAnsi="Times New Roman" w:cs="Times New Roman" w:eastAsia="Times New Roman" w:hint="default"/>
                <w:sz w:val="18"/>
                <w:szCs w:val="18"/>
              </w:rPr>
              <w:t>V1.0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2012SR124281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 w:right="50"/>
              <w:jc w:val="left"/>
              <w:rPr>
                <w:rFonts w:ascii="宋体" w:hAnsi="宋体" w:cs="宋体" w:eastAsia="宋体" w:hint="default"/>
                <w:sz w:val="18"/>
                <w:szCs w:val="18"/>
              </w:rPr>
            </w:pPr>
            <w:r>
              <w:rPr>
                <w:rFonts w:ascii="宋体" w:hAnsi="宋体" w:cs="宋体" w:eastAsia="宋体" w:hint="default"/>
                <w:sz w:val="18"/>
                <w:szCs w:val="18"/>
              </w:rPr>
              <w:t>深圳市金华威数码科 技有限公司</w:t>
            </w:r>
          </w:p>
        </w:tc>
      </w:tr>
      <w:tr>
        <w:trPr>
          <w:trHeight w:val="730"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金华威网络高清视频监控管理软件</w:t>
            </w:r>
            <w:r>
              <w:rPr>
                <w:rFonts w:ascii="Times New Roman" w:hAnsi="Times New Roman" w:cs="Times New Roman" w:eastAsia="Times New Roman" w:hint="default"/>
                <w:sz w:val="18"/>
                <w:szCs w:val="18"/>
              </w:rPr>
              <w:t>V1.0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2012SR124277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 w:right="50"/>
              <w:jc w:val="left"/>
              <w:rPr>
                <w:rFonts w:ascii="宋体" w:hAnsi="宋体" w:cs="宋体" w:eastAsia="宋体" w:hint="default"/>
                <w:sz w:val="18"/>
                <w:szCs w:val="18"/>
              </w:rPr>
            </w:pPr>
            <w:r>
              <w:rPr>
                <w:rFonts w:ascii="宋体" w:hAnsi="宋体" w:cs="宋体" w:eastAsia="宋体" w:hint="default"/>
                <w:sz w:val="18"/>
                <w:szCs w:val="18"/>
              </w:rPr>
              <w:t>深圳市金华威数码科 技有限公司</w:t>
            </w:r>
          </w:p>
        </w:tc>
      </w:tr>
      <w:tr>
        <w:trPr>
          <w:trHeight w:val="728"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金华威多媒体综合接入管理软件</w:t>
            </w:r>
            <w:r>
              <w:rPr>
                <w:rFonts w:ascii="Times New Roman" w:hAnsi="Times New Roman" w:cs="Times New Roman" w:eastAsia="Times New Roman" w:hint="default"/>
                <w:sz w:val="18"/>
                <w:szCs w:val="18"/>
              </w:rPr>
              <w:t>V1.0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2012SR124472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 w:right="50"/>
              <w:jc w:val="left"/>
              <w:rPr>
                <w:rFonts w:ascii="宋体" w:hAnsi="宋体" w:cs="宋体" w:eastAsia="宋体" w:hint="default"/>
                <w:sz w:val="18"/>
                <w:szCs w:val="18"/>
              </w:rPr>
            </w:pPr>
            <w:r>
              <w:rPr>
                <w:rFonts w:ascii="宋体" w:hAnsi="宋体" w:cs="宋体" w:eastAsia="宋体" w:hint="default"/>
                <w:sz w:val="18"/>
                <w:szCs w:val="18"/>
              </w:rPr>
              <w:t>深圳市金华威数码科 技有限公司</w:t>
            </w:r>
          </w:p>
        </w:tc>
      </w:tr>
      <w:tr>
        <w:trPr>
          <w:trHeight w:val="730"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w:t>
            </w:r>
            <w:r>
              <w:rPr>
                <w:rFonts w:ascii="Times New Roman" w:hAnsi="Times New Roman" w:cs="Times New Roman" w:eastAsia="Times New Roman" w:hint="default"/>
                <w:sz w:val="18"/>
                <w:szCs w:val="18"/>
              </w:rPr>
              <w:t>8033</w:t>
            </w:r>
            <w:r>
              <w:rPr>
                <w:rFonts w:ascii="宋体" w:hAnsi="宋体" w:cs="宋体" w:eastAsia="宋体" w:hint="default"/>
                <w:sz w:val="18"/>
                <w:szCs w:val="18"/>
              </w:rPr>
              <w:t>终端控制软件</w:t>
            </w:r>
            <w:r>
              <w:rPr>
                <w:rFonts w:ascii="Times New Roman" w:hAnsi="Times New Roman" w:cs="Times New Roman" w:eastAsia="Times New Roman" w:hint="default"/>
                <w:sz w:val="18"/>
                <w:szCs w:val="18"/>
              </w:rPr>
              <w:t>V1.0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V1.0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2012SR124489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 w:right="50"/>
              <w:jc w:val="left"/>
              <w:rPr>
                <w:rFonts w:ascii="宋体" w:hAnsi="宋体" w:cs="宋体" w:eastAsia="宋体" w:hint="default"/>
                <w:sz w:val="18"/>
                <w:szCs w:val="18"/>
              </w:rPr>
            </w:pPr>
            <w:r>
              <w:rPr>
                <w:rFonts w:ascii="宋体" w:hAnsi="宋体" w:cs="宋体" w:eastAsia="宋体" w:hint="default"/>
                <w:sz w:val="18"/>
                <w:szCs w:val="18"/>
              </w:rPr>
              <w:t>深圳市金华威数码科 技有限公司</w:t>
            </w:r>
          </w:p>
        </w:tc>
      </w:tr>
      <w:tr>
        <w:trPr>
          <w:trHeight w:val="730" w:hRule="exact"/>
        </w:trPr>
        <w:tc>
          <w:tcPr>
            <w:tcW w:w="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驿途查博士手机短信搜索系统软件</w:t>
            </w:r>
          </w:p>
        </w:tc>
        <w:tc>
          <w:tcPr>
            <w:tcW w:w="805"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2012SR032487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 w:right="50"/>
              <w:jc w:val="left"/>
              <w:rPr>
                <w:rFonts w:ascii="宋体" w:hAnsi="宋体" w:cs="宋体" w:eastAsia="宋体" w:hint="default"/>
                <w:sz w:val="18"/>
                <w:szCs w:val="18"/>
              </w:rPr>
            </w:pPr>
            <w:r>
              <w:rPr>
                <w:rFonts w:ascii="宋体" w:hAnsi="宋体" w:cs="宋体" w:eastAsia="宋体" w:hint="default"/>
                <w:sz w:val="18"/>
                <w:szCs w:val="18"/>
              </w:rPr>
              <w:t>广西驿途信息科技有 限公司</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800"/>
        </w:sectPr>
      </w:pPr>
    </w:p>
    <w:p>
      <w:pPr>
        <w:spacing w:line="240" w:lineRule="auto" w:before="12"/>
        <w:rPr>
          <w:rFonts w:ascii="宋体" w:hAnsi="宋体" w:cs="宋体" w:eastAsia="宋体" w:hint="default"/>
          <w:sz w:val="27"/>
          <w:szCs w:val="27"/>
        </w:rPr>
      </w:pPr>
    </w:p>
    <w:p>
      <w:pPr>
        <w:spacing w:line="753" w:lineRule="exact"/>
        <w:ind w:left="132"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94.2pt;height:37.7pt;mso-position-horizontal-relative:char;mso-position-vertical-relative:line" coordorigin="0,0" coordsize="9884,754">
            <v:group style="position:absolute;left:7;top:739;width:684;height:2" coordorigin="7,739" coordsize="684,2">
              <v:shape style="position:absolute;left:7;top:739;width:684;height:2" coordorigin="7,739" coordsize="684,0" path="m7,739l691,739e" filled="false" stroked="true" strokeweight=".72003pt" strokecolor="#000000">
                <v:path arrowok="t"/>
              </v:shape>
            </v:group>
            <v:group style="position:absolute;left:698;top:7;width:2;height:740" coordorigin="698,7" coordsize="2,740">
              <v:shape style="position:absolute;left:698;top:7;width:2;height:740" coordorigin="698,7" coordsize="0,740" path="m698,7l698,746e" filled="false" stroked="true" strokeweight=".72pt" strokecolor="#000000">
                <v:path arrowok="t"/>
              </v:shape>
            </v:group>
            <v:group style="position:absolute;left:706;top:739;width:3530;height:2" coordorigin="706,739" coordsize="3530,2">
              <v:shape style="position:absolute;left:706;top:739;width:3530;height:2" coordorigin="706,739" coordsize="3530,0" path="m706,739l4235,739e" filled="false" stroked="true" strokeweight=".72003pt" strokecolor="#000000">
                <v:path arrowok="t"/>
              </v:shape>
            </v:group>
            <v:group style="position:absolute;left:4242;top:7;width:2;height:740" coordorigin="4242,7" coordsize="2,740">
              <v:shape style="position:absolute;left:4242;top:7;width:2;height:740" coordorigin="4242,7" coordsize="0,740" path="m4242,7l4242,746e" filled="false" stroked="true" strokeweight=".72pt" strokecolor="#000000">
                <v:path arrowok="t"/>
              </v:shape>
            </v:group>
            <v:group style="position:absolute;left:4249;top:739;width:791;height:2" coordorigin="4249,739" coordsize="791,2">
              <v:shape style="position:absolute;left:4249;top:739;width:791;height:2" coordorigin="4249,739" coordsize="791,0" path="m4249,739l5040,739e" filled="false" stroked="true" strokeweight=".72003pt" strokecolor="#000000">
                <v:path arrowok="t"/>
              </v:shape>
            </v:group>
            <v:group style="position:absolute;left:5047;top:7;width:2;height:740" coordorigin="5047,7" coordsize="2,740">
              <v:shape style="position:absolute;left:5047;top:7;width:2;height:740" coordorigin="5047,7" coordsize="0,740" path="m5047,7l5047,746e" filled="false" stroked="true" strokeweight=".72pt" strokecolor="#000000">
                <v:path arrowok="t"/>
              </v:shape>
            </v:group>
            <v:group style="position:absolute;left:5054;top:739;width:1661;height:2" coordorigin="5054,739" coordsize="1661,2">
              <v:shape style="position:absolute;left:5054;top:739;width:1661;height:2" coordorigin="5054,739" coordsize="1661,0" path="m5054,739l6715,739e" filled="false" stroked="true" strokeweight=".72003pt" strokecolor="#000000">
                <v:path arrowok="t"/>
              </v:shape>
            </v:group>
            <v:group style="position:absolute;left:6722;top:7;width:2;height:740" coordorigin="6722,7" coordsize="2,740">
              <v:shape style="position:absolute;left:6722;top:7;width:2;height:740" coordorigin="6722,7" coordsize="0,740" path="m6722,7l6722,746e" filled="false" stroked="true" strokeweight=".72pt" strokecolor="#000000">
                <v:path arrowok="t"/>
              </v:shape>
            </v:group>
            <v:group style="position:absolute;left:6730;top:739;width:1450;height:2" coordorigin="6730,739" coordsize="1450,2">
              <v:shape style="position:absolute;left:6730;top:739;width:1450;height:2" coordorigin="6730,739" coordsize="1450,0" path="m6730,739l8179,739e" filled="false" stroked="true" strokeweight=".72003pt" strokecolor="#000000">
                <v:path arrowok="t"/>
              </v:shape>
            </v:group>
            <v:group style="position:absolute;left:8186;top:7;width:2;height:740" coordorigin="8186,7" coordsize="2,740">
              <v:shape style="position:absolute;left:8186;top:7;width:2;height:740" coordorigin="8186,7" coordsize="0,740" path="m8186,7l8186,746e" filled="false" stroked="true" strokeweight=".72pt" strokecolor="#000000">
                <v:path arrowok="t"/>
              </v:shape>
            </v:group>
            <v:group style="position:absolute;left:8194;top:739;width:1676;height:2" coordorigin="8194,739" coordsize="1676,2">
              <v:shape style="position:absolute;left:8194;top:739;width:1676;height:2" coordorigin="8194,739" coordsize="1676,0" path="m8194,739l9869,739e" filled="false" stroked="true" strokeweight=".72003pt" strokecolor="#000000">
                <v:path arrowok="t"/>
              </v:shape>
            </v:group>
            <v:group style="position:absolute;left:9876;top:7;width:2;height:740" coordorigin="9876,7" coordsize="2,740">
              <v:shape style="position:absolute;left:9876;top:7;width:2;height:740" coordorigin="9876,7" coordsize="0,740" path="m9876,7l9876,746e" filled="false" stroked="true" strokeweight=".72003pt" strokecolor="#000000">
                <v:path arrowok="t"/>
              </v:shape>
              <v:shape style="position:absolute;left:270;top:124;width:2235;height:190" type="#_x0000_t202" filled="false" stroked="false">
                <v:textbox inset="0,0,0,0">
                  <w:txbxContent>
                    <w:p>
                      <w:pPr>
                        <w:tabs>
                          <w:tab w:pos="439" w:val="left" w:leader="none"/>
                        </w:tabs>
                        <w:spacing w:line="190" w:lineRule="exact" w:before="0"/>
                        <w:ind w:left="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tab/>
                      </w:r>
                      <w:r>
                        <w:rPr>
                          <w:rFonts w:ascii="宋体" w:hAnsi="宋体" w:cs="宋体" w:eastAsia="宋体" w:hint="default"/>
                          <w:sz w:val="18"/>
                          <w:szCs w:val="18"/>
                        </w:rPr>
                        <w:t>汇巨经营分析系统</w:t>
                      </w:r>
                      <w:r>
                        <w:rPr>
                          <w:rFonts w:ascii="Times New Roman" w:hAnsi="Times New Roman" w:cs="Times New Roman" w:eastAsia="Times New Roman" w:hint="default"/>
                          <w:sz w:val="18"/>
                          <w:szCs w:val="18"/>
                        </w:rPr>
                        <w:t>V1.0</w:t>
                      </w:r>
                    </w:p>
                  </w:txbxContent>
                </v:textbox>
                <w10:wrap type="none"/>
              </v:shape>
              <v:shape style="position:absolute;left:4505;top:131;width:35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5"/>
                          <w:sz w:val="18"/>
                        </w:rPr>
                        <w:t>V1.0</w:t>
                      </w:r>
                    </w:p>
                  </w:txbxContent>
                </v:textbox>
                <w10:wrap type="none"/>
              </v:shape>
              <v:shape style="position:absolute;left:5325;top:131;width:11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2012SR064972</w:t>
                      </w:r>
                    </w:p>
                  </w:txbxContent>
                </v:textbox>
                <w10:wrap type="none"/>
              </v:shape>
              <v:shape style="position:absolute;left:6870;top:124;width:2946;height:494"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宋体" w:hAnsi="宋体" w:cs="宋体" w:eastAsia="宋体" w:hint="default"/>
                          <w:spacing w:val="66"/>
                          <w:sz w:val="18"/>
                          <w:szCs w:val="18"/>
                        </w:rPr>
                        <w:t> </w:t>
                      </w:r>
                      <w:r>
                        <w:rPr>
                          <w:rFonts w:ascii="宋体" w:hAnsi="宋体" w:cs="宋体" w:eastAsia="宋体" w:hint="default"/>
                          <w:sz w:val="18"/>
                          <w:szCs w:val="18"/>
                        </w:rPr>
                        <w:t>深圳市汇巨信息技术</w:t>
                      </w:r>
                    </w:p>
                    <w:p>
                      <w:pPr>
                        <w:spacing w:before="64"/>
                        <w:ind w:left="1326"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sz w:val="23"/>
          <w:szCs w:val="23"/>
        </w:rPr>
      </w:pPr>
    </w:p>
    <w:p>
      <w:pPr>
        <w:pStyle w:val="BodyText"/>
        <w:spacing w:line="338" w:lineRule="auto"/>
        <w:ind w:left="513" w:right="2931"/>
        <w:jc w:val="left"/>
      </w:pPr>
      <w:r>
        <w:rPr/>
        <w:t>（</w:t>
      </w:r>
      <w:r>
        <w:rPr>
          <w:rFonts w:ascii="Times New Roman" w:hAnsi="Times New Roman" w:cs="Times New Roman" w:eastAsia="Times New Roman" w:hint="default"/>
        </w:rPr>
        <w:t>2</w:t>
      </w:r>
      <w:r>
        <w:rPr/>
        <w:t>）软件产品登记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日，子公司共取得</w:t>
      </w:r>
      <w:r>
        <w:rPr>
          <w:rFonts w:ascii="Times New Roman" w:hAnsi="Times New Roman" w:cs="Times New Roman" w:eastAsia="Times New Roman" w:hint="default"/>
        </w:rPr>
        <w:t>31</w:t>
      </w:r>
      <w:r>
        <w:rPr/>
        <w:t>项产品登记证书，其中</w:t>
      </w:r>
      <w:r>
        <w:rPr>
          <w:rFonts w:ascii="Times New Roman" w:hAnsi="Times New Roman" w:cs="Times New Roman" w:eastAsia="Times New Roman" w:hint="default"/>
        </w:rPr>
        <w:t>2012</w:t>
      </w:r>
      <w:r>
        <w:rPr/>
        <w:t>年新增的如下表：</w:t>
      </w:r>
    </w:p>
    <w:tbl>
      <w:tblPr>
        <w:tblW w:w="0" w:type="auto"/>
        <w:jc w:val="left"/>
        <w:tblInd w:w="146" w:type="dxa"/>
        <w:tblLayout w:type="fixed"/>
        <w:tblCellMar>
          <w:top w:w="0" w:type="dxa"/>
          <w:left w:w="0" w:type="dxa"/>
          <w:bottom w:w="0" w:type="dxa"/>
          <w:right w:w="0" w:type="dxa"/>
        </w:tblCellMar>
        <w:tblLook w:val="01E0"/>
      </w:tblPr>
      <w:tblGrid>
        <w:gridCol w:w="671"/>
        <w:gridCol w:w="2981"/>
        <w:gridCol w:w="866"/>
        <w:gridCol w:w="1924"/>
        <w:gridCol w:w="1956"/>
        <w:gridCol w:w="1457"/>
      </w:tblGrid>
      <w:tr>
        <w:trPr>
          <w:trHeight w:val="338" w:hRule="exact"/>
        </w:trPr>
        <w:tc>
          <w:tcPr>
            <w:tcW w:w="671" w:type="dxa"/>
            <w:tcBorders>
              <w:top w:val="nil" w:sz="6" w:space="0" w:color="auto"/>
              <w:left w:val="nil" w:sz="6" w:space="0" w:color="auto"/>
              <w:bottom w:val="single" w:sz="6" w:space="0" w:color="000000"/>
              <w:right w:val="single" w:sz="6" w:space="0" w:color="000000"/>
            </w:tcBorders>
            <w:shd w:val="clear" w:color="auto" w:fill="D9D9D9"/>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981"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866"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92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20"/>
              <w:ind w:right="230"/>
              <w:jc w:val="right"/>
              <w:rPr>
                <w:rFonts w:ascii="宋体" w:hAnsi="宋体" w:cs="宋体" w:eastAsia="宋体" w:hint="default"/>
                <w:sz w:val="18"/>
                <w:szCs w:val="18"/>
              </w:rPr>
            </w:pPr>
            <w:r>
              <w:rPr>
                <w:rFonts w:ascii="宋体" w:hAnsi="宋体" w:cs="宋体" w:eastAsia="宋体" w:hint="default"/>
                <w:b/>
                <w:bCs/>
                <w:w w:val="95"/>
                <w:sz w:val="18"/>
                <w:szCs w:val="18"/>
              </w:rPr>
              <w:t>产品登记证书编号</w:t>
            </w:r>
            <w:r>
              <w:rPr>
                <w:rFonts w:ascii="宋体" w:hAnsi="宋体" w:cs="宋体" w:eastAsia="宋体" w:hint="default"/>
                <w:sz w:val="18"/>
                <w:szCs w:val="18"/>
              </w:rPr>
            </w:r>
          </w:p>
        </w:tc>
        <w:tc>
          <w:tcPr>
            <w:tcW w:w="1956"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c>
          <w:tcPr>
            <w:tcW w:w="1457"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649" w:hRule="exact"/>
        </w:trPr>
        <w:tc>
          <w:tcPr>
            <w:tcW w:w="6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7" w:right="0"/>
              <w:jc w:val="center"/>
              <w:rPr>
                <w:rFonts w:ascii="Times New Roman" w:hAnsi="Times New Roman" w:cs="Times New Roman" w:eastAsia="Times New Roman" w:hint="default"/>
                <w:sz w:val="20"/>
                <w:szCs w:val="20"/>
              </w:rPr>
            </w:pPr>
            <w:r>
              <w:rPr>
                <w:rFonts w:ascii="Times New Roman"/>
                <w:w w:val="100"/>
                <w:sz w:val="20"/>
              </w:rPr>
              <w:t>1</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 w:right="0"/>
              <w:jc w:val="left"/>
              <w:rPr>
                <w:rFonts w:ascii="宋体" w:hAnsi="宋体" w:cs="宋体" w:eastAsia="宋体" w:hint="default"/>
                <w:sz w:val="20"/>
                <w:szCs w:val="20"/>
              </w:rPr>
            </w:pPr>
            <w:r>
              <w:rPr>
                <w:rFonts w:ascii="宋体" w:hAnsi="宋体" w:cs="宋体" w:eastAsia="宋体" w:hint="default"/>
                <w:sz w:val="20"/>
                <w:szCs w:val="20"/>
              </w:rPr>
              <w:t>天缘迪柯研判分析平台软件</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V1.0</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69"/>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沪</w:t>
            </w:r>
            <w:r>
              <w:rPr>
                <w:rFonts w:ascii="Times New Roman" w:hAnsi="Times New Roman" w:cs="Times New Roman" w:eastAsia="Times New Roman" w:hint="default"/>
                <w:spacing w:val="-1"/>
                <w:sz w:val="20"/>
                <w:szCs w:val="20"/>
              </w:rPr>
              <w:t>DGY-2012-1022</w:t>
            </w:r>
            <w:r>
              <w:rPr>
                <w:rFonts w:ascii="Times New Roman" w:hAnsi="Times New Roman" w:cs="Times New Roman" w:eastAsia="Times New Roman" w:hint="default"/>
                <w:sz w:val="20"/>
                <w:szCs w:val="20"/>
              </w:rPr>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 w:right="36"/>
              <w:jc w:val="left"/>
              <w:rPr>
                <w:rFonts w:ascii="宋体" w:hAnsi="宋体" w:cs="宋体" w:eastAsia="宋体" w:hint="default"/>
                <w:sz w:val="20"/>
                <w:szCs w:val="20"/>
              </w:rPr>
            </w:pPr>
            <w:r>
              <w:rPr>
                <w:rFonts w:ascii="宋体" w:hAnsi="宋体" w:cs="宋体" w:eastAsia="宋体" w:hint="default"/>
                <w:sz w:val="20"/>
                <w:szCs w:val="20"/>
              </w:rPr>
              <w:t>上海天缘迪柯信</w:t>
            </w:r>
            <w:r>
              <w:rPr>
                <w:rFonts w:ascii="宋体" w:hAnsi="宋体" w:cs="宋体" w:eastAsia="宋体" w:hint="default"/>
                <w:w w:val="100"/>
                <w:sz w:val="20"/>
                <w:szCs w:val="20"/>
              </w:rPr>
              <w:t> </w:t>
            </w:r>
            <w:r>
              <w:rPr>
                <w:rFonts w:ascii="宋体" w:hAnsi="宋体" w:cs="宋体" w:eastAsia="宋体" w:hint="default"/>
                <w:sz w:val="20"/>
                <w:szCs w:val="20"/>
              </w:rPr>
              <w:t>息技术有限公司</w:t>
            </w:r>
          </w:p>
        </w:tc>
      </w:tr>
      <w:tr>
        <w:trPr>
          <w:trHeight w:val="649" w:hRule="exact"/>
        </w:trPr>
        <w:tc>
          <w:tcPr>
            <w:tcW w:w="6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7" w:right="0"/>
              <w:jc w:val="center"/>
              <w:rPr>
                <w:rFonts w:ascii="Times New Roman" w:hAnsi="Times New Roman" w:cs="Times New Roman" w:eastAsia="Times New Roman" w:hint="default"/>
                <w:sz w:val="20"/>
                <w:szCs w:val="20"/>
              </w:rPr>
            </w:pPr>
            <w:r>
              <w:rPr>
                <w:rFonts w:ascii="Times New Roman"/>
                <w:w w:val="100"/>
                <w:sz w:val="20"/>
              </w:rPr>
              <w:t>2</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 w:right="160"/>
              <w:jc w:val="left"/>
              <w:rPr>
                <w:rFonts w:ascii="宋体" w:hAnsi="宋体" w:cs="宋体" w:eastAsia="宋体" w:hint="default"/>
                <w:sz w:val="20"/>
                <w:szCs w:val="20"/>
              </w:rPr>
            </w:pPr>
            <w:r>
              <w:rPr>
                <w:rFonts w:ascii="宋体" w:hAnsi="宋体" w:cs="宋体" w:eastAsia="宋体" w:hint="default"/>
                <w:sz w:val="20"/>
                <w:szCs w:val="20"/>
              </w:rPr>
              <w:t>天缘迪柯海关执法评估信息管理</w:t>
            </w:r>
            <w:r>
              <w:rPr>
                <w:rFonts w:ascii="宋体" w:hAnsi="宋体" w:cs="宋体" w:eastAsia="宋体" w:hint="default"/>
                <w:w w:val="100"/>
                <w:sz w:val="20"/>
                <w:szCs w:val="20"/>
              </w:rPr>
              <w:t> </w:t>
            </w:r>
            <w:r>
              <w:rPr>
                <w:rFonts w:ascii="宋体" w:hAnsi="宋体" w:cs="宋体" w:eastAsia="宋体" w:hint="default"/>
                <w:sz w:val="20"/>
                <w:szCs w:val="20"/>
              </w:rPr>
              <w:t>软件</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V1.0</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69"/>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沪</w:t>
            </w:r>
            <w:r>
              <w:rPr>
                <w:rFonts w:ascii="Times New Roman" w:hAnsi="Times New Roman" w:cs="Times New Roman" w:eastAsia="Times New Roman" w:hint="default"/>
                <w:spacing w:val="-1"/>
                <w:sz w:val="20"/>
                <w:szCs w:val="20"/>
              </w:rPr>
              <w:t>DGY-2012-1023</w:t>
            </w:r>
            <w:r>
              <w:rPr>
                <w:rFonts w:ascii="Times New Roman" w:hAnsi="Times New Roman" w:cs="Times New Roman" w:eastAsia="Times New Roman" w:hint="default"/>
                <w:sz w:val="20"/>
                <w:szCs w:val="20"/>
              </w:rPr>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 w:right="36"/>
              <w:jc w:val="left"/>
              <w:rPr>
                <w:rFonts w:ascii="宋体" w:hAnsi="宋体" w:cs="宋体" w:eastAsia="宋体" w:hint="default"/>
                <w:sz w:val="20"/>
                <w:szCs w:val="20"/>
              </w:rPr>
            </w:pPr>
            <w:r>
              <w:rPr>
                <w:rFonts w:ascii="宋体" w:hAnsi="宋体" w:cs="宋体" w:eastAsia="宋体" w:hint="default"/>
                <w:sz w:val="20"/>
                <w:szCs w:val="20"/>
              </w:rPr>
              <w:t>上海天缘迪柯信</w:t>
            </w:r>
            <w:r>
              <w:rPr>
                <w:rFonts w:ascii="宋体" w:hAnsi="宋体" w:cs="宋体" w:eastAsia="宋体" w:hint="default"/>
                <w:w w:val="100"/>
                <w:sz w:val="20"/>
                <w:szCs w:val="20"/>
              </w:rPr>
              <w:t> </w:t>
            </w:r>
            <w:r>
              <w:rPr>
                <w:rFonts w:ascii="宋体" w:hAnsi="宋体" w:cs="宋体" w:eastAsia="宋体" w:hint="default"/>
                <w:sz w:val="20"/>
                <w:szCs w:val="20"/>
              </w:rPr>
              <w:t>息技术有限公司</w:t>
            </w:r>
          </w:p>
        </w:tc>
      </w:tr>
      <w:tr>
        <w:trPr>
          <w:trHeight w:val="649" w:hRule="exact"/>
        </w:trPr>
        <w:tc>
          <w:tcPr>
            <w:tcW w:w="6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7" w:right="0"/>
              <w:jc w:val="center"/>
              <w:rPr>
                <w:rFonts w:ascii="Times New Roman" w:hAnsi="Times New Roman" w:cs="Times New Roman" w:eastAsia="Times New Roman" w:hint="default"/>
                <w:sz w:val="20"/>
                <w:szCs w:val="20"/>
              </w:rPr>
            </w:pPr>
            <w:r>
              <w:rPr>
                <w:rFonts w:ascii="Times New Roman"/>
                <w:w w:val="100"/>
                <w:sz w:val="20"/>
              </w:rPr>
              <w:t>3</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 w:right="0"/>
              <w:jc w:val="left"/>
              <w:rPr>
                <w:rFonts w:ascii="宋体" w:hAnsi="宋体" w:cs="宋体" w:eastAsia="宋体" w:hint="default"/>
                <w:sz w:val="20"/>
                <w:szCs w:val="20"/>
              </w:rPr>
            </w:pPr>
            <w:r>
              <w:rPr>
                <w:rFonts w:ascii="宋体" w:hAnsi="宋体" w:cs="宋体" w:eastAsia="宋体" w:hint="default"/>
                <w:sz w:val="20"/>
                <w:szCs w:val="20"/>
              </w:rPr>
              <w:t>天缘迪柯安全信息比对平台软件</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V1.0</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69"/>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沪</w:t>
            </w:r>
            <w:r>
              <w:rPr>
                <w:rFonts w:ascii="Times New Roman" w:hAnsi="Times New Roman" w:cs="Times New Roman" w:eastAsia="Times New Roman" w:hint="default"/>
                <w:spacing w:val="-1"/>
                <w:sz w:val="20"/>
                <w:szCs w:val="20"/>
              </w:rPr>
              <w:t>DGY-2012-1024</w:t>
            </w:r>
            <w:r>
              <w:rPr>
                <w:rFonts w:ascii="Times New Roman" w:hAnsi="Times New Roman" w:cs="Times New Roman" w:eastAsia="Times New Roman" w:hint="default"/>
                <w:sz w:val="20"/>
                <w:szCs w:val="20"/>
              </w:rPr>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 w:right="36"/>
              <w:jc w:val="left"/>
              <w:rPr>
                <w:rFonts w:ascii="宋体" w:hAnsi="宋体" w:cs="宋体" w:eastAsia="宋体" w:hint="default"/>
                <w:sz w:val="20"/>
                <w:szCs w:val="20"/>
              </w:rPr>
            </w:pPr>
            <w:r>
              <w:rPr>
                <w:rFonts w:ascii="宋体" w:hAnsi="宋体" w:cs="宋体" w:eastAsia="宋体" w:hint="default"/>
                <w:sz w:val="20"/>
                <w:szCs w:val="20"/>
              </w:rPr>
              <w:t>上海天缘迪柯信</w:t>
            </w:r>
            <w:r>
              <w:rPr>
                <w:rFonts w:ascii="宋体" w:hAnsi="宋体" w:cs="宋体" w:eastAsia="宋体" w:hint="default"/>
                <w:w w:val="100"/>
                <w:sz w:val="20"/>
                <w:szCs w:val="20"/>
              </w:rPr>
              <w:t> </w:t>
            </w:r>
            <w:r>
              <w:rPr>
                <w:rFonts w:ascii="宋体" w:hAnsi="宋体" w:cs="宋体" w:eastAsia="宋体" w:hint="default"/>
                <w:sz w:val="20"/>
                <w:szCs w:val="20"/>
              </w:rPr>
              <w:t>息技术有限公司</w:t>
            </w:r>
          </w:p>
        </w:tc>
      </w:tr>
      <w:tr>
        <w:trPr>
          <w:trHeight w:val="649" w:hRule="exact"/>
        </w:trPr>
        <w:tc>
          <w:tcPr>
            <w:tcW w:w="6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7" w:right="0"/>
              <w:jc w:val="center"/>
              <w:rPr>
                <w:rFonts w:ascii="Times New Roman" w:hAnsi="Times New Roman" w:cs="Times New Roman" w:eastAsia="Times New Roman" w:hint="default"/>
                <w:sz w:val="20"/>
                <w:szCs w:val="20"/>
              </w:rPr>
            </w:pPr>
            <w:r>
              <w:rPr>
                <w:rFonts w:ascii="Times New Roman"/>
                <w:w w:val="100"/>
                <w:sz w:val="20"/>
              </w:rPr>
              <w:t>4</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0"/>
                <w:szCs w:val="20"/>
              </w:rPr>
            </w:pPr>
            <w:r>
              <w:rPr>
                <w:rFonts w:ascii="宋体" w:hAnsi="宋体" w:cs="宋体" w:eastAsia="宋体" w:hint="default"/>
                <w:sz w:val="20"/>
                <w:szCs w:val="20"/>
              </w:rPr>
              <w:t>汇巨业务运营支撑（</w:t>
            </w:r>
            <w:r>
              <w:rPr>
                <w:rFonts w:ascii="Times New Roman" w:hAnsi="Times New Roman" w:cs="Times New Roman" w:eastAsia="Times New Roman" w:hint="default"/>
                <w:sz w:val="20"/>
                <w:szCs w:val="20"/>
              </w:rPr>
              <w:t>BOSS</w:t>
            </w:r>
            <w:r>
              <w:rPr>
                <w:rFonts w:ascii="宋体" w:hAnsi="宋体" w:cs="宋体" w:eastAsia="宋体" w:hint="default"/>
                <w:sz w:val="20"/>
                <w:szCs w:val="20"/>
              </w:rPr>
              <w:t>）软件</w:t>
            </w:r>
          </w:p>
          <w:p>
            <w:pPr>
              <w:pStyle w:val="TableParagraph"/>
              <w:spacing w:line="240" w:lineRule="auto" w:before="81"/>
              <w:ind w:left="3" w:right="0"/>
              <w:jc w:val="left"/>
              <w:rPr>
                <w:rFonts w:ascii="Times New Roman" w:hAnsi="Times New Roman" w:cs="Times New Roman" w:eastAsia="Times New Roman" w:hint="default"/>
                <w:sz w:val="20"/>
                <w:szCs w:val="20"/>
              </w:rPr>
            </w:pPr>
            <w:r>
              <w:rPr>
                <w:rFonts w:ascii="Times New Roman"/>
                <w:sz w:val="20"/>
              </w:rPr>
              <w:t>V3.0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V3.0</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69"/>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深</w:t>
            </w:r>
            <w:r>
              <w:rPr>
                <w:rFonts w:ascii="Times New Roman" w:hAnsi="Times New Roman" w:cs="Times New Roman" w:eastAsia="Times New Roman" w:hint="default"/>
                <w:spacing w:val="-1"/>
                <w:sz w:val="20"/>
                <w:szCs w:val="20"/>
              </w:rPr>
              <w:t>DGY-2007-1046</w:t>
            </w:r>
            <w:r>
              <w:rPr>
                <w:rFonts w:ascii="Times New Roman" w:hAnsi="Times New Roman" w:cs="Times New Roman" w:eastAsia="Times New Roman" w:hint="default"/>
                <w:sz w:val="20"/>
                <w:szCs w:val="20"/>
              </w:rPr>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 w:right="36"/>
              <w:jc w:val="left"/>
              <w:rPr>
                <w:rFonts w:ascii="宋体" w:hAnsi="宋体" w:cs="宋体" w:eastAsia="宋体" w:hint="default"/>
                <w:sz w:val="20"/>
                <w:szCs w:val="20"/>
              </w:rPr>
            </w:pPr>
            <w:r>
              <w:rPr>
                <w:rFonts w:ascii="宋体" w:hAnsi="宋体" w:cs="宋体" w:eastAsia="宋体" w:hint="default"/>
                <w:sz w:val="20"/>
                <w:szCs w:val="20"/>
              </w:rPr>
              <w:t>深圳市汇巨信息</w:t>
            </w:r>
            <w:r>
              <w:rPr>
                <w:rFonts w:ascii="宋体" w:hAnsi="宋体" w:cs="宋体" w:eastAsia="宋体" w:hint="default"/>
                <w:w w:val="100"/>
                <w:sz w:val="20"/>
                <w:szCs w:val="20"/>
              </w:rPr>
              <w:t> </w:t>
            </w:r>
            <w:r>
              <w:rPr>
                <w:rFonts w:ascii="宋体" w:hAnsi="宋体" w:cs="宋体" w:eastAsia="宋体" w:hint="default"/>
                <w:sz w:val="20"/>
                <w:szCs w:val="20"/>
              </w:rPr>
              <w:t>技术有限公司</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5"/>
        <w:spacing w:line="240" w:lineRule="auto" w:before="35"/>
        <w:ind w:right="24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4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75,999.61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18,339.55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69,754.32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年度公司投入募投资金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18,339.55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日，公司累计投资募投资金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69,754.32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万元，剩余未使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用募投资金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8,424.20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万元（包含利息收入扣除手续费净额</w:t>
            </w:r>
            <w:r>
              <w:rPr>
                <w:rFonts w:ascii="宋体" w:hAnsi="宋体" w:cs="宋体" w:eastAsia="宋体" w:hint="default"/>
                <w:spacing w:val="-90"/>
                <w:sz w:val="18"/>
                <w:szCs w:val="18"/>
              </w:rPr>
              <w:t>）</w:t>
            </w:r>
            <w:r>
              <w:rPr>
                <w:rFonts w:ascii="宋体" w:hAnsi="宋体" w:cs="宋体" w:eastAsia="宋体" w:hint="default"/>
                <w:sz w:val="18"/>
                <w:szCs w:val="18"/>
              </w:rPr>
              <w:t>，主要以定期存单和通知存款的方式存在。</w:t>
            </w:r>
          </w:p>
        </w:tc>
      </w:tr>
    </w:tbl>
    <w:p>
      <w:pPr>
        <w:spacing w:line="240" w:lineRule="auto" w:before="2"/>
        <w:rPr>
          <w:rFonts w:ascii="宋体" w:hAnsi="宋体" w:cs="宋体" w:eastAsia="宋体" w:hint="default"/>
          <w:sz w:val="19"/>
          <w:szCs w:val="19"/>
        </w:rPr>
      </w:pPr>
    </w:p>
    <w:p>
      <w:pPr>
        <w:pStyle w:val="Heading5"/>
        <w:spacing w:line="240" w:lineRule="auto" w:before="35"/>
        <w:ind w:right="24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融合计费系统项目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4,827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4,827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666.97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4,827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1,198.53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企业智能决策支持平 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1,171.71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客户关系管理系统项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4,411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4,411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4,410.92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基于构架和构件库的</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电信业务中间件平台</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2,671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2,671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440.8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2,671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663.2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新一代电信运营支撑 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1,329.13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情报线索分析系统项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26,013.92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5,925.12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新建北京研发中心</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5,700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5,700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406.82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5,700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收购广州易杰股权</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13,009.3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13,009.3</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6,680.13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12,421.9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95.48%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410.05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合肥研发基地</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6,757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10,505.89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87.55%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上海子公司增资</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1,200</w:t>
            </w: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1,200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472.43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收购深圳汇巨股权</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1,200</w:t>
            </w: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1,200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增资深圳汇巨公司</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2,640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2,640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840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2,640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31.04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收购广州易星公司股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设立北京子公司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收购金华威股权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3,082.61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3,082.61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3,082.61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45,821.91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45,821.91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14,973.95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43,740.4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1,780.35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71,835.91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71,835.91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69,754.32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7,705.47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本期累计已用超募资金归还银行短期借款和保理贷款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购置北京研发中心办公楼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万元，支付股权收购款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14,611.90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万元，北京及上海子公司设立及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万元，汇巨公司增资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万元，支付合肥研发基地基建费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10,505.89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尚未使用募集资金存放于公司募集资金专户</w:t>
            </w:r>
            <w:r>
              <w:rPr>
                <w:rFonts w:ascii="Times New Roman" w:hAnsi="Times New Roman" w:cs="Times New Roman" w:eastAsia="Times New Roman" w:hint="default"/>
                <w:sz w:val="18"/>
                <w:szCs w:val="18"/>
              </w:rPr>
              <w:t>,</w:t>
            </w:r>
            <w:r>
              <w:rPr>
                <w:rFonts w:ascii="宋体" w:hAnsi="宋体" w:cs="宋体" w:eastAsia="宋体" w:hint="default"/>
                <w:sz w:val="18"/>
                <w:szCs w:val="18"/>
              </w:rPr>
              <w:t>尚未规定用途的超额募集资金将根据公司发展规划用 于公司主营业务，在实际使用超募资金前，履行相应的董事会或股东大会审议程序，并及时披露。</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公司募集资金使用与管理信息披露真实、及时、准确、完整，不存在违规情形。</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5" w:right="0"/>
        <w:jc w:val="left"/>
      </w:pPr>
      <w:r>
        <w:rPr/>
        <w:t>报告期内，公司无单个子公司的投资收益对公司净利润影响达到</w:t>
      </w:r>
      <w:r>
        <w:rPr>
          <w:rFonts w:ascii="Times New Roman" w:hAnsi="Times New Roman" w:cs="Times New Roman" w:eastAsia="Times New Roman" w:hint="default"/>
        </w:rPr>
        <w:t>10%</w:t>
      </w:r>
      <w:r>
        <w:rPr/>
        <w:t>以上（含</w:t>
      </w:r>
      <w:r>
        <w:rPr>
          <w:rFonts w:ascii="Times New Roman" w:hAnsi="Times New Roman" w:cs="Times New Roman" w:eastAsia="Times New Roman" w:hint="default"/>
        </w:rPr>
        <w:t>10%</w:t>
      </w:r>
      <w:r>
        <w:rPr/>
        <w:t>），且全部子公司均为与公司主业相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关联的公司。截至报告期末，公司的主要投资情况如下：</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804"/>
        <w:gridCol w:w="3694"/>
        <w:gridCol w:w="1794"/>
        <w:gridCol w:w="229"/>
        <w:gridCol w:w="2977"/>
      </w:tblGrid>
      <w:tr>
        <w:trPr>
          <w:trHeight w:val="422" w:hRule="exact"/>
        </w:trPr>
        <w:tc>
          <w:tcPr>
            <w:tcW w:w="9498"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0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37"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59" w:right="0"/>
              <w:jc w:val="left"/>
              <w:rPr>
                <w:rFonts w:ascii="宋体" w:hAnsi="宋体" w:cs="宋体" w:eastAsia="宋体" w:hint="default"/>
                <w:sz w:val="18"/>
                <w:szCs w:val="18"/>
              </w:rPr>
            </w:pPr>
            <w:r>
              <w:rPr>
                <w:rFonts w:ascii="宋体" w:hAnsi="宋体" w:cs="宋体" w:eastAsia="宋体" w:hint="default"/>
                <w:b/>
                <w:bCs/>
                <w:sz w:val="18"/>
                <w:szCs w:val="18"/>
              </w:rPr>
              <w:t>天源迪科占股比例</w:t>
            </w:r>
            <w:r>
              <w:rPr>
                <w:rFonts w:ascii="宋体" w:hAnsi="宋体" w:cs="宋体" w:eastAsia="宋体" w:hint="default"/>
                <w:sz w:val="18"/>
                <w:szCs w:val="18"/>
              </w:rPr>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center"/>
              <w:rPr>
                <w:rFonts w:ascii="Times New Roman" w:hAnsi="Times New Roman" w:cs="Times New Roman" w:eastAsia="Times New Roman" w:hint="default"/>
                <w:sz w:val="18"/>
                <w:szCs w:val="18"/>
              </w:rPr>
            </w:pPr>
            <w:r>
              <w:rPr>
                <w:rFonts w:ascii="Times New Roman"/>
                <w:sz w:val="18"/>
              </w:rPr>
              <w:t>1</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20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center"/>
              <w:rPr>
                <w:rFonts w:ascii="Times New Roman" w:hAnsi="Times New Roman" w:cs="Times New Roman" w:eastAsia="Times New Roman" w:hint="default"/>
                <w:sz w:val="18"/>
                <w:szCs w:val="18"/>
              </w:rPr>
            </w:pPr>
            <w:r>
              <w:rPr>
                <w:rFonts w:ascii="Times New Roman"/>
                <w:sz w:val="18"/>
              </w:rPr>
              <w:t>2</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上海天缘迪柯信息技术有限公司</w:t>
            </w:r>
          </w:p>
        </w:tc>
        <w:tc>
          <w:tcPr>
            <w:tcW w:w="20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宋体" w:hAnsi="宋体" w:cs="宋体" w:eastAsia="宋体" w:hint="default"/>
                <w:sz w:val="18"/>
                <w:szCs w:val="18"/>
              </w:rPr>
              <w:t>万元</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w:t>
            </w:r>
          </w:p>
        </w:tc>
      </w:tr>
      <w:tr>
        <w:trPr>
          <w:trHeight w:val="426"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z w:val="18"/>
              </w:rPr>
              <w:t>3</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20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宋体" w:hAnsi="宋体" w:cs="宋体" w:eastAsia="宋体" w:hint="default"/>
                <w:sz w:val="18"/>
                <w:szCs w:val="18"/>
              </w:rPr>
              <w:t>万元</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100%</w:t>
            </w:r>
          </w:p>
        </w:tc>
      </w:tr>
      <w:tr>
        <w:trPr>
          <w:trHeight w:val="433" w:hRule="exact"/>
        </w:trPr>
        <w:tc>
          <w:tcPr>
            <w:tcW w:w="80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2"/>
              <w:ind w:right="8"/>
              <w:jc w:val="center"/>
              <w:rPr>
                <w:rFonts w:ascii="Times New Roman" w:hAnsi="Times New Roman" w:cs="Times New Roman" w:eastAsia="Times New Roman" w:hint="default"/>
                <w:sz w:val="18"/>
                <w:szCs w:val="18"/>
              </w:rPr>
            </w:pPr>
            <w:r>
              <w:rPr>
                <w:rFonts w:ascii="Times New Roman"/>
                <w:sz w:val="18"/>
              </w:rPr>
              <w:t>4</w:t>
            </w:r>
          </w:p>
        </w:tc>
        <w:tc>
          <w:tcPr>
            <w:tcW w:w="369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2023" w:type="dxa"/>
            <w:gridSpan w:val="2"/>
            <w:tcBorders>
              <w:top w:val="single" w:sz="6" w:space="0" w:color="000000"/>
              <w:left w:val="single" w:sz="6" w:space="0" w:color="000000"/>
              <w:bottom w:val="single" w:sz="10" w:space="0" w:color="000000"/>
              <w:right w:val="single" w:sz="6" w:space="0" w:color="000000"/>
            </w:tcBorders>
          </w:tcPr>
          <w:p>
            <w:pPr>
              <w:pStyle w:val="TableParagraph"/>
              <w:spacing w:line="240" w:lineRule="auto" w:before="62"/>
              <w:ind w:left="6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297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w:t>
            </w:r>
          </w:p>
        </w:tc>
      </w:tr>
      <w:tr>
        <w:trPr>
          <w:trHeight w:val="422" w:hRule="exact"/>
        </w:trPr>
        <w:tc>
          <w:tcPr>
            <w:tcW w:w="9498"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3" w:right="0"/>
              <w:jc w:val="left"/>
              <w:rPr>
                <w:rFonts w:ascii="宋体" w:hAnsi="宋体" w:cs="宋体" w:eastAsia="宋体" w:hint="default"/>
                <w:sz w:val="18"/>
                <w:szCs w:val="18"/>
              </w:rPr>
            </w:pPr>
            <w:r>
              <w:rPr>
                <w:rFonts w:ascii="宋体" w:hAnsi="宋体" w:cs="宋体" w:eastAsia="宋体" w:hint="default"/>
                <w:b/>
                <w:bCs/>
                <w:sz w:val="18"/>
                <w:szCs w:val="18"/>
              </w:rPr>
              <w:t>天源迪科占股比例</w:t>
            </w:r>
            <w:r>
              <w:rPr>
                <w:rFonts w:ascii="宋体" w:hAnsi="宋体" w:cs="宋体" w:eastAsia="宋体" w:hint="default"/>
                <w:sz w:val="18"/>
                <w:szCs w:val="18"/>
              </w:rPr>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80%</w:t>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1,700</w:t>
            </w:r>
            <w:r>
              <w:rPr>
                <w:rFonts w:ascii="宋体" w:hAnsi="宋体" w:cs="宋体" w:eastAsia="宋体" w:hint="default"/>
                <w:sz w:val="18"/>
                <w:szCs w:val="18"/>
              </w:rPr>
              <w:t>万元</w:t>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57.7%</w:t>
            </w:r>
          </w:p>
        </w:tc>
      </w:tr>
      <w:tr>
        <w:trPr>
          <w:trHeight w:val="426"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55%</w:t>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4</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561</w:t>
            </w:r>
            <w:r>
              <w:rPr>
                <w:rFonts w:ascii="宋体" w:hAnsi="宋体" w:cs="宋体" w:eastAsia="宋体" w:hint="default"/>
                <w:sz w:val="18"/>
                <w:szCs w:val="18"/>
              </w:rPr>
              <w:t>万元</w:t>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51%</w:t>
            </w:r>
          </w:p>
        </w:tc>
      </w:tr>
      <w:tr>
        <w:trPr>
          <w:trHeight w:val="427" w:hRule="exact"/>
        </w:trPr>
        <w:tc>
          <w:tcPr>
            <w:tcW w:w="9498"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参股公司</w:t>
            </w:r>
            <w:r>
              <w:rPr>
                <w:rFonts w:ascii="宋体" w:hAnsi="宋体" w:cs="宋体" w:eastAsia="宋体" w:hint="default"/>
                <w:sz w:val="18"/>
                <w:szCs w:val="18"/>
              </w:rPr>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3" w:right="0"/>
              <w:jc w:val="left"/>
              <w:rPr>
                <w:rFonts w:ascii="宋体" w:hAnsi="宋体" w:cs="宋体" w:eastAsia="宋体" w:hint="default"/>
                <w:sz w:val="18"/>
                <w:szCs w:val="18"/>
              </w:rPr>
            </w:pPr>
            <w:r>
              <w:rPr>
                <w:rFonts w:ascii="宋体" w:hAnsi="宋体" w:cs="宋体" w:eastAsia="宋体" w:hint="default"/>
                <w:b/>
                <w:bCs/>
                <w:sz w:val="18"/>
                <w:szCs w:val="18"/>
              </w:rPr>
              <w:t>天源迪科占股比例</w:t>
            </w:r>
            <w:r>
              <w:rPr>
                <w:rFonts w:ascii="宋体" w:hAnsi="宋体" w:cs="宋体" w:eastAsia="宋体" w:hint="default"/>
                <w:sz w:val="18"/>
                <w:szCs w:val="18"/>
              </w:rPr>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宋体" w:hAnsi="宋体" w:cs="宋体" w:eastAsia="宋体" w:hint="default"/>
                <w:sz w:val="18"/>
                <w:szCs w:val="18"/>
              </w:rPr>
              <w:t>万元</w:t>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w:t>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广州正道软件有限公司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1,051.05</w:t>
            </w:r>
            <w:r>
              <w:rPr>
                <w:rFonts w:ascii="宋体" w:hAnsi="宋体" w:cs="宋体" w:eastAsia="宋体" w:hint="default"/>
                <w:sz w:val="18"/>
                <w:szCs w:val="18"/>
              </w:rPr>
              <w:t>万元</w:t>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33%</w:t>
            </w:r>
          </w:p>
        </w:tc>
      </w:tr>
      <w:tr>
        <w:trPr>
          <w:trHeight w:val="427"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w:t>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56"/>
              <w:jc w:val="right"/>
              <w:rPr>
                <w:rFonts w:ascii="宋体" w:hAnsi="宋体" w:cs="宋体" w:eastAsia="宋体" w:hint="default"/>
                <w:sz w:val="18"/>
                <w:szCs w:val="18"/>
              </w:rPr>
            </w:pPr>
            <w:r>
              <w:rPr>
                <w:rFonts w:ascii="Times New Roman" w:hAnsi="Times New Roman" w:cs="Times New Roman" w:eastAsia="Times New Roman" w:hint="default"/>
                <w:sz w:val="18"/>
                <w:szCs w:val="18"/>
              </w:rPr>
              <w:t>233.33</w:t>
            </w:r>
            <w:r>
              <w:rPr>
                <w:rFonts w:ascii="宋体" w:hAnsi="宋体" w:cs="宋体" w:eastAsia="宋体" w:hint="default"/>
                <w:sz w:val="18"/>
                <w:szCs w:val="18"/>
              </w:rPr>
              <w:t>万元</w:t>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22.5%</w:t>
            </w:r>
          </w:p>
        </w:tc>
      </w:tr>
    </w:tbl>
    <w:p>
      <w:pPr>
        <w:spacing w:line="240" w:lineRule="auto" w:before="5"/>
        <w:rPr>
          <w:rFonts w:ascii="宋体" w:hAnsi="宋体" w:cs="宋体" w:eastAsia="宋体" w:hint="default"/>
          <w:sz w:val="27"/>
          <w:szCs w:val="27"/>
        </w:rPr>
      </w:pPr>
    </w:p>
    <w:p>
      <w:pPr>
        <w:pStyle w:val="BodyText"/>
        <w:spacing w:line="319" w:lineRule="auto"/>
        <w:ind w:right="0" w:firstLine="361"/>
        <w:jc w:val="left"/>
      </w:pPr>
      <w:r>
        <w:rPr>
          <w:spacing w:val="-2"/>
        </w:rPr>
        <w:t>天源迪科的全资子公司北京天源迪科信息技术有限公司、上海天缘迪柯信息技术有限公司、合肥天源迪科信息技术有限</w:t>
      </w:r>
      <w:r>
        <w:rPr/>
        <w:t> 公司、广州市易杰数码科技有限公司的具体情况如下：</w:t>
      </w:r>
    </w:p>
    <w:p>
      <w:pPr>
        <w:spacing w:line="338" w:lineRule="auto" w:before="56"/>
        <w:ind w:left="514" w:right="6428"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）北京天源迪科信息技术有限公司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p>
      <w:pPr>
        <w:pStyle w:val="BodyText"/>
        <w:spacing w:line="357" w:lineRule="auto" w:before="20"/>
        <w:ind w:left="514" w:right="0"/>
        <w:jc w:val="left"/>
        <w:rPr>
          <w:rFonts w:ascii="Times New Roman" w:hAnsi="Times New Roman" w:cs="Times New Roman" w:eastAsia="Times New Roman" w:hint="default"/>
        </w:rPr>
      </w:pPr>
      <w:r>
        <w:rPr/>
        <w:t>经营范围：计算机软硬件产品的研发；技术咨询、技术服务；销售自主研发的产品；计算机系统集成。 主营业务：电信运营商业务支撑系统、系统集成业务 </w:t>
      </w:r>
      <w:r>
        <w:rPr>
          <w:spacing w:val="-1"/>
        </w:rPr>
        <w:t>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日成立了北京天源迪科信息技术有限公司，经中瑞岳华会计师事务所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审计，截至</w:t>
      </w:r>
      <w:r>
        <w:rPr>
          <w:rFonts w:ascii="Times New Roman" w:hAnsi="Times New Roman" w:cs="Times New Roman" w:eastAsia="Times New Roman" w:hint="default"/>
          <w:spacing w:val="-1"/>
        </w:rPr>
        <w:t>2012</w:t>
      </w:r>
    </w:p>
    <w:p>
      <w:pPr>
        <w:pStyle w:val="BodyText"/>
        <w:spacing w:line="214" w:lineRule="exact" w:before="0"/>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日，北京天源迪科信息技术有限公司总资产 </w:t>
      </w:r>
      <w:r>
        <w:rPr>
          <w:rFonts w:ascii="Times New Roman" w:hAnsi="Times New Roman" w:cs="Times New Roman" w:eastAsia="Times New Roman" w:hint="default"/>
        </w:rPr>
        <w:t>2,294.47</w:t>
      </w:r>
      <w:r>
        <w:rPr/>
        <w:t>万元，净资产</w:t>
      </w:r>
      <w:r>
        <w:rPr>
          <w:spacing w:val="31"/>
        </w:rPr>
        <w:t> </w:t>
      </w:r>
      <w:r>
        <w:rPr>
          <w:rFonts w:ascii="Times New Roman" w:hAnsi="Times New Roman" w:cs="Times New Roman" w:eastAsia="Times New Roman" w:hint="default"/>
        </w:rPr>
        <w:t>2,147.84</w:t>
      </w:r>
      <w:r>
        <w:rPr/>
        <w:t>万元，</w:t>
      </w:r>
      <w:r>
        <w:rPr>
          <w:rFonts w:ascii="Times New Roman" w:hAnsi="Times New Roman" w:cs="Times New Roman" w:eastAsia="Times New Roman" w:hint="default"/>
        </w:rPr>
        <w:t>2012</w:t>
      </w:r>
      <w:r>
        <w:rPr/>
        <w:t>年度实现营业总收入</w:t>
      </w:r>
    </w:p>
    <w:p>
      <w:pPr>
        <w:pStyle w:val="BodyText"/>
        <w:spacing w:line="240" w:lineRule="auto" w:before="64"/>
        <w:ind w:right="0"/>
        <w:jc w:val="left"/>
      </w:pPr>
      <w:r>
        <w:rPr>
          <w:rFonts w:ascii="Times New Roman" w:hAnsi="Times New Roman" w:cs="Times New Roman" w:eastAsia="Times New Roman" w:hint="default"/>
        </w:rPr>
        <w:t>5,280.20</w:t>
      </w:r>
      <w:r>
        <w:rPr/>
        <w:t>万元，净利润</w:t>
      </w:r>
      <w:r>
        <w:rPr>
          <w:rFonts w:ascii="Times New Roman" w:hAnsi="Times New Roman" w:cs="Times New Roman" w:eastAsia="Times New Roman" w:hint="default"/>
        </w:rPr>
        <w:t>410.10</w:t>
      </w:r>
      <w:r>
        <w:rPr/>
        <w:t>万元；</w:t>
      </w:r>
    </w:p>
    <w:p>
      <w:pPr>
        <w:spacing w:line="338" w:lineRule="auto" w:before="102"/>
        <w:ind w:left="513" w:right="642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）上海天缘迪柯信息技术有限公司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2,400</w:t>
      </w:r>
      <w:r>
        <w:rPr>
          <w:rFonts w:ascii="宋体" w:hAnsi="宋体" w:cs="宋体" w:eastAsia="宋体" w:hint="default"/>
          <w:sz w:val="18"/>
          <w:szCs w:val="18"/>
        </w:rPr>
        <w:t>万元</w:t>
      </w:r>
    </w:p>
    <w:p>
      <w:pPr>
        <w:pStyle w:val="BodyText"/>
        <w:spacing w:line="319" w:lineRule="auto" w:before="19"/>
        <w:ind w:right="0" w:firstLine="360"/>
        <w:jc w:val="left"/>
      </w:pPr>
      <w:r>
        <w:rPr>
          <w:spacing w:val="-2"/>
        </w:rPr>
        <w:t>经营范围：计算机软件、硬件产品的生产和销售（除计算机信息系统安全专用产品），计算机和网络系统设计，软件开</w:t>
      </w:r>
      <w:r>
        <w:rPr/>
        <w:t> 发，系统集成，信息系统技术咨询和技术服务，电子商务（除增值电信、金融业务）</w:t>
      </w:r>
    </w:p>
    <w:p>
      <w:pPr>
        <w:pStyle w:val="BodyText"/>
        <w:spacing w:line="357" w:lineRule="auto" w:before="56"/>
        <w:ind w:left="513" w:right="139"/>
        <w:jc w:val="left"/>
        <w:rPr>
          <w:rFonts w:ascii="Times New Roman" w:hAnsi="Times New Roman" w:cs="Times New Roman" w:eastAsia="Times New Roman" w:hint="default"/>
        </w:rPr>
      </w:pPr>
      <w:r>
        <w:rPr/>
        <w:t>主营业务：公安行业应用软件产品的研发和销售 </w:t>
      </w:r>
      <w:r>
        <w:rPr>
          <w:spacing w:val="-2"/>
        </w:rPr>
        <w:t>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日成立了上海天缘迪柯信息技术有限公司，经中瑞岳华会计师事务所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审计，截至</w:t>
      </w:r>
      <w:r>
        <w:rPr>
          <w:rFonts w:ascii="Times New Roman" w:hAnsi="Times New Roman" w:cs="Times New Roman" w:eastAsia="Times New Roman" w:hint="default"/>
          <w:spacing w:val="-2"/>
        </w:rPr>
        <w:t>2012</w:t>
      </w:r>
    </w:p>
    <w:p>
      <w:pPr>
        <w:spacing w:after="0" w:line="357"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5"/>
        <w:rPr>
          <w:rFonts w:ascii="Times New Roman" w:hAnsi="Times New Roman" w:cs="Times New Roman" w:eastAsia="Times New Roman" w:hint="default"/>
          <w:sz w:val="29"/>
          <w:szCs w:val="29"/>
        </w:rPr>
      </w:pPr>
    </w:p>
    <w:p>
      <w:pPr>
        <w:pStyle w:val="BodyText"/>
        <w:spacing w:line="302" w:lineRule="auto"/>
        <w:ind w:right="141"/>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日，上海天缘迪柯信息技术有限公司总资产</w:t>
      </w:r>
      <w:r>
        <w:rPr>
          <w:rFonts w:ascii="Times New Roman" w:hAnsi="Times New Roman" w:cs="Times New Roman" w:eastAsia="Times New Roman" w:hint="default"/>
        </w:rPr>
        <w:t>2,641.34</w:t>
      </w:r>
      <w:r>
        <w:rPr/>
        <w:t>万元，净资产</w:t>
      </w:r>
      <w:r>
        <w:rPr>
          <w:rFonts w:ascii="Times New Roman" w:hAnsi="Times New Roman" w:cs="Times New Roman" w:eastAsia="Times New Roman" w:hint="default"/>
        </w:rPr>
        <w:t>2,396.03</w:t>
      </w:r>
      <w:r>
        <w:rPr/>
        <w:t>万元，</w:t>
      </w:r>
      <w:r>
        <w:rPr>
          <w:rFonts w:ascii="Times New Roman" w:hAnsi="Times New Roman" w:cs="Times New Roman" w:eastAsia="Times New Roman" w:hint="default"/>
        </w:rPr>
        <w:t>2012</w:t>
      </w:r>
      <w:r>
        <w:rPr/>
        <w:t>年度实现营业总收入</w:t>
      </w:r>
      <w:r>
        <w:rPr>
          <w:rFonts w:ascii="Times New Roman" w:hAnsi="Times New Roman" w:cs="Times New Roman" w:eastAsia="Times New Roman" w:hint="default"/>
        </w:rPr>
        <w:t>2,856.07 </w:t>
      </w:r>
      <w:r>
        <w:rPr/>
        <w:t>万元，净利润</w:t>
      </w:r>
      <w:r>
        <w:rPr>
          <w:rFonts w:ascii="Times New Roman" w:hAnsi="Times New Roman" w:cs="Times New Roman" w:eastAsia="Times New Roman" w:hint="default"/>
        </w:rPr>
        <w:t>472.43</w:t>
      </w:r>
      <w:r>
        <w:rPr/>
        <w:t>万元。</w:t>
      </w:r>
    </w:p>
    <w:p>
      <w:pPr>
        <w:spacing w:line="338" w:lineRule="auto" w:before="50"/>
        <w:ind w:left="513" w:right="642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）合肥天源迪科信息技术有限公司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12,000</w:t>
      </w:r>
      <w:r>
        <w:rPr>
          <w:rFonts w:ascii="宋体" w:hAnsi="宋体" w:cs="宋体" w:eastAsia="宋体" w:hint="default"/>
          <w:sz w:val="18"/>
          <w:szCs w:val="18"/>
        </w:rPr>
        <w:t>万元</w:t>
      </w:r>
    </w:p>
    <w:p>
      <w:pPr>
        <w:pStyle w:val="BodyText"/>
        <w:spacing w:line="319" w:lineRule="auto" w:before="19"/>
        <w:ind w:right="148" w:firstLine="360"/>
        <w:jc w:val="both"/>
      </w:pPr>
      <w:r>
        <w:rPr>
          <w:spacing w:val="-2"/>
        </w:rPr>
        <w:t>经营范围：计算机软件、硬件产品的生产和销售及售后服务；计算机和网络系统设计、软件开发、系统集成；信息系统</w:t>
      </w:r>
      <w:r>
        <w:rPr/>
        <w:t> 咨询和技术服务；培训服务。</w:t>
      </w:r>
    </w:p>
    <w:p>
      <w:pPr>
        <w:pStyle w:val="BodyText"/>
        <w:spacing w:line="300" w:lineRule="auto" w:before="56"/>
        <w:ind w:right="148" w:firstLine="360"/>
        <w:jc w:val="both"/>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日成立了合肥天源迪科信息技术有限公司，截至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日合肥研发基地正在建设之中，尚未 </w:t>
      </w:r>
      <w:r>
        <w:rPr>
          <w:spacing w:val="-4"/>
        </w:rPr>
        <w:t>投产，经中瑞岳华会计师事务所</w:t>
      </w:r>
      <w:r>
        <w:rPr>
          <w:rFonts w:ascii="Times New Roman" w:hAnsi="Times New Roman" w:cs="Times New Roman" w:eastAsia="Times New Roman" w:hint="default"/>
          <w:spacing w:val="-4"/>
        </w:rPr>
        <w:t>(</w:t>
      </w:r>
      <w:r>
        <w:rPr>
          <w:spacing w:val="-4"/>
        </w:rPr>
        <w:t>特殊普通合伙</w:t>
      </w:r>
      <w:r>
        <w:rPr>
          <w:rFonts w:ascii="Times New Roman" w:hAnsi="Times New Roman" w:cs="Times New Roman" w:eastAsia="Times New Roman" w:hint="default"/>
          <w:spacing w:val="-4"/>
        </w:rPr>
        <w:t>)</w:t>
      </w:r>
      <w:r>
        <w:rPr>
          <w:spacing w:val="-4"/>
        </w:rPr>
        <w:t>审计，合肥天源迪科信息技术有限公司总资产</w:t>
      </w:r>
      <w:r>
        <w:rPr>
          <w:rFonts w:ascii="Times New Roman" w:hAnsi="Times New Roman" w:cs="Times New Roman" w:eastAsia="Times New Roman" w:hint="default"/>
          <w:spacing w:val="-4"/>
        </w:rPr>
        <w:t>14,308.25</w:t>
      </w:r>
      <w:r>
        <w:rPr>
          <w:spacing w:val="-4"/>
        </w:rPr>
        <w:t>万元，净资产</w:t>
      </w:r>
      <w:r>
        <w:rPr>
          <w:rFonts w:ascii="Times New Roman" w:hAnsi="Times New Roman" w:cs="Times New Roman" w:eastAsia="Times New Roman" w:hint="default"/>
          <w:spacing w:val="-4"/>
        </w:rPr>
        <w:t>11,981.79</w:t>
      </w:r>
      <w:r>
        <w:rPr>
          <w:rFonts w:ascii="Times New Roman" w:hAnsi="Times New Roman" w:cs="Times New Roman" w:eastAsia="Times New Roman" w:hint="default"/>
          <w:spacing w:val="13"/>
        </w:rPr>
        <w:t> </w:t>
      </w:r>
      <w:r>
        <w:rPr/>
        <w:t>万元。</w:t>
      </w:r>
    </w:p>
    <w:p>
      <w:pPr>
        <w:spacing w:line="338" w:lineRule="auto" w:before="71"/>
        <w:ind w:left="513" w:right="6531" w:firstLine="7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）广州市易杰数码科技有限公司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p>
      <w:pPr>
        <w:pStyle w:val="BodyText"/>
        <w:spacing w:line="319" w:lineRule="auto" w:before="19"/>
        <w:ind w:right="148" w:firstLine="360"/>
        <w:jc w:val="both"/>
      </w:pPr>
      <w:r>
        <w:rPr>
          <w:spacing w:val="-2"/>
        </w:rPr>
        <w:t>经营范围：计算机网络、计算机软硬件产品、电子通信产品的开发、咨询和技术服务；销售；计算机软硬件、电子通信</w:t>
      </w:r>
      <w:r>
        <w:rPr/>
        <w:t> </w:t>
      </w:r>
      <w:r>
        <w:rPr>
          <w:spacing w:val="-2"/>
        </w:rPr>
        <w:t>产品、家用电器、文化办公设备（国家专营专控商品除外）；第二类增值电信业务中的信息服务业务中的信息服务业务（不</w:t>
      </w:r>
      <w:r>
        <w:rPr>
          <w:spacing w:val="-68"/>
        </w:rPr>
        <w:t> </w:t>
      </w:r>
      <w:r>
        <w:rPr>
          <w:spacing w:val="-68"/>
        </w:rPr>
      </w:r>
      <w:r>
        <w:rPr/>
        <w:t>含固定网电话通信服务和互联网信息服务）（持有效许可证经营，有效期至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01</w:t>
      </w:r>
      <w:r>
        <w:rPr/>
        <w:t>日）</w:t>
      </w:r>
    </w:p>
    <w:p>
      <w:pPr>
        <w:pStyle w:val="BodyText"/>
        <w:spacing w:line="357" w:lineRule="auto" w:before="36"/>
        <w:ind w:left="513" w:right="141"/>
        <w:jc w:val="left"/>
      </w:pPr>
      <w:r>
        <w:rPr/>
        <w:t>主营业务：基于移动互联网的解决方案和运营服务 </w:t>
      </w:r>
      <w:r>
        <w:rPr>
          <w:spacing w:val="-1"/>
        </w:rPr>
        <w:t>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19</w:t>
      </w:r>
      <w:r>
        <w:rPr>
          <w:spacing w:val="-1"/>
        </w:rPr>
        <w:t>日收购了广州市易杰数码科技有限公司</w:t>
      </w:r>
      <w:r>
        <w:rPr>
          <w:rFonts w:ascii="Times New Roman" w:hAnsi="Times New Roman" w:cs="Times New Roman" w:eastAsia="Times New Roman" w:hint="default"/>
          <w:spacing w:val="-1"/>
        </w:rPr>
        <w:t>51%</w:t>
      </w:r>
      <w:r>
        <w:rPr>
          <w:spacing w:val="-1"/>
        </w:rPr>
        <w:t>的股权，</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日收购了广州市易杰数码科技有限</w:t>
      </w:r>
    </w:p>
    <w:p>
      <w:pPr>
        <w:pStyle w:val="BodyText"/>
        <w:spacing w:line="214" w:lineRule="exact" w:before="0"/>
        <w:ind w:right="0"/>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19%</w:t>
      </w:r>
      <w:r>
        <w:rPr/>
        <w:t>的股权，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日收购了广州市易杰数码科技有限公司</w:t>
      </w:r>
      <w:r>
        <w:rPr>
          <w:rFonts w:ascii="Times New Roman" w:hAnsi="Times New Roman" w:cs="Times New Roman" w:eastAsia="Times New Roman" w:hint="default"/>
        </w:rPr>
        <w:t>30%</w:t>
      </w:r>
      <w:r>
        <w:rPr/>
        <w:t>的股权。经中瑞岳华会计师事务所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p>
    <w:p>
      <w:pPr>
        <w:pStyle w:val="BodyText"/>
        <w:spacing w:line="302" w:lineRule="auto" w:before="63"/>
        <w:ind w:right="0"/>
        <w:jc w:val="left"/>
      </w:pPr>
      <w:r>
        <w:rPr>
          <w:spacing w:val="-2"/>
        </w:rPr>
        <w:t>审计，截至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日，广州市易杰数码科技有限公司总资产</w:t>
      </w:r>
      <w:r>
        <w:rPr>
          <w:rFonts w:ascii="Times New Roman" w:hAnsi="Times New Roman" w:cs="Times New Roman" w:eastAsia="Times New Roman" w:hint="default"/>
          <w:spacing w:val="-2"/>
        </w:rPr>
        <w:t>5,513.91</w:t>
      </w:r>
      <w:r>
        <w:rPr>
          <w:spacing w:val="-2"/>
        </w:rPr>
        <w:t>万元，净资产</w:t>
      </w:r>
      <w:r>
        <w:rPr>
          <w:rFonts w:ascii="Times New Roman" w:hAnsi="Times New Roman" w:cs="Times New Roman" w:eastAsia="Times New Roman" w:hint="default"/>
          <w:spacing w:val="-2"/>
        </w:rPr>
        <w:t>5,307.53</w:t>
      </w:r>
      <w:r>
        <w:rPr>
          <w:spacing w:val="-2"/>
        </w:rPr>
        <w:t>万元，</w:t>
      </w:r>
      <w:r>
        <w:rPr>
          <w:rFonts w:ascii="Times New Roman" w:hAnsi="Times New Roman" w:cs="Times New Roman" w:eastAsia="Times New Roman" w:hint="default"/>
          <w:spacing w:val="-2"/>
        </w:rPr>
        <w:t>2012</w:t>
      </w:r>
      <w:r>
        <w:rPr>
          <w:spacing w:val="-2"/>
        </w:rPr>
        <w:t>年度实现营业总</w:t>
      </w:r>
      <w:r>
        <w:rPr>
          <w:spacing w:val="-38"/>
        </w:rPr>
        <w:t> </w:t>
      </w:r>
      <w:r>
        <w:rPr/>
        <w:t>收入</w:t>
      </w:r>
      <w:r>
        <w:rPr>
          <w:rFonts w:ascii="Times New Roman" w:hAnsi="Times New Roman" w:cs="Times New Roman" w:eastAsia="Times New Roman" w:hint="default"/>
        </w:rPr>
        <w:t>3,368.77</w:t>
      </w:r>
      <w:r>
        <w:rPr/>
        <w:t>万元，净利润</w:t>
      </w:r>
      <w:r>
        <w:rPr>
          <w:rFonts w:ascii="Times New Roman" w:hAnsi="Times New Roman" w:cs="Times New Roman" w:eastAsia="Times New Roman" w:hint="default"/>
        </w:rPr>
        <w:t>410.05</w:t>
      </w:r>
      <w:r>
        <w:rPr/>
        <w:t>万元，归属于母公司净利润</w:t>
      </w:r>
      <w:r>
        <w:rPr>
          <w:rFonts w:ascii="Times New Roman" w:hAnsi="Times New Roman" w:cs="Times New Roman" w:eastAsia="Times New Roman" w:hint="default"/>
        </w:rPr>
        <w:t>410.05</w:t>
      </w:r>
      <w:r>
        <w:rPr/>
        <w:t>万元。</w:t>
      </w:r>
    </w:p>
    <w:p>
      <w:pPr>
        <w:pStyle w:val="BodyText"/>
        <w:spacing w:line="319" w:lineRule="auto" w:before="49"/>
        <w:ind w:right="151" w:firstLine="360"/>
        <w:jc w:val="both"/>
      </w:pPr>
      <w:r>
        <w:rPr>
          <w:spacing w:val="-2"/>
        </w:rPr>
        <w:t>广州易杰作为专注于移动互联网解决方案和运营服务的公司，团队素质过硬，行业经验丰富。收购之后，天源迪科将将</w:t>
      </w:r>
      <w:r>
        <w:rPr/>
        <w:t> 通过品牌导入、充实优秀人才、共享市场平台、产品技术整合、输入和分享管理资源等措施，切实推动广州易杰的发展。</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before="0"/>
        <w:ind w:right="151" w:firstLine="361"/>
        <w:jc w:val="both"/>
      </w:pPr>
      <w:r>
        <w:rPr>
          <w:spacing w:val="-2"/>
        </w:rPr>
        <w:t>天源迪科的控股子公司合肥英泽信息科技有限公司、广州易星信息科技有限公司、深圳市金华威数码科技有限公司、广</w:t>
      </w:r>
      <w:r>
        <w:rPr/>
        <w:t> 西驿途信息科技有限公司的具体情况如下：</w:t>
      </w:r>
    </w:p>
    <w:p>
      <w:pPr>
        <w:spacing w:line="338" w:lineRule="auto" w:before="56"/>
        <w:ind w:left="514" w:right="678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）合肥英泽信息科技有限公司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p>
      <w:pPr>
        <w:pStyle w:val="BodyText"/>
        <w:spacing w:line="319" w:lineRule="auto" w:before="19"/>
        <w:ind w:left="154" w:right="151" w:firstLine="360"/>
        <w:jc w:val="both"/>
      </w:pPr>
      <w:r>
        <w:rPr>
          <w:spacing w:val="-2"/>
        </w:rPr>
        <w:t>经营范围：信息技术咨询及相关方案设计制定、计算机系统集成、计算机软硬件开发及维护、软件产品工程、信息处理</w:t>
      </w:r>
      <w:r>
        <w:rPr/>
        <w:t> 及数据库技术服务、提供计算机技术服务、计算机产品开发与销售、计算机网络技术服务、计算机服务外包。</w:t>
      </w:r>
    </w:p>
    <w:p>
      <w:pPr>
        <w:pStyle w:val="BodyText"/>
        <w:spacing w:line="357" w:lineRule="auto" w:before="56"/>
        <w:ind w:left="514" w:right="80"/>
        <w:jc w:val="left"/>
      </w:pPr>
      <w:r>
        <w:rPr/>
        <w:t>主营业务：计算机服务外包 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日投资新设了合肥英泽信息科技有限公司，天源迪科持有合肥英泽信息科技有限公司</w:t>
      </w:r>
      <w:r>
        <w:rPr>
          <w:rFonts w:ascii="Times New Roman" w:hAnsi="Times New Roman" w:cs="Times New Roman" w:eastAsia="Times New Roman" w:hint="default"/>
        </w:rPr>
        <w:t>80%</w:t>
      </w:r>
      <w:r>
        <w:rPr/>
        <w:t>的股权。</w:t>
      </w:r>
    </w:p>
    <w:p>
      <w:pPr>
        <w:pStyle w:val="BodyText"/>
        <w:spacing w:line="214" w:lineRule="exact" w:before="0"/>
        <w:ind w:left="154" w:right="0"/>
        <w:jc w:val="left"/>
      </w:pPr>
      <w:r>
        <w:rPr/>
        <w:t>经中瑞岳华会计师事务所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日，合肥英泽信息科技有限公司总资产</w:t>
      </w:r>
      <w:r>
        <w:rPr>
          <w:rFonts w:ascii="Times New Roman" w:hAnsi="Times New Roman" w:cs="Times New Roman" w:eastAsia="Times New Roman" w:hint="default"/>
        </w:rPr>
        <w:t>854.94</w:t>
      </w:r>
      <w:r>
        <w:rPr/>
        <w:t>万元，净资</w:t>
      </w:r>
    </w:p>
    <w:p>
      <w:pPr>
        <w:pStyle w:val="BodyText"/>
        <w:spacing w:line="338" w:lineRule="auto" w:before="64"/>
        <w:ind w:left="513" w:right="0" w:hanging="360"/>
        <w:jc w:val="left"/>
      </w:pPr>
      <w:r>
        <w:rPr/>
        <w:t>产</w:t>
      </w:r>
      <w:r>
        <w:rPr>
          <w:rFonts w:ascii="Times New Roman" w:hAnsi="Times New Roman" w:cs="Times New Roman" w:eastAsia="Times New Roman" w:hint="default"/>
        </w:rPr>
        <w:t>857.02</w:t>
      </w:r>
      <w:r>
        <w:rPr/>
        <w:t>万元，</w:t>
      </w:r>
      <w:r>
        <w:rPr>
          <w:rFonts w:ascii="Times New Roman" w:hAnsi="Times New Roman" w:cs="Times New Roman" w:eastAsia="Times New Roman" w:hint="default"/>
        </w:rPr>
        <w:t>2012</w:t>
      </w:r>
      <w:r>
        <w:rPr/>
        <w:t>年度实现营业总收入</w:t>
      </w:r>
      <w:r>
        <w:rPr>
          <w:rFonts w:ascii="Times New Roman" w:hAnsi="Times New Roman" w:cs="Times New Roman" w:eastAsia="Times New Roman" w:hint="default"/>
        </w:rPr>
        <w:t>0</w:t>
      </w:r>
      <w:r>
        <w:rPr/>
        <w:t>万元，净利润</w:t>
      </w:r>
      <w:r>
        <w:rPr>
          <w:rFonts w:ascii="Times New Roman" w:hAnsi="Times New Roman" w:cs="Times New Roman" w:eastAsia="Times New Roman" w:hint="default"/>
        </w:rPr>
        <w:t>-142.98</w:t>
      </w:r>
      <w:r>
        <w:rPr/>
        <w:t>万元，归属于母公司净利润</w:t>
      </w:r>
      <w:r>
        <w:rPr>
          <w:rFonts w:ascii="Times New Roman" w:hAnsi="Times New Roman" w:cs="Times New Roman" w:eastAsia="Times New Roman" w:hint="default"/>
        </w:rPr>
        <w:t>-114.38</w:t>
      </w:r>
      <w:r>
        <w:rPr/>
        <w:t>万元。 </w:t>
      </w:r>
      <w:r>
        <w:rPr>
          <w:spacing w:val="-1"/>
        </w:rPr>
        <w:t>公司合肥研发基地总共建筑面积</w:t>
      </w:r>
      <w:r>
        <w:rPr>
          <w:rFonts w:ascii="Times New Roman" w:hAnsi="Times New Roman" w:cs="Times New Roman" w:eastAsia="Times New Roman" w:hint="default"/>
          <w:spacing w:val="-1"/>
        </w:rPr>
        <w:t>8.8</w:t>
      </w:r>
      <w:r>
        <w:rPr>
          <w:spacing w:val="-1"/>
        </w:rPr>
        <w:t>万平方米，一期工程于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月投入使用。以研发基地为依托，</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月成立合</w:t>
      </w:r>
    </w:p>
    <w:p>
      <w:pPr>
        <w:pStyle w:val="BodyText"/>
        <w:spacing w:line="230" w:lineRule="exact" w:before="0"/>
        <w:ind w:right="0"/>
        <w:jc w:val="left"/>
      </w:pPr>
      <w:r>
        <w:rPr/>
        <w:t>肥英泽信息科技有限公司，建立</w:t>
      </w:r>
      <w:r>
        <w:rPr>
          <w:rFonts w:ascii="Times New Roman" w:hAnsi="Times New Roman" w:cs="Times New Roman" w:eastAsia="Times New Roman" w:hint="default"/>
        </w:rPr>
        <w:t>IT</w:t>
      </w:r>
      <w:r>
        <w:rPr/>
        <w:t>人才培训及外包服务为一体的业务体系，为客户提供一站式的</w:t>
      </w:r>
      <w:r>
        <w:rPr>
          <w:rFonts w:ascii="Times New Roman" w:hAnsi="Times New Roman" w:cs="Times New Roman" w:eastAsia="Times New Roman" w:hint="default"/>
        </w:rPr>
        <w:t>IT</w:t>
      </w:r>
      <w:r>
        <w:rPr/>
        <w:t>服务。设立英泽公司可以</w:t>
      </w:r>
    </w:p>
    <w:p>
      <w:pPr>
        <w:pStyle w:val="BodyText"/>
        <w:spacing w:line="240" w:lineRule="auto" w:before="64"/>
        <w:ind w:right="0"/>
        <w:jc w:val="left"/>
      </w:pPr>
      <w:r>
        <w:rPr/>
        <w:t>充分利用公司优质资源，提高人才复用效率，实现在软件行业的经验复制，扩大业务范围。</w:t>
      </w:r>
    </w:p>
    <w:p>
      <w:pPr>
        <w:spacing w:line="338" w:lineRule="auto" w:before="116"/>
        <w:ind w:left="514" w:right="678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）广州易星信息科技有限公司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1,700</w:t>
      </w:r>
      <w:r>
        <w:rPr>
          <w:rFonts w:ascii="宋体" w:hAnsi="宋体" w:cs="宋体" w:eastAsia="宋体" w:hint="default"/>
          <w:sz w:val="18"/>
          <w:szCs w:val="18"/>
        </w:rPr>
        <w:t>万元</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48" w:lineRule="auto"/>
        <w:ind w:left="513" w:right="211"/>
        <w:jc w:val="left"/>
      </w:pPr>
      <w:r>
        <w:rPr/>
        <w:t>经营范围：计算机软件开发、系统集成及信息服务、电子设备的研究开发和销售。 主营业务：车险移动查勘系统等基于保险公司</w:t>
      </w:r>
      <w:r>
        <w:rPr>
          <w:rFonts w:ascii="Times New Roman" w:hAnsi="Times New Roman" w:cs="Times New Roman" w:eastAsia="Times New Roman" w:hint="default"/>
        </w:rPr>
        <w:t>3G</w:t>
      </w:r>
      <w:r>
        <w:rPr/>
        <w:t>应用的解决方案 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日收购了广州易星信息科技有限公司</w:t>
      </w:r>
      <w:r>
        <w:rPr>
          <w:rFonts w:ascii="Times New Roman" w:hAnsi="Times New Roman" w:cs="Times New Roman" w:eastAsia="Times New Roman" w:hint="default"/>
        </w:rPr>
        <w:t>51%</w:t>
      </w:r>
      <w:r>
        <w:rPr/>
        <w:t>的股权，而由于广州易星信息科技有限公司未达成</w:t>
      </w:r>
      <w:r>
        <w:rPr>
          <w:rFonts w:ascii="Times New Roman" w:hAnsi="Times New Roman" w:cs="Times New Roman" w:eastAsia="Times New Roman" w:hint="default"/>
        </w:rPr>
        <w:t>2011</w:t>
      </w:r>
      <w:r>
        <w:rPr/>
        <w:t>年</w:t>
      </w:r>
    </w:p>
    <w:p>
      <w:pPr>
        <w:pStyle w:val="BodyText"/>
        <w:spacing w:line="222" w:lineRule="exact" w:before="0"/>
        <w:ind w:right="90"/>
        <w:jc w:val="left"/>
        <w:rPr>
          <w:rFonts w:ascii="Times New Roman" w:hAnsi="Times New Roman" w:cs="Times New Roman" w:eastAsia="Times New Roman" w:hint="default"/>
        </w:rPr>
      </w:pPr>
      <w:r>
        <w:rPr/>
        <w:t>业绩要求，按协议广州易星个人股东无偿转让给天源迪科</w:t>
      </w:r>
      <w:r>
        <w:rPr>
          <w:rFonts w:ascii="Times New Roman" w:hAnsi="Times New Roman" w:cs="Times New Roman" w:eastAsia="Times New Roman" w:hint="default"/>
        </w:rPr>
        <w:t>6.7%</w:t>
      </w:r>
      <w:r>
        <w:rPr/>
        <w:t>股权，广州易星信息科技有限公司成为了天源迪科控股</w:t>
      </w:r>
      <w:r>
        <w:rPr>
          <w:rFonts w:ascii="Times New Roman" w:hAnsi="Times New Roman" w:cs="Times New Roman" w:eastAsia="Times New Roman" w:hint="default"/>
        </w:rPr>
        <w:t>57.7%</w:t>
      </w:r>
    </w:p>
    <w:p>
      <w:pPr>
        <w:pStyle w:val="BodyText"/>
        <w:spacing w:line="302" w:lineRule="auto" w:before="63"/>
        <w:ind w:right="212"/>
        <w:jc w:val="left"/>
      </w:pPr>
      <w:r>
        <w:rPr/>
        <w:t>的子公司。经中瑞岳华会计师事务所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日，广州易星信息科技有限公司总资产</w:t>
      </w:r>
      <w:r>
        <w:rPr>
          <w:rFonts w:ascii="Times New Roman" w:hAnsi="Times New Roman" w:cs="Times New Roman" w:eastAsia="Times New Roman" w:hint="default"/>
        </w:rPr>
        <w:t>582.81 </w:t>
      </w:r>
      <w:r>
        <w:rPr/>
        <w:t>万元，净资产</w:t>
      </w:r>
      <w:r>
        <w:rPr>
          <w:rFonts w:ascii="Times New Roman" w:hAnsi="Times New Roman" w:cs="Times New Roman" w:eastAsia="Times New Roman" w:hint="default"/>
        </w:rPr>
        <w:t>547.15</w:t>
      </w:r>
      <w:r>
        <w:rPr/>
        <w:t>万元，</w:t>
      </w:r>
      <w:r>
        <w:rPr>
          <w:rFonts w:ascii="Times New Roman" w:hAnsi="Times New Roman" w:cs="Times New Roman" w:eastAsia="Times New Roman" w:hint="default"/>
        </w:rPr>
        <w:t>2012</w:t>
      </w:r>
      <w:r>
        <w:rPr/>
        <w:t>年度实现营业总收入</w:t>
      </w:r>
      <w:r>
        <w:rPr>
          <w:rFonts w:ascii="Times New Roman" w:hAnsi="Times New Roman" w:cs="Times New Roman" w:eastAsia="Times New Roman" w:hint="default"/>
        </w:rPr>
        <w:t>511.55</w:t>
      </w:r>
      <w:r>
        <w:rPr/>
        <w:t>万元，净利润</w:t>
      </w:r>
      <w:r>
        <w:rPr>
          <w:rFonts w:ascii="Times New Roman" w:hAnsi="Times New Roman" w:cs="Times New Roman" w:eastAsia="Times New Roman" w:hint="default"/>
        </w:rPr>
        <w:t>-198.90</w:t>
      </w:r>
      <w:r>
        <w:rPr/>
        <w:t>万元，归属于母公司净利润</w:t>
      </w:r>
      <w:r>
        <w:rPr>
          <w:rFonts w:ascii="Times New Roman" w:hAnsi="Times New Roman" w:cs="Times New Roman" w:eastAsia="Times New Roman" w:hint="default"/>
        </w:rPr>
        <w:t>-107.90</w:t>
      </w:r>
      <w:r>
        <w:rPr/>
        <w:t>万元</w:t>
      </w:r>
    </w:p>
    <w:p>
      <w:pPr>
        <w:spacing w:line="338" w:lineRule="auto" w:before="50"/>
        <w:ind w:left="513" w:right="646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）深圳市金华威数码科技有限公司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p>
      <w:pPr>
        <w:pStyle w:val="BodyText"/>
        <w:spacing w:line="319" w:lineRule="auto" w:before="19"/>
        <w:ind w:right="188" w:firstLine="360"/>
        <w:jc w:val="both"/>
      </w:pPr>
      <w:r>
        <w:rPr>
          <w:spacing w:val="-2"/>
        </w:rPr>
        <w:t>经营范围：计算机软硬件产品、楼宇智能化产品、通讯产品及其配套设备的技术开发和销售；电子产品、通讯器材、机</w:t>
      </w:r>
      <w:r>
        <w:rPr/>
        <w:t> 械设备的购销及其他国内商业、物资供销业（不含专营、专控和专卖商品）；信息咨询（不含限制项目）。</w:t>
      </w:r>
    </w:p>
    <w:p>
      <w:pPr>
        <w:pStyle w:val="BodyText"/>
        <w:spacing w:line="338" w:lineRule="auto" w:before="56"/>
        <w:ind w:left="513" w:right="211"/>
        <w:jc w:val="left"/>
      </w:pPr>
      <w:r>
        <w:rPr/>
        <w:t>主营业务：</w:t>
      </w:r>
      <w:r>
        <w:rPr>
          <w:rFonts w:ascii="Times New Roman" w:hAnsi="Times New Roman" w:cs="Times New Roman" w:eastAsia="Times New Roman" w:hint="default"/>
        </w:rPr>
        <w:t>ICT</w:t>
      </w:r>
      <w:r>
        <w:rPr/>
        <w:t>产品的增值分销 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日收购了深圳市金华威数码科技有限公司</w:t>
      </w:r>
      <w:r>
        <w:rPr>
          <w:rFonts w:ascii="Times New Roman" w:hAnsi="Times New Roman" w:cs="Times New Roman" w:eastAsia="Times New Roman" w:hint="default"/>
        </w:rPr>
        <w:t>45%</w:t>
      </w:r>
      <w:r>
        <w:rPr/>
        <w:t>的股权，于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日收购了深圳市金华威数码科</w:t>
      </w:r>
    </w:p>
    <w:p>
      <w:pPr>
        <w:pStyle w:val="BodyText"/>
        <w:spacing w:line="230" w:lineRule="exact" w:before="0"/>
        <w:ind w:right="90"/>
        <w:jc w:val="left"/>
      </w:pPr>
      <w:r>
        <w:rPr/>
        <w:t>技有限公司原个人股东</w:t>
      </w:r>
      <w:r>
        <w:rPr>
          <w:rFonts w:ascii="Times New Roman" w:hAnsi="Times New Roman" w:cs="Times New Roman" w:eastAsia="Times New Roman" w:hint="default"/>
        </w:rPr>
        <w:t>10%</w:t>
      </w:r>
      <w:r>
        <w:rPr/>
        <w:t>的股权，深圳市金华威数码科技有限公司成为了天源迪科控股</w:t>
      </w:r>
      <w:r>
        <w:rPr>
          <w:rFonts w:ascii="Times New Roman" w:hAnsi="Times New Roman" w:cs="Times New Roman" w:eastAsia="Times New Roman" w:hint="default"/>
        </w:rPr>
        <w:t>55%</w:t>
      </w:r>
      <w:r>
        <w:rPr/>
        <w:t>的子公司。经中瑞岳华会计师</w:t>
      </w:r>
    </w:p>
    <w:p>
      <w:pPr>
        <w:pStyle w:val="BodyText"/>
        <w:spacing w:line="302" w:lineRule="auto" w:before="63"/>
        <w:ind w:right="242" w:hanging="1"/>
        <w:jc w:val="left"/>
      </w:pPr>
      <w:r>
        <w:rPr/>
        <w:t>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日，深圳市金华威数码科技有限公司总资产</w:t>
      </w:r>
      <w:r>
        <w:rPr>
          <w:rFonts w:ascii="Times New Roman" w:hAnsi="Times New Roman" w:cs="Times New Roman" w:eastAsia="Times New Roman" w:hint="default"/>
        </w:rPr>
        <w:t>10,065.56</w:t>
      </w:r>
      <w:r>
        <w:rPr/>
        <w:t>万元，净资产</w:t>
      </w:r>
      <w:r>
        <w:rPr>
          <w:rFonts w:ascii="Times New Roman" w:hAnsi="Times New Roman" w:cs="Times New Roman" w:eastAsia="Times New Roman" w:hint="default"/>
        </w:rPr>
        <w:t>3,144.25 </w:t>
      </w:r>
      <w:r>
        <w:rPr/>
        <w:t>万元，</w:t>
      </w:r>
      <w:r>
        <w:rPr>
          <w:rFonts w:ascii="Times New Roman" w:hAnsi="Times New Roman" w:cs="Times New Roman" w:eastAsia="Times New Roman" w:hint="default"/>
        </w:rPr>
        <w:t>2012</w:t>
      </w:r>
      <w:r>
        <w:rPr/>
        <w:t>年度实现营业总收入</w:t>
      </w:r>
      <w:r>
        <w:rPr>
          <w:rFonts w:ascii="Times New Roman" w:hAnsi="Times New Roman" w:cs="Times New Roman" w:eastAsia="Times New Roman" w:hint="default"/>
        </w:rPr>
        <w:t>24,353.34</w:t>
      </w:r>
      <w:r>
        <w:rPr/>
        <w:t>万元，净利润</w:t>
      </w:r>
      <w:r>
        <w:rPr>
          <w:rFonts w:ascii="Times New Roman" w:hAnsi="Times New Roman" w:cs="Times New Roman" w:eastAsia="Times New Roman" w:hint="default"/>
        </w:rPr>
        <w:t>655.63</w:t>
      </w:r>
      <w:r>
        <w:rPr/>
        <w:t>万元，归属于母公司净利润</w:t>
      </w:r>
      <w:r>
        <w:rPr>
          <w:rFonts w:ascii="Times New Roman" w:hAnsi="Times New Roman" w:cs="Times New Roman" w:eastAsia="Times New Roman" w:hint="default"/>
        </w:rPr>
        <w:t>354.68</w:t>
      </w:r>
      <w:r>
        <w:rPr/>
        <w:t>万元。</w:t>
      </w:r>
    </w:p>
    <w:p>
      <w:pPr>
        <w:pStyle w:val="BodyText"/>
        <w:spacing w:line="309" w:lineRule="auto" w:before="49"/>
        <w:ind w:right="191" w:firstLine="360"/>
        <w:jc w:val="both"/>
      </w:pPr>
      <w:r>
        <w:rPr/>
        <w:t>金华威拥有优秀、成熟的</w:t>
      </w:r>
      <w:r>
        <w:rPr>
          <w:rFonts w:ascii="Times New Roman" w:hAnsi="Times New Roman" w:cs="Times New Roman" w:eastAsia="Times New Roman" w:hint="default"/>
        </w:rPr>
        <w:t>ICT</w:t>
      </w:r>
      <w:r>
        <w:rPr/>
        <w:t>分销业务管理团队，拥有覆盖全国的销售服务网络。收购金华威公司</w:t>
      </w:r>
      <w:r>
        <w:rPr>
          <w:rFonts w:ascii="Times New Roman" w:hAnsi="Times New Roman" w:cs="Times New Roman" w:eastAsia="Times New Roman" w:hint="default"/>
        </w:rPr>
        <w:t>10%</w:t>
      </w:r>
      <w:r>
        <w:rPr/>
        <w:t>的股权，使其成 </w:t>
      </w:r>
      <w:r>
        <w:rPr>
          <w:spacing w:val="-2"/>
        </w:rPr>
        <w:t>为公司的控股子公司不仅可以迅速提高销售收入，还可以充分利用金华威的客户资源，拓展上下游业务链条，为金华威快速</w:t>
      </w:r>
      <w:r>
        <w:rPr>
          <w:spacing w:val="-66"/>
        </w:rPr>
        <w:t> </w:t>
      </w:r>
      <w:r>
        <w:rPr>
          <w:spacing w:val="-66"/>
        </w:rPr>
      </w:r>
      <w:r>
        <w:rPr/>
        <w:t>发展提供资金支持，实现协同发展。</w:t>
      </w:r>
    </w:p>
    <w:p>
      <w:pPr>
        <w:spacing w:line="338" w:lineRule="auto" w:before="64"/>
        <w:ind w:left="513" w:right="683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）广西驿途信息科技有限公司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561</w:t>
      </w:r>
      <w:r>
        <w:rPr>
          <w:rFonts w:ascii="宋体" w:hAnsi="宋体" w:cs="宋体" w:eastAsia="宋体" w:hint="default"/>
          <w:sz w:val="18"/>
          <w:szCs w:val="18"/>
        </w:rPr>
        <w:t>万元</w:t>
      </w:r>
    </w:p>
    <w:p>
      <w:pPr>
        <w:pStyle w:val="BodyText"/>
        <w:spacing w:line="319" w:lineRule="auto" w:before="19"/>
        <w:ind w:right="188" w:firstLine="360"/>
        <w:jc w:val="both"/>
      </w:pPr>
      <w:r>
        <w:rPr>
          <w:spacing w:val="-2"/>
        </w:rPr>
        <w:t>经营范围：计算机及网络技术专业领域内、电子科技领域内的技术开发、技术咨询、技术服务、技术转让；安防技术开</w:t>
      </w:r>
      <w:r>
        <w:rPr/>
        <w:t> </w:t>
      </w:r>
      <w:r>
        <w:rPr>
          <w:spacing w:val="-2"/>
        </w:rPr>
        <w:t>发；计算机及配件、通信设备、通信产品、电子产品的购销代理；计算机信息系统集成（凭资质证经营）；在线数据处理与</w:t>
      </w:r>
      <w:r>
        <w:rPr>
          <w:spacing w:val="-67"/>
        </w:rPr>
        <w:t> </w:t>
      </w:r>
      <w:r>
        <w:rPr>
          <w:spacing w:val="-67"/>
        </w:rPr>
      </w:r>
      <w:r>
        <w:rPr/>
        <w:t>交易处理业务，信息服务业务（不含电话信息服务</w:t>
      </w:r>
      <w:r>
        <w:rPr>
          <w:rFonts w:ascii="Times New Roman" w:hAnsi="Times New Roman" w:cs="Times New Roman" w:eastAsia="Times New Roman" w:hint="default"/>
        </w:rPr>
        <w:t>/ICP</w:t>
      </w:r>
      <w:r>
        <w:rPr/>
        <w:t>）（凭许可证经营，有效期至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w:t>
      </w:r>
    </w:p>
    <w:p>
      <w:pPr>
        <w:pStyle w:val="BodyText"/>
        <w:spacing w:line="357" w:lineRule="auto" w:before="38"/>
        <w:ind w:left="513" w:right="178"/>
        <w:jc w:val="left"/>
      </w:pPr>
      <w:r>
        <w:rPr/>
        <w:t>主营业务：税务系统的软件开发和运营、政府部门的软件开发及运营 </w:t>
      </w:r>
      <w:r>
        <w:rPr>
          <w:spacing w:val="-1"/>
        </w:rPr>
        <w:t>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日收购了广西驿途信息科技有限公司原个人股东合计</w:t>
      </w:r>
      <w:r>
        <w:rPr>
          <w:rFonts w:ascii="Times New Roman" w:hAnsi="Times New Roman" w:cs="Times New Roman" w:eastAsia="Times New Roman" w:hint="default"/>
          <w:spacing w:val="-1"/>
        </w:rPr>
        <w:t>51%</w:t>
      </w:r>
      <w:r>
        <w:rPr>
          <w:spacing w:val="-1"/>
        </w:rPr>
        <w:t>的股权，广西驿途信息科技有限公司成为</w:t>
      </w:r>
    </w:p>
    <w:p>
      <w:pPr>
        <w:pStyle w:val="BodyText"/>
        <w:spacing w:line="214" w:lineRule="exact" w:before="0"/>
        <w:ind w:right="90"/>
        <w:jc w:val="left"/>
      </w:pPr>
      <w:r>
        <w:rPr/>
        <w:t>了天源迪科控股</w:t>
      </w:r>
      <w:r>
        <w:rPr>
          <w:rFonts w:ascii="Times New Roman" w:hAnsi="Times New Roman" w:cs="Times New Roman" w:eastAsia="Times New Roman" w:hint="default"/>
        </w:rPr>
        <w:t>51%</w:t>
      </w:r>
      <w:r>
        <w:rPr/>
        <w:t>的子公司。经中瑞岳华会计师事务所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日，广西驿途信息科技有</w:t>
      </w:r>
    </w:p>
    <w:p>
      <w:pPr>
        <w:pStyle w:val="BodyText"/>
        <w:spacing w:line="304" w:lineRule="auto" w:before="63"/>
        <w:ind w:right="200"/>
        <w:jc w:val="left"/>
      </w:pPr>
      <w:r>
        <w:rPr/>
        <w:t>限公司总资产</w:t>
      </w:r>
      <w:r>
        <w:rPr>
          <w:rFonts w:ascii="Times New Roman" w:hAnsi="Times New Roman" w:cs="Times New Roman" w:eastAsia="Times New Roman" w:hint="default"/>
        </w:rPr>
        <w:t>254.72</w:t>
      </w:r>
      <w:r>
        <w:rPr/>
        <w:t>万元，净资产</w:t>
      </w:r>
      <w:r>
        <w:rPr>
          <w:rFonts w:ascii="Times New Roman" w:hAnsi="Times New Roman" w:cs="Times New Roman" w:eastAsia="Times New Roman" w:hint="default"/>
        </w:rPr>
        <w:t>246.80</w:t>
      </w:r>
      <w:r>
        <w:rPr/>
        <w:t>万元，</w:t>
      </w:r>
      <w:r>
        <w:rPr>
          <w:rFonts w:ascii="Times New Roman" w:hAnsi="Times New Roman" w:cs="Times New Roman" w:eastAsia="Times New Roman" w:hint="default"/>
        </w:rPr>
        <w:t>2012</w:t>
      </w:r>
      <w:r>
        <w:rPr/>
        <w:t>年度实现营业总收入</w:t>
      </w:r>
      <w:r>
        <w:rPr>
          <w:rFonts w:ascii="Times New Roman" w:hAnsi="Times New Roman" w:cs="Times New Roman" w:eastAsia="Times New Roman" w:hint="default"/>
        </w:rPr>
        <w:t>304.54</w:t>
      </w:r>
      <w:r>
        <w:rPr/>
        <w:t>万元，净利润</w:t>
      </w:r>
      <w:r>
        <w:rPr>
          <w:rFonts w:ascii="Times New Roman" w:hAnsi="Times New Roman" w:cs="Times New Roman" w:eastAsia="Times New Roman" w:hint="default"/>
        </w:rPr>
        <w:t>14.39</w:t>
      </w:r>
      <w:r>
        <w:rPr/>
        <w:t>万元，归属于母公司净利 润</w:t>
      </w:r>
      <w:r>
        <w:rPr>
          <w:rFonts w:ascii="Times New Roman" w:hAnsi="Times New Roman" w:cs="Times New Roman" w:eastAsia="Times New Roman" w:hint="default"/>
          <w:sz w:val="20"/>
          <w:szCs w:val="20"/>
        </w:rPr>
        <w:t>-10.67</w:t>
      </w:r>
      <w:r>
        <w:rPr/>
        <w:t>万元。</w:t>
      </w:r>
    </w:p>
    <w:p>
      <w:pPr>
        <w:pStyle w:val="BodyText"/>
        <w:spacing w:line="319" w:lineRule="auto" w:before="34"/>
        <w:ind w:right="90" w:firstLine="360"/>
        <w:jc w:val="left"/>
      </w:pPr>
      <w:r>
        <w:rPr>
          <w:spacing w:val="-2"/>
        </w:rPr>
        <w:t>广西驿途具备多年在移动互联网运营及政府信息化建设领域工作经验，善于把传统信息化和无线互联网应用相结合，拓</w:t>
      </w:r>
      <w:r>
        <w:rPr/>
        <w:t> </w:t>
      </w:r>
      <w:r>
        <w:rPr>
          <w:spacing w:val="-4"/>
        </w:rPr>
        <w:t>展创新应用服务进行运营。广西驿途已成为广西移动等多家运营商和政府单位的紧密服务合作伙伴，积累了良好的客户资源。</w:t>
      </w:r>
      <w:r>
        <w:rPr>
          <w:spacing w:val="-44"/>
        </w:rPr>
        <w:t> </w:t>
      </w:r>
      <w:r>
        <w:rPr>
          <w:spacing w:val="-44"/>
        </w:rPr>
      </w:r>
      <w:r>
        <w:rPr/>
        <w:t>公司拥有成熟的项目管理和研发能力，公司收购广西驿途可以实现优势资源互补。</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7"/>
        <w:spacing w:line="319" w:lineRule="auto"/>
        <w:ind w:right="254" w:firstLine="361"/>
        <w:jc w:val="both"/>
        <w:rPr>
          <w:b w:val="0"/>
          <w:bCs w:val="0"/>
        </w:rPr>
      </w:pPr>
      <w:r>
        <w:rPr/>
        <w:t>天源迪科的参股公司深圳市汇巨信息技术有限公司、广州正道软件有限公司及北京信邦安达科技有限公司的具体情况</w:t>
      </w:r>
      <w:r>
        <w:rPr>
          <w:spacing w:val="1"/>
          <w:w w:val="99"/>
        </w:rPr>
        <w:t> </w:t>
      </w:r>
      <w:r>
        <w:rPr/>
        <w:t>如下：</w:t>
      </w:r>
      <w:r>
        <w:rPr>
          <w:b w:val="0"/>
          <w:bCs w:val="0"/>
        </w:rPr>
      </w:r>
    </w:p>
    <w:p>
      <w:pPr>
        <w:spacing w:line="338" w:lineRule="auto" w:before="56"/>
        <w:ind w:left="513" w:right="664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）深圳市汇巨信息技术有限公司</w:t>
      </w:r>
      <w:r>
        <w:rPr>
          <w:rFonts w:ascii="宋体" w:hAnsi="宋体" w:cs="宋体" w:eastAsia="宋体" w:hint="default"/>
          <w:b/>
          <w:bCs/>
          <w:spacing w:val="1"/>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1,600</w:t>
      </w:r>
      <w:r>
        <w:rPr>
          <w:rFonts w:ascii="宋体" w:hAnsi="宋体" w:cs="宋体" w:eastAsia="宋体" w:hint="default"/>
          <w:sz w:val="18"/>
          <w:szCs w:val="18"/>
        </w:rPr>
        <w:t>万元</w:t>
      </w:r>
    </w:p>
    <w:p>
      <w:pPr>
        <w:pStyle w:val="BodyText"/>
        <w:spacing w:line="357" w:lineRule="auto" w:before="20"/>
        <w:ind w:left="513" w:right="91"/>
        <w:jc w:val="left"/>
      </w:pPr>
      <w:r>
        <w:rPr/>
        <w:t>经营范围：计算机应用软件的技术开发与系统集成；计算机信息系统技术咨询，计算机配套产品的技术咨询 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日收购了深圳市汇巨信息技术有限公司</w:t>
      </w:r>
      <w:r>
        <w:rPr>
          <w:rFonts w:ascii="Times New Roman" w:hAnsi="Times New Roman" w:cs="Times New Roman" w:eastAsia="Times New Roman" w:hint="default"/>
        </w:rPr>
        <w:t>40%</w:t>
      </w:r>
      <w:r>
        <w:rPr/>
        <w:t>的股权。经中瑞岳华会计师事务所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w:t>
      </w:r>
    </w:p>
    <w:p>
      <w:pPr>
        <w:spacing w:after="0" w:line="357"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ind w:right="0"/>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日，深圳市汇巨信息技术有限公司总资产</w:t>
      </w:r>
      <w:r>
        <w:rPr>
          <w:rFonts w:ascii="Times New Roman" w:hAnsi="Times New Roman" w:cs="Times New Roman" w:eastAsia="Times New Roman" w:hint="default"/>
        </w:rPr>
        <w:t>3,136.16</w:t>
      </w:r>
      <w:r>
        <w:rPr/>
        <w:t>万元，净资产</w:t>
      </w:r>
      <w:r>
        <w:rPr>
          <w:rFonts w:ascii="Times New Roman" w:hAnsi="Times New Roman" w:cs="Times New Roman" w:eastAsia="Times New Roman" w:hint="default"/>
        </w:rPr>
        <w:t>3,031.75</w:t>
      </w:r>
      <w:r>
        <w:rPr/>
        <w:t>万元，</w:t>
      </w:r>
      <w:r>
        <w:rPr>
          <w:rFonts w:ascii="Times New Roman" w:hAnsi="Times New Roman" w:cs="Times New Roman" w:eastAsia="Times New Roman" w:hint="default"/>
        </w:rPr>
        <w:t>2012</w:t>
      </w:r>
      <w:r>
        <w:rPr/>
        <w:t>年度实现营业总收入</w:t>
      </w:r>
    </w:p>
    <w:p>
      <w:pPr>
        <w:pStyle w:val="BodyText"/>
        <w:spacing w:line="240" w:lineRule="auto" w:before="64"/>
        <w:ind w:right="0"/>
        <w:jc w:val="both"/>
      </w:pPr>
      <w:r>
        <w:rPr>
          <w:rFonts w:ascii="Times New Roman" w:hAnsi="Times New Roman" w:cs="Times New Roman" w:eastAsia="Times New Roman" w:hint="default"/>
        </w:rPr>
        <w:t>2,443.51</w:t>
      </w:r>
      <w:r>
        <w:rPr/>
        <w:t>万元，净利润</w:t>
      </w:r>
      <w:r>
        <w:rPr>
          <w:rFonts w:ascii="Times New Roman" w:hAnsi="Times New Roman" w:cs="Times New Roman" w:eastAsia="Times New Roman" w:hint="default"/>
        </w:rPr>
        <w:t>31.04</w:t>
      </w:r>
      <w:r>
        <w:rPr/>
        <w:t>万元，实现投资收益</w:t>
      </w:r>
      <w:r>
        <w:rPr>
          <w:rFonts w:ascii="Times New Roman" w:hAnsi="Times New Roman" w:cs="Times New Roman" w:eastAsia="Times New Roman" w:hint="default"/>
        </w:rPr>
        <w:t>12.42</w:t>
      </w:r>
      <w:r>
        <w:rPr/>
        <w:t>万元。</w:t>
      </w:r>
    </w:p>
    <w:p>
      <w:pPr>
        <w:spacing w:line="338" w:lineRule="auto" w:before="102"/>
        <w:ind w:left="513" w:right="7191"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）广州正道软件有限公司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1,051.05</w:t>
      </w:r>
      <w:r>
        <w:rPr>
          <w:rFonts w:ascii="宋体" w:hAnsi="宋体" w:cs="宋体" w:eastAsia="宋体" w:hint="default"/>
          <w:sz w:val="18"/>
          <w:szCs w:val="18"/>
        </w:rPr>
        <w:t>万元</w:t>
      </w:r>
    </w:p>
    <w:p>
      <w:pPr>
        <w:pStyle w:val="BodyText"/>
        <w:spacing w:line="240" w:lineRule="auto" w:before="19"/>
        <w:ind w:left="513" w:right="0"/>
        <w:jc w:val="left"/>
      </w:pPr>
      <w:r>
        <w:rPr/>
        <w:t>经营范围：电子计算机软、硬件及外围设备的研究、开发、技术服务及销售；计算机网络及电子自动化控制设备的安装</w:t>
      </w:r>
    </w:p>
    <w:p>
      <w:pPr>
        <w:pStyle w:val="BodyText"/>
        <w:spacing w:line="319" w:lineRule="auto" w:before="76"/>
        <w:ind w:right="90"/>
        <w:jc w:val="left"/>
      </w:pPr>
      <w:r>
        <w:rPr>
          <w:spacing w:val="-2"/>
        </w:rPr>
        <w:t>（国家法律、法规禁止的，不得经营；应经专项审批的，未获得审批前不得经营）。货物进出口、技术进出口（法律、行政</w:t>
      </w:r>
      <w:r>
        <w:rPr>
          <w:spacing w:val="-70"/>
        </w:rPr>
        <w:t> </w:t>
      </w:r>
      <w:r>
        <w:rPr>
          <w:spacing w:val="-70"/>
        </w:rPr>
      </w:r>
      <w:r>
        <w:rPr/>
        <w:t>法规禁止的项目除外；法律、行政法规限制的项目须取得许可后方可经营）。</w:t>
      </w:r>
    </w:p>
    <w:p>
      <w:pPr>
        <w:pStyle w:val="BodyText"/>
        <w:spacing w:line="300" w:lineRule="auto" w:before="56"/>
        <w:ind w:right="101" w:firstLine="360"/>
        <w:jc w:val="left"/>
      </w:pPr>
      <w:r>
        <w:rPr>
          <w:spacing w:val="-1"/>
        </w:rPr>
        <w:t>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日收购了广州正道软件有限公司</w:t>
      </w:r>
      <w:r>
        <w:rPr>
          <w:rFonts w:ascii="Times New Roman" w:hAnsi="Times New Roman" w:cs="Times New Roman" w:eastAsia="Times New Roman" w:hint="default"/>
          <w:spacing w:val="-1"/>
        </w:rPr>
        <w:t>33%</w:t>
      </w:r>
      <w:r>
        <w:rPr>
          <w:spacing w:val="-1"/>
        </w:rPr>
        <w:t>的股权。经广州中鼎会计师事务所审计，截至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广州正道软件有限公司总资产</w:t>
      </w:r>
      <w:r>
        <w:rPr>
          <w:rFonts w:ascii="Times New Roman" w:hAnsi="Times New Roman" w:cs="Times New Roman" w:eastAsia="Times New Roman" w:hint="default"/>
        </w:rPr>
        <w:t>1,601.82</w:t>
      </w:r>
      <w:r>
        <w:rPr/>
        <w:t>万元，净资产</w:t>
      </w:r>
      <w:r>
        <w:rPr>
          <w:rFonts w:ascii="Times New Roman" w:hAnsi="Times New Roman" w:cs="Times New Roman" w:eastAsia="Times New Roman" w:hint="default"/>
        </w:rPr>
        <w:t>1,325.25</w:t>
      </w:r>
      <w:r>
        <w:rPr/>
        <w:t>万元，</w:t>
      </w:r>
      <w:r>
        <w:rPr>
          <w:rFonts w:ascii="Times New Roman" w:hAnsi="Times New Roman" w:cs="Times New Roman" w:eastAsia="Times New Roman" w:hint="default"/>
        </w:rPr>
        <w:t>2012</w:t>
      </w:r>
      <w:r>
        <w:rPr/>
        <w:t>年度实现营业总收入</w:t>
      </w:r>
      <w:r>
        <w:rPr>
          <w:rFonts w:ascii="Times New Roman" w:hAnsi="Times New Roman" w:cs="Times New Roman" w:eastAsia="Times New Roman" w:hint="default"/>
        </w:rPr>
        <w:t>1,065.34</w:t>
      </w:r>
      <w:r>
        <w:rPr/>
        <w:t>万元，净利润</w:t>
      </w:r>
      <w:r>
        <w:rPr>
          <w:rFonts w:ascii="Times New Roman" w:hAnsi="Times New Roman" w:cs="Times New Roman" w:eastAsia="Times New Roman" w:hint="default"/>
        </w:rPr>
        <w:t>-357.19</w:t>
      </w:r>
      <w:r>
        <w:rPr/>
        <w:t>万 元。基于重要性原则，以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日作为购买日。</w:t>
      </w:r>
    </w:p>
    <w:p>
      <w:pPr>
        <w:pStyle w:val="BodyText"/>
        <w:spacing w:line="240" w:lineRule="auto" w:before="52"/>
        <w:ind w:left="513" w:right="90"/>
        <w:jc w:val="left"/>
      </w:pPr>
      <w:r>
        <w:rPr>
          <w:spacing w:val="-4"/>
        </w:rPr>
        <w:t>广州正道的产品和市场和公司有一定的互补性，通过入股广州正道，能扩展公司在中国电信集团、中国移动海外的市场。</w:t>
      </w:r>
    </w:p>
    <w:p>
      <w:pPr>
        <w:spacing w:line="338" w:lineRule="auto" w:before="116"/>
        <w:ind w:left="513" w:right="683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）北京信邦安达科技有限公司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233.33</w:t>
      </w:r>
      <w:r>
        <w:rPr>
          <w:rFonts w:ascii="宋体" w:hAnsi="宋体" w:cs="宋体" w:eastAsia="宋体" w:hint="default"/>
          <w:sz w:val="18"/>
          <w:szCs w:val="18"/>
        </w:rPr>
        <w:t>万元</w:t>
      </w:r>
    </w:p>
    <w:p>
      <w:pPr>
        <w:pStyle w:val="BodyText"/>
        <w:spacing w:line="240" w:lineRule="auto" w:before="19"/>
        <w:ind w:left="513" w:right="90"/>
        <w:jc w:val="left"/>
      </w:pPr>
      <w:r>
        <w:rPr>
          <w:spacing w:val="-4"/>
        </w:rPr>
        <w:t>经营范围：技术开发、技术推广、技术转让、技术咨询、技术服务；销售计算、软件及辅助设备、电子产品、通讯设备。</w:t>
      </w:r>
    </w:p>
    <w:p>
      <w:pPr>
        <w:pStyle w:val="BodyText"/>
        <w:spacing w:line="360" w:lineRule="auto" w:before="77"/>
        <w:ind w:left="513" w:right="5671" w:hanging="360"/>
        <w:jc w:val="left"/>
      </w:pPr>
      <w:r>
        <w:rPr/>
        <w:t>（未取得行政许可的项目除外） 主营业务：基于移动互联网的信息安全解决方案</w:t>
      </w:r>
    </w:p>
    <w:p>
      <w:pPr>
        <w:pStyle w:val="BodyText"/>
        <w:spacing w:line="300" w:lineRule="auto" w:before="25"/>
        <w:ind w:right="191" w:firstLine="360"/>
        <w:jc w:val="both"/>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日收购了北京信邦安达科技有限公司</w:t>
      </w:r>
      <w:r>
        <w:rPr>
          <w:rFonts w:ascii="Times New Roman" w:hAnsi="Times New Roman" w:cs="Times New Roman" w:eastAsia="Times New Roman" w:hint="default"/>
        </w:rPr>
        <w:t>25%</w:t>
      </w:r>
      <w:r>
        <w:rPr/>
        <w:t>的股权；</w:t>
      </w:r>
      <w:r>
        <w:rPr>
          <w:rFonts w:ascii="Times New Roman" w:hAnsi="Times New Roman" w:cs="Times New Roman" w:eastAsia="Times New Roman" w:hint="default"/>
        </w:rPr>
        <w:t>2011</w:t>
      </w:r>
      <w:r>
        <w:rPr/>
        <w:t>年，北京信邦安达为激励骨干员工，其原股 东层决定增资并转让部分股份给公司骨干员工，北京信邦安达于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日实施激励方案，增资扩股</w:t>
      </w:r>
      <w:r>
        <w:rPr>
          <w:rFonts w:ascii="Times New Roman" w:hAnsi="Times New Roman" w:cs="Times New Roman" w:eastAsia="Times New Roman" w:hint="default"/>
        </w:rPr>
        <w:t>100</w:t>
      </w:r>
      <w:r>
        <w:rPr/>
        <w:t>万元，天源迪科 </w:t>
      </w:r>
      <w:r>
        <w:rPr>
          <w:spacing w:val="-1"/>
        </w:rPr>
        <w:t>对信邦安达增资</w:t>
      </w:r>
      <w:r>
        <w:rPr>
          <w:rFonts w:ascii="Times New Roman" w:hAnsi="Times New Roman" w:cs="Times New Roman" w:eastAsia="Times New Roman" w:hint="default"/>
          <w:spacing w:val="-1"/>
        </w:rPr>
        <w:t>19.17</w:t>
      </w:r>
      <w:r>
        <w:rPr>
          <w:spacing w:val="-1"/>
        </w:rPr>
        <w:t>万元占有北京信邦安达的股份由</w:t>
      </w:r>
      <w:r>
        <w:rPr>
          <w:rFonts w:ascii="Times New Roman" w:hAnsi="Times New Roman" w:cs="Times New Roman" w:eastAsia="Times New Roman" w:hint="default"/>
          <w:spacing w:val="-1"/>
        </w:rPr>
        <w:t>25%</w:t>
      </w:r>
      <w:r>
        <w:rPr>
          <w:spacing w:val="-1"/>
        </w:rPr>
        <w:t>变更为</w:t>
      </w:r>
      <w:r>
        <w:rPr>
          <w:rFonts w:ascii="Times New Roman" w:hAnsi="Times New Roman" w:cs="Times New Roman" w:eastAsia="Times New Roman" w:hint="default"/>
          <w:spacing w:val="-1"/>
        </w:rPr>
        <w:t>22.5%</w:t>
      </w:r>
      <w:r>
        <w:rPr>
          <w:spacing w:val="-1"/>
        </w:rPr>
        <w:t>。经北京中会仁会计师事务所有限责任公司审计，截</w:t>
      </w:r>
      <w:r>
        <w:rPr>
          <w:spacing w:val="-56"/>
        </w:rPr>
        <w:t> </w:t>
      </w:r>
      <w:r>
        <w:rPr>
          <w:spacing w:val="-56"/>
        </w:rPr>
      </w:r>
      <w:r>
        <w:rPr/>
        <w:t>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日，北京信邦安达科技有限公司总资产</w:t>
      </w:r>
      <w:r>
        <w:rPr>
          <w:rFonts w:ascii="Times New Roman" w:hAnsi="Times New Roman" w:cs="Times New Roman" w:eastAsia="Times New Roman" w:hint="default"/>
        </w:rPr>
        <w:t>596.30</w:t>
      </w:r>
      <w:r>
        <w:rPr/>
        <w:t>万元，净资产</w:t>
      </w:r>
      <w:r>
        <w:rPr>
          <w:rFonts w:ascii="Times New Roman" w:hAnsi="Times New Roman" w:cs="Times New Roman" w:eastAsia="Times New Roman" w:hint="default"/>
        </w:rPr>
        <w:t>294.70</w:t>
      </w:r>
      <w:r>
        <w:rPr/>
        <w:t>万元，</w:t>
      </w:r>
      <w:r>
        <w:rPr>
          <w:rFonts w:ascii="Times New Roman" w:hAnsi="Times New Roman" w:cs="Times New Roman" w:eastAsia="Times New Roman" w:hint="default"/>
        </w:rPr>
        <w:t>2012</w:t>
      </w:r>
      <w:r>
        <w:rPr/>
        <w:t>年度实现营业总收入</w:t>
      </w:r>
      <w:r>
        <w:rPr>
          <w:rFonts w:ascii="Times New Roman" w:hAnsi="Times New Roman" w:cs="Times New Roman" w:eastAsia="Times New Roman" w:hint="default"/>
        </w:rPr>
        <w:t>714.45</w:t>
      </w:r>
      <w:r>
        <w:rPr/>
        <w:t>万 元，净利润</w:t>
      </w:r>
      <w:r>
        <w:rPr>
          <w:rFonts w:ascii="Times New Roman" w:hAnsi="Times New Roman" w:cs="Times New Roman" w:eastAsia="Times New Roman" w:hint="default"/>
        </w:rPr>
        <w:t>7.83</w:t>
      </w:r>
      <w:r>
        <w:rPr/>
        <w:t>万元。实现投资收益</w:t>
      </w:r>
      <w:r>
        <w:rPr>
          <w:rFonts w:ascii="Times New Roman" w:hAnsi="Times New Roman" w:cs="Times New Roman" w:eastAsia="Times New Roman" w:hint="default"/>
        </w:rPr>
        <w:t>1.76</w:t>
      </w:r>
      <w:r>
        <w:rPr/>
        <w:t>万元。</w:t>
      </w:r>
    </w:p>
    <w:p>
      <w:pPr>
        <w:spacing w:line="240" w:lineRule="auto" w:before="12"/>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both"/>
      </w:pPr>
      <w:r>
        <w:rPr/>
        <w:t>截至报告期末，公司无控制下的特殊目的主体。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3"/>
        <w:spacing w:line="240" w:lineRule="auto" w:before="0"/>
        <w:ind w:right="0"/>
        <w:jc w:val="both"/>
        <w:rPr>
          <w:b w:val="0"/>
          <w:bCs w:val="0"/>
        </w:rPr>
      </w:pPr>
      <w:r>
        <w:rPr/>
        <w:t>三、公司未来发展的展望</w:t>
      </w:r>
      <w:r>
        <w:rPr>
          <w:b w:val="0"/>
          <w:bCs w:val="0"/>
        </w:rPr>
      </w:r>
    </w:p>
    <w:p>
      <w:pPr>
        <w:spacing w:line="240" w:lineRule="auto" w:before="7"/>
        <w:rPr>
          <w:rFonts w:ascii="宋体" w:hAnsi="宋体" w:cs="宋体" w:eastAsia="宋体" w:hint="default"/>
          <w:b/>
          <w:bCs/>
          <w:sz w:val="26"/>
          <w:szCs w:val="26"/>
        </w:rPr>
      </w:pPr>
    </w:p>
    <w:p>
      <w:pPr>
        <w:pStyle w:val="Heading7"/>
        <w:spacing w:line="240" w:lineRule="auto"/>
        <w:ind w:left="515" w:right="90"/>
        <w:jc w:val="left"/>
        <w:rPr>
          <w:b w:val="0"/>
          <w:bCs w:val="0"/>
        </w:rPr>
      </w:pPr>
      <w:r>
        <w:rPr/>
        <w:t>（一）行业发展趋势</w:t>
      </w:r>
      <w:r>
        <w:rPr>
          <w:b w:val="0"/>
          <w:bCs w:val="0"/>
        </w:rPr>
      </w:r>
    </w:p>
    <w:p>
      <w:pPr>
        <w:pStyle w:val="BodyText"/>
        <w:spacing w:line="240" w:lineRule="auto" w:before="116"/>
        <w:ind w:left="513" w:right="9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2008-2012</w:t>
      </w:r>
      <w:r>
        <w:rPr>
          <w:spacing w:val="-3"/>
        </w:rPr>
        <w:t>年，全球移动通信用户复合增长率为</w:t>
      </w:r>
      <w:r>
        <w:rPr>
          <w:rFonts w:ascii="Times New Roman" w:hAnsi="Times New Roman" w:cs="Times New Roman" w:eastAsia="Times New Roman" w:hint="default"/>
          <w:spacing w:val="-3"/>
        </w:rPr>
        <w:t>8.3%,</w:t>
      </w:r>
      <w:r>
        <w:rPr>
          <w:spacing w:val="-3"/>
        </w:rPr>
        <w:t>已从</w:t>
      </w:r>
      <w:r>
        <w:rPr>
          <w:rFonts w:ascii="Times New Roman" w:hAnsi="Times New Roman" w:cs="Times New Roman" w:eastAsia="Times New Roman" w:hint="default"/>
          <w:spacing w:val="-3"/>
        </w:rPr>
        <w:t>2008</w:t>
      </w:r>
      <w:r>
        <w:rPr>
          <w:spacing w:val="-3"/>
        </w:rPr>
        <w:t>年的</w:t>
      </w:r>
      <w:r>
        <w:rPr>
          <w:rFonts w:ascii="Times New Roman" w:hAnsi="Times New Roman" w:cs="Times New Roman" w:eastAsia="Times New Roman" w:hint="default"/>
          <w:spacing w:val="-3"/>
        </w:rPr>
        <w:t>23</w:t>
      </w:r>
      <w:r>
        <w:rPr>
          <w:spacing w:val="-3"/>
        </w:rPr>
        <w:t>亿用户，增长到</w:t>
      </w:r>
      <w:r>
        <w:rPr>
          <w:rFonts w:ascii="Times New Roman" w:hAnsi="Times New Roman" w:cs="Times New Roman" w:eastAsia="Times New Roman" w:hint="default"/>
          <w:spacing w:val="-3"/>
        </w:rPr>
        <w:t>2012</w:t>
      </w:r>
      <w:r>
        <w:rPr>
          <w:spacing w:val="-3"/>
        </w:rPr>
        <w:t>年的</w:t>
      </w:r>
      <w:r>
        <w:rPr>
          <w:rFonts w:ascii="Times New Roman" w:hAnsi="Times New Roman" w:cs="Times New Roman" w:eastAsia="Times New Roman" w:hint="default"/>
          <w:spacing w:val="-3"/>
        </w:rPr>
        <w:t>32</w:t>
      </w:r>
      <w:r>
        <w:rPr>
          <w:spacing w:val="-3"/>
        </w:rPr>
        <w:t>亿用户（数据来源</w:t>
      </w:r>
      <w:r>
        <w:rPr>
          <w:rFonts w:ascii="Times New Roman" w:hAnsi="Times New Roman" w:cs="Times New Roman" w:eastAsia="Times New Roman" w:hint="default"/>
          <w:spacing w:val="-3"/>
        </w:rPr>
        <w:t>GSMA</w:t>
      </w:r>
    </w:p>
    <w:p>
      <w:pPr>
        <w:pStyle w:val="BodyText"/>
        <w:spacing w:line="304" w:lineRule="auto" w:before="63"/>
        <w:ind w:right="191"/>
        <w:jc w:val="both"/>
      </w:pPr>
      <w:r>
        <w:rPr/>
        <w:t>《</w:t>
      </w:r>
      <w:r>
        <w:rPr>
          <w:rFonts w:ascii="Times New Roman" w:hAnsi="Times New Roman" w:cs="Times New Roman" w:eastAsia="Times New Roman" w:hint="default"/>
        </w:rPr>
        <w:t>The</w:t>
      </w:r>
      <w:r>
        <w:rPr>
          <w:rFonts w:ascii="Times New Roman" w:hAnsi="Times New Roman" w:cs="Times New Roman" w:eastAsia="Times New Roman" w:hint="default"/>
          <w:spacing w:val="-27"/>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28"/>
        </w:rPr>
        <w:t> </w:t>
      </w:r>
      <w:r>
        <w:rPr>
          <w:rFonts w:ascii="Times New Roman" w:hAnsi="Times New Roman" w:cs="Times New Roman" w:eastAsia="Times New Roman" w:hint="default"/>
        </w:rPr>
        <w:t>Economy</w:t>
      </w:r>
      <w:r>
        <w:rPr>
          <w:rFonts w:ascii="Times New Roman" w:hAnsi="Times New Roman" w:cs="Times New Roman" w:eastAsia="Times New Roman" w:hint="default"/>
          <w:spacing w:val="-27"/>
        </w:rPr>
        <w:t> </w:t>
      </w:r>
      <w:r>
        <w:rPr>
          <w:rFonts w:ascii="Times New Roman" w:hAnsi="Times New Roman" w:cs="Times New Roman" w:eastAsia="Times New Roman" w:hint="default"/>
        </w:rPr>
        <w:t>2013</w:t>
      </w:r>
      <w:r>
        <w:rPr/>
        <w:t>》）。全球软件、互联网、媒体、电信、</w:t>
      </w:r>
      <w:r>
        <w:rPr>
          <w:rFonts w:ascii="Times New Roman" w:hAnsi="Times New Roman" w:cs="Times New Roman" w:eastAsia="Times New Roman" w:hint="default"/>
        </w:rPr>
        <w:t>IT</w:t>
      </w:r>
      <w:r>
        <w:rPr/>
        <w:t>设备制造、通信设备制造业相互渗透和融合的趋势十 </w:t>
      </w:r>
      <w:r>
        <w:rPr>
          <w:spacing w:val="-2"/>
        </w:rPr>
        <w:t>分明显，行业边界日益模糊，</w:t>
      </w:r>
      <w:r>
        <w:rPr>
          <w:rFonts w:ascii="Times New Roman" w:hAnsi="Times New Roman" w:cs="Times New Roman" w:eastAsia="Times New Roman" w:hint="default"/>
          <w:spacing w:val="-2"/>
        </w:rPr>
        <w:t>IT</w:t>
      </w:r>
      <w:r>
        <w:rPr>
          <w:spacing w:val="-2"/>
        </w:rPr>
        <w:t>企业跨界发展已成为一种新型的商业模式。软件企业进入智能手机制造业，传统媒体向互联</w:t>
      </w:r>
      <w:r>
        <w:rPr>
          <w:spacing w:val="-52"/>
        </w:rPr>
        <w:t> </w:t>
      </w:r>
      <w:r>
        <w:rPr>
          <w:spacing w:val="-52"/>
        </w:rPr>
      </w:r>
      <w:r>
        <w:rPr/>
        <w:t>网门户发展，互联网企业提供替代电信运营商的</w:t>
      </w:r>
      <w:r>
        <w:rPr>
          <w:rFonts w:ascii="Times New Roman" w:hAnsi="Times New Roman" w:cs="Times New Roman" w:eastAsia="Times New Roman" w:hint="default"/>
        </w:rPr>
        <w:t>VOIP</w:t>
      </w:r>
      <w:r>
        <w:rPr/>
        <w:t>通信服务，电信运营商大量提供媒体内容服务，</w:t>
      </w:r>
      <w:r>
        <w:rPr>
          <w:rFonts w:ascii="Times New Roman" w:hAnsi="Times New Roman" w:cs="Times New Roman" w:eastAsia="Times New Roman" w:hint="default"/>
        </w:rPr>
        <w:t>IT</w:t>
      </w:r>
      <w:r>
        <w:rPr/>
        <w:t>设备制造商开始提 </w:t>
      </w:r>
      <w:r>
        <w:rPr>
          <w:spacing w:val="-2"/>
        </w:rPr>
        <w:t>供云计算平台租用服务，通信设备制造商研发手机操作系统软件。行业大融合对整个</w:t>
      </w:r>
      <w:r>
        <w:rPr>
          <w:rFonts w:ascii="Times New Roman" w:hAnsi="Times New Roman" w:cs="Times New Roman" w:eastAsia="Times New Roman" w:hint="default"/>
          <w:spacing w:val="-2"/>
        </w:rPr>
        <w:t>IT</w:t>
      </w:r>
      <w:r>
        <w:rPr>
          <w:spacing w:val="-2"/>
        </w:rPr>
        <w:t>行业的影响是持久和深远的：电信运</w:t>
      </w:r>
      <w:r>
        <w:rPr>
          <w:spacing w:val="-52"/>
        </w:rPr>
        <w:t> </w:t>
      </w:r>
      <w:r>
        <w:rPr>
          <w:spacing w:val="-52"/>
        </w:rPr>
      </w:r>
      <w:r>
        <w:rPr>
          <w:spacing w:val="-2"/>
        </w:rPr>
        <w:t>营商投巨资完成了互联网基础设施建设，而互联网免费、平等和分享的特性在吸引普罗大众的同时又不断考验运营商的承受</w:t>
      </w:r>
      <w:r>
        <w:rPr>
          <w:spacing w:val="-64"/>
        </w:rPr>
        <w:t> </w:t>
      </w:r>
      <w:r>
        <w:rPr>
          <w:spacing w:val="-64"/>
        </w:rPr>
      </w:r>
      <w:r>
        <w:rPr>
          <w:spacing w:val="-1"/>
        </w:rPr>
        <w:t>底线；移动互联网</w:t>
      </w:r>
      <w:r>
        <w:rPr>
          <w:rFonts w:ascii="Times New Roman" w:hAnsi="Times New Roman" w:cs="Times New Roman" w:eastAsia="Times New Roman" w:hint="default"/>
          <w:spacing w:val="-1"/>
        </w:rPr>
        <w:t>App</w:t>
      </w:r>
      <w:r>
        <w:rPr>
          <w:spacing w:val="-1"/>
        </w:rPr>
        <w:t>应用的迅猛发展给软件企业带来新的商机，但应用的多样化（长尾）、个性化和快速变化特征使得传</w:t>
      </w:r>
      <w:r>
        <w:rPr>
          <w:spacing w:val="-69"/>
        </w:rPr>
        <w:t> </w:t>
      </w:r>
      <w:r>
        <w:rPr>
          <w:spacing w:val="-69"/>
        </w:rPr>
      </w:r>
      <w:r>
        <w:rPr>
          <w:spacing w:val="-2"/>
        </w:rPr>
        <w:t>统研发体系并不容易适应；软件企业可以借助互联网和移动互联网，可以大大降低营销和交付成本，但这也意味着更低的门</w:t>
      </w:r>
      <w:r>
        <w:rPr>
          <w:spacing w:val="-66"/>
        </w:rPr>
        <w:t> </w:t>
      </w:r>
      <w:r>
        <w:rPr>
          <w:spacing w:val="-66"/>
        </w:rPr>
      </w:r>
      <w:r>
        <w:rPr>
          <w:spacing w:val="-1"/>
        </w:rPr>
        <w:t>槛和更白热化的竞争。从全球范围来看，互联网型软件企业如</w:t>
      </w:r>
      <w:r>
        <w:rPr>
          <w:rFonts w:ascii="Times New Roman" w:hAnsi="Times New Roman" w:cs="Times New Roman" w:eastAsia="Times New Roman" w:hint="default"/>
          <w:spacing w:val="-1"/>
        </w:rPr>
        <w:t>Google</w:t>
      </w:r>
      <w:r>
        <w:rPr>
          <w:spacing w:val="-1"/>
        </w:rPr>
        <w:t>、</w:t>
      </w:r>
      <w:r>
        <w:rPr>
          <w:rFonts w:ascii="Times New Roman" w:hAnsi="Times New Roman" w:cs="Times New Roman" w:eastAsia="Times New Roman" w:hint="default"/>
          <w:spacing w:val="-1"/>
        </w:rPr>
        <w:t>Facebook</w:t>
      </w:r>
      <w:r>
        <w:rPr>
          <w:spacing w:val="-1"/>
        </w:rPr>
        <w:t>、</w:t>
      </w:r>
      <w:r>
        <w:rPr>
          <w:rFonts w:ascii="Times New Roman" w:hAnsi="Times New Roman" w:cs="Times New Roman" w:eastAsia="Times New Roman" w:hint="default"/>
          <w:spacing w:val="-1"/>
        </w:rPr>
        <w:t>Apple</w:t>
      </w:r>
      <w:r>
        <w:rPr>
          <w:spacing w:val="-1"/>
        </w:rPr>
        <w:t>、</w:t>
      </w:r>
      <w:r>
        <w:rPr>
          <w:rFonts w:ascii="Times New Roman" w:hAnsi="Times New Roman" w:cs="Times New Roman" w:eastAsia="Times New Roman" w:hint="default"/>
          <w:spacing w:val="-1"/>
        </w:rPr>
        <w:t>Amazon</w:t>
      </w:r>
      <w:r>
        <w:rPr>
          <w:spacing w:val="-1"/>
        </w:rPr>
        <w:t>已彻底取代传统设备制造</w:t>
      </w:r>
      <w:r>
        <w:rPr>
          <w:spacing w:val="-59"/>
        </w:rPr>
        <w:t> </w:t>
      </w:r>
      <w:r>
        <w:rPr/>
        <w:t>商成为</w:t>
      </w:r>
      <w:r>
        <w:rPr>
          <w:rFonts w:ascii="Times New Roman" w:hAnsi="Times New Roman" w:cs="Times New Roman" w:eastAsia="Times New Roman" w:hint="default"/>
        </w:rPr>
        <w:t>IT</w:t>
      </w:r>
      <w:r>
        <w:rPr/>
        <w:t>行业的主导力量，其创新能力和活力正在引导整个信息产业的发展。</w:t>
      </w:r>
    </w:p>
    <w:p>
      <w:pPr>
        <w:pStyle w:val="BodyText"/>
        <w:spacing w:line="240" w:lineRule="auto" w:before="47"/>
        <w:ind w:left="513" w:right="90"/>
        <w:jc w:val="left"/>
      </w:pPr>
      <w:r>
        <w:rPr>
          <w:rFonts w:ascii="Times New Roman" w:hAnsi="Times New Roman" w:cs="Times New Roman" w:eastAsia="Times New Roman" w:hint="default"/>
        </w:rPr>
        <w:t>2012</w:t>
      </w:r>
      <w:r>
        <w:rPr/>
        <w:t>年，国内软件行业发展的引擎是移动互联网应用，电信行业发展的驱动力是</w:t>
      </w:r>
      <w:r>
        <w:rPr>
          <w:rFonts w:ascii="Times New Roman" w:hAnsi="Times New Roman" w:cs="Times New Roman" w:eastAsia="Times New Roman" w:hint="default"/>
        </w:rPr>
        <w:t>3G</w:t>
      </w:r>
      <w:r>
        <w:rPr/>
        <w:t>网络、</w:t>
      </w:r>
      <w:r>
        <w:rPr>
          <w:rFonts w:ascii="Times New Roman" w:hAnsi="Times New Roman" w:cs="Times New Roman" w:eastAsia="Times New Roman" w:hint="default"/>
        </w:rPr>
        <w:t>4G</w:t>
      </w:r>
      <w:r>
        <w:rPr/>
        <w:t>网络和智能终端的迅速发</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ind w:right="190"/>
        <w:jc w:val="both"/>
      </w:pPr>
      <w:r>
        <w:rPr>
          <w:spacing w:val="-1"/>
        </w:rPr>
        <w:t>展。在</w:t>
      </w:r>
      <w:r>
        <w:rPr>
          <w:rFonts w:ascii="Times New Roman" w:hAnsi="Times New Roman" w:cs="Times New Roman" w:eastAsia="Times New Roman" w:hint="default"/>
          <w:spacing w:val="-1"/>
        </w:rPr>
        <w:t>3G</w:t>
      </w:r>
      <w:r>
        <w:rPr>
          <w:spacing w:val="-1"/>
        </w:rPr>
        <w:t>牌照发放近三年后，目前国内三大运营商彼此间的差距在不断缩小，</w:t>
      </w:r>
      <w:r>
        <w:rPr>
          <w:rFonts w:ascii="Times New Roman" w:hAnsi="Times New Roman" w:cs="Times New Roman" w:eastAsia="Times New Roman" w:hint="default"/>
          <w:spacing w:val="-1"/>
        </w:rPr>
        <w:t>3G</w:t>
      </w:r>
      <w:r>
        <w:rPr>
          <w:spacing w:val="-1"/>
        </w:rPr>
        <w:t>已成为中国电信与中国联通挑战</w:t>
      </w:r>
      <w:r>
        <w:rPr>
          <w:rFonts w:ascii="Times New Roman" w:hAnsi="Times New Roman" w:cs="Times New Roman" w:eastAsia="Times New Roman" w:hint="default"/>
          <w:spacing w:val="-1"/>
        </w:rPr>
        <w:t>2G</w:t>
      </w:r>
      <w:r>
        <w:rPr>
          <w:spacing w:val="-1"/>
        </w:rPr>
        <w:t>时代霸</w:t>
      </w:r>
      <w:r>
        <w:rPr>
          <w:spacing w:val="-61"/>
        </w:rPr>
        <w:t> </w:t>
      </w:r>
      <w:r>
        <w:rPr/>
        <w:t>主的利器。国内移动用户已接近</w:t>
      </w:r>
      <w:r>
        <w:rPr>
          <w:rFonts w:ascii="Times New Roman" w:hAnsi="Times New Roman" w:cs="Times New Roman" w:eastAsia="Times New Roman" w:hint="default"/>
        </w:rPr>
        <w:t>10</w:t>
      </w:r>
      <w:r>
        <w:rPr/>
        <w:t>亿，规模效益显著。随着</w:t>
      </w:r>
      <w:r>
        <w:rPr>
          <w:rFonts w:ascii="Times New Roman" w:hAnsi="Times New Roman" w:cs="Times New Roman" w:eastAsia="Times New Roman" w:hint="default"/>
        </w:rPr>
        <w:t>3G</w:t>
      </w:r>
      <w:r>
        <w:rPr/>
        <w:t>的广泛应用，大幅度提升了移动网络数据带宽，拓宽了移动 </w:t>
      </w:r>
      <w:r>
        <w:rPr>
          <w:spacing w:val="-1"/>
        </w:rPr>
        <w:t>智能终端应用领域，</w:t>
      </w:r>
      <w:r>
        <w:rPr>
          <w:rFonts w:ascii="Times New Roman" w:hAnsi="Times New Roman" w:cs="Times New Roman" w:eastAsia="Times New Roman" w:hint="default"/>
          <w:spacing w:val="-1"/>
        </w:rPr>
        <w:t>App</w:t>
      </w:r>
      <w:r>
        <w:rPr>
          <w:spacing w:val="-1"/>
        </w:rPr>
        <w:t>应用和业务也逐渐丰富起来。满足大众消费者需求的个性化应用和相向行业信息化需求的移动互联</w:t>
      </w:r>
      <w:r>
        <w:rPr>
          <w:spacing w:val="-69"/>
        </w:rPr>
        <w:t> </w:t>
      </w:r>
      <w:r>
        <w:rPr>
          <w:spacing w:val="-69"/>
        </w:rPr>
      </w:r>
      <w:r>
        <w:rPr/>
        <w:t>网应用都得到迅速发展。</w:t>
      </w:r>
      <w:r>
        <w:rPr>
          <w:rFonts w:ascii="Times New Roman" w:hAnsi="Times New Roman" w:cs="Times New Roman" w:eastAsia="Times New Roman" w:hint="default"/>
        </w:rPr>
        <w:t>IT</w:t>
      </w:r>
      <w:r>
        <w:rPr/>
        <w:t>融合给软件和互联网行业都带来新的发展机遇和挑战。</w:t>
      </w:r>
    </w:p>
    <w:p>
      <w:pPr>
        <w:pStyle w:val="BodyText"/>
        <w:spacing w:line="302" w:lineRule="auto" w:before="51"/>
        <w:ind w:right="258" w:firstLine="360"/>
        <w:jc w:val="both"/>
      </w:pPr>
      <w:r>
        <w:rPr/>
        <w:t>客户体验将主导一个全新和繁荣的信息时代。电信</w:t>
      </w:r>
      <w:r>
        <w:rPr>
          <w:rFonts w:ascii="Times New Roman" w:hAnsi="Times New Roman" w:cs="Times New Roman" w:eastAsia="Times New Roman" w:hint="default"/>
        </w:rPr>
        <w:t>OSS/BSS</w:t>
      </w:r>
      <w:r>
        <w:rPr/>
        <w:t>运营</w:t>
      </w:r>
      <w:r>
        <w:rPr>
          <w:rFonts w:ascii="Times New Roman" w:hAnsi="Times New Roman" w:cs="Times New Roman" w:eastAsia="Times New Roman" w:hint="default"/>
        </w:rPr>
        <w:t>/</w:t>
      </w:r>
      <w:r>
        <w:rPr/>
        <w:t>业务支撑系统在产业链条中需要适应更加开放的运营 环境和按需运营的模式，基于</w:t>
      </w:r>
      <w:r>
        <w:rPr>
          <w:rFonts w:ascii="Times New Roman" w:hAnsi="Times New Roman" w:cs="Times New Roman" w:eastAsia="Times New Roman" w:hint="default"/>
        </w:rPr>
        <w:t>“Big</w:t>
      </w:r>
      <w:r>
        <w:rPr>
          <w:rFonts w:ascii="Times New Roman" w:hAnsi="Times New Roman" w:cs="Times New Roman" w:eastAsia="Times New Roman" w:hint="default"/>
          <w:spacing w:val="-4"/>
        </w:rPr>
        <w:t> </w:t>
      </w:r>
      <w:r>
        <w:rPr>
          <w:rFonts w:ascii="Times New Roman" w:hAnsi="Times New Roman" w:cs="Times New Roman" w:eastAsia="Times New Roman" w:hint="default"/>
        </w:rPr>
        <w:t>Data</w:t>
      </w:r>
      <w:r>
        <w:rPr/>
        <w:t>大数据</w:t>
      </w:r>
      <w:r>
        <w:rPr>
          <w:rFonts w:ascii="Times New Roman" w:hAnsi="Times New Roman" w:cs="Times New Roman" w:eastAsia="Times New Roman" w:hint="default"/>
        </w:rPr>
        <w:t>”</w:t>
      </w:r>
      <w:r>
        <w:rPr/>
        <w:t>提供客户洞察能力，驾驭云计算带来的冲击。</w:t>
      </w:r>
    </w:p>
    <w:p>
      <w:pPr>
        <w:pStyle w:val="BodyText"/>
        <w:spacing w:line="357" w:lineRule="auto" w:before="52"/>
        <w:ind w:left="513" w:right="191" w:firstLine="1"/>
        <w:jc w:val="left"/>
      </w:pPr>
      <w:r>
        <w:rPr>
          <w:rFonts w:ascii="宋体" w:hAnsi="宋体" w:cs="宋体" w:eastAsia="宋体" w:hint="default"/>
          <w:b/>
          <w:bCs/>
        </w:rPr>
        <w:t>（二）公司发展机遇和挑战</w:t>
      </w:r>
      <w:r>
        <w:rPr>
          <w:rFonts w:ascii="宋体" w:hAnsi="宋体" w:cs="宋体" w:eastAsia="宋体" w:hint="default"/>
          <w:b/>
          <w:bCs/>
          <w:w w:val="99"/>
        </w:rPr>
        <w:t> </w:t>
      </w:r>
      <w:r>
        <w:rPr/>
        <w:t>全球电信运营商都在加快向互联网企业转型的步伐，围绕互联网业务的软件需求呈现增长趋势。</w:t>
      </w:r>
      <w:r>
        <w:rPr>
          <w:rFonts w:ascii="Times New Roman" w:hAnsi="Times New Roman" w:cs="Times New Roman" w:eastAsia="Times New Roman" w:hint="default"/>
        </w:rPr>
        <w:t>3G</w:t>
      </w:r>
      <w:r>
        <w:rPr/>
        <w:t>网络、</w:t>
      </w:r>
      <w:r>
        <w:rPr>
          <w:rFonts w:ascii="Times New Roman" w:hAnsi="Times New Roman" w:cs="Times New Roman" w:eastAsia="Times New Roman" w:hint="default"/>
        </w:rPr>
        <w:t>4G</w:t>
      </w:r>
      <w:r>
        <w:rPr/>
        <w:t>网络、智</w:t>
      </w:r>
    </w:p>
    <w:p>
      <w:pPr>
        <w:pStyle w:val="BodyText"/>
        <w:spacing w:line="201" w:lineRule="exact" w:before="0"/>
        <w:ind w:right="0"/>
        <w:jc w:val="left"/>
      </w:pPr>
      <w:r>
        <w:rPr/>
        <w:t>能终端和移动互联网应用的快速发展，产生大量数据通信需求，进一步带动了宽带和移动互联网业务的快速增长。移动互联</w:t>
      </w:r>
    </w:p>
    <w:p>
      <w:pPr>
        <w:pStyle w:val="BodyText"/>
        <w:spacing w:line="319" w:lineRule="auto" w:before="76"/>
        <w:ind w:right="90"/>
        <w:jc w:val="left"/>
      </w:pPr>
      <w:r>
        <w:rPr>
          <w:spacing w:val="-2"/>
        </w:rPr>
        <w:t>网、云计算、物联网带来新一轮变革，各运营商的软件需求也发生转变，电信软件厂商的业务支撑软件系统需要支持移动互</w:t>
      </w:r>
      <w:r>
        <w:rPr>
          <w:spacing w:val="-66"/>
        </w:rPr>
        <w:t> </w:t>
      </w:r>
      <w:r>
        <w:rPr>
          <w:spacing w:val="-66"/>
        </w:rPr>
      </w:r>
      <w:r>
        <w:rPr>
          <w:spacing w:val="-4"/>
        </w:rPr>
        <w:t>联网创新业务，为移动宽带和宽带用户提供有价值的服务。业务支撑系统不仅面向企业应用，更要走向互联网与移动互联网，</w:t>
      </w:r>
      <w:r>
        <w:rPr>
          <w:spacing w:val="-44"/>
        </w:rPr>
        <w:t> </w:t>
      </w:r>
      <w:r>
        <w:rPr>
          <w:spacing w:val="-44"/>
        </w:rPr>
      </w:r>
      <w:r>
        <w:rPr>
          <w:spacing w:val="-2"/>
        </w:rPr>
        <w:t>终端覆盖从传统电脑桌面扩展到手机终端和掌上电脑，业务支撑系统为运营商内部运营提供支撑的同时，也成为业务创新的</w:t>
      </w:r>
      <w:r>
        <w:rPr>
          <w:spacing w:val="-64"/>
        </w:rPr>
        <w:t> </w:t>
      </w:r>
      <w:r>
        <w:rPr>
          <w:spacing w:val="-64"/>
        </w:rPr>
      </w:r>
      <w:r>
        <w:rPr/>
        <w:t>重要保障。</w:t>
      </w:r>
    </w:p>
    <w:p>
      <w:pPr>
        <w:pStyle w:val="BodyText"/>
        <w:spacing w:line="319" w:lineRule="auto" w:before="55"/>
        <w:ind w:right="190" w:firstLine="360"/>
        <w:jc w:val="both"/>
      </w:pPr>
      <w:r>
        <w:rPr>
          <w:spacing w:val="-2"/>
        </w:rPr>
        <w:t>随着移动智能终端和移动互联网应用的迅速发展，使电信运营商与互联网企业的竞合关系变得更为错综复杂，价值链延</w:t>
      </w:r>
      <w:r>
        <w:rPr/>
        <w:t> </w:t>
      </w:r>
      <w:r>
        <w:rPr>
          <w:spacing w:val="-2"/>
        </w:rPr>
        <w:t>伸，新型的服务模式和商业模式层出不穷，服务参与者的数量激增，业务复杂度大幅度提高。新产品、新技术以及新的服务</w:t>
      </w:r>
      <w:r>
        <w:rPr>
          <w:spacing w:val="-66"/>
        </w:rPr>
        <w:t> </w:t>
      </w:r>
      <w:r>
        <w:rPr>
          <w:spacing w:val="-66"/>
        </w:rPr>
      </w:r>
      <w:r>
        <w:rPr>
          <w:spacing w:val="-2"/>
        </w:rPr>
        <w:t>开发对公司的市场竞争力和未来发展具有重要影响。移动终端应用和云计算将成为技术核心，若公司不能在围绕这些领域的</w:t>
      </w:r>
      <w:r>
        <w:rPr>
          <w:spacing w:val="-64"/>
        </w:rPr>
        <w:t> </w:t>
      </w:r>
      <w:r>
        <w:rPr>
          <w:spacing w:val="-64"/>
        </w:rPr>
      </w:r>
      <w:r>
        <w:rPr/>
        <w:t>产品研发、技术创新、市场营销、客户服务等方面进一步增强实力，未来将面临更大的竞争压力。</w:t>
      </w:r>
    </w:p>
    <w:p>
      <w:pPr>
        <w:pStyle w:val="BodyText"/>
        <w:spacing w:line="312" w:lineRule="auto" w:before="56"/>
        <w:ind w:right="190" w:firstLine="360"/>
        <w:jc w:val="both"/>
      </w:pPr>
      <w:r>
        <w:rPr>
          <w:spacing w:val="-2"/>
        </w:rPr>
        <w:t>移动互联网应用带来业务复杂度提升的同时也带来业务需求的增长，公司凭借在软件研发领域近</w:t>
      </w:r>
      <w:r>
        <w:rPr>
          <w:rFonts w:ascii="Times New Roman" w:hAnsi="Times New Roman" w:cs="Times New Roman" w:eastAsia="Times New Roman" w:hint="default"/>
          <w:spacing w:val="-2"/>
        </w:rPr>
        <w:t>20</w:t>
      </w:r>
      <w:r>
        <w:rPr>
          <w:spacing w:val="-2"/>
        </w:rPr>
        <w:t>年的积累，已形成超</w:t>
      </w:r>
      <w:r>
        <w:rPr/>
        <w:t> </w:t>
      </w:r>
      <w:r>
        <w:rPr>
          <w:spacing w:val="-2"/>
        </w:rPr>
        <w:t>过一千人的软件研发团队，不断致力于新产品研发和技术创新，把握移动互联网发展机遇，加大移动终端应用的开发，研究</w:t>
      </w:r>
      <w:r>
        <w:rPr>
          <w:spacing w:val="-66"/>
        </w:rPr>
        <w:t> </w:t>
      </w:r>
      <w:r>
        <w:rPr>
          <w:spacing w:val="-66"/>
        </w:rPr>
      </w:r>
      <w:r>
        <w:rPr>
          <w:spacing w:val="-2"/>
        </w:rPr>
        <w:t>虚拟化、分布式并行处理技术和云计算技术，开发电子商务应用，在当前移动互联网生态环境下，为公司快速发展提供持续</w:t>
      </w:r>
      <w:r>
        <w:rPr>
          <w:spacing w:val="-66"/>
        </w:rPr>
        <w:t> </w:t>
      </w:r>
      <w:r>
        <w:rPr>
          <w:spacing w:val="-66"/>
        </w:rPr>
      </w:r>
      <w:r>
        <w:rPr/>
        <w:t>动力。</w:t>
      </w:r>
    </w:p>
    <w:p>
      <w:pPr>
        <w:pStyle w:val="BodyText"/>
        <w:spacing w:line="357" w:lineRule="auto" w:before="62"/>
        <w:ind w:left="513" w:right="191" w:firstLine="1"/>
        <w:jc w:val="left"/>
      </w:pPr>
      <w:r>
        <w:rPr>
          <w:rFonts w:ascii="宋体" w:hAnsi="宋体" w:cs="宋体" w:eastAsia="宋体" w:hint="default"/>
          <w:b/>
          <w:bCs/>
        </w:rPr>
        <w:t>（三）公司发展战略</w:t>
      </w:r>
      <w:r>
        <w:rPr>
          <w:rFonts w:ascii="宋体" w:hAnsi="宋体" w:cs="宋体" w:eastAsia="宋体" w:hint="default"/>
          <w:b/>
          <w:bCs/>
          <w:spacing w:val="1"/>
          <w:w w:val="99"/>
        </w:rPr>
        <w:t> </w:t>
      </w:r>
      <w:r>
        <w:rPr/>
        <w:t>公司以软件为核心事业。公司将充分利用云计算、</w:t>
      </w:r>
      <w:r>
        <w:rPr>
          <w:rFonts w:ascii="Times New Roman" w:hAnsi="Times New Roman" w:cs="Times New Roman" w:eastAsia="Times New Roman" w:hint="default"/>
        </w:rPr>
        <w:t>3G</w:t>
      </w:r>
      <w:r>
        <w:rPr/>
        <w:t>、</w:t>
      </w:r>
      <w:r>
        <w:rPr>
          <w:rFonts w:ascii="Times New Roman" w:hAnsi="Times New Roman" w:cs="Times New Roman" w:eastAsia="Times New Roman" w:hint="default"/>
        </w:rPr>
        <w:t>4G</w:t>
      </w:r>
      <w:r>
        <w:rPr/>
        <w:t>和移动互联网带来的发展机遇，在公司核心业务规模化基础</w:t>
      </w:r>
    </w:p>
    <w:p>
      <w:pPr>
        <w:pStyle w:val="BodyText"/>
        <w:spacing w:line="201" w:lineRule="exact" w:before="0"/>
        <w:ind w:right="0"/>
        <w:jc w:val="left"/>
      </w:pPr>
      <w:r>
        <w:rPr/>
        <w:t>上，加强业务的联动，增强自主创新能力，始终保持技术和产品在行业内的领先水平。积极研究移动互联网创新业务模式，</w:t>
      </w:r>
    </w:p>
    <w:p>
      <w:pPr>
        <w:pStyle w:val="BodyText"/>
        <w:spacing w:line="357" w:lineRule="auto" w:before="77"/>
        <w:ind w:left="513" w:right="175" w:hanging="360"/>
        <w:jc w:val="left"/>
      </w:pPr>
      <w:r>
        <w:rPr/>
        <w:t>拓宽业务范围，寻找新业务增长点。与合作伙伴一起，继续开拓国际软件市场，致力于成为国际化软件企业。 </w:t>
      </w:r>
      <w:r>
        <w:rPr>
          <w:spacing w:val="-1"/>
        </w:rPr>
        <w:t>公司的经营理念是</w:t>
      </w:r>
      <w:r>
        <w:rPr>
          <w:rFonts w:ascii="Times New Roman" w:hAnsi="Times New Roman" w:cs="Times New Roman" w:eastAsia="Times New Roman" w:hint="default"/>
          <w:spacing w:val="-1"/>
        </w:rPr>
        <w:t>“</w:t>
      </w:r>
      <w:r>
        <w:rPr>
          <w:spacing w:val="-1"/>
        </w:rPr>
        <w:t>为客户创造价值，与客户共同成长</w:t>
      </w:r>
      <w:r>
        <w:rPr>
          <w:rFonts w:ascii="Times New Roman" w:hAnsi="Times New Roman" w:cs="Times New Roman" w:eastAsia="Times New Roman" w:hint="default"/>
          <w:spacing w:val="-1"/>
        </w:rPr>
        <w:t>”</w:t>
      </w:r>
      <w:r>
        <w:rPr>
          <w:spacing w:val="-1"/>
        </w:rPr>
        <w:t>。公司依托先进的</w:t>
      </w:r>
      <w:r>
        <w:rPr>
          <w:rFonts w:ascii="Times New Roman" w:hAnsi="Times New Roman" w:cs="Times New Roman" w:eastAsia="Times New Roman" w:hint="default"/>
          <w:spacing w:val="-1"/>
        </w:rPr>
        <w:t>IT</w:t>
      </w:r>
      <w:r>
        <w:rPr>
          <w:spacing w:val="-1"/>
        </w:rPr>
        <w:t>理念和技术，通过与客户建立长期的合作伙</w:t>
      </w:r>
    </w:p>
    <w:p>
      <w:pPr>
        <w:pStyle w:val="BodyText"/>
        <w:spacing w:line="214" w:lineRule="exact" w:before="0"/>
        <w:ind w:right="0"/>
        <w:jc w:val="left"/>
      </w:pPr>
      <w:r>
        <w:rPr/>
        <w:t>伴关系，以</w:t>
      </w:r>
      <w:r>
        <w:rPr>
          <w:rFonts w:ascii="Times New Roman" w:hAnsi="Times New Roman" w:cs="Times New Roman" w:eastAsia="Times New Roman" w:hint="default"/>
        </w:rPr>
        <w:t>IT</w:t>
      </w:r>
      <w:r>
        <w:rPr/>
        <w:t>为手段，贴心为客户服务，为客户创造价值，提高客户管理精益化水平和运营效率，增强客户的竞争力，提升</w:t>
      </w:r>
    </w:p>
    <w:p>
      <w:pPr>
        <w:pStyle w:val="BodyText"/>
        <w:spacing w:line="240" w:lineRule="auto" w:before="64"/>
        <w:ind w:right="90"/>
        <w:jc w:val="left"/>
      </w:pPr>
      <w:r>
        <w:rPr/>
        <w:t>公司的品牌价值。</w:t>
      </w:r>
    </w:p>
    <w:p>
      <w:pPr>
        <w:pStyle w:val="BodyText"/>
        <w:spacing w:line="307" w:lineRule="auto" w:before="115"/>
        <w:ind w:right="191" w:firstLine="360"/>
        <w:jc w:val="both"/>
      </w:pPr>
      <w:r>
        <w:rPr/>
        <w:t>公司发展思路是：复制行业经验，拓宽产业链条，扩大产业规模，追求良性发展。具体方法是：</w:t>
      </w:r>
      <w:r>
        <w:rPr>
          <w:spacing w:val="-18"/>
        </w:rPr>
        <w:t> </w:t>
      </w:r>
      <w:r>
        <w:rPr/>
        <w:t>对外</w:t>
      </w:r>
      <w:r>
        <w:rPr>
          <w:rFonts w:ascii="Times New Roman" w:hAnsi="Times New Roman" w:cs="Times New Roman" w:eastAsia="Times New Roman" w:hint="default"/>
        </w:rPr>
        <w:t>—</w:t>
      </w:r>
      <w:r>
        <w:rPr/>
        <w:t>并购一些中小 </w:t>
      </w:r>
      <w:r>
        <w:rPr>
          <w:spacing w:val="-2"/>
        </w:rPr>
        <w:t>软件企业，扩展业务范围，精心培育，与我们自己的产品及市场形成互补，合理布局，资源共享，多业务联动，达到规模经</w:t>
      </w:r>
      <w:r>
        <w:rPr>
          <w:spacing w:val="-65"/>
        </w:rPr>
        <w:t> </w:t>
      </w:r>
      <w:r>
        <w:rPr>
          <w:spacing w:val="-65"/>
        </w:rPr>
      </w:r>
      <w:r>
        <w:rPr/>
        <w:t>营的目的；对内</w:t>
      </w:r>
      <w:r>
        <w:rPr>
          <w:rFonts w:ascii="Times New Roman" w:hAnsi="Times New Roman" w:cs="Times New Roman" w:eastAsia="Times New Roman" w:hint="default"/>
        </w:rPr>
        <w:t>-</w:t>
      </w:r>
      <w:r>
        <w:rPr/>
        <w:t>汇聚人才，强化绩效考核，建立合理的激励机制，规范公司运营，提高运营效率。追求的效果是：规模经 营，持续快速发展，最终成为中国领先的、受人尊敬的</w:t>
      </w:r>
      <w:r>
        <w:rPr>
          <w:rFonts w:ascii="Times New Roman" w:hAnsi="Times New Roman" w:cs="Times New Roman" w:eastAsia="Times New Roman" w:hint="default"/>
        </w:rPr>
        <w:t>IT</w:t>
      </w:r>
      <w:r>
        <w:rPr/>
        <w:t>企业。</w:t>
      </w:r>
    </w:p>
    <w:p>
      <w:pPr>
        <w:pStyle w:val="BodyText"/>
        <w:spacing w:line="340" w:lineRule="auto" w:before="46"/>
        <w:ind w:left="513" w:right="90"/>
        <w:jc w:val="left"/>
      </w:pPr>
      <w:r>
        <w:rPr>
          <w:rFonts w:ascii="宋体" w:hAnsi="宋体" w:cs="宋体" w:eastAsia="宋体" w:hint="default"/>
          <w:b/>
          <w:bCs/>
        </w:rPr>
        <w:t>（四）</w:t>
      </w:r>
      <w:r>
        <w:rPr>
          <w:rFonts w:ascii="Times New Roman" w:hAnsi="Times New Roman" w:cs="Times New Roman" w:eastAsia="Times New Roman" w:hint="default"/>
          <w:b/>
          <w:bCs/>
        </w:rPr>
        <w:t>2013</w:t>
      </w:r>
      <w:r>
        <w:rPr>
          <w:rFonts w:ascii="宋体" w:hAnsi="宋体" w:cs="宋体" w:eastAsia="宋体" w:hint="default"/>
          <w:b/>
          <w:bCs/>
        </w:rPr>
        <w:t>年经营计划</w:t>
      </w:r>
      <w:r>
        <w:rPr>
          <w:rFonts w:ascii="宋体" w:hAnsi="宋体" w:cs="宋体" w:eastAsia="宋体" w:hint="default"/>
          <w:b/>
          <w:bCs/>
          <w:w w:val="99"/>
        </w:rPr>
        <w:t> </w:t>
      </w:r>
      <w:r>
        <w:rPr>
          <w:spacing w:val="-4"/>
        </w:rPr>
        <w:t>为实现全年经营目标，</w:t>
      </w:r>
      <w:r>
        <w:rPr>
          <w:rFonts w:ascii="Times New Roman" w:hAnsi="Times New Roman" w:cs="Times New Roman" w:eastAsia="Times New Roman" w:hint="default"/>
          <w:spacing w:val="-4"/>
        </w:rPr>
        <w:t>2013</w:t>
      </w:r>
      <w:r>
        <w:rPr>
          <w:spacing w:val="-4"/>
        </w:rPr>
        <w:t>年公司将继续完善产业战略布局构建，采取积极的营销策略，实现公司业务持续稳步的增长。</w:t>
      </w:r>
    </w:p>
    <w:p>
      <w:pPr>
        <w:pStyle w:val="BodyText"/>
        <w:spacing w:line="338" w:lineRule="auto" w:before="18"/>
        <w:ind w:left="513" w:right="90" w:hanging="1"/>
        <w:jc w:val="left"/>
      </w:pPr>
      <w:r>
        <w:rPr/>
        <w:t>（</w:t>
      </w:r>
      <w:r>
        <w:rPr>
          <w:rFonts w:ascii="Times New Roman" w:hAnsi="Times New Roman" w:cs="Times New Roman" w:eastAsia="Times New Roman" w:hint="default"/>
        </w:rPr>
        <w:t>1</w:t>
      </w:r>
      <w:r>
        <w:rPr/>
        <w:t>）继续完善战略布局构建 </w:t>
      </w:r>
      <w:r>
        <w:rPr>
          <w:spacing w:val="-2"/>
        </w:rPr>
        <w:t>公司将继续在中国电信、中国联通等国内运营商和部分国际运营商软件应用市场精耕细作，不断扩大市场份额，巩固在</w:t>
      </w:r>
    </w:p>
    <w:p>
      <w:pPr>
        <w:pStyle w:val="BodyText"/>
        <w:spacing w:line="309" w:lineRule="auto" w:before="2"/>
        <w:ind w:right="90"/>
        <w:jc w:val="left"/>
      </w:pPr>
      <w:r>
        <w:rPr>
          <w:rFonts w:ascii="Times New Roman" w:hAnsi="Times New Roman" w:cs="Times New Roman" w:eastAsia="Times New Roman" w:hint="default"/>
          <w:spacing w:val="-3"/>
        </w:rPr>
        <w:t>BSS</w:t>
      </w:r>
      <w:r>
        <w:rPr>
          <w:spacing w:val="-3"/>
        </w:rPr>
        <w:t>业务支撑系统和新业务平台领域的领先优势，推进政府业务快速发展，发展</w:t>
      </w:r>
      <w:r>
        <w:rPr>
          <w:rFonts w:ascii="Times New Roman" w:hAnsi="Times New Roman" w:cs="Times New Roman" w:eastAsia="Times New Roman" w:hint="default"/>
          <w:spacing w:val="-3"/>
        </w:rPr>
        <w:t>IT</w:t>
      </w:r>
      <w:r>
        <w:rPr>
          <w:spacing w:val="-3"/>
        </w:rPr>
        <w:t>服务运营及服务外包业务，拓展业务运营、</w:t>
      </w:r>
      <w:r>
        <w:rPr>
          <w:spacing w:val="-44"/>
        </w:rPr>
        <w:t> </w:t>
      </w:r>
      <w:r>
        <w:rPr>
          <w:spacing w:val="-44"/>
        </w:rPr>
      </w:r>
      <w:r>
        <w:rPr>
          <w:spacing w:val="-2"/>
        </w:rPr>
        <w:t>业务咨询和移动互联网领域。通过持续业务创新、跨行业复制等手段来整合并提升子公司业务，扩大产业规模，逐步形成合</w:t>
      </w:r>
      <w:r>
        <w:rPr>
          <w:spacing w:val="-66"/>
        </w:rPr>
        <w:t> </w:t>
      </w:r>
      <w:r>
        <w:rPr>
          <w:spacing w:val="-66"/>
        </w:rPr>
      </w:r>
      <w:r>
        <w:rPr/>
        <w:t>理的、良性的产业布局，实现</w:t>
      </w:r>
      <w:r>
        <w:rPr>
          <w:rFonts w:ascii="Times New Roman" w:hAnsi="Times New Roman" w:cs="Times New Roman" w:eastAsia="Times New Roman" w:hint="default"/>
        </w:rPr>
        <w:t>2013</w:t>
      </w:r>
      <w:r>
        <w:rPr/>
        <w:t>年应用软件及服务收入</w:t>
      </w:r>
      <w:r>
        <w:rPr>
          <w:rFonts w:ascii="Times New Roman" w:hAnsi="Times New Roman" w:cs="Times New Roman" w:eastAsia="Times New Roman" w:hint="default"/>
        </w:rPr>
        <w:t>35%</w:t>
      </w:r>
      <w:r>
        <w:rPr/>
        <w:t>以上增长的目标。</w:t>
      </w:r>
    </w:p>
    <w:p>
      <w:pPr>
        <w:pStyle w:val="BodyText"/>
        <w:spacing w:line="338" w:lineRule="auto" w:before="46"/>
        <w:ind w:left="513" w:right="90"/>
        <w:jc w:val="left"/>
      </w:pPr>
      <w:r>
        <w:rPr/>
        <w:t>（</w:t>
      </w:r>
      <w:r>
        <w:rPr>
          <w:rFonts w:ascii="Times New Roman" w:hAnsi="Times New Roman" w:cs="Times New Roman" w:eastAsia="Times New Roman" w:hint="default"/>
        </w:rPr>
        <w:t>2</w:t>
      </w:r>
      <w:r>
        <w:rPr/>
        <w:t>）强化绩效考核，完善激励机制 </w:t>
      </w:r>
      <w:r>
        <w:rPr>
          <w:spacing w:val="-1"/>
        </w:rPr>
        <w:t>公司将继续实施目标管理，细化分解业务和管理</w:t>
      </w:r>
      <w:r>
        <w:rPr>
          <w:rFonts w:ascii="Times New Roman" w:hAnsi="Times New Roman" w:cs="Times New Roman" w:eastAsia="Times New Roman" w:hint="default"/>
          <w:spacing w:val="-1"/>
        </w:rPr>
        <w:t>KPI</w:t>
      </w:r>
      <w:r>
        <w:rPr>
          <w:spacing w:val="-1"/>
        </w:rPr>
        <w:t>指标；强化绩效考核，持续改进绩效，提高团队执行力；完善激励</w:t>
      </w:r>
    </w:p>
    <w:p>
      <w:pPr>
        <w:pStyle w:val="BodyText"/>
        <w:spacing w:line="218" w:lineRule="exact" w:before="0"/>
        <w:ind w:left="154" w:right="90"/>
        <w:jc w:val="left"/>
      </w:pPr>
      <w:r>
        <w:rPr/>
        <w:t>机制，提供职业发展舞台和空间，达到企业、股东和员工共赢。</w:t>
      </w:r>
    </w:p>
    <w:p>
      <w:pPr>
        <w:spacing w:after="0" w:line="218" w:lineRule="exact"/>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ind w:left="513" w:right="83"/>
        <w:jc w:val="left"/>
      </w:pPr>
      <w:r>
        <w:rPr/>
        <w:t>（</w:t>
      </w:r>
      <w:r>
        <w:rPr>
          <w:rFonts w:ascii="Times New Roman" w:hAnsi="Times New Roman" w:cs="Times New Roman" w:eastAsia="Times New Roman" w:hint="default"/>
        </w:rPr>
        <w:t>3</w:t>
      </w:r>
      <w:r>
        <w:rPr/>
        <w:t>）进一步提升核心竞争能力 </w:t>
      </w:r>
      <w:r>
        <w:rPr>
          <w:spacing w:val="-3"/>
        </w:rPr>
        <w:t>自主创新能力是公司立足于竞争激烈的</w:t>
      </w:r>
      <w:r>
        <w:rPr>
          <w:rFonts w:ascii="Times New Roman" w:hAnsi="Times New Roman" w:cs="Times New Roman" w:eastAsia="Times New Roman" w:hint="default"/>
          <w:spacing w:val="-3"/>
        </w:rPr>
        <w:t>IT</w:t>
      </w:r>
      <w:r>
        <w:rPr>
          <w:spacing w:val="-3"/>
        </w:rPr>
        <w:t>市场的真正法宝，公司将继续在创新中寻求商机，在多业务联动中寻找新机会。</w:t>
      </w:r>
    </w:p>
    <w:p>
      <w:pPr>
        <w:pStyle w:val="BodyText"/>
        <w:spacing w:line="230" w:lineRule="exact" w:before="0"/>
        <w:ind w:right="90"/>
        <w:jc w:val="left"/>
      </w:pPr>
      <w:r>
        <w:rPr/>
        <w:t>公司将积极研发基于云计算的创新业务模式和软件产品。公司将结合</w:t>
      </w:r>
      <w:r>
        <w:rPr>
          <w:rFonts w:ascii="Times New Roman" w:hAnsi="Times New Roman" w:cs="Times New Roman" w:eastAsia="Times New Roman" w:hint="default"/>
        </w:rPr>
        <w:t>3G</w:t>
      </w:r>
      <w:r>
        <w:rPr/>
        <w:t>和移动互联网发展，发挥企业技术积累优势，利用</w:t>
      </w:r>
    </w:p>
    <w:p>
      <w:pPr>
        <w:pStyle w:val="BodyText"/>
        <w:spacing w:line="319" w:lineRule="auto" w:before="63"/>
        <w:ind w:right="91"/>
        <w:jc w:val="left"/>
      </w:pPr>
      <w:r>
        <w:rPr/>
        <w:t>现有客户资源，继续探索基于云计算的服务模式，加大终端应用开发。公司将在不同客户群之间进行产品和实施经验复制， </w:t>
      </w:r>
      <w:r>
        <w:rPr>
          <w:spacing w:val="-2"/>
        </w:rPr>
        <w:t>加大咨询服务和新业务开发投入；公司将扩大解决方案队伍，为一线营销人员提供业务支持，保持研发、售前、销售协同作</w:t>
      </w:r>
      <w:r>
        <w:rPr>
          <w:spacing w:val="-66"/>
        </w:rPr>
        <w:t> </w:t>
      </w:r>
      <w:r>
        <w:rPr>
          <w:spacing w:val="-66"/>
        </w:rPr>
      </w:r>
      <w:r>
        <w:rPr>
          <w:spacing w:val="-2"/>
        </w:rPr>
        <w:t>战，提高解决方案、产品知识和客户需求转移效率；积累海外交付经验，建立可复制的交付模式，努力拓展海外市场。通过</w:t>
      </w:r>
      <w:r>
        <w:rPr>
          <w:spacing w:val="-68"/>
        </w:rPr>
        <w:t> </w:t>
      </w:r>
      <w:r>
        <w:rPr>
          <w:spacing w:val="-68"/>
        </w:rPr>
      </w:r>
      <w:r>
        <w:rPr/>
        <w:t>推进募集资金项目，公司在电信行业应用软件产品和公安行业应用软件产品解决方案领域的竞争力将继续得到巩固和增强， 研发实力、服务水平及市场开拓能力均得到提升，从而进一步扩大公司的经营规模和提高公司的盈利能力和抗风险能力。</w:t>
      </w:r>
    </w:p>
    <w:p>
      <w:pPr>
        <w:pStyle w:val="BodyText"/>
        <w:spacing w:line="338" w:lineRule="auto" w:before="58"/>
        <w:ind w:left="513" w:right="90"/>
        <w:jc w:val="left"/>
      </w:pPr>
      <w:r>
        <w:rPr/>
        <w:t>（</w:t>
      </w:r>
      <w:r>
        <w:rPr>
          <w:rFonts w:ascii="Times New Roman" w:hAnsi="Times New Roman" w:cs="Times New Roman" w:eastAsia="Times New Roman" w:hint="default"/>
        </w:rPr>
        <w:t>4</w:t>
      </w:r>
      <w:r>
        <w:rPr/>
        <w:t>）推动子公司快速成长 </w:t>
      </w:r>
      <w:r>
        <w:rPr>
          <w:spacing w:val="-2"/>
        </w:rPr>
        <w:t>公司把子公司作为未来发展的中坚力量。将建立机制，支持子公司共享集团资源，实现管理流程有效衔接。健全对子公</w:t>
      </w:r>
    </w:p>
    <w:p>
      <w:pPr>
        <w:pStyle w:val="BodyText"/>
        <w:spacing w:line="240" w:lineRule="auto" w:before="4"/>
        <w:ind w:right="90"/>
        <w:jc w:val="left"/>
      </w:pPr>
      <w:r>
        <w:rPr/>
        <w:t>司的绩效考核机制，提高整体运营效率，实现快速成长。</w:t>
      </w:r>
    </w:p>
    <w:p>
      <w:pPr>
        <w:pStyle w:val="BodyText"/>
        <w:spacing w:line="338" w:lineRule="auto" w:before="116"/>
        <w:ind w:left="513" w:right="90"/>
        <w:jc w:val="left"/>
      </w:pPr>
      <w:r>
        <w:rPr/>
        <w:t>（</w:t>
      </w:r>
      <w:r>
        <w:rPr>
          <w:rFonts w:ascii="Times New Roman" w:hAnsi="Times New Roman" w:cs="Times New Roman" w:eastAsia="Times New Roman" w:hint="default"/>
        </w:rPr>
        <w:t>5</w:t>
      </w:r>
      <w:r>
        <w:rPr/>
        <w:t>）力争合肥软件研发基地早日使用，发挥效能 </w:t>
      </w:r>
      <w:r>
        <w:rPr>
          <w:spacing w:val="-2"/>
        </w:rPr>
        <w:t>公司将完成合肥软件研发基地一期工程，切合行业发展趋势，力争将合肥软件研发基地打造成为公司新产品开发和服务</w:t>
      </w:r>
    </w:p>
    <w:p>
      <w:pPr>
        <w:pStyle w:val="BodyText"/>
        <w:spacing w:line="319" w:lineRule="auto" w:before="2"/>
        <w:ind w:right="200"/>
        <w:jc w:val="left"/>
      </w:pPr>
      <w:r>
        <w:rPr/>
        <w:t>运营中心，重点研究基于云计算和移动互联网的创新业务模式，并拓宽业务范围，降低研发成本，</w:t>
      </w:r>
      <w:r>
        <w:rPr>
          <w:spacing w:val="-19"/>
        </w:rPr>
        <w:t> </w:t>
      </w:r>
      <w:r>
        <w:rPr/>
        <w:t>实施中长期人才培养战</w:t>
      </w:r>
      <w:r>
        <w:rPr/>
        <w:t> 略，为公司经营业绩持续快速增长打下良好基础。</w:t>
      </w:r>
    </w:p>
    <w:p>
      <w:pPr>
        <w:pStyle w:val="BodyText"/>
        <w:spacing w:line="338" w:lineRule="auto" w:before="56"/>
        <w:ind w:left="513" w:right="90"/>
        <w:jc w:val="left"/>
      </w:pPr>
      <w:r>
        <w:rPr/>
        <w:t>（</w:t>
      </w:r>
      <w:r>
        <w:rPr>
          <w:rFonts w:ascii="Times New Roman" w:hAnsi="Times New Roman" w:cs="Times New Roman" w:eastAsia="Times New Roman" w:hint="default"/>
        </w:rPr>
        <w:t>6</w:t>
      </w:r>
      <w:r>
        <w:rPr/>
        <w:t>）资金需求及来源 </w:t>
      </w:r>
      <w:r>
        <w:rPr>
          <w:spacing w:val="-1"/>
        </w:rPr>
        <w:t>根据公司的发展战略和</w:t>
      </w:r>
      <w:r>
        <w:rPr>
          <w:rFonts w:ascii="Times New Roman" w:hAnsi="Times New Roman" w:cs="Times New Roman" w:eastAsia="Times New Roman" w:hint="default"/>
          <w:spacing w:val="-1"/>
        </w:rPr>
        <w:t>2013</w:t>
      </w:r>
      <w:r>
        <w:rPr>
          <w:spacing w:val="-1"/>
        </w:rPr>
        <w:t>年的投资预算，公司在</w:t>
      </w:r>
      <w:r>
        <w:rPr>
          <w:rFonts w:ascii="Times New Roman" w:hAnsi="Times New Roman" w:cs="Times New Roman" w:eastAsia="Times New Roman" w:hint="default"/>
          <w:spacing w:val="-1"/>
        </w:rPr>
        <w:t>2013</w:t>
      </w:r>
      <w:r>
        <w:rPr>
          <w:spacing w:val="-1"/>
        </w:rPr>
        <w:t>年将投入创新产品的研发支出约</w:t>
      </w:r>
      <w:r>
        <w:rPr>
          <w:rFonts w:ascii="Times New Roman" w:hAnsi="Times New Roman" w:cs="Times New Roman" w:eastAsia="Times New Roman" w:hint="default"/>
          <w:spacing w:val="-1"/>
        </w:rPr>
        <w:t>13,000</w:t>
      </w:r>
      <w:r>
        <w:rPr>
          <w:spacing w:val="-1"/>
        </w:rPr>
        <w:t>万元；</w:t>
      </w:r>
      <w:r>
        <w:rPr>
          <w:rFonts w:ascii="Times New Roman" w:hAnsi="Times New Roman" w:cs="Times New Roman" w:eastAsia="Times New Roman" w:hint="default"/>
          <w:spacing w:val="-1"/>
        </w:rPr>
        <w:t>2013</w:t>
      </w:r>
      <w:r>
        <w:rPr>
          <w:spacing w:val="-1"/>
        </w:rPr>
        <w:t>年继续投入在</w:t>
      </w:r>
    </w:p>
    <w:p>
      <w:pPr>
        <w:pStyle w:val="BodyText"/>
        <w:spacing w:line="230" w:lineRule="exact" w:before="0"/>
        <w:ind w:right="90"/>
        <w:jc w:val="left"/>
      </w:pPr>
      <w:r>
        <w:rPr/>
        <w:t>建的研发中心建设约</w:t>
      </w:r>
      <w:r>
        <w:rPr>
          <w:rFonts w:ascii="Times New Roman" w:hAnsi="Times New Roman" w:cs="Times New Roman" w:eastAsia="Times New Roman" w:hint="default"/>
        </w:rPr>
        <w:t>17,000</w:t>
      </w:r>
      <w:r>
        <w:rPr/>
        <w:t>万元，</w:t>
      </w:r>
      <w:r>
        <w:rPr>
          <w:rFonts w:ascii="Times New Roman" w:hAnsi="Times New Roman" w:cs="Times New Roman" w:eastAsia="Times New Roman" w:hint="default"/>
        </w:rPr>
        <w:t>2013</w:t>
      </w:r>
      <w:r>
        <w:rPr/>
        <w:t>年通过收购或增加投资拓展上下游产业链，投资约</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w:t>
      </w:r>
      <w:r>
        <w:rPr/>
        <w:t>。上述资金部分来源于</w:t>
      </w:r>
    </w:p>
    <w:p>
      <w:pPr>
        <w:pStyle w:val="BodyText"/>
        <w:spacing w:line="240" w:lineRule="auto" w:before="64"/>
        <w:ind w:right="90"/>
        <w:jc w:val="left"/>
      </w:pPr>
      <w:r>
        <w:rPr/>
        <w:t>募集资金，部分来源于股权融资，部分来源于债务融资，债务融资成本</w:t>
      </w:r>
      <w:r>
        <w:rPr>
          <w:rFonts w:ascii="Times New Roman" w:hAnsi="Times New Roman" w:cs="Times New Roman" w:eastAsia="Times New Roman" w:hint="default"/>
        </w:rPr>
        <w:t>7%</w:t>
      </w:r>
      <w:r>
        <w:rPr/>
        <w:t>左右，不足部分以公司自有资金投入。</w:t>
      </w:r>
    </w:p>
    <w:p>
      <w:pPr>
        <w:pStyle w:val="BodyText"/>
        <w:spacing w:line="338" w:lineRule="auto" w:before="103"/>
        <w:ind w:left="513" w:right="3151"/>
        <w:jc w:val="left"/>
      </w:pPr>
      <w:r>
        <w:rPr/>
        <w:t>（</w:t>
      </w:r>
      <w:r>
        <w:rPr>
          <w:rFonts w:ascii="Times New Roman" w:hAnsi="Times New Roman" w:cs="Times New Roman" w:eastAsia="Times New Roman" w:hint="default"/>
        </w:rPr>
        <w:t>7</w:t>
      </w:r>
      <w:r>
        <w:rPr/>
        <w:t>）继续完善公司治理 公司将重点从信息披露、财务基础建设和规范管理三个方面继续完善公司治理。</w:t>
      </w:r>
    </w:p>
    <w:p>
      <w:pPr>
        <w:pStyle w:val="Heading7"/>
        <w:spacing w:line="240" w:lineRule="auto" w:before="42"/>
        <w:ind w:left="469" w:right="90"/>
        <w:jc w:val="left"/>
        <w:rPr>
          <w:b w:val="0"/>
          <w:bCs w:val="0"/>
        </w:rPr>
      </w:pPr>
      <w:r>
        <w:rPr/>
        <w:t>（五）风险因素分析</w:t>
      </w:r>
      <w:r>
        <w:rPr>
          <w:b w:val="0"/>
          <w:bCs w:val="0"/>
        </w:rPr>
      </w:r>
    </w:p>
    <w:p>
      <w:pPr>
        <w:pStyle w:val="BodyText"/>
        <w:spacing w:line="338" w:lineRule="auto" w:before="117"/>
        <w:ind w:left="513" w:right="90"/>
        <w:jc w:val="left"/>
      </w:pPr>
      <w:r>
        <w:rPr/>
        <w:t>（</w:t>
      </w:r>
      <w:r>
        <w:rPr>
          <w:rFonts w:ascii="Times New Roman" w:hAnsi="Times New Roman" w:cs="Times New Roman" w:eastAsia="Times New Roman" w:hint="default"/>
        </w:rPr>
        <w:t>1</w:t>
      </w:r>
      <w:r>
        <w:rPr/>
        <w:t>）竞争加剧风险 </w:t>
      </w:r>
      <w:r>
        <w:rPr>
          <w:spacing w:val="-2"/>
        </w:rPr>
        <w:t>随着三网融合和移动互联网应用的开发，市场机会大大增加的同时，参与竞争的软件企业数量的也将不断增加，若公司</w:t>
      </w:r>
    </w:p>
    <w:p>
      <w:pPr>
        <w:pStyle w:val="BodyText"/>
        <w:spacing w:line="319" w:lineRule="auto" w:before="2"/>
        <w:ind w:right="90"/>
        <w:jc w:val="left"/>
      </w:pPr>
      <w:r>
        <w:rPr>
          <w:spacing w:val="-2"/>
        </w:rPr>
        <w:t>不能在产品研发、技术创新、市场营销、客户服务等方面进一步增强实力，未来将面临更大的竞争压力。若未来公司研发的</w:t>
      </w:r>
      <w:r>
        <w:rPr>
          <w:spacing w:val="-66"/>
        </w:rPr>
        <w:t> </w:t>
      </w:r>
      <w:r>
        <w:rPr>
          <w:spacing w:val="-66"/>
        </w:rPr>
      </w:r>
      <w:r>
        <w:rPr/>
        <w:t>产品没有前瞻性，或者产品无法通过电信运营商的入围测试，公司的竞争优势将会受到较大影响。</w:t>
      </w:r>
    </w:p>
    <w:p>
      <w:pPr>
        <w:pStyle w:val="BodyText"/>
        <w:spacing w:line="240" w:lineRule="auto" w:before="56"/>
        <w:ind w:left="513" w:right="90"/>
        <w:jc w:val="left"/>
      </w:pPr>
      <w:r>
        <w:rPr/>
        <w:t>针对上述风险，公司拟采取应对措施是加大研发中心建设，继续优化产品、服务和技术创新机制，提升市场竞争力。</w:t>
      </w:r>
    </w:p>
    <w:p>
      <w:pPr>
        <w:pStyle w:val="BodyText"/>
        <w:spacing w:line="338" w:lineRule="auto" w:before="117"/>
        <w:ind w:left="513" w:right="90"/>
        <w:jc w:val="left"/>
      </w:pPr>
      <w:r>
        <w:rPr/>
        <w:t>（</w:t>
      </w:r>
      <w:r>
        <w:rPr>
          <w:rFonts w:ascii="Times New Roman" w:hAnsi="Times New Roman" w:cs="Times New Roman" w:eastAsia="Times New Roman" w:hint="default"/>
        </w:rPr>
        <w:t>2</w:t>
      </w:r>
      <w:r>
        <w:rPr/>
        <w:t>）知识产权风险 </w:t>
      </w:r>
      <w:r>
        <w:rPr>
          <w:spacing w:val="-2"/>
        </w:rPr>
        <w:t>公司开发的软件产品，包含公司多年积累的核心技术，如果流失或被恶意盗取，将对公司的市场竞争力和未来发展造成</w:t>
      </w:r>
    </w:p>
    <w:p>
      <w:pPr>
        <w:pStyle w:val="BodyText"/>
        <w:spacing w:line="240" w:lineRule="auto" w:before="4"/>
        <w:ind w:right="90"/>
        <w:jc w:val="left"/>
      </w:pPr>
      <w:r>
        <w:rPr/>
        <w:t>重大影响。</w:t>
      </w:r>
    </w:p>
    <w:p>
      <w:pPr>
        <w:pStyle w:val="BodyText"/>
        <w:spacing w:line="319" w:lineRule="auto" w:before="115"/>
        <w:ind w:right="90" w:firstLine="360"/>
        <w:jc w:val="left"/>
      </w:pPr>
      <w:r>
        <w:rPr>
          <w:spacing w:val="-2"/>
        </w:rPr>
        <w:t>针对上述风险，公司采取了以下具体措施：将已开发的软件产品进行计算机软件著作权登记，对于关键技术，进行专利</w:t>
      </w:r>
      <w:r>
        <w:rPr/>
        <w:t> 申请，通过法律手段保护公司的知识产权；</w:t>
      </w:r>
    </w:p>
    <w:p>
      <w:pPr>
        <w:pStyle w:val="BodyText"/>
        <w:spacing w:line="319" w:lineRule="auto" w:before="56"/>
        <w:ind w:right="90" w:firstLine="360"/>
        <w:jc w:val="left"/>
      </w:pPr>
      <w:r>
        <w:rPr>
          <w:spacing w:val="-4"/>
        </w:rPr>
        <w:t>为了防止核心技术秘密泄露，公司在与员工签订劳动合同的同时还签订了保密协议书，今后公司将进一步完善保密制度，</w:t>
      </w:r>
      <w:r>
        <w:rPr/>
        <w:t> </w:t>
      </w:r>
      <w:r>
        <w:rPr>
          <w:spacing w:val="-2"/>
        </w:rPr>
        <w:t>加强软件开发技术文档及软件源代码的管理，保证公司核心技术的安全；继续保持研发投入，扩大研发规模，提前研究前瞻</w:t>
      </w:r>
      <w:r>
        <w:rPr>
          <w:spacing w:val="-66"/>
        </w:rPr>
        <w:t> </w:t>
      </w:r>
      <w:r>
        <w:rPr>
          <w:spacing w:val="-66"/>
        </w:rPr>
      </w:r>
      <w:r>
        <w:rPr/>
        <w:t>性软件技术和行业业务模式，保证公司软件产品开发保持领先；</w:t>
      </w:r>
    </w:p>
    <w:p>
      <w:pPr>
        <w:pStyle w:val="BodyText"/>
        <w:spacing w:line="348" w:lineRule="auto" w:before="56"/>
        <w:ind w:left="513" w:right="91"/>
        <w:jc w:val="left"/>
      </w:pPr>
      <w:r>
        <w:rPr/>
        <w:t>（</w:t>
      </w:r>
      <w:r>
        <w:rPr>
          <w:rFonts w:ascii="Times New Roman" w:hAnsi="Times New Roman" w:cs="Times New Roman" w:eastAsia="Times New Roman" w:hint="default"/>
        </w:rPr>
        <w:t>3</w:t>
      </w:r>
      <w:r>
        <w:rPr/>
        <w:t>）核心人才流失风险 软件企业对于核心人才依赖性高。企业对高端人才的争夺已经超出行业范围，核心人员流失对于公司业务发展影响大。 </w:t>
      </w:r>
      <w:r>
        <w:rPr>
          <w:spacing w:val="-4"/>
        </w:rPr>
        <w:t>针对上述风险，公司已进行了以下几个方面的管理改革：实施股权激励，核心骨干利益与企业利益绑定；优化组织架构，</w:t>
      </w:r>
    </w:p>
    <w:p>
      <w:pPr>
        <w:pStyle w:val="BodyText"/>
        <w:spacing w:line="319" w:lineRule="auto" w:before="0"/>
        <w:ind w:left="154" w:right="90" w:hanging="1"/>
        <w:jc w:val="left"/>
      </w:pPr>
      <w:r>
        <w:rPr>
          <w:spacing w:val="-2"/>
        </w:rPr>
        <w:t>各业务单元按照子公司、事业部管理模式，充分授权，建立多层次员工关怀体系；重视员工学习与训练，增强企业人才培养</w:t>
      </w:r>
      <w:r>
        <w:rPr>
          <w:spacing w:val="-66"/>
        </w:rPr>
        <w:t> </w:t>
      </w:r>
      <w:r>
        <w:rPr>
          <w:spacing w:val="-66"/>
        </w:rPr>
      </w:r>
      <w:r>
        <w:rPr/>
        <w:t>能力，为员工搭建持续发展的平台。</w:t>
      </w:r>
    </w:p>
    <w:p>
      <w:pPr>
        <w:pStyle w:val="BodyText"/>
        <w:spacing w:line="338" w:lineRule="auto" w:before="56"/>
        <w:ind w:left="513" w:right="90"/>
        <w:jc w:val="left"/>
      </w:pPr>
      <w:r>
        <w:rPr/>
        <w:t>（</w:t>
      </w:r>
      <w:r>
        <w:rPr>
          <w:rFonts w:ascii="Times New Roman" w:hAnsi="Times New Roman" w:cs="Times New Roman" w:eastAsia="Times New Roman" w:hint="default"/>
        </w:rPr>
        <w:t>4</w:t>
      </w:r>
      <w:r>
        <w:rPr/>
        <w:t>）国际市场风险 </w:t>
      </w:r>
      <w:r>
        <w:rPr>
          <w:spacing w:val="-2"/>
        </w:rPr>
        <w:t>公司进入国际市场后，面对全新的市场、文化和法律环境，交付和服务团队需要一定时间适应。同时汇率波动，国际经</w:t>
      </w:r>
    </w:p>
    <w:p>
      <w:pPr>
        <w:spacing w:after="0" w:line="338"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ind w:left="513" w:right="1171" w:hanging="360"/>
        <w:jc w:val="left"/>
      </w:pPr>
      <w:r>
        <w:rPr/>
        <w:t>济形势变化，都会对公司的业务造成一定影响。 针对上述风险，公司已加强国际化软件团队招募和培养，完善海外项目管理流程，强化风险管控制力度。</w:t>
      </w:r>
    </w:p>
    <w:p>
      <w:pPr>
        <w:spacing w:line="240" w:lineRule="auto" w:before="4"/>
        <w:rPr>
          <w:rFonts w:ascii="宋体" w:hAnsi="宋体" w:cs="宋体" w:eastAsia="宋体" w:hint="default"/>
          <w:sz w:val="18"/>
          <w:szCs w:val="18"/>
        </w:rPr>
      </w:pPr>
    </w:p>
    <w:p>
      <w:pPr>
        <w:pStyle w:val="Heading3"/>
        <w:spacing w:line="240" w:lineRule="auto" w:before="0"/>
        <w:ind w:right="90"/>
        <w:jc w:val="left"/>
        <w:rPr>
          <w:b w:val="0"/>
          <w:bCs w:val="0"/>
        </w:rPr>
      </w:pPr>
      <w:r>
        <w:rPr/>
        <w:t>四、公司利润分配及分红派息情况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513" w:right="4411" w:hanging="360"/>
        <w:jc w:val="left"/>
      </w:pPr>
      <w:r>
        <w:rPr/>
        <w:t>报告期内利润分配政策特别是现金分红政策的制定、执行或调整情况 一、利润分配政策特别是现金分红政策的制定情况</w:t>
      </w:r>
    </w:p>
    <w:p>
      <w:pPr>
        <w:pStyle w:val="BodyText"/>
        <w:spacing w:line="224" w:lineRule="exact" w:before="0"/>
        <w:ind w:left="513" w:right="0"/>
        <w:jc w:val="left"/>
      </w:pPr>
      <w:r>
        <w:rPr/>
        <w:t>根据中国证监会《关于进一步落实上市公司现金分红有关事项的通知》要求，公司针对现行《公司章程》进行了自查，</w:t>
      </w:r>
    </w:p>
    <w:p>
      <w:pPr>
        <w:pStyle w:val="BodyText"/>
        <w:spacing w:line="240" w:lineRule="auto" w:before="76"/>
        <w:ind w:right="90"/>
        <w:jc w:val="left"/>
      </w:pPr>
      <w:r>
        <w:rPr/>
        <w:t>并对原《公司章程》中有关利润分配政策的条款进行了修订。</w:t>
      </w:r>
    </w:p>
    <w:p>
      <w:pPr>
        <w:pStyle w:val="BodyText"/>
        <w:spacing w:line="240" w:lineRule="auto" w:before="76"/>
        <w:ind w:left="513" w:right="90"/>
        <w:jc w:val="left"/>
      </w:pPr>
      <w:r>
        <w:rPr/>
        <w:t>（一）原公司章程中对现金分红的规定</w:t>
      </w:r>
    </w:p>
    <w:p>
      <w:pPr>
        <w:pStyle w:val="BodyText"/>
        <w:spacing w:line="316" w:lineRule="auto" w:before="76"/>
        <w:ind w:right="172" w:firstLine="360"/>
        <w:jc w:val="left"/>
      </w:pPr>
      <w:r>
        <w:rPr/>
        <w:t>第一百五十五条</w:t>
      </w:r>
      <w:r>
        <w:rPr>
          <w:spacing w:val="9"/>
        </w:rPr>
        <w:t> </w:t>
      </w:r>
      <w:r>
        <w:rPr/>
        <w:t>公司实行持续、稳定的利润分配政策，采取现金或者股票方式分配股利，公司实施利润分配办法，应</w:t>
      </w:r>
      <w:r>
        <w:rPr/>
        <w:t> 当遵循以下规定：</w:t>
      </w:r>
    </w:p>
    <w:p>
      <w:pPr>
        <w:pStyle w:val="BodyText"/>
        <w:spacing w:line="240" w:lineRule="auto" w:before="19"/>
        <w:ind w:left="513" w:right="90"/>
        <w:jc w:val="left"/>
      </w:pPr>
      <w:r>
        <w:rPr>
          <w:rFonts w:ascii="Times New Roman" w:hAnsi="Times New Roman" w:cs="Times New Roman" w:eastAsia="Times New Roman" w:hint="default"/>
        </w:rPr>
        <w:t>1</w:t>
      </w:r>
      <w:r>
        <w:rPr/>
        <w:t>、公司的利润分配应重视对投资者的合理投资回报；</w:t>
      </w:r>
    </w:p>
    <w:p>
      <w:pPr>
        <w:pStyle w:val="BodyText"/>
        <w:spacing w:line="240" w:lineRule="auto" w:before="63"/>
        <w:ind w:left="513" w:right="90"/>
        <w:jc w:val="left"/>
      </w:pPr>
      <w:r>
        <w:rPr>
          <w:rFonts w:ascii="Times New Roman" w:hAnsi="Times New Roman" w:cs="Times New Roman" w:eastAsia="Times New Roman" w:hint="default"/>
        </w:rPr>
        <w:t>2</w:t>
      </w:r>
      <w:r>
        <w:rPr/>
        <w:t>、公司董事会未做出现金利润分配预案的，应当在定期报告中披露原因，独立董事应当对此发表独立意见；</w:t>
      </w:r>
    </w:p>
    <w:p>
      <w:pPr>
        <w:pStyle w:val="BodyText"/>
        <w:spacing w:line="240" w:lineRule="auto" w:before="63"/>
        <w:ind w:left="513" w:right="90"/>
        <w:jc w:val="left"/>
      </w:pPr>
      <w:r>
        <w:rPr>
          <w:rFonts w:ascii="Times New Roman" w:hAnsi="Times New Roman" w:cs="Times New Roman" w:eastAsia="Times New Roman" w:hint="default"/>
        </w:rPr>
        <w:t>3</w:t>
      </w:r>
      <w:r>
        <w:rPr/>
        <w:t>、股东违规占用公司资金情况的，公司应当扣减该股东所分配的现金红利，以偿还其占用的资金；</w:t>
      </w:r>
    </w:p>
    <w:p>
      <w:pPr>
        <w:pStyle w:val="BodyText"/>
        <w:spacing w:line="240" w:lineRule="auto" w:before="63"/>
        <w:ind w:left="513" w:right="90"/>
        <w:jc w:val="left"/>
      </w:pPr>
      <w:r>
        <w:rPr>
          <w:rFonts w:ascii="Times New Roman" w:hAnsi="Times New Roman" w:cs="Times New Roman" w:eastAsia="Times New Roman" w:hint="default"/>
        </w:rPr>
        <w:t>4</w:t>
      </w:r>
      <w:r>
        <w:rPr/>
        <w:t>、公司可根据实际盈利情况进行中期现金分红；</w:t>
      </w:r>
    </w:p>
    <w:p>
      <w:pPr>
        <w:pStyle w:val="BodyText"/>
        <w:spacing w:line="240" w:lineRule="auto" w:before="63"/>
        <w:ind w:left="513" w:right="90"/>
        <w:jc w:val="left"/>
      </w:pPr>
      <w:r>
        <w:rPr>
          <w:rFonts w:ascii="Times New Roman" w:hAnsi="Times New Roman" w:cs="Times New Roman" w:eastAsia="Times New Roman" w:hint="default"/>
        </w:rPr>
        <w:t>5</w:t>
      </w:r>
      <w:r>
        <w:rPr/>
        <w:t>、最近三年以现金方式累计分配的利润不少于最近三年实现的年均可分配利润的百分之三十。</w:t>
      </w:r>
    </w:p>
    <w:p>
      <w:pPr>
        <w:pStyle w:val="BodyText"/>
        <w:spacing w:line="316" w:lineRule="auto" w:before="63"/>
        <w:ind w:left="513" w:right="2251"/>
        <w:jc w:val="left"/>
      </w:pPr>
      <w:r>
        <w:rPr/>
        <w:t>（二）对《公司章程》中分红条款的修订 经公司第二届董事会第十九次会议审议通过，对《公司章程》中第一百五十五条修订如下： 第一百五十五条</w:t>
      </w:r>
      <w:r>
        <w:rPr>
          <w:spacing w:val="53"/>
        </w:rPr>
        <w:t> </w:t>
      </w:r>
      <w:r>
        <w:rPr/>
        <w:t>公司实施利润分配办法，应当遵循以下规定：</w:t>
      </w:r>
    </w:p>
    <w:p>
      <w:pPr>
        <w:pStyle w:val="BodyText"/>
        <w:spacing w:line="300" w:lineRule="auto" w:before="19"/>
        <w:ind w:left="513" w:right="90"/>
        <w:jc w:val="left"/>
      </w:pPr>
      <w:r>
        <w:rPr>
          <w:rFonts w:ascii="Times New Roman" w:hAnsi="Times New Roman" w:cs="Times New Roman" w:eastAsia="Times New Roman" w:hint="default"/>
        </w:rPr>
        <w:t>1</w:t>
      </w:r>
      <w:r>
        <w:rPr/>
        <w:t>、利润分配的原则 </w:t>
      </w:r>
      <w:r>
        <w:rPr>
          <w:spacing w:val="-4"/>
        </w:rPr>
        <w:t>公司的利润分配应重视对投资者的合理投资回报，利润分配政策应保持连续性和稳定性，并坚持按法定顺序分配的原则；</w:t>
      </w:r>
    </w:p>
    <w:p>
      <w:pPr>
        <w:pStyle w:val="BodyText"/>
        <w:spacing w:line="240" w:lineRule="auto" w:before="31"/>
        <w:ind w:right="90"/>
        <w:jc w:val="left"/>
      </w:pPr>
      <w:r>
        <w:rPr/>
        <w:t>存在未弥补亏损、不得分配的原则，同股同权、同股同利的原则和公司持有的本公司股份不得分配利润的原则。</w:t>
      </w:r>
    </w:p>
    <w:p>
      <w:pPr>
        <w:pStyle w:val="BodyText"/>
        <w:spacing w:line="240" w:lineRule="auto" w:before="76"/>
        <w:ind w:left="513" w:right="90"/>
        <w:jc w:val="left"/>
      </w:pPr>
      <w:r>
        <w:rPr>
          <w:rFonts w:ascii="Times New Roman" w:hAnsi="Times New Roman" w:cs="Times New Roman" w:eastAsia="Times New Roman" w:hint="default"/>
        </w:rPr>
        <w:t>2</w:t>
      </w:r>
      <w:r>
        <w:rPr/>
        <w:t>、利润分配形式：公司采取现金、股票、现金与股票相结合或者法律、法规容许的其他方式分配股利。</w:t>
      </w:r>
    </w:p>
    <w:p>
      <w:pPr>
        <w:pStyle w:val="BodyText"/>
        <w:spacing w:line="240" w:lineRule="auto" w:before="63"/>
        <w:ind w:left="513" w:right="90"/>
        <w:jc w:val="left"/>
      </w:pPr>
      <w:r>
        <w:rPr>
          <w:rFonts w:ascii="Times New Roman" w:hAnsi="Times New Roman" w:cs="Times New Roman" w:eastAsia="Times New Roman" w:hint="default"/>
        </w:rPr>
        <w:t>3</w:t>
      </w:r>
      <w:r>
        <w:rPr/>
        <w:t>、现金分配的条件</w:t>
      </w:r>
    </w:p>
    <w:p>
      <w:pPr>
        <w:pStyle w:val="BodyText"/>
        <w:spacing w:line="240" w:lineRule="auto" w:before="63"/>
        <w:ind w:left="513" w:right="90"/>
        <w:jc w:val="left"/>
      </w:pPr>
      <w:r>
        <w:rPr/>
        <w:t>（</w:t>
      </w:r>
      <w:r>
        <w:rPr>
          <w:rFonts w:ascii="Times New Roman" w:hAnsi="Times New Roman" w:cs="Times New Roman" w:eastAsia="Times New Roman" w:hint="default"/>
        </w:rPr>
        <w:t>1</w:t>
      </w:r>
      <w:r>
        <w:rPr/>
        <w:t>）公司该年度实现的可分配利润为正值，且现金流充裕，实施现金分红不会影响公司后续持续经营</w:t>
      </w:r>
      <w:r>
        <w:rPr>
          <w:spacing w:val="-17"/>
        </w:rPr>
        <w:t> </w:t>
      </w:r>
      <w:r>
        <w:rPr/>
        <w:t>。</w:t>
      </w:r>
    </w:p>
    <w:p>
      <w:pPr>
        <w:pStyle w:val="BodyText"/>
        <w:spacing w:line="240" w:lineRule="auto" w:before="63"/>
        <w:ind w:left="514" w:right="90"/>
        <w:jc w:val="left"/>
      </w:pPr>
      <w:r>
        <w:rPr/>
        <w:t>（</w:t>
      </w:r>
      <w:r>
        <w:rPr>
          <w:rFonts w:ascii="Times New Roman" w:hAnsi="Times New Roman" w:cs="Times New Roman" w:eastAsia="Times New Roman" w:hint="default"/>
        </w:rPr>
        <w:t>2</w:t>
      </w:r>
      <w:r>
        <w:rPr/>
        <w:t>）审计机构对公司的该年度财务报告出具标准无保留意见的审计报告。</w:t>
      </w:r>
    </w:p>
    <w:p>
      <w:pPr>
        <w:pStyle w:val="BodyText"/>
        <w:spacing w:line="300" w:lineRule="auto" w:before="63"/>
        <w:ind w:left="514" w:right="90"/>
        <w:jc w:val="left"/>
      </w:pPr>
      <w:r>
        <w:rPr/>
        <w:t>（</w:t>
      </w:r>
      <w:r>
        <w:rPr>
          <w:rFonts w:ascii="Times New Roman" w:hAnsi="Times New Roman" w:cs="Times New Roman" w:eastAsia="Times New Roman" w:hint="default"/>
        </w:rPr>
        <w:t>3</w:t>
      </w:r>
      <w:r>
        <w:rPr/>
        <w:t>）公司无重大投资计划或重大现金支出等事项发生（募集资金项目除外）。 </w:t>
      </w:r>
      <w:r>
        <w:rPr>
          <w:spacing w:val="-2"/>
        </w:rPr>
        <w:t>重大投资计划或重大现金支出是指：公司未来十二个月内拟对外投资、收购资产或者购买设备的累计支出达到或者超过</w:t>
      </w:r>
    </w:p>
    <w:p>
      <w:pPr>
        <w:pStyle w:val="BodyText"/>
        <w:spacing w:line="240" w:lineRule="auto" w:before="31"/>
        <w:ind w:left="154" w:right="90"/>
        <w:jc w:val="left"/>
      </w:pPr>
      <w:r>
        <w:rPr/>
        <w:t>公司最近一期经审计净资产的</w:t>
      </w:r>
      <w:r>
        <w:rPr>
          <w:rFonts w:ascii="Times New Roman" w:hAnsi="Times New Roman" w:cs="Times New Roman" w:eastAsia="Times New Roman" w:hint="default"/>
        </w:rPr>
        <w:t>30%</w:t>
      </w:r>
      <w:r>
        <w:rPr/>
        <w:t>。</w:t>
      </w:r>
    </w:p>
    <w:p>
      <w:pPr>
        <w:pStyle w:val="BodyText"/>
        <w:spacing w:line="307" w:lineRule="auto" w:before="63"/>
        <w:ind w:left="154" w:right="191"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4</w:t>
      </w:r>
      <w:r>
        <w:rPr>
          <w:spacing w:val="-2"/>
        </w:rPr>
        <w:t>、现金分配的比例及时间</w:t>
      </w:r>
      <w:r>
        <w:rPr>
          <w:spacing w:val="14"/>
        </w:rPr>
        <w:t> </w:t>
      </w:r>
      <w:r>
        <w:rPr>
          <w:spacing w:val="-2"/>
        </w:rPr>
        <w:t>公司将积极采取现金方式分配股利，原则上每年度进行一次现金分红，公司董事会可以根据</w:t>
      </w:r>
      <w:r>
        <w:rPr/>
        <w:t> 公司盈利情况及资金需求状况提议公司进行中期现金分红。</w:t>
      </w:r>
      <w:r>
        <w:rPr>
          <w:spacing w:val="-19"/>
        </w:rPr>
        <w:t> </w:t>
      </w:r>
      <w:r>
        <w:rPr/>
        <w:t>公司应保持利润分配政策的连续性和稳定性，在满足现金分红</w:t>
      </w:r>
      <w:r>
        <w:rPr/>
        <w:t> </w:t>
      </w:r>
      <w:r>
        <w:rPr>
          <w:spacing w:val="-1"/>
        </w:rPr>
        <w:t>条件时，每年以现金方式分配的利润应不低于当年实现的可分配利润的</w:t>
      </w:r>
      <w:r>
        <w:rPr>
          <w:rFonts w:ascii="Times New Roman" w:hAnsi="Times New Roman" w:cs="Times New Roman" w:eastAsia="Times New Roman" w:hint="default"/>
          <w:spacing w:val="-1"/>
        </w:rPr>
        <w:t>10%</w:t>
      </w:r>
      <w:r>
        <w:rPr>
          <w:spacing w:val="-1"/>
        </w:rPr>
        <w:t>，且任意三个连续会计年度内，公司以现金方式</w:t>
      </w:r>
      <w:r>
        <w:rPr>
          <w:spacing w:val="-88"/>
        </w:rPr>
        <w:t> </w:t>
      </w:r>
      <w:r>
        <w:rPr>
          <w:spacing w:val="-88"/>
        </w:rPr>
      </w:r>
      <w:r>
        <w:rPr/>
        <w:t>累计分配的利润不少于该三年实现的年均可分配利润的</w:t>
      </w:r>
      <w:r>
        <w:rPr>
          <w:rFonts w:ascii="Times New Roman" w:hAnsi="Times New Roman" w:cs="Times New Roman" w:eastAsia="Times New Roman" w:hint="default"/>
        </w:rPr>
        <w:t>30%.</w:t>
      </w:r>
    </w:p>
    <w:p>
      <w:pPr>
        <w:pStyle w:val="BodyText"/>
        <w:spacing w:line="309" w:lineRule="auto" w:before="7"/>
        <w:ind w:left="154" w:right="191" w:firstLine="360"/>
        <w:jc w:val="both"/>
      </w:pPr>
      <w:r>
        <w:rPr>
          <w:rFonts w:ascii="Times New Roman" w:hAnsi="Times New Roman" w:cs="Times New Roman" w:eastAsia="Times New Roman" w:hint="default"/>
          <w:spacing w:val="-2"/>
        </w:rPr>
        <w:t>5</w:t>
      </w:r>
      <w:r>
        <w:rPr>
          <w:spacing w:val="-2"/>
        </w:rPr>
        <w:t>、股票股利分配的条件</w:t>
      </w:r>
      <w:r>
        <w:rPr>
          <w:spacing w:val="14"/>
        </w:rPr>
        <w:t> </w:t>
      </w:r>
      <w:r>
        <w:rPr>
          <w:spacing w:val="-2"/>
        </w:rPr>
        <w:t>公司发放股票股利应注重股本扩张与业绩增长保持同步。发放股票股利的具体条件：公司根据</w:t>
      </w:r>
      <w:r>
        <w:rPr/>
        <w:t> </w:t>
      </w:r>
      <w:r>
        <w:rPr>
          <w:spacing w:val="-2"/>
        </w:rPr>
        <w:t>累计可供分配利润、公积金及现金流状况，在保证最低现金分红比例和公司股本规模合理的前提下，为保持股本扩张与业绩</w:t>
      </w:r>
      <w:r>
        <w:rPr>
          <w:spacing w:val="-66"/>
        </w:rPr>
        <w:t> </w:t>
      </w:r>
      <w:r>
        <w:rPr>
          <w:spacing w:val="-66"/>
        </w:rPr>
      </w:r>
      <w:r>
        <w:rPr/>
        <w:t>增长相适应，公司可以采取股票股利方式进行利润分配。</w:t>
      </w:r>
    </w:p>
    <w:p>
      <w:pPr>
        <w:pStyle w:val="BodyText"/>
        <w:spacing w:line="316" w:lineRule="auto" w:before="24"/>
        <w:ind w:left="514" w:right="90"/>
        <w:jc w:val="left"/>
      </w:pPr>
      <w:r>
        <w:rPr/>
        <w:t>（三）制定了《分红管理制度》 </w:t>
      </w:r>
      <w:r>
        <w:rPr>
          <w:spacing w:val="-2"/>
        </w:rPr>
        <w:t>公司制定的《分红管理制度》符合公司的章程，《分红管理制度》制定了现金分红政策，规定了现金分红的条件、分红</w:t>
      </w:r>
    </w:p>
    <w:p>
      <w:pPr>
        <w:pStyle w:val="BodyText"/>
        <w:spacing w:line="316" w:lineRule="auto" w:before="19"/>
        <w:ind w:left="154" w:right="90"/>
        <w:jc w:val="left"/>
      </w:pPr>
      <w:r>
        <w:rPr>
          <w:spacing w:val="-4"/>
        </w:rPr>
        <w:t>标准和比例；制定了现金分红决策程序和机制，明确了公司在实际操作中的依据和流程，提供了网络形式的投票平台，使中、</w:t>
      </w:r>
      <w:r>
        <w:rPr>
          <w:spacing w:val="-46"/>
        </w:rPr>
        <w:t> </w:t>
      </w:r>
      <w:r>
        <w:rPr>
          <w:spacing w:val="-46"/>
        </w:rPr>
      </w:r>
      <w:r>
        <w:rPr/>
        <w:t>小股东充分表达意见和诉求机会；制定了现金分红监督约束机制，使独立董事、监事会能充分履行职责。《分红管理制度》 </w:t>
      </w:r>
      <w:r>
        <w:rPr>
          <w:spacing w:val="-2"/>
        </w:rPr>
        <w:t>制定了现金分红的间隔时间、股东回报规划等使中小股东的合法权益得到充分维护。对现金分红政策进行调整或变更的，需</w:t>
      </w:r>
      <w:r>
        <w:rPr>
          <w:spacing w:val="-66"/>
        </w:rPr>
        <w:t> </w:t>
      </w:r>
      <w:r>
        <w:rPr>
          <w:spacing w:val="-66"/>
        </w:rPr>
      </w:r>
      <w:r>
        <w:rPr/>
        <w:t>要董事会严格论证、独立董事发表意见、监事会发表意见、听取中小股东的意见，并通过股东大会审议，程序合规透明。</w:t>
      </w:r>
    </w:p>
    <w:p>
      <w:pPr>
        <w:pStyle w:val="BodyText"/>
        <w:spacing w:line="240" w:lineRule="auto" w:before="19"/>
        <w:ind w:left="514" w:right="90"/>
        <w:jc w:val="left"/>
      </w:pPr>
      <w:r>
        <w:rPr/>
        <w:t>二、利润分配政策的执行情况</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7" w:lineRule="auto"/>
        <w:ind w:right="191" w:firstLine="360"/>
        <w:jc w:val="both"/>
      </w:pPr>
      <w:r>
        <w:rPr>
          <w:spacing w:val="-2"/>
        </w:rPr>
        <w:t>报告期内，公司严格执行《公司章程》有关现金分红政策，经第二届董事会第十六次会议审议通过，公司利润分配方案</w:t>
      </w:r>
      <w:r>
        <w:rPr/>
        <w:t> 为：以公司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15,690</w:t>
      </w:r>
      <w:r>
        <w:rPr/>
        <w:t>万股为基数，向全体股东每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3</w:t>
      </w:r>
      <w:r>
        <w:rPr/>
        <w:t>元（含税），合计派发现金 </w:t>
      </w:r>
      <w:r>
        <w:rPr>
          <w:rFonts w:ascii="Times New Roman" w:hAnsi="Times New Roman" w:cs="Times New Roman" w:eastAsia="Times New Roman" w:hint="default"/>
          <w:spacing w:val="-1"/>
        </w:rPr>
        <w:t>4,707</w:t>
      </w:r>
      <w:r>
        <w:rPr>
          <w:spacing w:val="-1"/>
        </w:rPr>
        <w:t>万元，其余未分配利润结转下年。</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日，公司</w:t>
      </w:r>
      <w:r>
        <w:rPr>
          <w:rFonts w:ascii="Times New Roman" w:hAnsi="Times New Roman" w:cs="Times New Roman" w:eastAsia="Times New Roman" w:hint="default"/>
          <w:spacing w:val="-1"/>
        </w:rPr>
        <w:t>2011</w:t>
      </w:r>
      <w:r>
        <w:rPr>
          <w:spacing w:val="-1"/>
        </w:rPr>
        <w:t>年年度股东大会审议通过了该分配方案，现金分红事项已</w:t>
      </w:r>
      <w:r>
        <w:rPr>
          <w:spacing w:val="-68"/>
        </w:rPr>
        <w:t> </w:t>
      </w:r>
      <w:r>
        <w:rPr>
          <w:spacing w:val="-68"/>
        </w:rPr>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日实施完毕。</w:t>
      </w:r>
    </w:p>
    <w:p>
      <w:pPr>
        <w:pStyle w:val="BodyText"/>
        <w:spacing w:line="240" w:lineRule="auto" w:before="48"/>
        <w:ind w:right="90"/>
        <w:jc w:val="left"/>
      </w:pPr>
      <w:r>
        <w:rPr/>
        <w:t>公司报告期利润分配预案及资本公积金转增股本预案与公司章程和分红管理办法等的相关规定一致</w:t>
      </w:r>
    </w:p>
    <w:p>
      <w:pPr>
        <w:pStyle w:val="BodyText"/>
        <w:spacing w:line="348" w:lineRule="auto" w:before="117"/>
        <w:ind w:right="33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156,900,000.00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31,380,000.00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；同时进行资本公积金转增股</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本，以公司总股本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156,900,000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股，共计转增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156,900,000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股，转增后公司总股本将增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319" w:lineRule="auto" w:before="49"/>
        <w:ind w:left="154" w:right="9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w:t>
      </w:r>
      <w:r>
        <w:rPr>
          <w:rFonts w:ascii="Times New Roman" w:hAnsi="Times New Roman" w:cs="Times New Roman" w:eastAsia="Times New Roman" w:hint="default"/>
          <w:spacing w:val="-3"/>
        </w:rPr>
        <w:t>1</w:t>
      </w:r>
      <w:r>
        <w:rPr>
          <w:spacing w:val="-3"/>
        </w:rPr>
        <w:t>、公司</w:t>
      </w:r>
      <w:r>
        <w:rPr>
          <w:rFonts w:ascii="Times New Roman" w:hAnsi="Times New Roman" w:cs="Times New Roman" w:eastAsia="Times New Roman" w:hint="default"/>
          <w:spacing w:val="-3"/>
        </w:rPr>
        <w:t>2010</w:t>
      </w:r>
      <w:r>
        <w:rPr>
          <w:spacing w:val="-3"/>
        </w:rPr>
        <w:t>年度权益分派方案为：以公司总股本</w:t>
      </w:r>
      <w:r>
        <w:rPr>
          <w:rFonts w:ascii="Times New Roman" w:hAnsi="Times New Roman" w:cs="Times New Roman" w:eastAsia="Times New Roman" w:hint="default"/>
          <w:spacing w:val="-3"/>
        </w:rPr>
        <w:t>104,600,000</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3</w:t>
      </w:r>
      <w:r>
        <w:rPr>
          <w:spacing w:val="-3"/>
        </w:rPr>
        <w:t>元人民币现金（含税，扣税后，</w:t>
      </w:r>
      <w:r>
        <w:rPr>
          <w:spacing w:val="-71"/>
        </w:rPr>
        <w:t> </w:t>
      </w:r>
      <w:r>
        <w:rPr>
          <w:spacing w:val="-71"/>
        </w:rPr>
      </w:r>
      <w:r>
        <w:rPr/>
        <w:t>个人、证券投资基金、合格境外机构投资者实际每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2.7</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300" w:lineRule="auto" w:before="0"/>
        <w:ind w:left="154" w:right="225"/>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年度利润分配方案为：以公司总股本</w:t>
      </w:r>
      <w:r>
        <w:rPr>
          <w:rFonts w:ascii="Times New Roman" w:hAnsi="Times New Roman" w:cs="Times New Roman" w:eastAsia="Times New Roman" w:hint="default"/>
        </w:rPr>
        <w:t>156,900,000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3.00</w:t>
      </w:r>
      <w:r>
        <w:rPr/>
        <w:t>元人民币现金（含税；扣 税后，个人、证券投资基金、</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实际每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2.70</w:t>
      </w:r>
      <w:r>
        <w:rPr/>
        <w:t>元）。</w:t>
      </w:r>
    </w:p>
    <w:p>
      <w:pPr>
        <w:pStyle w:val="BodyText"/>
        <w:spacing w:line="300" w:lineRule="auto" w:before="13"/>
        <w:ind w:left="154" w:right="774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年度利润分配预案 鉴于以下理由：</w:t>
      </w:r>
    </w:p>
    <w:p>
      <w:pPr>
        <w:pStyle w:val="BodyText"/>
        <w:spacing w:line="240" w:lineRule="auto" w:before="31"/>
        <w:ind w:left="154" w:right="9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年经营及盈利状况良好；</w:t>
      </w:r>
    </w:p>
    <w:p>
      <w:pPr>
        <w:pStyle w:val="BodyText"/>
        <w:spacing w:line="240" w:lineRule="auto" w:before="63"/>
        <w:ind w:left="154" w:right="90"/>
        <w:jc w:val="left"/>
      </w:pPr>
      <w:r>
        <w:rPr>
          <w:rFonts w:ascii="Times New Roman" w:hAnsi="Times New Roman" w:cs="Times New Roman" w:eastAsia="Times New Roman" w:hint="default"/>
        </w:rPr>
        <w:t>2</w:t>
      </w:r>
      <w:r>
        <w:rPr/>
        <w:t>、为回报股东，与所有股东分享公司快速发展的经营成果，增加公司股票的流动性；</w:t>
      </w:r>
    </w:p>
    <w:p>
      <w:pPr>
        <w:pStyle w:val="BodyText"/>
        <w:spacing w:line="309" w:lineRule="auto" w:before="63"/>
        <w:ind w:left="154" w:right="180"/>
        <w:jc w:val="left"/>
      </w:pPr>
      <w:r>
        <w:rPr>
          <w:rFonts w:ascii="Times New Roman" w:hAnsi="Times New Roman" w:cs="Times New Roman" w:eastAsia="Times New Roman" w:hint="default"/>
        </w:rPr>
        <w:t>3</w:t>
      </w:r>
      <w:r>
        <w:rPr/>
        <w:t>、目前公司正在积极开拓中国电信、中国联通集团总部业务，公司在此类业务投标过程中，注册资本经常被作为综合评分 的重要因素之一。此次预分配方案扩大了公司总股本的规模，对公司的业务拓展及发展战略起到了积极作用。 公司董事会制定了</w:t>
      </w:r>
      <w:r>
        <w:rPr>
          <w:rFonts w:ascii="Times New Roman" w:hAnsi="Times New Roman" w:cs="Times New Roman" w:eastAsia="Times New Roman" w:hint="default"/>
        </w:rPr>
        <w:t>2012</w:t>
      </w:r>
      <w:r>
        <w:rPr/>
        <w:t>年度利润分配预案：以公司总股本</w:t>
      </w:r>
      <w:r>
        <w:rPr>
          <w:rFonts w:ascii="Times New Roman" w:hAnsi="Times New Roman" w:cs="Times New Roman" w:eastAsia="Times New Roman" w:hint="default"/>
        </w:rPr>
        <w:t>156,900,000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w:t>
      </w:r>
      <w:r>
        <w:rPr/>
        <w:t>元人民币</w:t>
      </w:r>
    </w:p>
    <w:p>
      <w:pPr>
        <w:pStyle w:val="BodyText"/>
        <w:spacing w:line="300" w:lineRule="auto" w:before="5"/>
        <w:ind w:left="154" w:right="630"/>
        <w:jc w:val="left"/>
      </w:pPr>
      <w:r>
        <w:rPr/>
        <w:t>（含税）；同时进行资本公积金转增股本，以公司总股本</w:t>
      </w:r>
      <w:r>
        <w:rPr>
          <w:rFonts w:ascii="Times New Roman" w:hAnsi="Times New Roman" w:cs="Times New Roman" w:eastAsia="Times New Roman" w:hint="default"/>
        </w:rPr>
        <w:t>156,900,000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 </w:t>
      </w:r>
      <w:r>
        <w:rPr>
          <w:rFonts w:ascii="Times New Roman" w:hAnsi="Times New Roman" w:cs="Times New Roman" w:eastAsia="Times New Roman" w:hint="default"/>
        </w:rPr>
        <w:t>156,900,000</w:t>
      </w:r>
      <w:r>
        <w:rPr/>
        <w:t>股，转增后公司总股本将增加至</w:t>
      </w:r>
      <w:r>
        <w:rPr>
          <w:rFonts w:ascii="Times New Roman" w:hAnsi="Times New Roman" w:cs="Times New Roman" w:eastAsia="Times New Roman" w:hint="default"/>
        </w:rPr>
        <w:t>313,800,000</w:t>
      </w:r>
      <w:r>
        <w:rPr/>
        <w:t>股。 本次利润分配预案尚需提交公司</w:t>
      </w:r>
      <w:r>
        <w:rPr>
          <w:rFonts w:ascii="Times New Roman" w:hAnsi="Times New Roman" w:cs="Times New Roman" w:eastAsia="Times New Roman" w:hint="default"/>
        </w:rPr>
        <w:t>2012</w:t>
      </w:r>
      <w:r>
        <w:rPr/>
        <w:t>年年度股东大会审议。</w:t>
      </w:r>
    </w:p>
    <w:p>
      <w:pPr>
        <w:pStyle w:val="BodyText"/>
        <w:spacing w:line="240" w:lineRule="auto" w:before="53"/>
        <w:ind w:left="154" w:right="90"/>
        <w:jc w:val="left"/>
      </w:pPr>
      <w:r>
        <w:rPr/>
        <w:t>公司近三年现金分红情况表</w:t>
      </w:r>
    </w:p>
    <w:p>
      <w:pPr>
        <w:pStyle w:val="BodyText"/>
        <w:spacing w:line="240" w:lineRule="auto" w:before="116"/>
        <w:ind w:left="0" w:right="18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FFFFFF"/>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FFFFFF"/>
              <w:right w:val="single" w:sz="4" w:space="0" w:color="FFFFFF"/>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FFFFFF"/>
              <w:right w:val="single" w:sz="4" w:space="0" w:color="000000"/>
            </w:tcBorders>
            <w:shd w:val="clear" w:color="auto" w:fill="D3D3D3"/>
          </w:tcPr>
          <w:p>
            <w:pPr>
              <w:pStyle w:val="TableParagraph"/>
              <w:spacing w:line="316"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FFFFFF"/>
            </w:tcBorders>
            <w:shd w:val="clear" w:color="auto" w:fill="D3D3D3"/>
          </w:tcPr>
          <w:p>
            <w:pPr/>
          </w:p>
        </w:tc>
        <w:tc>
          <w:tcPr>
            <w:tcW w:w="2392" w:type="dxa"/>
            <w:vMerge/>
            <w:tcBorders>
              <w:left w:val="single" w:sz="4" w:space="0" w:color="FFFFFF"/>
              <w:right w:val="single" w:sz="4" w:space="0" w:color="FFFFFF"/>
            </w:tcBorders>
            <w:shd w:val="clear" w:color="auto" w:fill="D3D3D3"/>
          </w:tcPr>
          <w:p>
            <w:pPr/>
          </w:p>
        </w:tc>
        <w:tc>
          <w:tcPr>
            <w:tcW w:w="2392" w:type="dxa"/>
            <w:vMerge/>
            <w:tcBorders>
              <w:left w:val="single" w:sz="4" w:space="0" w:color="FFFFFF"/>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FFFFFF"/>
            </w:tcBorders>
            <w:shd w:val="clear" w:color="auto" w:fill="D3D3D3"/>
          </w:tcPr>
          <w:p>
            <w:pPr/>
          </w:p>
        </w:tc>
        <w:tc>
          <w:tcPr>
            <w:tcW w:w="2392" w:type="dxa"/>
            <w:vMerge/>
            <w:tcBorders>
              <w:left w:val="single" w:sz="4" w:space="0" w:color="FFFFFF"/>
              <w:bottom w:val="single" w:sz="4" w:space="0" w:color="000000"/>
              <w:right w:val="single" w:sz="4" w:space="0" w:color="FFFFFF"/>
            </w:tcBorders>
            <w:shd w:val="clear" w:color="auto" w:fill="D3D3D3"/>
          </w:tcPr>
          <w:p>
            <w:pPr/>
          </w:p>
        </w:tc>
        <w:tc>
          <w:tcPr>
            <w:tcW w:w="2392" w:type="dxa"/>
            <w:vMerge/>
            <w:tcBorders>
              <w:left w:val="single" w:sz="4" w:space="0" w:color="FFFFFF"/>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31,380,000.00</w:t>
            </w:r>
          </w:p>
        </w:tc>
        <w:tc>
          <w:tcPr>
            <w:tcW w:w="2392" w:type="dxa"/>
            <w:tcBorders>
              <w:top w:val="single" w:sz="4" w:space="0" w:color="000000"/>
              <w:left w:val="single" w:sz="4" w:space="0" w:color="FFFFFF"/>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99,730,404.53</w:t>
            </w:r>
          </w:p>
        </w:tc>
        <w:tc>
          <w:tcPr>
            <w:tcW w:w="239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47,070,000.00</w:t>
            </w:r>
          </w:p>
        </w:tc>
        <w:tc>
          <w:tcPr>
            <w:tcW w:w="2392" w:type="dxa"/>
            <w:tcBorders>
              <w:top w:val="single" w:sz="4" w:space="0" w:color="000000"/>
              <w:left w:val="single" w:sz="4" w:space="0" w:color="FFFFFF"/>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81,252,099.13</w:t>
            </w:r>
          </w:p>
        </w:tc>
        <w:tc>
          <w:tcPr>
            <w:tcW w:w="239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31,380,000.00</w:t>
            </w:r>
          </w:p>
        </w:tc>
        <w:tc>
          <w:tcPr>
            <w:tcW w:w="2392" w:type="dxa"/>
            <w:tcBorders>
              <w:top w:val="single" w:sz="4" w:space="0" w:color="000000"/>
              <w:left w:val="single" w:sz="4" w:space="0" w:color="FFFFFF"/>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62,187,386.98</w:t>
            </w:r>
          </w:p>
        </w:tc>
        <w:tc>
          <w:tcPr>
            <w:tcW w:w="239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50.46%</w:t>
            </w:r>
          </w:p>
        </w:tc>
      </w:tr>
    </w:tbl>
    <w:p>
      <w:pPr>
        <w:pStyle w:val="BodyText"/>
        <w:spacing w:line="240" w:lineRule="auto" w:before="51"/>
        <w:ind w:left="154" w:right="90"/>
        <w:jc w:val="left"/>
      </w:pPr>
      <w:r>
        <w:rPr/>
        <w:t>公司报告期内盈利且母公司未分配利润为正但未提出现金红利分配预案</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before="0"/>
        <w:ind w:right="90"/>
        <w:jc w:val="left"/>
        <w:rPr>
          <w:b w:val="0"/>
          <w:bCs w:val="0"/>
        </w:rPr>
      </w:pPr>
      <w:r>
        <w:rPr/>
        <w:t>五、内幕信息知情人管理制度的建立和执行情况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81"/>
        <w:jc w:val="left"/>
      </w:pPr>
      <w:r>
        <w:rPr/>
        <w:t>（一）内幕信息知情人管理制度的制定 </w:t>
      </w:r>
      <w:r>
        <w:rPr>
          <w:spacing w:val="-2"/>
        </w:rPr>
        <w:t>为了规范公司的内幕信息管理，加强内幕信息保密工作，维护信息披露公平原则，根据《中华人民共和国公司法》、《中华</w:t>
      </w:r>
      <w:r>
        <w:rPr>
          <w:spacing w:val="-66"/>
        </w:rPr>
        <w:t> </w:t>
      </w:r>
      <w:r>
        <w:rPr>
          <w:spacing w:val="-66"/>
        </w:rPr>
      </w:r>
      <w:r>
        <w:rPr>
          <w:spacing w:val="-2"/>
        </w:rPr>
        <w:t>人民共和国证券法》、《上市公司信息披露管理办法》、《深圳证券交易所创业板股票上市规则》等有关法律、法规、规范</w:t>
      </w:r>
      <w:r>
        <w:rPr>
          <w:spacing w:val="-70"/>
        </w:rPr>
        <w:t> </w:t>
      </w:r>
      <w:r>
        <w:rPr>
          <w:spacing w:val="-70"/>
        </w:rPr>
      </w:r>
      <w:r>
        <w:rPr>
          <w:spacing w:val="-2"/>
        </w:rPr>
        <w:t>性文件及《上市公司建立内幕信息知情人登记管理制度的规定》、《公司章程》等有关规定，公司制定了《董事、监事和高</w:t>
      </w:r>
      <w:r>
        <w:rPr>
          <w:spacing w:val="-67"/>
        </w:rPr>
        <w:t> </w:t>
      </w:r>
      <w:r>
        <w:rPr>
          <w:spacing w:val="-67"/>
        </w:rPr>
      </w:r>
      <w:r>
        <w:rPr>
          <w:spacing w:val="-2"/>
        </w:rPr>
        <w:t>级管理人员所持本公司股份及其变动管理制度》、《内幕信息知情人登记制度》、《重大信息内部报告和保密制度》。为了</w:t>
      </w:r>
      <w:r>
        <w:rPr>
          <w:spacing w:val="-68"/>
        </w:rPr>
        <w:t> </w:t>
      </w:r>
      <w:r>
        <w:rPr>
          <w:spacing w:val="-68"/>
        </w:rPr>
      </w:r>
      <w:r>
        <w:rPr>
          <w:spacing w:val="-2"/>
        </w:rPr>
        <w:t>进一步完善内幕信息管理制度，根据《创业板上市公司规范运作指引》等相关规定，对《董事、监事和高级管理人员所持公</w:t>
      </w:r>
      <w:r>
        <w:rPr>
          <w:spacing w:val="-70"/>
        </w:rPr>
        <w:t> </w:t>
      </w:r>
      <w:r>
        <w:rPr>
          <w:spacing w:val="-70"/>
        </w:rPr>
      </w:r>
      <w:r>
        <w:rPr/>
        <w:t>司股份及其变动管理制度》以及《内幕信息知情人登记制度》进行了修订，并经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日召开的公司第二届董事会第 </w:t>
      </w:r>
      <w:r>
        <w:rPr>
          <w:spacing w:val="-2"/>
        </w:rPr>
        <w:t>二十次会议审议通过。《董事、监事和高级管理人员所持公司股份及其变动管理制度》（</w:t>
      </w:r>
      <w:r>
        <w:rPr>
          <w:rFonts w:ascii="Times New Roman" w:hAnsi="Times New Roman" w:cs="Times New Roman" w:eastAsia="Times New Roman" w:hint="default"/>
          <w:spacing w:val="-2"/>
        </w:rPr>
        <w:t>2012</w:t>
      </w:r>
      <w:r>
        <w:rPr>
          <w:spacing w:val="-2"/>
        </w:rPr>
        <w:t>年修订）、《内幕信息知情人</w:t>
      </w:r>
      <w:r>
        <w:rPr>
          <w:spacing w:val="-63"/>
        </w:rPr>
        <w:t> </w:t>
      </w:r>
      <w:r>
        <w:rPr>
          <w:spacing w:val="-63"/>
        </w:rPr>
      </w:r>
      <w:r>
        <w:rPr/>
        <w:t>登记制度》（</w:t>
      </w:r>
      <w:r>
        <w:rPr>
          <w:rFonts w:ascii="Times New Roman" w:hAnsi="Times New Roman" w:cs="Times New Roman" w:eastAsia="Times New Roman" w:hint="default"/>
        </w:rPr>
        <w:t>2012</w:t>
      </w:r>
      <w:r>
        <w:rPr/>
        <w:t>年修订）详见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日中国证监会指定的创业板信息披露网站（</w:t>
      </w:r>
      <w:hyperlink r:id="rId12">
        <w:r>
          <w:rPr>
            <w:rFonts w:ascii="Times New Roman" w:hAnsi="Times New Roman" w:cs="Times New Roman" w:eastAsia="Times New Roman" w:hint="default"/>
          </w:rPr>
          <w:t>www.cninfo.com.cn</w:t>
        </w:r>
      </w:hyperlink>
      <w:r>
        <w:rPr/>
        <w:t>）。</w:t>
      </w:r>
    </w:p>
    <w:p>
      <w:pPr>
        <w:pStyle w:val="BodyText"/>
        <w:spacing w:line="240" w:lineRule="auto" w:before="1"/>
        <w:ind w:right="90"/>
        <w:jc w:val="left"/>
      </w:pPr>
      <w:r>
        <w:rPr/>
        <w:t>（二）内幕信息知情人管理制度的执行情况</w:t>
      </w:r>
    </w:p>
    <w:p>
      <w:pPr>
        <w:pStyle w:val="BodyText"/>
        <w:spacing w:line="314" w:lineRule="auto" w:before="76"/>
        <w:ind w:right="90"/>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报告期内，公司严格执行内幕信息保密制度，严格规范信息传递流程，在定期报告披露期间，对于未公开信息，公司董事会</w:t>
      </w:r>
      <w:r>
        <w:rPr>
          <w:spacing w:val="-66"/>
        </w:rPr>
        <w:t> </w:t>
      </w:r>
      <w:r>
        <w:rPr>
          <w:spacing w:val="-66"/>
        </w:rPr>
      </w:r>
      <w:r>
        <w:rPr>
          <w:spacing w:val="-4"/>
        </w:rPr>
        <w:t>办公室都会严格控制知情人范围，向相关内幕信息知情人发送《保密提示函》并组织填写《内幕信息知情人登记表》，如实、</w:t>
      </w:r>
      <w:r>
        <w:rPr>
          <w:spacing w:val="-44"/>
        </w:rPr>
        <w:t> </w:t>
      </w:r>
      <w:r>
        <w:rPr>
          <w:spacing w:val="-44"/>
        </w:rPr>
      </w:r>
      <w:r>
        <w:rPr>
          <w:spacing w:val="-4"/>
        </w:rPr>
        <w:t>完整记录上述信息在公开前的所有内幕信息知情人名单，以及知情人知悉内幕信息的时间。经公司董事会办公室核实无误后，</w:t>
      </w:r>
      <w:r>
        <w:rPr>
          <w:spacing w:val="-44"/>
        </w:rPr>
        <w:t> </w:t>
      </w:r>
      <w:r>
        <w:rPr>
          <w:spacing w:val="-44"/>
        </w:rPr>
      </w:r>
      <w:r>
        <w:rPr/>
        <w:t>按照相关法规规定在向深交所和证监局报送定期报告相关资料的同时报备内幕信息知情人登记情况。 </w:t>
      </w:r>
      <w:r>
        <w:rPr>
          <w:rFonts w:ascii="Times New Roman" w:hAnsi="Times New Roman" w:cs="Times New Roman" w:eastAsia="Times New Roman" w:hint="default"/>
        </w:rPr>
        <w:t>2</w:t>
      </w:r>
      <w:r>
        <w:rPr/>
        <w:t>、投资者调研期间的信息保密工作 </w:t>
      </w:r>
      <w:r>
        <w:rPr>
          <w:spacing w:val="-4"/>
        </w:rPr>
        <w:t>在定期报告及重大事项披露期间，公司尽量避免接待投资者的调研，努力做好定期报告及重大事项披露期间的信息保密工作。</w:t>
      </w:r>
      <w:r>
        <w:rPr>
          <w:spacing w:val="-44"/>
        </w:rPr>
        <w:t> </w:t>
      </w:r>
      <w:r>
        <w:rPr>
          <w:spacing w:val="-44"/>
        </w:rPr>
      </w:r>
      <w:r>
        <w:rPr>
          <w:spacing w:val="-2"/>
        </w:rPr>
        <w:t>在日常接待投资者调研时，公司董事会办公室负责履行相关的信息保密工作程序。在进行调研前，先对调研人员的个人信息</w:t>
      </w:r>
      <w:r>
        <w:rPr>
          <w:spacing w:val="-66"/>
        </w:rPr>
        <w:t> </w:t>
      </w:r>
      <w:r>
        <w:rPr>
          <w:spacing w:val="-66"/>
        </w:rPr>
      </w:r>
      <w:r>
        <w:rPr>
          <w:spacing w:val="-4"/>
        </w:rPr>
        <w:t>进行备案，同时要求签署投资者（机构）承诺书，并承诺在对外出具报告前需经上市公司董事会办公室认可。在调研过程中，</w:t>
      </w:r>
      <w:r>
        <w:rPr>
          <w:spacing w:val="-44"/>
        </w:rPr>
        <w:t> </w:t>
      </w:r>
      <w:r>
        <w:rPr>
          <w:spacing w:val="-44"/>
        </w:rPr>
      </w:r>
      <w:r>
        <w:rPr>
          <w:spacing w:val="-2"/>
        </w:rPr>
        <w:t>董事会办公室人员认真做好相关会议记录，按照相关规定填制投资者关系活动记录表，并将投资者关系活动记录表在深交所</w:t>
      </w:r>
      <w:r>
        <w:rPr>
          <w:spacing w:val="-64"/>
        </w:rPr>
        <w:t> </w:t>
      </w:r>
      <w:r>
        <w:rPr>
          <w:spacing w:val="-64"/>
        </w:rPr>
      </w:r>
      <w:r>
        <w:rPr/>
        <w:t>指定的网站进行公布。</w:t>
      </w:r>
    </w:p>
    <w:p>
      <w:pPr>
        <w:pStyle w:val="BodyText"/>
        <w:spacing w:line="300" w:lineRule="auto" w:before="20"/>
        <w:ind w:right="451"/>
        <w:jc w:val="left"/>
      </w:pPr>
      <w:r>
        <w:rPr>
          <w:rFonts w:ascii="Times New Roman" w:hAnsi="Times New Roman" w:cs="Times New Roman" w:eastAsia="Times New Roman" w:hint="default"/>
        </w:rPr>
        <w:t>3</w:t>
      </w:r>
      <w:r>
        <w:rPr/>
        <w:t>、其他重大事件的信息保密工作 在其他重大事项未披露前，公司及相关信息披露义务人采取保密措施，签订相关保密协议，以保证信息处于可控范围。</w:t>
      </w:r>
    </w:p>
    <w:p>
      <w:pPr>
        <w:pStyle w:val="BodyText"/>
        <w:spacing w:line="316" w:lineRule="auto" w:before="31"/>
        <w:ind w:left="154" w:right="90"/>
        <w:jc w:val="left"/>
      </w:pPr>
      <w:r>
        <w:rPr/>
        <w:t>（三）报告期内自查内幕信息知情人涉嫌内幕交易以及监管部门的查处和整改情况 </w:t>
      </w:r>
      <w:r>
        <w:rPr>
          <w:spacing w:val="-2"/>
        </w:rPr>
        <w:t>报告期内，公司董事、监事及高级管理人员和其他相关知情人严格遵守了内幕信息知情人管理制度，未发现有内幕信息知情</w:t>
      </w:r>
      <w:r>
        <w:rPr>
          <w:spacing w:val="-66"/>
        </w:rPr>
        <w:t> </w:t>
      </w:r>
      <w:r>
        <w:rPr>
          <w:spacing w:val="-66"/>
        </w:rPr>
      </w:r>
      <w:r>
        <w:rPr/>
        <w:t>人利用内幕信息买卖本公司股份的情况。报告期内公司也未发生受到监管部门查处和整改的情形。 </w:t>
      </w:r>
      <w:r>
        <w:rPr>
          <w:spacing w:val="-2"/>
        </w:rPr>
        <w:t>报告期内，公司董事会组织相关人员就《内幕信息知情人登记制度》、《信息披露制度》等规定展开专项学习和讨论，以确</w:t>
      </w:r>
      <w:r>
        <w:rPr>
          <w:spacing w:val="-65"/>
        </w:rPr>
        <w:t> </w:t>
      </w:r>
      <w:r>
        <w:rPr>
          <w:spacing w:val="-65"/>
        </w:rPr>
      </w:r>
      <w:r>
        <w:rPr>
          <w:spacing w:val="-2"/>
        </w:rPr>
        <w:t>保真实、准确、完整、及时、公平的披露所有对本公司股票及其衍生品种交易价格可能产生较大影响的信息。公司将继续遵</w:t>
      </w:r>
      <w:r>
        <w:rPr>
          <w:spacing w:val="-65"/>
        </w:rPr>
        <w:t> </w:t>
      </w:r>
      <w:r>
        <w:rPr>
          <w:spacing w:val="-65"/>
        </w:rPr>
      </w:r>
      <w:r>
        <w:rPr>
          <w:spacing w:val="-2"/>
        </w:rPr>
        <w:t>守有关信息披露的法律规定并严格执行本公司信息披露事务管理制度，组织有关信息披露规定的专题培训和深化学习，不断</w:t>
      </w:r>
      <w:r>
        <w:rPr>
          <w:spacing w:val="-64"/>
        </w:rPr>
        <w:t> </w:t>
      </w:r>
      <w:r>
        <w:rPr>
          <w:spacing w:val="-64"/>
        </w:rPr>
      </w:r>
      <w:r>
        <w:rPr/>
        <w:t>提高公司信息披露的质量和水平。</w:t>
      </w:r>
    </w:p>
    <w:p>
      <w:pPr>
        <w:spacing w:line="240" w:lineRule="auto" w:before="10"/>
        <w:rPr>
          <w:rFonts w:ascii="宋体" w:hAnsi="宋体" w:cs="宋体" w:eastAsia="宋体" w:hint="default"/>
          <w:sz w:val="20"/>
          <w:szCs w:val="20"/>
        </w:rPr>
      </w:pPr>
    </w:p>
    <w:p>
      <w:pPr>
        <w:pStyle w:val="Heading3"/>
        <w:spacing w:line="240" w:lineRule="auto" w:before="0"/>
        <w:ind w:right="90"/>
        <w:jc w:val="left"/>
        <w:rPr>
          <w:b w:val="0"/>
          <w:bCs w:val="0"/>
        </w:rPr>
      </w:pPr>
      <w:r>
        <w:rPr/>
        <w:t>六、报告期内接待调研、沟通、采访等活动登记表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中山证券、招商证</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券、安信基金、第</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一创业</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博时基金、招商证</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券</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大包巷</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华宝证券、广发证 券、大成基金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融通基金、申万菱 信基金、浦银安盛 基金、中国证券报 社、南方基金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银河证券、诺安基 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华安基金、银河证 券、广州证券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瑞银</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第一创业、广发证 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鹏华基金、招商证 券、国海富兰克林</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华宝证券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回复证券日报采访提纲。</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淡水泉投资、财通 基金、国信证券、 招商证券、鹏华基 金、泰石投资、招 商基金、国都证券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回复证券日报采访提纲。</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国投瑞银</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太平资产、大成基 金、银河证券、长 城基金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公司经营情况及展望</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060"/>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left="154"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3"/>
        <w:spacing w:line="240" w:lineRule="auto" w:before="0"/>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8" w:lineRule="auto" w:before="0"/>
        <w:ind w:left="154"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会计师事务所对资金占用的专项审核意见 公司控股股东及其关联方不存在非经营性占用资金情况。</w:t>
      </w:r>
    </w:p>
    <w:p>
      <w:pPr>
        <w:pStyle w:val="BodyText"/>
        <w:spacing w:line="304" w:lineRule="auto" w:before="0"/>
        <w:ind w:left="154" w:right="157"/>
        <w:jc w:val="left"/>
      </w:pPr>
      <w:r>
        <w:rPr/>
        <w:t>中瑞岳华会计师事务所（特殊普通合伙）对控股股东及其关联方非经营性占用资金的核查意见： 我们对控股股东及其关联方非经营性占用资金情况与我所审计天源迪科公司截止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日的年度财务报表时所复核 的会计资料和经审计的财务报表的相关内容进行了核对，在所有重大方面没有发现不一致。除了对公司实施截止</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日的年度财务报表审计中所执行的对关联方交易有关的审计程序外，我们并未对资金占用情况表所载资料执行额外的 审计程序。</w:t>
      </w:r>
    </w:p>
    <w:p>
      <w:pPr>
        <w:pStyle w:val="BodyText"/>
        <w:spacing w:line="300" w:lineRule="auto" w:before="28"/>
        <w:ind w:left="154" w:right="140"/>
        <w:jc w:val="left"/>
      </w:pPr>
      <w:r>
        <w:rPr/>
        <w:t>《关于深圳天源迪科信息技术股份有限公司控股股东及其他关联方资金占用情况的专项说明》详见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日中国证监 会指定的创业板信息披露网站（</w:t>
      </w:r>
      <w:hyperlink r:id="rId12">
        <w:r>
          <w:rPr>
            <w:rFonts w:ascii="Times New Roman" w:hAnsi="Times New Roman" w:cs="Times New Roman" w:eastAsia="Times New Roman" w:hint="default"/>
          </w:rPr>
          <w:t>www.cninfo.com.cn</w:t>
        </w:r>
      </w:hyperlink>
      <w:r>
        <w:rPr/>
        <w:t>）。</w:t>
      </w:r>
    </w:p>
    <w:p>
      <w:pPr>
        <w:spacing w:line="240" w:lineRule="auto" w:before="4"/>
        <w:rPr>
          <w:rFonts w:ascii="宋体" w:hAnsi="宋体" w:cs="宋体" w:eastAsia="宋体" w:hint="default"/>
          <w:sz w:val="20"/>
          <w:szCs w:val="20"/>
        </w:rPr>
      </w:pPr>
    </w:p>
    <w:p>
      <w:pPr>
        <w:pStyle w:val="Heading3"/>
        <w:spacing w:line="240" w:lineRule="auto" w:before="0"/>
        <w:ind w:right="0"/>
        <w:jc w:val="left"/>
        <w:rPr>
          <w:b w:val="0"/>
          <w:bCs w:val="0"/>
        </w:rPr>
      </w:pPr>
      <w:r>
        <w:rPr/>
        <w:t>三、资产交易事项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4145"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23" w:right="-17"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0" w:firstLine="69"/>
              <w:jc w:val="both"/>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w:t>
            </w:r>
          </w:p>
          <w:p>
            <w:pPr>
              <w:pStyle w:val="TableParagraph"/>
              <w:spacing w:line="196" w:lineRule="exact" w:before="19"/>
              <w:ind w:left="22" w:right="0"/>
              <w:jc w:val="both"/>
              <w:rPr>
                <w:rFonts w:ascii="宋体" w:hAnsi="宋体" w:cs="宋体" w:eastAsia="宋体" w:hint="default"/>
                <w:sz w:val="18"/>
                <w:szCs w:val="18"/>
              </w:rPr>
            </w:pPr>
            <w:r>
              <w:rPr>
                <w:rFonts w:ascii="宋体" w:hAnsi="宋体" w:cs="宋体" w:eastAsia="宋体" w:hint="default"/>
                <w:spacing w:val="-11"/>
                <w:sz w:val="18"/>
                <w:szCs w:val="18"/>
              </w:rPr>
              <w:t>利润（万</w:t>
            </w:r>
          </w:p>
          <w:p>
            <w:pPr>
              <w:pStyle w:val="TableParagraph"/>
              <w:spacing w:line="156"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92" w:right="0" w:hanging="46"/>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（适</w:t>
            </w:r>
          </w:p>
          <w:p>
            <w:pPr>
              <w:pStyle w:val="TableParagraph"/>
              <w:spacing w:line="319" w:lineRule="auto" w:before="76"/>
              <w:ind w:left="22" w:right="-19" w:firstLine="69"/>
              <w:jc w:val="both"/>
              <w:rPr>
                <w:rFonts w:ascii="宋体" w:hAnsi="宋体" w:cs="宋体" w:eastAsia="宋体" w:hint="default"/>
                <w:sz w:val="18"/>
                <w:szCs w:val="18"/>
              </w:rPr>
            </w:pPr>
            <w:r>
              <w:rPr>
                <w:rFonts w:ascii="宋体" w:hAnsi="宋体" w:cs="宋体" w:eastAsia="宋体" w:hint="default"/>
                <w:sz w:val="18"/>
                <w:szCs w:val="18"/>
              </w:rPr>
              <w:t>用于同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0"/>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2"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7"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12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广州市 易杰数 码科技 有限公</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7,267.53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35.36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p>
          <w:p>
            <w:pPr>
              <w:pStyle w:val="TableParagraph"/>
              <w:spacing w:line="316" w:lineRule="auto" w:before="61"/>
              <w:ind w:left="22" w:right="161"/>
              <w:jc w:val="both"/>
              <w:rPr>
                <w:rFonts w:ascii="宋体" w:hAnsi="宋体" w:cs="宋体" w:eastAsia="宋体" w:hint="default"/>
                <w:sz w:val="18"/>
                <w:szCs w:val="18"/>
              </w:rPr>
            </w:pPr>
            <w:r>
              <w:rPr>
                <w:rFonts w:ascii="宋体" w:hAnsi="宋体" w:cs="宋体" w:eastAsia="宋体" w:hint="default"/>
                <w:sz w:val="18"/>
                <w:szCs w:val="18"/>
              </w:rPr>
              <w:t>年广州 易杰公 司净利</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0.35%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318" w:hRule="exact"/>
        </w:trPr>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润为基</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1"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准，对其</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在手订</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单及未</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来盈利</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能力进</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行评估，</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并经双</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方审慎</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考虑协</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商确认</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广州易</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杰的总</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体估值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度净利</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×8.65=2</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8"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42,742,7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股权价</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72,822,8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元。</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同时经</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过我方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与毛琼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沟通，在</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此股权</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础上扣</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除本次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股权收</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购评估</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147,527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8"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1"/>
                <w:sz w:val="18"/>
                <w:szCs w:val="18"/>
              </w:rPr>
              <w:t>元。即得</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出本次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8" w:hRule="exact"/>
        </w:trPr>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322" w:hRule="exact"/>
        </w:trPr>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股</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权价格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72,675,2</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3" w:hRule="exact"/>
        </w:trPr>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华威的</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运营及</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市场发</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展情况，</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结合目</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前的市</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场格局，</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对本次</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收购金</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华威的</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总体估</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值计算</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公式为：</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年度净</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9</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王磊</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金华威 数码科 技有限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433" w:right="0"/>
              <w:jc w:val="left"/>
              <w:rPr>
                <w:rFonts w:ascii="Times New Roman" w:hAnsi="Times New Roman" w:cs="Times New Roman" w:eastAsia="Times New Roman" w:hint="default"/>
                <w:sz w:val="18"/>
                <w:szCs w:val="18"/>
              </w:rPr>
            </w:pPr>
            <w:r>
              <w:rPr>
                <w:rFonts w:ascii="Times New Roman"/>
                <w:sz w:val="18"/>
              </w:rPr>
              <w:t>290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99" w:right="0"/>
              <w:jc w:val="left"/>
              <w:rPr>
                <w:rFonts w:ascii="Times New Roman" w:hAnsi="Times New Roman" w:cs="Times New Roman" w:eastAsia="Times New Roman" w:hint="default"/>
                <w:sz w:val="18"/>
                <w:szCs w:val="18"/>
              </w:rPr>
            </w:pPr>
            <w:r>
              <w:rPr>
                <w:rFonts w:ascii="Times New Roman"/>
                <w:sz w:val="18"/>
              </w:rPr>
              <w:t>59.65</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即约为</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29,295,7</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28" w:right="0"/>
              <w:jc w:val="left"/>
              <w:rPr>
                <w:rFonts w:ascii="Times New Roman" w:hAnsi="Times New Roman" w:cs="Times New Roman" w:eastAsia="Times New Roman" w:hint="default"/>
                <w:sz w:val="18"/>
                <w:szCs w:val="18"/>
              </w:rPr>
            </w:pPr>
            <w:r>
              <w:rPr>
                <w:rFonts w:ascii="Times New Roman"/>
                <w:sz w:val="18"/>
              </w:rPr>
              <w:t>0.6%</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21"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股权的</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股权价</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格为</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2,929,57</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元。经</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过我方</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和金华</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威协商</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沟通，在</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此股权</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价格基</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础上扣</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除本次</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股权收</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购评估</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产生的</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321" w:hRule="exact"/>
        </w:trPr>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29,579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8"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1"/>
                <w:sz w:val="18"/>
                <w:szCs w:val="18"/>
              </w:rPr>
              <w:t>元。即得</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出本次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权价格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2,900,00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3" w:hRule="exact"/>
        </w:trPr>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根据广</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西驿途</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的运营</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及市场</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状况，我</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们支付</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的交易</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5,500,00</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3,500,00</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元为股</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权转让</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1244"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覃杰</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广西驿 途</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10.67</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both"/>
              <w:rPr>
                <w:rFonts w:ascii="Times New Roman" w:hAnsi="Times New Roman" w:cs="Times New Roman" w:eastAsia="Times New Roman" w:hint="default"/>
                <w:sz w:val="18"/>
                <w:szCs w:val="18"/>
              </w:rPr>
            </w:pPr>
            <w:r>
              <w:rPr>
                <w:rFonts w:ascii="Times New Roman"/>
                <w:sz w:val="18"/>
              </w:rPr>
              <w:t>2,000,00</w:t>
            </w:r>
          </w:p>
          <w:p>
            <w:pPr>
              <w:pStyle w:val="TableParagraph"/>
              <w:spacing w:line="309" w:lineRule="auto" w:before="65"/>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元为增 </w:t>
            </w:r>
            <w:r>
              <w:rPr>
                <w:rFonts w:ascii="宋体" w:hAnsi="宋体" w:cs="宋体" w:eastAsia="宋体" w:hint="default"/>
                <w:spacing w:val="-11"/>
                <w:sz w:val="18"/>
                <w:szCs w:val="18"/>
              </w:rPr>
              <w:t>资款，增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资款中</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扣除我</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方股东</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权益，折</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合收购</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价格为</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4,480,00</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广西驿</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途运营</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商合同</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进行估</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值，估值</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计算公</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8"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式为：</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322" w:hRule="exact"/>
        </w:trPr>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月增</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值业务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月增值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业务收</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)/2×34</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即约</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1"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8,907,69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股权价</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4,542,92</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元。在</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此股权</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础上扣</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除本次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股权收</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购评估</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62,923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即得</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出本次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权价格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4,480,00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3" w:hRule="exact"/>
        </w:trPr>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根据广</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州正道</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7"/>
              <w:jc w:val="both"/>
              <w:rPr>
                <w:rFonts w:ascii="宋体" w:hAnsi="宋体" w:cs="宋体" w:eastAsia="宋体" w:hint="default"/>
                <w:sz w:val="18"/>
                <w:szCs w:val="18"/>
              </w:rPr>
            </w:pPr>
            <w:r>
              <w:rPr>
                <w:rFonts w:ascii="宋体" w:hAnsi="宋体" w:cs="宋体" w:eastAsia="宋体" w:hint="default"/>
                <w:sz w:val="18"/>
                <w:szCs w:val="18"/>
              </w:rPr>
              <w:t>伍和新、 林小俐、 曹维</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广州正 道</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1,490</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的市场 状况及 和我方 发出的</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协整效</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8"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益，我们</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317" w:hRule="exact"/>
        </w:trPr>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支付的</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交易款</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14,900,0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其</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1"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9,900,00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权转让</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5,000,00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元为增</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资款，增</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资款中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扣除我</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方股东</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权益，折</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合收购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13,250,0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广州正</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道运营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商合同</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水平对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公司进</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行估值，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估值计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算公式</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年度运</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营商合</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同额</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1"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即约为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40,267,7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对</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股权价</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13,288,3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4" w:hRule="exact"/>
        </w:trPr>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经</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317" w:hRule="exact"/>
        </w:trPr>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过我方</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和广州</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正道协</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商沟通，</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在此股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权价格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基础上</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扣除本</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次股权</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估产生</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的中介</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38,348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即得</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出本次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股</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权价格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13,250,0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3" w:hRule="exact"/>
        </w:trPr>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收购资产情况说明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3"/>
        <w:gridCol w:w="734"/>
        <w:gridCol w:w="737"/>
        <w:gridCol w:w="734"/>
        <w:gridCol w:w="737"/>
        <w:gridCol w:w="736"/>
        <w:gridCol w:w="737"/>
        <w:gridCol w:w="736"/>
        <w:gridCol w:w="737"/>
        <w:gridCol w:w="734"/>
        <w:gridCol w:w="737"/>
        <w:gridCol w:w="736"/>
        <w:gridCol w:w="737"/>
      </w:tblGrid>
      <w:tr>
        <w:trPr>
          <w:trHeight w:val="2898" w:hRule="exact"/>
        </w:trPr>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71" w:right="90"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181" w:right="9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3" w:right="90"/>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7" w:right="4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 售为上 市公司 贡献的 净利润 占利润 总额的 比例</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3" w:right="-19"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pStyle w:val="BodyText"/>
        <w:spacing w:line="357" w:lineRule="auto" w:before="52"/>
        <w:ind w:right="7791"/>
        <w:jc w:val="left"/>
      </w:pPr>
      <w:r>
        <w:rPr/>
        <w:t>出售资产情况说明 本年度公司无出售资产。</w:t>
      </w:r>
    </w:p>
    <w:p>
      <w:pPr>
        <w:spacing w:line="240" w:lineRule="auto" w:before="5"/>
        <w:rPr>
          <w:rFonts w:ascii="宋体" w:hAnsi="宋体" w:cs="宋体" w:eastAsia="宋体" w:hint="default"/>
          <w:sz w:val="18"/>
          <w:szCs w:val="18"/>
        </w:rPr>
      </w:pPr>
    </w:p>
    <w:p>
      <w:pPr>
        <w:pStyle w:val="Heading3"/>
        <w:spacing w:line="240" w:lineRule="auto" w:before="0"/>
        <w:ind w:right="0"/>
        <w:jc w:val="left"/>
        <w:rPr>
          <w:b w:val="0"/>
          <w:bCs w:val="0"/>
        </w:rPr>
      </w:pPr>
      <w:r>
        <w:rPr/>
        <w:t>四、公司股权激励的实施情况及其影响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1</w:t>
      </w:r>
      <w:r>
        <w:rPr/>
        <w:t>、报告期内股权激励计划履行情况</w:t>
      </w:r>
    </w:p>
    <w:p>
      <w:pPr>
        <w:pStyle w:val="BodyText"/>
        <w:spacing w:line="300" w:lineRule="auto" w:before="102"/>
        <w:ind w:right="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日，公司</w:t>
      </w:r>
      <w:r>
        <w:rPr>
          <w:rFonts w:ascii="Times New Roman" w:hAnsi="Times New Roman" w:cs="Times New Roman" w:eastAsia="Times New Roman" w:hint="default"/>
          <w:spacing w:val="-2"/>
        </w:rPr>
        <w:t>2011</w:t>
      </w:r>
      <w:r>
        <w:rPr>
          <w:spacing w:val="-2"/>
        </w:rPr>
        <w:t>年第三次临时股东大会审议通过了《股票期权激励计划（草案修订案）》、《股票期权激励</w:t>
      </w:r>
      <w:r>
        <w:rPr>
          <w:spacing w:val="-55"/>
        </w:rPr>
        <w:t> </w:t>
      </w:r>
      <w:r>
        <w:rPr>
          <w:spacing w:val="-55"/>
        </w:rPr>
      </w:r>
      <w:r>
        <w:rPr>
          <w:spacing w:val="-2"/>
        </w:rPr>
        <w:t>计划考核管理办法》、《关于提请股东大会授权董事会办理股票期权激励计划相关事宜的议案》，授权董事会确定期权授权</w:t>
      </w:r>
    </w:p>
    <w:p>
      <w:pPr>
        <w:spacing w:after="0" w:line="30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日、在激励对象符合条件时向激励对象授予股票期权并办理授予股票期权所必须的全部事宜。</w:t>
      </w:r>
    </w:p>
    <w:p>
      <w:pPr>
        <w:pStyle w:val="BodyText"/>
        <w:spacing w:line="302" w:lineRule="auto" w:before="115"/>
        <w:ind w:right="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日，公司第二届董事会第十五次会议、第二届监事会第十二次会议审议通过了《关于股票期权激励计划授</w:t>
      </w:r>
      <w:r>
        <w:rPr>
          <w:spacing w:val="-58"/>
        </w:rPr>
        <w:t> </w:t>
      </w:r>
      <w:r>
        <w:rPr>
          <w:spacing w:val="-58"/>
        </w:rPr>
      </w:r>
      <w:r>
        <w:rPr/>
        <w:t>予相关事项的议案》，确定授予日为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月</w:t>
      </w:r>
      <w:r>
        <w:rPr>
          <w:rFonts w:ascii="Times New Roman" w:hAnsi="Times New Roman" w:cs="Times New Roman" w:eastAsia="Times New Roman" w:hint="default"/>
        </w:rPr>
        <w:t>18</w:t>
      </w:r>
      <w:r>
        <w:rPr/>
        <w:t>日。</w:t>
      </w:r>
    </w:p>
    <w:p>
      <w:pPr>
        <w:pStyle w:val="BodyText"/>
        <w:spacing w:line="319" w:lineRule="auto" w:before="50"/>
        <w:ind w:right="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日，公司第二届董事会第二十次会议审议通过了《关于调整股票期权行权价格的议案》，确定将行权价格</w:t>
      </w:r>
      <w:r>
        <w:rPr>
          <w:spacing w:val="-58"/>
        </w:rPr>
        <w:t> </w:t>
      </w:r>
      <w:r>
        <w:rPr>
          <w:spacing w:val="-58"/>
        </w:rPr>
      </w:r>
      <w:r>
        <w:rPr/>
        <w:t>调整为</w:t>
      </w:r>
      <w:r>
        <w:rPr>
          <w:rFonts w:ascii="Times New Roman" w:hAnsi="Times New Roman" w:cs="Times New Roman" w:eastAsia="Times New Roman" w:hint="default"/>
        </w:rPr>
        <w:t>13.42</w:t>
      </w:r>
      <w:r>
        <w:rPr/>
        <w:t>元。行权价格进行调整不会对公司的财务状况和经营成果产生实质性影响。 </w:t>
      </w:r>
      <w:r>
        <w:rPr>
          <w:rFonts w:ascii="Times New Roman" w:hAnsi="Times New Roman" w:cs="Times New Roman" w:eastAsia="Times New Roman" w:hint="default"/>
        </w:rPr>
        <w:t>2.</w:t>
      </w:r>
      <w:r>
        <w:rPr/>
        <w:t>实施股权激励计划对公司本报告期及以后各年度财务状况和经营成果的影响</w:t>
      </w:r>
    </w:p>
    <w:p>
      <w:pPr>
        <w:pStyle w:val="BodyText"/>
        <w:spacing w:line="360" w:lineRule="auto" w:before="36"/>
        <w:ind w:right="0"/>
        <w:jc w:val="left"/>
      </w:pPr>
      <w:r>
        <w:rPr/>
        <w:t>股权激励计划不会对本报告期的财务状况和经营成果产生影响。 按照公司《股票期权激励计划》（草案修订案）中对期权成本的摊销方法：</w:t>
      </w:r>
    </w:p>
    <w:p>
      <w:pPr>
        <w:pStyle w:val="BodyText"/>
        <w:spacing w:line="309" w:lineRule="auto" w:before="25"/>
        <w:ind w:right="150"/>
        <w:jc w:val="both"/>
      </w:pPr>
      <w:r>
        <w:rPr>
          <w:spacing w:val="-2"/>
        </w:rPr>
        <w:t>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股份支付》的有关规定，公司将在等待期的每个资产负债表日，根据最新取得的可行权人数</w:t>
      </w:r>
      <w:r>
        <w:rPr>
          <w:spacing w:val="-64"/>
        </w:rPr>
        <w:t> </w:t>
      </w:r>
      <w:r>
        <w:rPr>
          <w:spacing w:val="-64"/>
        </w:rPr>
      </w:r>
      <w:r>
        <w:rPr>
          <w:spacing w:val="-2"/>
        </w:rPr>
        <w:t>变动、业绩指标完成情况等后续信息，修正预计可行权的股票期权数量，并按照股票期权授权日的公允价值，将当期取得的</w:t>
      </w:r>
      <w:r>
        <w:rPr>
          <w:spacing w:val="-66"/>
        </w:rPr>
        <w:t> </w:t>
      </w:r>
      <w:r>
        <w:rPr>
          <w:spacing w:val="-66"/>
        </w:rPr>
      </w:r>
      <w:r>
        <w:rPr/>
        <w:t>服务计入相关成本或费用和资本公积。</w:t>
      </w:r>
    </w:p>
    <w:p>
      <w:pPr>
        <w:pStyle w:val="BodyText"/>
        <w:spacing w:line="302" w:lineRule="auto" w:before="62"/>
        <w:ind w:right="186"/>
        <w:jc w:val="left"/>
      </w:pPr>
      <w:r>
        <w:rPr/>
        <w:t>假设全部激励对象均符合本计划规定的行权条件且在各行权期内全部行权，以每份期权价值为</w:t>
      </w:r>
      <w:r>
        <w:rPr>
          <w:rFonts w:ascii="Times New Roman" w:hAnsi="Times New Roman" w:cs="Times New Roman" w:eastAsia="Times New Roman" w:hint="default"/>
        </w:rPr>
        <w:t>2.373</w:t>
      </w:r>
      <w:r>
        <w:rPr/>
        <w:t>元进行测算，得出本次 股权激励在各行权期内的费用估算如下：</w:t>
      </w:r>
    </w:p>
    <w:p>
      <w:pPr>
        <w:spacing w:line="240" w:lineRule="auto" w:before="6"/>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609"/>
        <w:gridCol w:w="1609"/>
        <w:gridCol w:w="1609"/>
        <w:gridCol w:w="1608"/>
        <w:gridCol w:w="1612"/>
        <w:gridCol w:w="1610"/>
      </w:tblGrid>
      <w:tr>
        <w:trPr>
          <w:trHeight w:val="426" w:hRule="exact"/>
        </w:trPr>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期权份额（万份）</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期权价值（元）</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期权成本（万元）</w:t>
            </w:r>
          </w:p>
        </w:tc>
        <w:tc>
          <w:tcPr>
            <w:tcW w:w="1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年（万元）</w:t>
            </w:r>
          </w:p>
        </w:tc>
        <w:tc>
          <w:tcPr>
            <w:tcW w:w="1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w:t>
            </w:r>
            <w:r>
              <w:rPr>
                <w:rFonts w:ascii="宋体" w:hAnsi="宋体" w:cs="宋体" w:eastAsia="宋体" w:hint="default"/>
                <w:sz w:val="18"/>
                <w:szCs w:val="18"/>
              </w:rPr>
              <w:t>年（万元）</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w:t>
            </w:r>
            <w:r>
              <w:rPr>
                <w:rFonts w:ascii="宋体" w:hAnsi="宋体" w:cs="宋体" w:eastAsia="宋体" w:hint="default"/>
                <w:sz w:val="18"/>
                <w:szCs w:val="18"/>
              </w:rPr>
              <w:t>年（万元）</w:t>
            </w:r>
          </w:p>
        </w:tc>
      </w:tr>
      <w:tr>
        <w:trPr>
          <w:trHeight w:val="428" w:hRule="exact"/>
        </w:trPr>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520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2.373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1234.05</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647.88</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401.07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185.10</w:t>
            </w:r>
          </w:p>
        </w:tc>
      </w:tr>
    </w:tbl>
    <w:p>
      <w:pPr>
        <w:spacing w:line="240" w:lineRule="auto" w:before="5"/>
        <w:rPr>
          <w:rFonts w:ascii="宋体" w:hAnsi="宋体" w:cs="宋体" w:eastAsia="宋体" w:hint="default"/>
          <w:sz w:val="24"/>
          <w:szCs w:val="24"/>
        </w:rPr>
      </w:pPr>
    </w:p>
    <w:p>
      <w:pPr>
        <w:pStyle w:val="BodyText"/>
        <w:spacing w:line="240" w:lineRule="auto"/>
        <w:ind w:left="154" w:right="0"/>
        <w:jc w:val="left"/>
      </w:pPr>
      <w:r>
        <w:rPr/>
        <w:t>股权激励事项临时报告披露网站查询</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关于股票期权激励计划授予相关事项的 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7"/>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 </w:t>
            </w:r>
            <w:r>
              <w:rPr>
                <w:rFonts w:ascii="Times New Roman" w:hAnsi="Times New Roman" w:cs="Times New Roman" w:eastAsia="Times New Roman" w:hint="default"/>
                <w:sz w:val="18"/>
                <w:szCs w:val="18"/>
              </w:rPr>
              <w:t>2012-05</w:t>
            </w:r>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关于股票期权激励计划首次授予完成登 记的公告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7"/>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 </w:t>
            </w:r>
            <w:r>
              <w:rPr>
                <w:rFonts w:ascii="Times New Roman" w:hAnsi="Times New Roman" w:cs="Times New Roman" w:eastAsia="Times New Roman" w:hint="default"/>
                <w:sz w:val="18"/>
                <w:szCs w:val="18"/>
              </w:rPr>
              <w:t>2012-29</w:t>
            </w:r>
            <w:r>
              <w:rPr>
                <w:rFonts w:ascii="宋体" w:hAnsi="宋体" w:cs="宋体" w:eastAsia="宋体" w:hint="default"/>
                <w:sz w:val="18"/>
                <w:szCs w:val="18"/>
              </w:rPr>
              <w:t>）</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关于对股票期权行权价格进行调整的公 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7"/>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 </w:t>
            </w:r>
            <w:r>
              <w:rPr>
                <w:rFonts w:ascii="Times New Roman" w:hAnsi="Times New Roman" w:cs="Times New Roman" w:eastAsia="Times New Roman" w:hint="default"/>
                <w:sz w:val="18"/>
                <w:szCs w:val="18"/>
              </w:rPr>
              <w:t>2012-37</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五、重大合同及其履行情况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6"/>
        <w:gridCol w:w="940"/>
        <w:gridCol w:w="936"/>
        <w:gridCol w:w="1212"/>
        <w:gridCol w:w="1178"/>
        <w:gridCol w:w="1094"/>
        <w:gridCol w:w="1015"/>
        <w:gridCol w:w="803"/>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bl>
    <w:p>
      <w:pPr>
        <w:spacing w:after="0" w:line="319"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6"/>
        <w:gridCol w:w="930"/>
        <w:gridCol w:w="945"/>
        <w:gridCol w:w="1212"/>
        <w:gridCol w:w="1178"/>
        <w:gridCol w:w="1094"/>
        <w:gridCol w:w="1012"/>
        <w:gridCol w:w="806"/>
        <w:gridCol w:w="788"/>
      </w:tblGrid>
      <w:tr>
        <w:trPr>
          <w:trHeight w:val="71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深圳市金华威数码 科技有限公司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合肥天源迪科信息 技术有限公司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、报告期内或报告期继续发生的委托理财情况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2"/>
        <w:gridCol w:w="1092"/>
        <w:gridCol w:w="1350"/>
        <w:gridCol w:w="1349"/>
        <w:gridCol w:w="1349"/>
        <w:gridCol w:w="1349"/>
        <w:gridCol w:w="1349"/>
      </w:tblGrid>
      <w:tr>
        <w:trPr>
          <w:trHeight w:val="402" w:hRule="exact"/>
        </w:trPr>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是否逾期</w:t>
            </w:r>
          </w:p>
        </w:tc>
      </w:tr>
      <w:tr>
        <w:trPr>
          <w:trHeight w:val="714"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深圳金华威数码科技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六、承诺事项履行情况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、陈友、吴志 </w:t>
            </w:r>
            <w:r>
              <w:rPr>
                <w:rFonts w:ascii="宋体" w:hAnsi="宋体" w:cs="宋体" w:eastAsia="宋体" w:hint="default"/>
                <w:spacing w:val="-7"/>
                <w:sz w:val="18"/>
                <w:szCs w:val="18"/>
              </w:rPr>
              <w:t>东、陈鲁康、天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泽投资、谢晓 </w:t>
            </w:r>
            <w:r>
              <w:rPr>
                <w:rFonts w:ascii="宋体" w:hAnsi="宋体" w:cs="宋体" w:eastAsia="宋体" w:hint="default"/>
                <w:spacing w:val="-7"/>
                <w:sz w:val="18"/>
                <w:szCs w:val="18"/>
              </w:rPr>
              <w:t>宾、李谦益、杨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文庆、李堃、王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怀东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、陈友、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、股份锁定承 </w:t>
            </w:r>
            <w:r>
              <w:rPr>
                <w:rFonts w:ascii="宋体" w:hAnsi="宋体" w:cs="宋体" w:eastAsia="宋体" w:hint="default"/>
                <w:spacing w:val="-6"/>
                <w:sz w:val="18"/>
                <w:szCs w:val="18"/>
              </w:rPr>
              <w:t>诺：自公司股票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上市之日起三 </w:t>
            </w:r>
            <w:r>
              <w:rPr>
                <w:rFonts w:ascii="宋体" w:hAnsi="宋体" w:cs="宋体" w:eastAsia="宋体" w:hint="default"/>
                <w:spacing w:val="-6"/>
                <w:sz w:val="18"/>
                <w:szCs w:val="18"/>
              </w:rPr>
              <w:t>十六个月内，不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转让或委托他 人管理其直接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00" w:lineRule="auto"/>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、公司股票上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、公司股</w:t>
            </w:r>
            <w:r>
              <w:rPr>
                <w:rFonts w:ascii="宋体" w:hAnsi="宋体" w:cs="宋体" w:eastAsia="宋体" w:hint="default"/>
                <w:sz w:val="18"/>
                <w:szCs w:val="18"/>
              </w:rPr>
              <w:t> 票上市之日起</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、严格履行承 </w:t>
            </w:r>
            <w:r>
              <w:rPr>
                <w:rFonts w:ascii="宋体" w:hAnsi="宋体" w:cs="宋体" w:eastAsia="宋体" w:hint="default"/>
                <w:spacing w:val="-7"/>
                <w:sz w:val="18"/>
                <w:szCs w:val="18"/>
              </w:rPr>
              <w:t>诺；李堃、王怀</w:t>
            </w:r>
            <w:r>
              <w:rPr>
                <w:rFonts w:ascii="宋体" w:hAnsi="宋体" w:cs="宋体" w:eastAsia="宋体" w:hint="default"/>
                <w:sz w:val="18"/>
                <w:szCs w:val="18"/>
              </w:rPr>
              <w:t> 东所持限售股 份已于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00" w:lineRule="auto" w:before="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r>
              <w:rPr>
                <w:rFonts w:ascii="宋体" w:hAnsi="宋体" w:cs="宋体" w:eastAsia="宋体" w:hint="default"/>
                <w:spacing w:val="-2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、严格</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8" w:hRule="exact"/>
        </w:trPr>
        <w:tc>
          <w:tcPr>
            <w:tcW w:w="3194"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吴志东、陈鲁</w:t>
            </w: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和间接持有的</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311"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康、天泽投资、</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本公司股份，也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谢晓宾、李谦</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不由公司回购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益、杨文庆、李</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该部分股份。本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堃、王怀东</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公司股东李堃、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王怀东承诺：自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公司股票上市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之日起十二个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月内，不转让或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委托他人管理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其直接和间接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持有的本公司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股份，也不由公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司回购该部分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2</w:t>
            </w:r>
            <w:r>
              <w:rPr>
                <w:rFonts w:ascii="宋体" w:hAnsi="宋体" w:cs="宋体" w:eastAsia="宋体" w:hint="default"/>
                <w:sz w:val="18"/>
                <w:szCs w:val="18"/>
              </w:rPr>
              <w:t>、避免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同业竞争承诺：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承诺在持有公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司股份期间，不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会以任何形式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从事对公司的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生产经营构成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或可能构成同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和经营活动，也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不会以任何方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式为公司的竞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争企业提供任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何资金、业务及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技术等方面的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帮助。</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3194"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、高管承诺：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担任公司董事、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的股东陈友、陈</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鲁康、李谦益、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、陈友、吴志</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谢晓宾以及担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
              <w:jc w:val="left"/>
              <w:rPr>
                <w:rFonts w:ascii="宋体" w:hAnsi="宋体" w:cs="宋体" w:eastAsia="宋体" w:hint="default"/>
                <w:sz w:val="18"/>
                <w:szCs w:val="18"/>
              </w:rPr>
            </w:pPr>
            <w:r>
              <w:rPr>
                <w:rFonts w:ascii="宋体" w:hAnsi="宋体" w:cs="宋体" w:eastAsia="宋体" w:hint="default"/>
                <w:spacing w:val="-7"/>
                <w:sz w:val="18"/>
                <w:szCs w:val="18"/>
              </w:rPr>
              <w:t>东、陈鲁康、谢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晓宾、李谦益、</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任董事的股东 </w:t>
            </w:r>
            <w:r>
              <w:rPr>
                <w:rFonts w:ascii="宋体" w:hAnsi="宋体" w:cs="宋体" w:eastAsia="宋体" w:hint="default"/>
                <w:spacing w:val="-6"/>
                <w:sz w:val="18"/>
                <w:szCs w:val="18"/>
              </w:rPr>
              <w:t>吴志东、杨文庆</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62"/>
              <w:jc w:val="left"/>
              <w:rPr>
                <w:rFonts w:ascii="宋体" w:hAnsi="宋体" w:cs="宋体" w:eastAsia="宋体" w:hint="default"/>
                <w:sz w:val="18"/>
                <w:szCs w:val="18"/>
              </w:rPr>
            </w:pPr>
            <w:r>
              <w:rPr>
                <w:rFonts w:ascii="宋体" w:hAnsi="宋体" w:cs="宋体" w:eastAsia="宋体" w:hint="default"/>
                <w:sz w:val="18"/>
                <w:szCs w:val="18"/>
              </w:rPr>
              <w:t>公司股票上市 之日起</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25"/>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21"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pacing w:val="-6"/>
                <w:sz w:val="18"/>
                <w:szCs w:val="18"/>
              </w:rPr>
              <w:t>还承诺：除前述</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锁定期外，在其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得超过其所持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有本公司股份</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总数的百分之</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二十五；离职后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半年内，不转让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其所持有的本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公司股份。上述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承诺期限届满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后，上述股份可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以上市流通。</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62" w:hRule="exact"/>
        </w:trPr>
        <w:tc>
          <w:tcPr>
            <w:tcW w:w="3194" w:type="dxa"/>
            <w:vMerge/>
            <w:tcBorders>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、保持公司控</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制权和经营决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策稳定的承诺：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承诺未来股东</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大会议案如涉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及公司重大生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产经营决策，在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进行投票表决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时保证</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0"/>
                <w:sz w:val="18"/>
                <w:szCs w:val="18"/>
              </w:rPr>
              <w:t>）在</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公司发展战略、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发展目标、发展</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规划、未来发展</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方向等方面，严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格遵守招股说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明书第十二节</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、陈友、吴志</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未来发展与规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244"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东、陈鲁康、天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泽投资、李谦 </w:t>
            </w:r>
            <w:r>
              <w:rPr>
                <w:rFonts w:ascii="宋体" w:hAnsi="宋体" w:cs="宋体" w:eastAsia="宋体" w:hint="default"/>
                <w:spacing w:val="-7"/>
                <w:sz w:val="18"/>
                <w:szCs w:val="18"/>
              </w:rPr>
              <w:t>益、谢晓宾、杨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文庆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、公司全</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2" w:lineRule="auto" w:before="15"/>
              <w:ind w:left="23" w:right="2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一节的有关 </w:t>
            </w:r>
            <w:r>
              <w:rPr>
                <w:rFonts w:ascii="宋体" w:hAnsi="宋体" w:cs="宋体" w:eastAsia="宋体" w:hint="default"/>
                <w:spacing w:val="-6"/>
                <w:sz w:val="18"/>
                <w:szCs w:val="18"/>
              </w:rPr>
              <w:t>内容，且不改变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公司既定的发 </w:t>
            </w:r>
            <w:r>
              <w:rPr>
                <w:rFonts w:ascii="宋体" w:hAnsi="宋体" w:cs="宋体" w:eastAsia="宋体" w:hint="default"/>
                <w:spacing w:val="-6"/>
                <w:sz w:val="18"/>
                <w:szCs w:val="18"/>
              </w:rPr>
              <w:t>展战略、发展目</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07"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、公司股票上 市之日起。</w:t>
            </w:r>
            <w:r>
              <w:rPr>
                <w:rFonts w:ascii="Times New Roman" w:hAnsi="Times New Roman" w:cs="Times New Roman" w:eastAsia="Times New Roman" w:hint="default"/>
                <w:sz w:val="18"/>
                <w:szCs w:val="18"/>
              </w:rPr>
              <w:t>5</w:t>
            </w:r>
            <w:r>
              <w:rPr>
                <w:rFonts w:ascii="宋体" w:hAnsi="宋体" w:cs="宋体" w:eastAsia="宋体" w:hint="default"/>
                <w:sz w:val="18"/>
                <w:szCs w:val="18"/>
              </w:rPr>
              <w:t>、 公司股票上市 之日起。</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00" w:lineRule="auto" w:before="152"/>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、严格履行承 诺。</w:t>
            </w:r>
            <w:r>
              <w:rPr>
                <w:rFonts w:ascii="Times New Roman" w:hAnsi="Times New Roman" w:cs="Times New Roman" w:eastAsia="Times New Roman" w:hint="default"/>
                <w:sz w:val="18"/>
                <w:szCs w:val="18"/>
              </w:rPr>
              <w:t>5</w:t>
            </w:r>
            <w:r>
              <w:rPr>
                <w:rFonts w:ascii="宋体" w:hAnsi="宋体" w:cs="宋体" w:eastAsia="宋体" w:hint="default"/>
                <w:sz w:val="18"/>
                <w:szCs w:val="18"/>
              </w:rPr>
              <w:t>、严格履 行承诺。</w:t>
            </w:r>
          </w:p>
        </w:tc>
      </w:tr>
      <w:tr>
        <w:trPr>
          <w:trHeight w:val="321"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体董事</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16"/>
              <w:jc w:val="left"/>
              <w:rPr>
                <w:rFonts w:ascii="宋体" w:hAnsi="宋体" w:cs="宋体" w:eastAsia="宋体" w:hint="default"/>
                <w:sz w:val="18"/>
                <w:szCs w:val="18"/>
              </w:rPr>
            </w:pPr>
            <w:r>
              <w:rPr>
                <w:rFonts w:ascii="宋体" w:hAnsi="宋体" w:cs="宋体" w:eastAsia="宋体" w:hint="default"/>
                <w:sz w:val="18"/>
                <w:szCs w:val="18"/>
              </w:rPr>
              <w:t>标、发展规划、</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未来发展方向</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公司未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来将专注于目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前的主营业务，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即电信、公安应</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用软件产品的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开发、生产和销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售，计算机软、</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硬件系统集成，</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技术支持与服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务，公司未来不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改变主营业务。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）公司未来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继续贯彻执行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目前既定的生</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产经营策略，在</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研发方面，按照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行业内技术发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展的趋势组织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研发工作，在销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售方面，继续执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行服务式营销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策略</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0"/>
                <w:sz w:val="18"/>
                <w:szCs w:val="18"/>
              </w:rPr>
              <w:t>）</w:t>
            </w:r>
            <w:r>
              <w:rPr>
                <w:rFonts w:ascii="宋体" w:hAnsi="宋体" w:cs="宋体" w:eastAsia="宋体" w:hint="default"/>
                <w:sz w:val="18"/>
                <w:szCs w:val="18"/>
              </w:rPr>
              <w:t>在未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来提名董事及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对董事人选进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行投票表决时，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将董事是否同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意不改变公司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既定的发展战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略、发展目标、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发展规划、未来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发展方向、主营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业务、生产经营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策略等作为前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提条件。</w:t>
            </w:r>
            <w:r>
              <w:rPr>
                <w:rFonts w:ascii="Times New Roman" w:hAnsi="Times New Roman" w:cs="Times New Roman" w:eastAsia="Times New Roman" w:hint="default"/>
                <w:sz w:val="18"/>
                <w:szCs w:val="18"/>
              </w:rPr>
              <w:t>5</w:t>
            </w:r>
            <w:r>
              <w:rPr>
                <w:rFonts w:ascii="宋体" w:hAnsi="宋体" w:cs="宋体" w:eastAsia="宋体" w:hint="default"/>
                <w:sz w:val="18"/>
                <w:szCs w:val="18"/>
              </w:rPr>
              <w:t>、保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持公司经营决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策不因股权分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散发生重大变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化的承诺：承诺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在任职期间内，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董事会议案如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涉及公司重大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生产经营决策，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在进行投票表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决时保证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在公司发展战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略、发展目标、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发展规划、未来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发展方向等方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面，严格遵守招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股说明书第十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未来发展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与规划</w:t>
            </w:r>
            <w:r>
              <w:rPr>
                <w:rFonts w:ascii="Times New Roman" w:hAnsi="Times New Roman" w:cs="Times New Roman" w:eastAsia="Times New Roman" w:hint="default"/>
                <w:sz w:val="18"/>
                <w:szCs w:val="18"/>
              </w:rPr>
              <w:t>”</w:t>
            </w:r>
            <w:r>
              <w:rPr>
                <w:rFonts w:ascii="宋体" w:hAnsi="宋体" w:cs="宋体" w:eastAsia="宋体" w:hint="default"/>
                <w:sz w:val="18"/>
                <w:szCs w:val="18"/>
              </w:rPr>
              <w:t>一节的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有关内容，且不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改变公司的既</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定的发展战略、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发展目标、发展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规划、未来发展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方向等</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0"/>
                <w:sz w:val="18"/>
                <w:szCs w:val="18"/>
              </w:rPr>
              <w:t>）公</w:t>
            </w:r>
            <w:r>
              <w:rPr>
                <w:rFonts w:ascii="宋体" w:hAnsi="宋体" w:cs="宋体" w:eastAsia="宋体" w:hint="default"/>
                <w:sz w:val="18"/>
                <w:szCs w:val="18"/>
              </w:rPr>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司未来将专注</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于目前的主营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业务，即电信、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公安应用软件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产品的开发、生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产和销售，计算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机软、硬件系统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集成，技术支持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与服务，公司未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来不改变主营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0"/>
                <w:sz w:val="18"/>
                <w:szCs w:val="18"/>
              </w:rPr>
              <w:t>）</w:t>
            </w:r>
            <w:r>
              <w:rPr>
                <w:rFonts w:ascii="宋体" w:hAnsi="宋体" w:cs="宋体" w:eastAsia="宋体" w:hint="default"/>
                <w:sz w:val="18"/>
                <w:szCs w:val="18"/>
              </w:rPr>
              <w:t>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未来继续贯彻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执行目前既定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的生产经营策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略，在研发方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面，按照行业内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技术发展的趋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势组织研发工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作，在销售方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面，继续执行服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16"/>
              <w:jc w:val="left"/>
              <w:rPr>
                <w:rFonts w:ascii="宋体" w:hAnsi="宋体" w:cs="宋体" w:eastAsia="宋体" w:hint="default"/>
                <w:sz w:val="18"/>
                <w:szCs w:val="18"/>
              </w:rPr>
            </w:pPr>
            <w:r>
              <w:rPr>
                <w:rFonts w:ascii="宋体" w:hAnsi="宋体" w:cs="宋体" w:eastAsia="宋体" w:hint="default"/>
                <w:sz w:val="18"/>
                <w:szCs w:val="18"/>
              </w:rPr>
              <w:t>务式营销策略。</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62" w:hRule="exact"/>
        </w:trPr>
        <w:tc>
          <w:tcPr>
            <w:tcW w:w="3194" w:type="dxa"/>
            <w:vMerge/>
            <w:tcBorders>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、关于离职后</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股份转让的承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诺：本人若在首</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票上市之日起</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六个月内（含六</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个月）申报离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职，将自申报离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职之日起十八</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个月（含第十八</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09" w:lineRule="auto" w:before="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、全体董事、 </w:t>
            </w:r>
            <w:r>
              <w:rPr>
                <w:rFonts w:ascii="宋体" w:hAnsi="宋体" w:cs="宋体" w:eastAsia="宋体" w:hint="default"/>
                <w:spacing w:val="-6"/>
                <w:sz w:val="18"/>
                <w:szCs w:val="18"/>
              </w:rPr>
              <w:t>监事、高级管理</w:t>
            </w:r>
            <w:r>
              <w:rPr>
                <w:rFonts w:ascii="宋体" w:hAnsi="宋体" w:cs="宋体" w:eastAsia="宋体" w:hint="default"/>
                <w:sz w:val="18"/>
                <w:szCs w:val="18"/>
              </w:rPr>
              <w:t> 人员</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6"/>
              <w:jc w:val="left"/>
              <w:rPr>
                <w:rFonts w:ascii="宋体" w:hAnsi="宋体" w:cs="宋体" w:eastAsia="宋体" w:hint="default"/>
                <w:sz w:val="18"/>
                <w:szCs w:val="18"/>
              </w:rPr>
            </w:pP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本人直接持有 的本公司股份；</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62"/>
              <w:jc w:val="left"/>
              <w:rPr>
                <w:rFonts w:ascii="宋体" w:hAnsi="宋体" w:cs="宋体" w:eastAsia="宋体" w:hint="default"/>
                <w:sz w:val="18"/>
                <w:szCs w:val="18"/>
              </w:rPr>
            </w:pPr>
            <w:r>
              <w:rPr>
                <w:rFonts w:ascii="宋体" w:hAnsi="宋体" w:cs="宋体" w:eastAsia="宋体" w:hint="default"/>
                <w:sz w:val="18"/>
                <w:szCs w:val="18"/>
              </w:rPr>
              <w:t>公司股票上市 之日起。</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25"/>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本人若在首次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七个月至第十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二个月（含第七</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个月、第十二个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月）之间申报离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职，将自申报离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职之日起十二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个月内（含第十</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
              <w:jc w:val="left"/>
              <w:rPr>
                <w:rFonts w:ascii="宋体" w:hAnsi="宋体" w:cs="宋体" w:eastAsia="宋体" w:hint="default"/>
                <w:sz w:val="18"/>
                <w:szCs w:val="18"/>
              </w:rPr>
            </w:pPr>
            <w:r>
              <w:rPr>
                <w:rFonts w:ascii="宋体" w:hAnsi="宋体" w:cs="宋体" w:eastAsia="宋体" w:hint="default"/>
                <w:spacing w:val="-6"/>
                <w:sz w:val="18"/>
                <w:szCs w:val="18"/>
              </w:rPr>
              <w:t>二个月）不转让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本人直接持有 的本公司股份。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right="158"/>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58" w:firstLine="36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日，经公司第二届董事会第十八次会议审议通过，收购广州市易杰数码科技有限公司</w:t>
      </w:r>
      <w:r>
        <w:rPr>
          <w:rFonts w:ascii="Times New Roman" w:hAnsi="Times New Roman" w:cs="Times New Roman" w:eastAsia="Times New Roman" w:hint="default"/>
          <w:spacing w:val="-1"/>
        </w:rPr>
        <w:t>30%</w:t>
      </w:r>
      <w:r>
        <w:rPr>
          <w:spacing w:val="-1"/>
        </w:rPr>
        <w:t>股权。在收购</w:t>
      </w:r>
      <w:r>
        <w:rPr/>
        <w:t> 公告及项目可行性研究报告中对广州易杰</w:t>
      </w:r>
      <w:r>
        <w:rPr>
          <w:rFonts w:ascii="Times New Roman" w:hAnsi="Times New Roman" w:cs="Times New Roman" w:eastAsia="Times New Roman" w:hint="default"/>
        </w:rPr>
        <w:t>2012</w:t>
      </w:r>
      <w:r>
        <w:rPr/>
        <w:t>年盈利状况预测，以及实际盈利情况如下（万元）：</w:t>
      </w:r>
    </w:p>
    <w:p>
      <w:pPr>
        <w:spacing w:line="240" w:lineRule="auto" w:before="0"/>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844"/>
        <w:gridCol w:w="2603"/>
        <w:gridCol w:w="3211"/>
      </w:tblGrid>
      <w:tr>
        <w:trPr>
          <w:trHeight w:val="427" w:hRule="exact"/>
        </w:trPr>
        <w:tc>
          <w:tcPr>
            <w:tcW w:w="3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9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年（预测）</w:t>
            </w:r>
          </w:p>
        </w:tc>
        <w:tc>
          <w:tcPr>
            <w:tcW w:w="32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年（实际）</w:t>
            </w:r>
          </w:p>
        </w:tc>
      </w:tr>
      <w:tr>
        <w:trPr>
          <w:trHeight w:val="427" w:hRule="exact"/>
        </w:trPr>
        <w:tc>
          <w:tcPr>
            <w:tcW w:w="3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7,298</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3,368.77</w:t>
            </w:r>
          </w:p>
        </w:tc>
      </w:tr>
      <w:tr>
        <w:trPr>
          <w:trHeight w:val="427" w:hRule="exact"/>
        </w:trPr>
        <w:tc>
          <w:tcPr>
            <w:tcW w:w="3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3,859</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3,132.08</w:t>
            </w:r>
          </w:p>
        </w:tc>
      </w:tr>
      <w:tr>
        <w:trPr>
          <w:trHeight w:val="426" w:hRule="exact"/>
        </w:trPr>
        <w:tc>
          <w:tcPr>
            <w:tcW w:w="3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3,439</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442.28</w:t>
            </w:r>
          </w:p>
        </w:tc>
      </w:tr>
      <w:tr>
        <w:trPr>
          <w:trHeight w:val="428" w:hRule="exact"/>
        </w:trPr>
        <w:tc>
          <w:tcPr>
            <w:tcW w:w="3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2,923</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410.05</w:t>
            </w:r>
          </w:p>
        </w:tc>
      </w:tr>
    </w:tbl>
    <w:p>
      <w:pPr>
        <w:spacing w:line="240" w:lineRule="auto" w:before="3"/>
        <w:rPr>
          <w:rFonts w:ascii="宋体" w:hAnsi="宋体" w:cs="宋体" w:eastAsia="宋体" w:hint="default"/>
          <w:sz w:val="21"/>
          <w:szCs w:val="21"/>
        </w:rPr>
      </w:pPr>
    </w:p>
    <w:p>
      <w:pPr>
        <w:pStyle w:val="BodyText"/>
        <w:spacing w:line="300" w:lineRule="auto"/>
        <w:ind w:right="171" w:firstLine="360"/>
        <w:jc w:val="both"/>
      </w:pPr>
      <w:r>
        <w:rPr>
          <w:spacing w:val="-1"/>
        </w:rPr>
        <w:t>广州易杰预算</w:t>
      </w:r>
      <w:r>
        <w:rPr>
          <w:rFonts w:ascii="Times New Roman" w:hAnsi="Times New Roman" w:cs="Times New Roman" w:eastAsia="Times New Roman" w:hint="default"/>
          <w:spacing w:val="-1"/>
        </w:rPr>
        <w:t>2012</w:t>
      </w:r>
      <w:r>
        <w:rPr>
          <w:spacing w:val="-1"/>
        </w:rPr>
        <w:t>年度总收入</w:t>
      </w:r>
      <w:r>
        <w:rPr>
          <w:rFonts w:ascii="Times New Roman" w:hAnsi="Times New Roman" w:cs="Times New Roman" w:eastAsia="Times New Roman" w:hint="default"/>
          <w:spacing w:val="-1"/>
        </w:rPr>
        <w:t>7,298</w:t>
      </w:r>
      <w:r>
        <w:rPr>
          <w:spacing w:val="-1"/>
        </w:rPr>
        <w:t>万元，净利润</w:t>
      </w:r>
      <w:r>
        <w:rPr>
          <w:rFonts w:ascii="Times New Roman" w:hAnsi="Times New Roman" w:cs="Times New Roman" w:eastAsia="Times New Roman" w:hint="default"/>
          <w:spacing w:val="-1"/>
        </w:rPr>
        <w:t>2,923</w:t>
      </w:r>
      <w:r>
        <w:rPr>
          <w:spacing w:val="-1"/>
        </w:rPr>
        <w:t>万元。实际收入完成</w:t>
      </w:r>
      <w:r>
        <w:rPr>
          <w:rFonts w:ascii="Times New Roman" w:hAnsi="Times New Roman" w:cs="Times New Roman" w:eastAsia="Times New Roman" w:hint="default"/>
          <w:spacing w:val="-1"/>
        </w:rPr>
        <w:t>3,368.77</w:t>
      </w:r>
      <w:r>
        <w:rPr>
          <w:spacing w:val="-1"/>
        </w:rPr>
        <w:t>万元、利润完成</w:t>
      </w:r>
      <w:r>
        <w:rPr>
          <w:rFonts w:ascii="Times New Roman" w:hAnsi="Times New Roman" w:cs="Times New Roman" w:eastAsia="Times New Roman" w:hint="default"/>
          <w:spacing w:val="-1"/>
        </w:rPr>
        <w:t>410.05</w:t>
      </w:r>
      <w:r>
        <w:rPr>
          <w:spacing w:val="-1"/>
        </w:rPr>
        <w:t>万元。未完成</w:t>
      </w:r>
      <w:r>
        <w:rPr/>
        <w:t> 预定的目标。</w:t>
      </w:r>
    </w:p>
    <w:p>
      <w:pPr>
        <w:pStyle w:val="BodyText"/>
        <w:spacing w:line="300" w:lineRule="auto" w:before="31"/>
        <w:ind w:right="169" w:firstLine="360"/>
        <w:jc w:val="both"/>
      </w:pPr>
      <w:r>
        <w:rPr>
          <w:spacing w:val="-2"/>
        </w:rPr>
        <w:t>广州易杰主要是以增值服务和软件产品研发作为经营收入构成。</w:t>
      </w:r>
      <w:r>
        <w:rPr>
          <w:rFonts w:ascii="Times New Roman" w:hAnsi="Times New Roman" w:cs="Times New Roman" w:eastAsia="Times New Roman" w:hint="default"/>
          <w:spacing w:val="-2"/>
        </w:rPr>
        <w:t>2012</w:t>
      </w:r>
      <w:r>
        <w:rPr>
          <w:spacing w:val="-2"/>
        </w:rPr>
        <w:t>年增值业务收入保持良好的发展势头，增值业务收</w:t>
      </w:r>
      <w:r>
        <w:rPr/>
        <w:t> </w:t>
      </w:r>
      <w:r>
        <w:rPr>
          <w:spacing w:val="-1"/>
        </w:rPr>
        <w:t>入为</w:t>
      </w:r>
      <w:r>
        <w:rPr>
          <w:rFonts w:ascii="Times New Roman" w:hAnsi="Times New Roman" w:cs="Times New Roman" w:eastAsia="Times New Roman" w:hint="default"/>
          <w:spacing w:val="-1"/>
        </w:rPr>
        <w:t>1,580.79</w:t>
      </w:r>
      <w:r>
        <w:rPr>
          <w:spacing w:val="-1"/>
        </w:rPr>
        <w:t>万元，较去年同期增长</w:t>
      </w:r>
      <w:r>
        <w:rPr>
          <w:rFonts w:ascii="Times New Roman" w:hAnsi="Times New Roman" w:cs="Times New Roman" w:eastAsia="Times New Roman" w:hint="default"/>
          <w:spacing w:val="-1"/>
        </w:rPr>
        <w:t>44.75</w:t>
      </w:r>
      <w:r>
        <w:rPr>
          <w:spacing w:val="-1"/>
        </w:rPr>
        <w:t>％。软件产品（融合通信平台软件，简称</w:t>
      </w:r>
      <w:r>
        <w:rPr>
          <w:rFonts w:ascii="Times New Roman" w:hAnsi="Times New Roman" w:cs="Times New Roman" w:eastAsia="Times New Roman" w:hint="default"/>
          <w:spacing w:val="-1"/>
        </w:rPr>
        <w:t>RCS</w:t>
      </w:r>
      <w:r>
        <w:rPr>
          <w:spacing w:val="-1"/>
        </w:rPr>
        <w:t>软件）收入较去年同期降幅较大，主</w:t>
      </w:r>
      <w:r>
        <w:rPr>
          <w:spacing w:val="-55"/>
        </w:rPr>
        <w:t> </w:t>
      </w:r>
      <w:r>
        <w:rPr>
          <w:spacing w:val="-55"/>
        </w:rPr>
      </w:r>
      <w:r>
        <w:rPr/>
        <w:t>要是受到以下几个方面原因的影响：</w:t>
      </w:r>
    </w:p>
    <w:p>
      <w:pPr>
        <w:pStyle w:val="BodyText"/>
        <w:spacing w:line="300" w:lineRule="auto" w:before="31"/>
        <w:ind w:left="154" w:right="178" w:firstLine="360"/>
        <w:jc w:val="both"/>
      </w:pPr>
      <w:r>
        <w:rPr>
          <w:rFonts w:ascii="Times New Roman" w:hAnsi="Times New Roman" w:cs="Times New Roman" w:eastAsia="Times New Roman" w:hint="default"/>
        </w:rPr>
        <w:t>1</w:t>
      </w:r>
      <w:r>
        <w:rPr/>
        <w:t>、世界经济下行压力的影响。</w:t>
      </w:r>
      <w:r>
        <w:rPr>
          <w:rFonts w:ascii="Times New Roman" w:hAnsi="Times New Roman" w:cs="Times New Roman" w:eastAsia="Times New Roman" w:hint="default"/>
        </w:rPr>
        <w:t>2012</w:t>
      </w:r>
      <w:r>
        <w:rPr/>
        <w:t>年初以来，欧债危机出现反复，发达经济体陷入低迷或衰退，全球经济进入一个相 对低迷的低速增长期，经济下行压力比预期要大。</w:t>
      </w:r>
    </w:p>
    <w:p>
      <w:pPr>
        <w:pStyle w:val="BodyText"/>
        <w:spacing w:line="300" w:lineRule="auto" w:before="31"/>
        <w:ind w:right="170" w:firstLine="360"/>
        <w:jc w:val="both"/>
      </w:pPr>
      <w:r>
        <w:rPr>
          <w:rFonts w:ascii="Times New Roman" w:hAnsi="Times New Roman" w:cs="Times New Roman" w:eastAsia="Times New Roman" w:hint="default"/>
        </w:rPr>
        <w:t>2</w:t>
      </w:r>
      <w:r>
        <w:rPr/>
        <w:t>、海外电信软件产品市场总体下滑。受到</w:t>
      </w:r>
      <w:r>
        <w:rPr>
          <w:rFonts w:ascii="Times New Roman" w:hAnsi="Times New Roman" w:cs="Times New Roman" w:eastAsia="Times New Roman" w:hint="default"/>
        </w:rPr>
        <w:t>2012</w:t>
      </w:r>
      <w:r>
        <w:rPr/>
        <w:t>年世界经济低迷的影响，几大海外电信交付客户纷纷调整、放缓原来制 定的软件产品策略：</w:t>
      </w:r>
      <w:r>
        <w:rPr>
          <w:rFonts w:ascii="Times New Roman" w:hAnsi="Times New Roman" w:cs="Times New Roman" w:eastAsia="Times New Roman" w:hint="default"/>
        </w:rPr>
        <w:t>1.</w:t>
      </w:r>
      <w:r>
        <w:rPr/>
        <w:t>俄罗斯</w:t>
      </w:r>
      <w:r>
        <w:rPr>
          <w:rFonts w:ascii="Times New Roman" w:hAnsi="Times New Roman" w:cs="Times New Roman" w:eastAsia="Times New Roman" w:hint="default"/>
        </w:rPr>
        <w:t>MegaFon</w:t>
      </w:r>
      <w:r>
        <w:rPr/>
        <w:t>延迟了</w:t>
      </w:r>
      <w:r>
        <w:rPr>
          <w:rFonts w:ascii="Times New Roman" w:hAnsi="Times New Roman" w:cs="Times New Roman" w:eastAsia="Times New Roman" w:hint="default"/>
        </w:rPr>
        <w:t>RCS</w:t>
      </w:r>
      <w:r>
        <w:rPr/>
        <w:t>软件上线的时间（从原定的</w:t>
      </w:r>
      <w:r>
        <w:rPr>
          <w:rFonts w:ascii="Times New Roman" w:hAnsi="Times New Roman" w:cs="Times New Roman" w:eastAsia="Times New Roman" w:hint="default"/>
        </w:rPr>
        <w:t>2012</w:t>
      </w:r>
      <w:r>
        <w:rPr/>
        <w:t>年二季度延迟至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月份），导致后 </w:t>
      </w:r>
      <w:r>
        <w:rPr>
          <w:spacing w:val="-1"/>
        </w:rPr>
        <w:t>续的产品定单未能跟上；</w:t>
      </w:r>
      <w:r>
        <w:rPr>
          <w:rFonts w:ascii="Times New Roman" w:hAnsi="Times New Roman" w:cs="Times New Roman" w:eastAsia="Times New Roman" w:hint="default"/>
          <w:spacing w:val="-1"/>
        </w:rPr>
        <w:t>2.</w:t>
      </w:r>
      <w:r>
        <w:rPr>
          <w:spacing w:val="-1"/>
        </w:rPr>
        <w:t>阿联酋</w:t>
      </w:r>
      <w:r>
        <w:rPr>
          <w:rFonts w:ascii="Times New Roman" w:hAnsi="Times New Roman" w:cs="Times New Roman" w:eastAsia="Times New Roman" w:hint="default"/>
          <w:spacing w:val="-1"/>
        </w:rPr>
        <w:t>Etisalat</w:t>
      </w:r>
      <w:r>
        <w:rPr>
          <w:spacing w:val="-1"/>
        </w:rPr>
        <w:t>原定在</w:t>
      </w:r>
      <w:r>
        <w:rPr>
          <w:rFonts w:ascii="Times New Roman" w:hAnsi="Times New Roman" w:cs="Times New Roman" w:eastAsia="Times New Roman" w:hint="default"/>
          <w:spacing w:val="-1"/>
        </w:rPr>
        <w:t>2012</w:t>
      </w:r>
      <w:r>
        <w:rPr>
          <w:spacing w:val="-1"/>
        </w:rPr>
        <w:t>年二季度由集团完成软件订单签订，后又延至三季度，最后在</w:t>
      </w:r>
      <w:r>
        <w:rPr>
          <w:rFonts w:ascii="Times New Roman" w:hAnsi="Times New Roman" w:cs="Times New Roman" w:eastAsia="Times New Roman" w:hint="default"/>
          <w:spacing w:val="-1"/>
        </w:rPr>
        <w:t>2012</w:t>
      </w:r>
      <w:r>
        <w:rPr>
          <w:spacing w:val="-1"/>
        </w:rPr>
        <w:t>年底</w:t>
      </w:r>
      <w:r>
        <w:rPr>
          <w:spacing w:val="-68"/>
        </w:rPr>
        <w:t> </w:t>
      </w:r>
      <w:r>
        <w:rPr>
          <w:spacing w:val="-2"/>
        </w:rPr>
        <w:t>确认由各子网来逐一谈判订单的签订，直接导致该定单在</w:t>
      </w:r>
      <w:r>
        <w:rPr>
          <w:rFonts w:ascii="Times New Roman" w:hAnsi="Times New Roman" w:cs="Times New Roman" w:eastAsia="Times New Roman" w:hint="default"/>
          <w:spacing w:val="-2"/>
        </w:rPr>
        <w:t>2012</w:t>
      </w:r>
      <w:r>
        <w:rPr>
          <w:spacing w:val="-2"/>
        </w:rPr>
        <w:t>年无法签订；</w:t>
      </w:r>
      <w:r>
        <w:rPr>
          <w:rFonts w:ascii="Times New Roman" w:hAnsi="Times New Roman" w:cs="Times New Roman" w:eastAsia="Times New Roman" w:hint="default"/>
          <w:spacing w:val="-2"/>
        </w:rPr>
        <w:t>3.</w:t>
      </w:r>
      <w:r>
        <w:rPr>
          <w:spacing w:val="-2"/>
        </w:rPr>
        <w:t>伊朗</w:t>
      </w:r>
      <w:r>
        <w:rPr>
          <w:rFonts w:ascii="Times New Roman" w:hAnsi="Times New Roman" w:cs="Times New Roman" w:eastAsia="Times New Roman" w:hint="default"/>
          <w:spacing w:val="-2"/>
        </w:rPr>
        <w:t>MTN</w:t>
      </w:r>
      <w:r>
        <w:rPr>
          <w:spacing w:val="-2"/>
        </w:rPr>
        <w:t>的</w:t>
      </w:r>
      <w:r>
        <w:rPr>
          <w:rFonts w:ascii="Times New Roman" w:hAnsi="Times New Roman" w:cs="Times New Roman" w:eastAsia="Times New Roman" w:hint="default"/>
          <w:spacing w:val="-2"/>
        </w:rPr>
        <w:t>RCS</w:t>
      </w:r>
      <w:r>
        <w:rPr>
          <w:spacing w:val="-2"/>
        </w:rPr>
        <w:t>软件产品，受伊朗局势动荡的</w:t>
      </w:r>
      <w:r>
        <w:rPr>
          <w:spacing w:val="-38"/>
        </w:rPr>
        <w:t> </w:t>
      </w:r>
      <w:r>
        <w:rPr>
          <w:spacing w:val="-38"/>
        </w:rPr>
      </w:r>
      <w:r>
        <w:rPr/>
        <w:t>影响，也未能在</w:t>
      </w:r>
      <w:r>
        <w:rPr>
          <w:rFonts w:ascii="Times New Roman" w:hAnsi="Times New Roman" w:cs="Times New Roman" w:eastAsia="Times New Roman" w:hint="default"/>
        </w:rPr>
        <w:t>2012</w:t>
      </w:r>
      <w:r>
        <w:rPr/>
        <w:t>年完成第一期的终验，更导致新一期的定单无法签订。</w:t>
      </w:r>
    </w:p>
    <w:p>
      <w:pPr>
        <w:pStyle w:val="BodyText"/>
        <w:spacing w:line="340" w:lineRule="auto" w:before="13"/>
        <w:ind w:left="513" w:right="158"/>
        <w:jc w:val="left"/>
      </w:pPr>
      <w:r>
        <w:rPr>
          <w:rFonts w:ascii="Times New Roman" w:hAnsi="Times New Roman" w:cs="Times New Roman" w:eastAsia="Times New Roman" w:hint="default"/>
        </w:rPr>
        <w:t>3</w:t>
      </w:r>
      <w:r>
        <w:rPr/>
        <w:t>、国内人工成本的不断上升及海外市场的前期成本投入较高。 </w:t>
      </w:r>
      <w:r>
        <w:rPr>
          <w:spacing w:val="-2"/>
        </w:rPr>
        <w:t>综上几点原因的影响，海外电信市场纷纷放缓原定的项目推出时间表，而随着国内人工成本的不断上升及海外市场前期</w:t>
      </w:r>
    </w:p>
    <w:p>
      <w:pPr>
        <w:pStyle w:val="BodyText"/>
        <w:spacing w:line="357" w:lineRule="auto" w:before="1"/>
        <w:ind w:left="513" w:right="91" w:hanging="360"/>
        <w:jc w:val="left"/>
      </w:pPr>
      <w:r>
        <w:rPr/>
        <w:t>成本的预投入，直接导致易杰的收入降幅较大，从而影响年度的利润。 为改善以上现状，从</w:t>
      </w:r>
      <w:r>
        <w:rPr>
          <w:rFonts w:ascii="Times New Roman" w:hAnsi="Times New Roman" w:cs="Times New Roman" w:eastAsia="Times New Roman" w:hint="default"/>
        </w:rPr>
        <w:t>2012</w:t>
      </w:r>
      <w:r>
        <w:rPr/>
        <w:t>年下半年开始，广州易杰在维系好原有大客户业务（以华为</w:t>
      </w:r>
      <w:r>
        <w:rPr>
          <w:rFonts w:ascii="Times New Roman" w:hAnsi="Times New Roman" w:cs="Times New Roman" w:eastAsia="Times New Roman" w:hint="default"/>
        </w:rPr>
        <w:t>RCS</w:t>
      </w:r>
      <w:r>
        <w:rPr/>
        <w:t>终端产品为代表）的基础上，</w:t>
      </w:r>
    </w:p>
    <w:p>
      <w:pPr>
        <w:spacing w:after="0" w:line="357" w:lineRule="auto"/>
        <w:jc w:val="left"/>
        <w:sectPr>
          <w:pgSz w:w="11910" w:h="16840"/>
          <w:pgMar w:header="747" w:footer="982" w:top="1060" w:bottom="1180" w:left="980" w:right="960"/>
        </w:sectPr>
      </w:pPr>
    </w:p>
    <w:p>
      <w:pPr>
        <w:spacing w:line="240" w:lineRule="auto" w:before="13"/>
        <w:rPr>
          <w:rFonts w:ascii="宋体" w:hAnsi="宋体" w:cs="宋体" w:eastAsia="宋体" w:hint="default"/>
          <w:sz w:val="25"/>
          <w:szCs w:val="25"/>
        </w:rPr>
      </w:pPr>
    </w:p>
    <w:p>
      <w:pPr>
        <w:pStyle w:val="BodyText"/>
        <w:spacing w:line="357" w:lineRule="auto"/>
        <w:ind w:right="2251"/>
        <w:jc w:val="left"/>
      </w:pPr>
      <w:r>
        <w:rPr/>
        <w:t>一方面在原有大客户中拓展新的业务、产品合作，另一方面大力拓展国内移动互联网行业市场。 盈利预测相关披露索引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0" w:right="197"/>
        <w:jc w:val="right"/>
      </w:pPr>
      <w:r>
        <w:rPr/>
        <w:pict>
          <v:shape style="position:absolute;margin-left:56.459999pt;margin-top:-36.547935pt;width:479.2pt;height:56.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2">
                          <w:r>
                            <w:rPr>
                              <w:rFonts w:ascii="Times New Roman" w:hAnsi="Times New Roman" w:cs="Times New Roman" w:eastAsia="Times New Roman" w:hint="default"/>
                              <w:sz w:val="18"/>
                              <w:szCs w:val="18"/>
                            </w:rPr>
                            <w:t>http://www.cninfo.com.cn/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关于使用超募资金收购广州市易杰数码 科技有限公司</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股权的公告（</w:t>
                        </w:r>
                        <w:r>
                          <w:rPr>
                            <w:rFonts w:ascii="Times New Roman" w:hAnsi="Times New Roman" w:cs="Times New Roman" w:eastAsia="Times New Roman" w:hint="default"/>
                            <w:spacing w:val="-6"/>
                            <w:sz w:val="18"/>
                            <w:szCs w:val="18"/>
                          </w:rPr>
                          <w:t>2012-24</w:t>
                        </w:r>
                      </w:p>
                    </w:tc>
                  </w:tr>
                </w:tbl>
                <w:p>
                  <w:pPr/>
                </w:p>
              </w:txbxContent>
            </v:textbox>
            <w10:wrap type="none"/>
          </v:shape>
        </w:pict>
      </w:r>
      <w:r>
        <w:rPr/>
        <w:t>）</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t>七、聘任、解聘会计师事务所情况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9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中瑞岳华会计师事务所（特殊普通合伙）深圳分所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朱子武、叶庚波</w:t>
            </w:r>
          </w:p>
        </w:tc>
      </w:tr>
    </w:tbl>
    <w:p>
      <w:pPr>
        <w:pStyle w:val="BodyText"/>
        <w:spacing w:line="240" w:lineRule="auto" w:before="51"/>
        <w:ind w:left="154" w:right="90"/>
        <w:jc w:val="left"/>
      </w:pPr>
      <w:r>
        <w:rPr/>
        <w:t>是否改聘会计师事务所</w:t>
      </w:r>
    </w:p>
    <w:p>
      <w:pPr>
        <w:pStyle w:val="BodyText"/>
        <w:spacing w:line="340" w:lineRule="auto" w:before="116"/>
        <w:ind w:left="154" w:right="81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原聘任的会计事务所</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中审国际会计师事务所有限公司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朱子武、叶庚波</w:t>
            </w:r>
          </w:p>
        </w:tc>
      </w:tr>
    </w:tbl>
    <w:p>
      <w:pPr>
        <w:pStyle w:val="BodyText"/>
        <w:spacing w:line="240" w:lineRule="auto" w:before="51"/>
        <w:ind w:left="154" w:right="90"/>
        <w:jc w:val="left"/>
      </w:pPr>
      <w:r>
        <w:rPr/>
        <w:t>是否在审计期间改聘会计师事务所</w:t>
      </w:r>
    </w:p>
    <w:p>
      <w:pPr>
        <w:pStyle w:val="BodyText"/>
        <w:spacing w:line="338" w:lineRule="auto" w:before="117"/>
        <w:ind w:left="154" w:right="69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left="154" w:right="71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302" w:lineRule="auto" w:before="41"/>
        <w:ind w:left="154" w:right="90"/>
        <w:jc w:val="left"/>
      </w:pPr>
      <w:r>
        <w:rPr/>
        <w:t>公司聘请的</w:t>
      </w:r>
      <w:r>
        <w:rPr>
          <w:rFonts w:ascii="Times New Roman" w:hAnsi="Times New Roman" w:cs="Times New Roman" w:eastAsia="Times New Roman" w:hint="default"/>
        </w:rPr>
        <w:t>2012</w:t>
      </w:r>
      <w:r>
        <w:rPr/>
        <w:t>年度审计机构中审国际会计师事务所有限公司深圳分所已于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日与中瑞岳华会计师事务所（特殊 </w:t>
      </w:r>
      <w:r>
        <w:rPr>
          <w:spacing w:val="-2"/>
        </w:rPr>
        <w:t>普通合伙）实施合并，合并后的事务所名称为</w:t>
      </w:r>
      <w:r>
        <w:rPr>
          <w:rFonts w:ascii="Times New Roman" w:hAnsi="Times New Roman" w:cs="Times New Roman" w:eastAsia="Times New Roman" w:hint="default"/>
          <w:spacing w:val="-2"/>
        </w:rPr>
        <w:t>“</w:t>
      </w:r>
      <w:r>
        <w:rPr>
          <w:spacing w:val="-2"/>
        </w:rPr>
        <w:t>中瑞岳华会计师事务所（特殊普通合伙）</w:t>
      </w:r>
      <w:r>
        <w:rPr>
          <w:rFonts w:ascii="Times New Roman" w:hAnsi="Times New Roman" w:cs="Times New Roman" w:eastAsia="Times New Roman" w:hint="default"/>
          <w:spacing w:val="-2"/>
        </w:rPr>
        <w:t>”</w:t>
      </w:r>
      <w:r>
        <w:rPr>
          <w:spacing w:val="-2"/>
        </w:rPr>
        <w:t>。合并后，中审国际会计师事务所</w:t>
      </w:r>
      <w:r>
        <w:rPr>
          <w:spacing w:val="-45"/>
        </w:rPr>
        <w:t> </w:t>
      </w:r>
      <w:r>
        <w:rPr>
          <w:spacing w:val="-45"/>
        </w:rPr>
      </w:r>
      <w:r>
        <w:rPr/>
        <w:t>有限公司深圳分所的所有审计、验资等注册会计师法定业务及其他业务将由中瑞岳华继续承办。考虑到审计业务的连续性， 公司计划将</w:t>
      </w:r>
      <w:r>
        <w:rPr>
          <w:rFonts w:ascii="Times New Roman" w:hAnsi="Times New Roman" w:cs="Times New Roman" w:eastAsia="Times New Roman" w:hint="default"/>
        </w:rPr>
        <w:t>2012</w:t>
      </w:r>
      <w:r>
        <w:rPr/>
        <w:t>年度审计机构更换为中瑞岳华会计师事务所（特殊普通合伙）。 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日召开的第二届董事会第二十二次会议审议通过了《关于改聘中瑞岳华会计师事务所（特殊普通合伙） </w:t>
      </w:r>
      <w:r>
        <w:rPr>
          <w:spacing w:val="-2"/>
        </w:rPr>
        <w:t>为公司</w:t>
      </w:r>
      <w:r>
        <w:rPr>
          <w:rFonts w:ascii="Times New Roman" w:hAnsi="Times New Roman" w:cs="Times New Roman" w:eastAsia="Times New Roman" w:hint="default"/>
          <w:spacing w:val="-2"/>
        </w:rPr>
        <w:t>2012</w:t>
      </w:r>
      <w:r>
        <w:rPr>
          <w:spacing w:val="-2"/>
        </w:rPr>
        <w:t>年度审计机构的议案》，同意聘任中瑞岳华会计师事务所（特殊普通合伙）为公司</w:t>
      </w:r>
      <w:r>
        <w:rPr>
          <w:rFonts w:ascii="Times New Roman" w:hAnsi="Times New Roman" w:cs="Times New Roman" w:eastAsia="Times New Roman" w:hint="default"/>
          <w:spacing w:val="-2"/>
        </w:rPr>
        <w:t>2012</w:t>
      </w:r>
      <w:r>
        <w:rPr>
          <w:spacing w:val="-2"/>
        </w:rPr>
        <w:t>年度审计机构。该议案已</w:t>
      </w:r>
      <w:r>
        <w:rPr>
          <w:spacing w:val="-59"/>
        </w:rPr>
        <w:t> </w:t>
      </w:r>
      <w:r>
        <w:rPr>
          <w:spacing w:val="-59"/>
        </w:rPr>
      </w:r>
      <w:r>
        <w:rPr/>
        <w:t>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2012</w:t>
      </w:r>
      <w:r>
        <w:rPr/>
        <w:t>年第二次临时股东大会审议通过。</w:t>
      </w:r>
    </w:p>
    <w:p>
      <w:pPr>
        <w:spacing w:line="240" w:lineRule="auto" w:before="2"/>
        <w:rPr>
          <w:rFonts w:ascii="宋体" w:hAnsi="宋体" w:cs="宋体" w:eastAsia="宋体" w:hint="default"/>
          <w:sz w:val="20"/>
          <w:szCs w:val="20"/>
        </w:rPr>
      </w:pPr>
    </w:p>
    <w:p>
      <w:pPr>
        <w:pStyle w:val="Heading3"/>
        <w:spacing w:line="240" w:lineRule="auto" w:before="0"/>
        <w:ind w:left="153" w:right="173"/>
        <w:jc w:val="left"/>
        <w:rPr>
          <w:b w:val="0"/>
          <w:bCs w:val="0"/>
        </w:rPr>
      </w:pPr>
      <w:r>
        <w:rPr/>
        <w:t>八、上市公司及其董事、监事、高级管理人员、公司股东、实际控制人和收购人处罚及整改</w:t>
      </w:r>
      <w:r>
        <w:rPr>
          <w:spacing w:val="1"/>
          <w:w w:val="99"/>
        </w:rPr>
        <w:t> </w:t>
      </w:r>
      <w:r>
        <w:rPr/>
        <w:t>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4" w:right="4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240" w:lineRule="auto" w:before="42"/>
        <w:ind w:left="154" w:right="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上市公司及其子公司是否存在其他重大社会安全问题</w:t>
      </w:r>
    </w:p>
    <w:p>
      <w:pPr>
        <w:pStyle w:val="BodyText"/>
        <w:spacing w:line="340" w:lineRule="auto" w:before="116"/>
        <w:ind w:left="154"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报告期内是否被行政处罚</w:t>
      </w:r>
    </w:p>
    <w:p>
      <w:pPr>
        <w:pStyle w:val="BodyText"/>
        <w:spacing w:line="240" w:lineRule="auto" w:before="40"/>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before="0"/>
        <w:ind w:right="0"/>
        <w:jc w:val="left"/>
        <w:rPr>
          <w:b w:val="0"/>
          <w:bCs w:val="0"/>
        </w:rPr>
      </w:pPr>
      <w:r>
        <w:rPr/>
        <w:t>九、公司股东及其一致行动人在报告期提出或实施股份增持计划的情况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3" w:hRule="exact"/>
        </w:trPr>
        <w:tc>
          <w:tcPr>
            <w:tcW w:w="13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计划增持股份数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计划增持股份比</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实际增持股份数</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实际增持股份比</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股份增持计划初</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r>
        <w:trPr>
          <w:trHeight w:val="351" w:hRule="exact"/>
        </w:trPr>
        <w:tc>
          <w:tcPr>
            <w:tcW w:w="13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动人姓名</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次披露日期</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48"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bl>
    <w:p>
      <w:pPr>
        <w:pStyle w:val="BodyText"/>
        <w:spacing w:line="357" w:lineRule="auto" w:before="51"/>
        <w:ind w:left="154" w:right="2750"/>
        <w:jc w:val="left"/>
      </w:pPr>
      <w:r>
        <w:rPr/>
        <w:t>其他情况说明 报告期内，公司股东及其一致行动人在报告期内未发生提出或实施股份增持计划的情况。</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55.09%</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35.37%</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35.37%</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51"/>
        <w:ind w:left="154" w:right="8510"/>
        <w:jc w:val="left"/>
      </w:pPr>
      <w:r>
        <w:rPr/>
        <w:t>股份变动的原因 无</w:t>
      </w:r>
    </w:p>
    <w:p>
      <w:pPr>
        <w:pStyle w:val="BodyText"/>
        <w:spacing w:line="240" w:lineRule="auto" w:before="29"/>
        <w:ind w:left="154" w:right="0"/>
        <w:jc w:val="left"/>
      </w:pPr>
      <w:r>
        <w:rPr/>
        <w:t>股份变动的批准情况</w:t>
      </w:r>
    </w:p>
    <w:p>
      <w:pPr>
        <w:pStyle w:val="BodyText"/>
        <w:spacing w:line="348" w:lineRule="auto" w:before="116"/>
        <w:ind w:left="154"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 无</w:t>
      </w:r>
    </w:p>
    <w:p>
      <w:pPr>
        <w:pStyle w:val="BodyText"/>
        <w:spacing w:line="240" w:lineRule="auto" w:before="36"/>
        <w:ind w:left="154" w:right="0"/>
        <w:jc w:val="left"/>
      </w:pPr>
      <w:r>
        <w:rPr/>
        <w:t>股份变动对最近一年和最近一期基本每股收益和稀释每股收益、归属于公司普通股股东的每股净资产等财务指标的影响</w:t>
      </w:r>
    </w:p>
    <w:p>
      <w:pPr>
        <w:pStyle w:val="BodyText"/>
        <w:spacing w:line="348" w:lineRule="auto" w:before="117"/>
        <w:ind w:left="1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 无</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2013-01-20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18,252,000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2013-01-20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2013-01-20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天泽投资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2013-01-20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2013-01-20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2013-01-20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2013-01-20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101,400,000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二、股东和实际控制人情况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11,167</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0" w:right="0"/>
              <w:jc w:val="left"/>
              <w:rPr>
                <w:rFonts w:ascii="Times New Roman" w:hAnsi="Times New Roman" w:cs="Times New Roman" w:eastAsia="Times New Roman" w:hint="default"/>
                <w:sz w:val="18"/>
                <w:szCs w:val="18"/>
              </w:rPr>
            </w:pPr>
            <w:r>
              <w:rPr>
                <w:rFonts w:ascii="Times New Roman"/>
                <w:sz w:val="18"/>
              </w:rPr>
              <w:t>14,653</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227" w:right="48"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23,068,500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23,068,500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18,252,000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15,717,000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15,717,000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深圳市天泽投资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14,956,500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14,956,500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中国工商银行－ 诺安中小盘精选 股票型证券投资 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3,264,034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中国建设银行－ 华夏盛世精选股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科威特政府投资 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730"/>
        <w:gridCol w:w="4104"/>
        <w:gridCol w:w="1368"/>
        <w:gridCol w:w="1368"/>
      </w:tblGrid>
      <w:tr>
        <w:trPr>
          <w:trHeight w:val="402" w:hRule="exact"/>
        </w:trPr>
        <w:tc>
          <w:tcPr>
            <w:tcW w:w="27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中国工商银行－诺安中小盘精选 股票型证券投资基金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3,264,034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3,264,034</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中国建设银行－华夏盛世精选股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1,306,751</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565,378</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叶龙</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413,792</w:t>
            </w:r>
          </w:p>
        </w:tc>
      </w:tr>
      <w:tr>
        <w:trPr>
          <w:trHeight w:val="1026"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中国建设银行－摩根士丹利华鑫 多因子精选策略股票型证券投资 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369,724</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中信建投证券股份有限公司客户 信用交易担保证券账户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338,660</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招商证券股份有限公司客户信用 交易担保证券账户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291,116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291,116</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吴继英</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张建波</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海通证券股份有限公司客户信用 交易担保证券账户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258,650</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名有限售条件股东持股数量及限售条件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1" w:right="53"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23,068,500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自公司公开发行上市之 日起三年</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自公司公开发行上市之 日起三年</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15,717,000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自公司公开发行上市之 日起三年</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深圳市天泽投资有限公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自公司公开发行上市之 日起三年</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自公司公开发行上市之 日起三年</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自公司公开发行上市之 日起三年</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6"/>
              <w:jc w:val="center"/>
              <w:rPr>
                <w:rFonts w:ascii="宋体" w:hAnsi="宋体" w:cs="宋体" w:eastAsia="宋体" w:hint="default"/>
                <w:sz w:val="18"/>
                <w:szCs w:val="18"/>
              </w:rPr>
            </w:pPr>
            <w:r>
              <w:rPr>
                <w:rFonts w:ascii="宋体" w:hAnsi="宋体" w:cs="宋体" w:eastAsia="宋体" w:hint="default"/>
                <w:sz w:val="18"/>
                <w:szCs w:val="18"/>
              </w:rPr>
              <w:t>自公司公开发行上市之</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日起三年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3"/>
        <w:spacing w:line="240" w:lineRule="auto" w:before="0"/>
        <w:ind w:right="0"/>
        <w:jc w:val="left"/>
        <w:rPr>
          <w:b w:val="0"/>
          <w:bCs w:val="0"/>
        </w:rPr>
      </w:pPr>
      <w:r>
        <w:rPr/>
        <w:pict>
          <v:shape style="position:absolute;margin-left:408.540314pt;margin-top:33.035938pt;width:57.8pt;height:97.6pt;mso-position-horizontal-relative:page;mso-position-vertical-relative:paragraph;z-index:-11518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1"/>
                    <w:ind w:left="0" w:right="0"/>
                    <w:jc w:val="left"/>
                  </w:pPr>
                  <w:r>
                    <w:rPr/>
                    <w:t>（股）</w:t>
                  </w:r>
                </w:p>
              </w:txbxContent>
            </v:textbox>
            <w10:wrap type="none"/>
          </v:shape>
        </w:pict>
      </w:r>
      <w:r>
        <w:rPr/>
        <w:pict>
          <v:shape style="position:absolute;margin-left:476.820313pt;margin-top:33.035938pt;width:57.85pt;height:97.6pt;mso-position-horizontal-relative:page;mso-position-vertical-relative:paragraph;z-index:-115180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1"/>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3"/>
        <w:gridCol w:w="683"/>
        <w:gridCol w:w="683"/>
        <w:gridCol w:w="683"/>
        <w:gridCol w:w="684"/>
        <w:gridCol w:w="683"/>
        <w:gridCol w:w="683"/>
        <w:gridCol w:w="684"/>
        <w:gridCol w:w="684"/>
        <w:gridCol w:w="683"/>
        <w:gridCol w:w="683"/>
        <w:gridCol w:w="684"/>
        <w:gridCol w:w="683"/>
      </w:tblGrid>
      <w:tr>
        <w:trPr>
          <w:trHeight w:val="1961"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6"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6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20"/>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6"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23,068,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23,068,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18,252,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18,252,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15,717,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15,717,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3"/>
        <w:gridCol w:w="683"/>
        <w:gridCol w:w="683"/>
        <w:gridCol w:w="683"/>
        <w:gridCol w:w="684"/>
        <w:gridCol w:w="683"/>
        <w:gridCol w:w="683"/>
        <w:gridCol w:w="684"/>
        <w:gridCol w:w="684"/>
        <w:gridCol w:w="683"/>
        <w:gridCol w:w="683"/>
        <w:gridCol w:w="684"/>
        <w:gridCol w:w="683"/>
      </w:tblGrid>
      <w:tr>
        <w:trPr>
          <w:trHeight w:val="362" w:hRule="exact"/>
        </w:trPr>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莫波</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86,443,</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86,443,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38" w:lineRule="auto" w:before="102"/>
        <w:ind w:left="154" w:right="178"/>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99"/>
        </w:rPr>
        <w:t> </w:t>
      </w:r>
      <w:r>
        <w:rPr>
          <w:rFonts w:ascii="宋体" w:hAnsi="宋体" w:cs="宋体" w:eastAsia="宋体" w:hint="default"/>
          <w:b/>
          <w:bCs/>
        </w:rPr>
        <w:t>陈友，</w:t>
      </w:r>
      <w:r>
        <w:rPr/>
        <w:t>中国国籍，无境外居留权，男，生于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月，工学硕士、</w:t>
      </w:r>
      <w:r>
        <w:rPr>
          <w:rFonts w:ascii="Times New Roman" w:hAnsi="Times New Roman" w:cs="Times New Roman" w:eastAsia="Times New Roman" w:hint="default"/>
        </w:rPr>
        <w:t>MBA</w:t>
      </w:r>
      <w:r>
        <w:rPr/>
        <w:t>，现任本公司董事长、总经理，任期为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p>
    <w:p>
      <w:pPr>
        <w:pStyle w:val="BodyText"/>
        <w:spacing w:line="231" w:lineRule="exact" w:before="0"/>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月担任天源迪科有限公司副总经理；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月担任天源迪科有限公司董事、总经理；</w:t>
      </w:r>
      <w:r>
        <w:rPr>
          <w:rFonts w:ascii="Times New Roman" w:hAnsi="Times New Roman" w:cs="Times New Roman" w:eastAsia="Times New Roman" w:hint="default"/>
        </w:rPr>
        <w:t>2001</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spacing w:line="319" w:lineRule="auto"/>
        <w:ind w:right="90"/>
        <w:jc w:val="left"/>
      </w:pPr>
      <w:r>
        <w:rPr/>
        <w:t>年</w:t>
      </w:r>
      <w:r>
        <w:rPr>
          <w:rFonts w:ascii="Times New Roman" w:hAnsi="Times New Roman" w:cs="Times New Roman" w:eastAsia="Times New Roman" w:hint="default"/>
        </w:rPr>
        <w:t>4</w:t>
      </w:r>
      <w:r>
        <w:rPr/>
        <w:t>月至今担任公司董事长、总经理。 </w:t>
      </w:r>
      <w:r>
        <w:rPr>
          <w:spacing w:val="-2"/>
        </w:rPr>
        <w:t>获得的奖项有：参与开发的</w:t>
      </w:r>
      <w:r>
        <w:rPr>
          <w:rFonts w:ascii="Times New Roman" w:hAnsi="Times New Roman" w:cs="Times New Roman" w:eastAsia="Times New Roman" w:hint="default"/>
          <w:spacing w:val="-2"/>
        </w:rPr>
        <w:t>“</w:t>
      </w:r>
      <w:r>
        <w:rPr>
          <w:spacing w:val="-2"/>
        </w:rPr>
        <w:t>出境管理信息系统</w:t>
      </w:r>
      <w:r>
        <w:rPr>
          <w:rFonts w:ascii="Times New Roman" w:hAnsi="Times New Roman" w:cs="Times New Roman" w:eastAsia="Times New Roman" w:hint="default"/>
          <w:spacing w:val="-2"/>
        </w:rPr>
        <w:t>”</w:t>
      </w:r>
      <w:r>
        <w:rPr>
          <w:spacing w:val="-2"/>
        </w:rPr>
        <w:t>获得深圳市</w:t>
      </w:r>
      <w:r>
        <w:rPr>
          <w:rFonts w:ascii="Times New Roman" w:hAnsi="Times New Roman" w:cs="Times New Roman" w:eastAsia="Times New Roman" w:hint="default"/>
          <w:spacing w:val="-2"/>
        </w:rPr>
        <w:t>1998</w:t>
      </w:r>
      <w:r>
        <w:rPr>
          <w:spacing w:val="-2"/>
        </w:rPr>
        <w:t>年科学技术进步奖二等奖，广东省公安厅</w:t>
      </w:r>
      <w:r>
        <w:rPr>
          <w:rFonts w:ascii="Times New Roman" w:hAnsi="Times New Roman" w:cs="Times New Roman" w:eastAsia="Times New Roman" w:hint="default"/>
          <w:spacing w:val="-2"/>
        </w:rPr>
        <w:t>1998</w:t>
      </w:r>
      <w:r>
        <w:rPr>
          <w:spacing w:val="-2"/>
        </w:rPr>
        <w:t>年科学技术进</w:t>
      </w:r>
      <w:r>
        <w:rPr>
          <w:spacing w:val="-36"/>
        </w:rPr>
        <w:t> </w:t>
      </w:r>
      <w:r>
        <w:rPr/>
        <w:t>步奖二等奖。</w:t>
      </w:r>
    </w:p>
    <w:p>
      <w:pPr>
        <w:pStyle w:val="BodyText"/>
        <w:spacing w:line="302" w:lineRule="auto" w:before="56"/>
        <w:ind w:right="298"/>
        <w:jc w:val="left"/>
      </w:pPr>
      <w:r>
        <w:rPr>
          <w:rFonts w:ascii="宋体" w:hAnsi="宋体" w:cs="宋体" w:eastAsia="宋体" w:hint="default"/>
          <w:b/>
          <w:bCs/>
        </w:rPr>
        <w:t>吴志东，</w:t>
      </w:r>
      <w:r>
        <w:rPr/>
        <w:t>中国国籍，拥有美国永久居留权，男，生于</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w:t>
      </w:r>
      <w:r>
        <w:rPr/>
        <w:t>月，工学硕士。现任本公司董事，任期为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 </w:t>
      </w:r>
      <w:r>
        <w:rPr/>
        <w:t>月。</w:t>
      </w:r>
    </w:p>
    <w:p>
      <w:pPr>
        <w:pStyle w:val="BodyText"/>
        <w:spacing w:line="319" w:lineRule="auto" w:before="69"/>
        <w:ind w:right="198"/>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月创办武汉金家房地产开发有限公司，并担任该公司董事长至今；</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月至今担任公司董事。 </w:t>
      </w:r>
      <w:r>
        <w:rPr>
          <w:rFonts w:ascii="宋体" w:hAnsi="宋体" w:cs="宋体" w:eastAsia="宋体" w:hint="default"/>
          <w:b/>
          <w:bCs/>
        </w:rPr>
        <w:t>陈鲁康，</w:t>
      </w:r>
      <w:r>
        <w:rPr/>
        <w:t>中国国籍，无境外居留权，男，生于</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8</w:t>
      </w:r>
      <w:r>
        <w:rPr/>
        <w:t>月，本科学历。现任本公司董事、副总经理，任期为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4</w:t>
      </w:r>
      <w:r>
        <w:rPr/>
        <w:t>月。同时还兼任上海子公司总经理。</w:t>
      </w:r>
    </w:p>
    <w:p>
      <w:pPr>
        <w:pStyle w:val="BodyText"/>
        <w:spacing w:line="316" w:lineRule="auto" w:before="36"/>
        <w:ind w:right="188"/>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2</w:t>
      </w:r>
      <w:r>
        <w:rPr/>
        <w:t>月加入天源迪科，先后担任公司工程师、上海办事处副经理、上海办事处经理、公司总经理、副总经理兼上海分公 司总经理、副总经理兼上海子公司总经理；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月至今担任公司董事。 </w:t>
      </w:r>
      <w:r>
        <w:rPr>
          <w:rFonts w:ascii="宋体" w:hAnsi="宋体" w:cs="宋体" w:eastAsia="宋体" w:hint="default"/>
          <w:b/>
          <w:bCs/>
        </w:rPr>
        <w:t>谢晓宾，</w:t>
      </w:r>
      <w:r>
        <w:rPr/>
        <w:t>中国国籍，无境外居留权，男，生于</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7</w:t>
      </w:r>
      <w:r>
        <w:rPr/>
        <w:t>月，工学硕士、</w:t>
      </w:r>
      <w:r>
        <w:rPr>
          <w:rFonts w:ascii="Times New Roman" w:hAnsi="Times New Roman" w:cs="Times New Roman" w:eastAsia="Times New Roman" w:hint="default"/>
        </w:rPr>
        <w:t>MBA</w:t>
      </w:r>
      <w:r>
        <w:rPr/>
        <w:t>。现任本公司董事、副总经理，任期为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月加入天源迪科，先后担任公司工程师、销售代表、销售部副经理、销售部经理、公司副总经理；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月至今担</w:t>
      </w:r>
      <w:r>
        <w:rPr>
          <w:spacing w:val="-58"/>
        </w:rPr>
        <w:t> </w:t>
      </w:r>
      <w:r>
        <w:rPr>
          <w:spacing w:val="-58"/>
        </w:rPr>
      </w:r>
      <w:r>
        <w:rPr/>
        <w:t>任公司董事。</w:t>
      </w:r>
    </w:p>
    <w:p>
      <w:pPr>
        <w:pStyle w:val="BodyText"/>
        <w:spacing w:line="314" w:lineRule="auto" w:before="58"/>
        <w:ind w:right="180"/>
        <w:jc w:val="left"/>
      </w:pPr>
      <w:r>
        <w:rPr>
          <w:rFonts w:ascii="宋体" w:hAnsi="宋体" w:cs="宋体" w:eastAsia="宋体" w:hint="default"/>
          <w:b/>
          <w:bCs/>
          <w:spacing w:val="-1"/>
        </w:rPr>
        <w:t>李谦益，</w:t>
      </w:r>
      <w:r>
        <w:rPr>
          <w:spacing w:val="-1"/>
        </w:rPr>
        <w:t>中国国籍，无境外居留权，男，生于</w:t>
      </w:r>
      <w:r>
        <w:rPr>
          <w:rFonts w:ascii="Times New Roman" w:hAnsi="Times New Roman" w:cs="Times New Roman" w:eastAsia="Times New Roman" w:hint="default"/>
          <w:spacing w:val="-1"/>
        </w:rPr>
        <w:t>1962</w:t>
      </w:r>
      <w:r>
        <w:rPr>
          <w:spacing w:val="-1"/>
        </w:rPr>
        <w:t>年</w:t>
      </w:r>
      <w:r>
        <w:rPr>
          <w:rFonts w:ascii="Times New Roman" w:hAnsi="Times New Roman" w:cs="Times New Roman" w:eastAsia="Times New Roman" w:hint="default"/>
          <w:spacing w:val="-1"/>
        </w:rPr>
        <w:t>12</w:t>
      </w:r>
      <w:r>
        <w:rPr>
          <w:spacing w:val="-1"/>
        </w:rPr>
        <w:t>月，本科学历。现任本公司董事、副总经理，任期为</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-2013</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月加入天源迪科，先后担任公司工程师、支持服务部副经理、支持服务部经理、公司副总经理；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月至今担任</w:t>
      </w:r>
      <w:r>
        <w:rPr>
          <w:spacing w:val="-56"/>
        </w:rPr>
        <w:t> </w:t>
      </w:r>
      <w:r>
        <w:rPr>
          <w:spacing w:val="-56"/>
        </w:rPr>
      </w:r>
      <w:r>
        <w:rPr/>
        <w:t>公司董事。</w:t>
      </w:r>
    </w:p>
    <w:p>
      <w:pPr>
        <w:pStyle w:val="BodyText"/>
        <w:spacing w:line="319" w:lineRule="auto" w:before="60"/>
        <w:ind w:right="90"/>
        <w:jc w:val="left"/>
      </w:pPr>
      <w:r>
        <w:rPr>
          <w:rFonts w:ascii="宋体" w:hAnsi="宋体" w:cs="宋体" w:eastAsia="宋体" w:hint="default"/>
          <w:b/>
          <w:bCs/>
        </w:rPr>
        <w:t>杨文庆，</w:t>
      </w:r>
      <w:r>
        <w:rPr/>
        <w:t>中国国籍，无境外居留权，男，生于</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10</w:t>
      </w:r>
      <w:r>
        <w:rPr/>
        <w:t>月，本科学历。现任本公司董事，任期为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 </w:t>
      </w:r>
      <w:r>
        <w:rPr>
          <w:spacing w:val="-2"/>
        </w:rPr>
        <w:t>先后担任天源迪科有限公司社保事业部销售经理、上海雷米贸易有限公司副经理；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月至今就职于中联资本置业基金，</w:t>
      </w:r>
      <w:r>
        <w:rPr>
          <w:spacing w:val="-58"/>
        </w:rPr>
        <w:t> </w:t>
      </w:r>
      <w:r>
        <w:rPr/>
        <w:t>任项目经理；</w:t>
      </w:r>
    </w:p>
    <w:p>
      <w:pPr>
        <w:pStyle w:val="BodyText"/>
        <w:spacing w:line="319" w:lineRule="auto" w:before="56"/>
        <w:ind w:right="101"/>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月至今担任公司董事。 </w:t>
      </w:r>
      <w:r>
        <w:rPr>
          <w:rFonts w:ascii="宋体" w:hAnsi="宋体" w:cs="宋体" w:eastAsia="宋体" w:hint="default"/>
          <w:b/>
          <w:bCs/>
        </w:rPr>
        <w:t>汪东升，</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11</w:t>
      </w:r>
      <w:r>
        <w:rPr/>
        <w:t>月，工学硕士。现任本公司董事、副总经理，任期为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4</w:t>
      </w:r>
      <w:r>
        <w:rPr/>
        <w:t>月。</w:t>
      </w:r>
    </w:p>
    <w:p>
      <w:pPr>
        <w:pStyle w:val="BodyText"/>
        <w:spacing w:line="319" w:lineRule="auto" w:before="36"/>
        <w:ind w:right="100"/>
        <w:jc w:val="left"/>
      </w:pP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月加入天源迪科，先后担任公司工程师、软件二部副经理、电信软件部经理、电信行业技术总监、软件设计部经理、</w:t>
      </w:r>
      <w:r>
        <w:rPr>
          <w:spacing w:val="-60"/>
        </w:rPr>
        <w:t> </w:t>
      </w:r>
      <w:r>
        <w:rPr>
          <w:spacing w:val="-60"/>
        </w:rPr>
      </w:r>
      <w:r>
        <w:rPr/>
        <w:t>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月至今担任公司董事。 </w:t>
      </w:r>
      <w:r>
        <w:rPr>
          <w:rFonts w:ascii="宋体" w:hAnsi="宋体" w:cs="宋体" w:eastAsia="宋体" w:hint="default"/>
          <w:b/>
          <w:bCs/>
          <w:spacing w:val="-1"/>
        </w:rPr>
        <w:t>戴昌久，</w:t>
      </w:r>
      <w:r>
        <w:rPr>
          <w:spacing w:val="-1"/>
        </w:rPr>
        <w:t>中国国籍，无境外居留权，男，生于</w:t>
      </w:r>
      <w:r>
        <w:rPr>
          <w:rFonts w:ascii="Times New Roman" w:hAnsi="Times New Roman" w:cs="Times New Roman" w:eastAsia="Times New Roman" w:hint="default"/>
          <w:spacing w:val="-1"/>
        </w:rPr>
        <w:t>1962</w:t>
      </w:r>
      <w:r>
        <w:rPr>
          <w:spacing w:val="-1"/>
        </w:rPr>
        <w:t>年</w:t>
      </w:r>
      <w:r>
        <w:rPr>
          <w:rFonts w:ascii="Times New Roman" w:hAnsi="Times New Roman" w:cs="Times New Roman" w:eastAsia="Times New Roman" w:hint="default"/>
          <w:spacing w:val="-1"/>
        </w:rPr>
        <w:t>12</w:t>
      </w:r>
      <w:r>
        <w:rPr>
          <w:spacing w:val="-1"/>
        </w:rPr>
        <w:t>月，法学硕士。现任本公司独立董事，任期为</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
    </w:p>
    <w:p>
      <w:pPr>
        <w:pStyle w:val="BodyText"/>
        <w:spacing w:line="321" w:lineRule="auto" w:before="35"/>
        <w:ind w:right="90" w:hanging="1"/>
        <w:jc w:val="left"/>
      </w:pPr>
      <w:r>
        <w:rPr>
          <w:rFonts w:ascii="Times New Roman" w:hAnsi="Times New Roman" w:cs="Times New Roman" w:eastAsia="Times New Roman" w:hint="default"/>
        </w:rPr>
        <w:t>1987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月在财政部条法司工作（</w:t>
      </w:r>
      <w:r>
        <w:rPr>
          <w:rFonts w:ascii="Times New Roman" w:hAnsi="Times New Roman" w:cs="Times New Roman" w:eastAsia="Times New Roman" w:hint="default"/>
        </w:rPr>
        <w:t>1993</w:t>
      </w:r>
      <w:r>
        <w:rPr/>
        <w:t>年美国波士顿大学访问学者）；</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月就职于中洲会计师 事务所；</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2</w:t>
      </w:r>
      <w:r>
        <w:rPr/>
        <w:t>月至今北京市昌久律师事务所主任；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日至今担任天源迪科股份公司独立董事。 包括本公司在内，戴昌久兼任独立董事的上市公司不超过</w:t>
      </w:r>
      <w:r>
        <w:rPr>
          <w:rFonts w:ascii="Times New Roman" w:hAnsi="Times New Roman" w:cs="Times New Roman" w:eastAsia="Times New Roman" w:hint="default"/>
        </w:rPr>
        <w:t>5</w:t>
      </w:r>
      <w:r>
        <w:rPr/>
        <w:t>家。</w:t>
      </w:r>
    </w:p>
    <w:p>
      <w:pPr>
        <w:pStyle w:val="BodyText"/>
        <w:spacing w:line="302" w:lineRule="auto" w:before="33"/>
        <w:ind w:right="90"/>
        <w:jc w:val="left"/>
      </w:pPr>
      <w:r>
        <w:rPr>
          <w:rFonts w:ascii="宋体" w:hAnsi="宋体" w:cs="宋体" w:eastAsia="宋体" w:hint="default"/>
          <w:b/>
          <w:bCs/>
          <w:spacing w:val="-6"/>
        </w:rPr>
        <w:t>李毅，</w:t>
      </w:r>
      <w:r>
        <w:rPr>
          <w:spacing w:val="-6"/>
        </w:rPr>
        <w:t>中国国籍，无境外居留权，男，生于</w:t>
      </w:r>
      <w:r>
        <w:rPr>
          <w:rFonts w:ascii="Times New Roman" w:hAnsi="Times New Roman" w:cs="Times New Roman" w:eastAsia="Times New Roman" w:hint="default"/>
          <w:spacing w:val="-6"/>
        </w:rPr>
        <w:t>1958</w:t>
      </w:r>
      <w:r>
        <w:rPr>
          <w:spacing w:val="-6"/>
        </w:rPr>
        <w:t>年</w:t>
      </w:r>
      <w:r>
        <w:rPr>
          <w:rFonts w:ascii="Times New Roman" w:hAnsi="Times New Roman" w:cs="Times New Roman" w:eastAsia="Times New Roman" w:hint="default"/>
          <w:spacing w:val="-6"/>
        </w:rPr>
        <w:t>6</w:t>
      </w:r>
      <w:r>
        <w:rPr>
          <w:spacing w:val="-6"/>
        </w:rPr>
        <w:t>月，理学博士，高级工程师。现任本公司独立董事，任期为</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-2013</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4</w:t>
      </w:r>
      <w:r>
        <w:rPr/>
        <w:t>月。</w:t>
      </w:r>
    </w:p>
    <w:p>
      <w:pPr>
        <w:pStyle w:val="BodyText"/>
        <w:spacing w:line="300" w:lineRule="auto" w:before="49"/>
        <w:ind w:right="101"/>
        <w:jc w:val="left"/>
      </w:pPr>
      <w:r>
        <w:rPr/>
        <w:t>先后就职于甘肃工业大学机械二系、深圳市南山区投资管理公司、深圳雅都计算机图形系统工程有限公司；</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w:t>
      </w:r>
      <w:r>
        <w:rPr/>
        <w:t>月至今 </w:t>
      </w:r>
      <w:r>
        <w:rPr>
          <w:spacing w:val="-2"/>
        </w:rPr>
        <w:t>任深圳市雅都软件股份有限公司董事长；</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-2005</w:t>
      </w:r>
      <w:r>
        <w:rPr>
          <w:spacing w:val="-2"/>
        </w:rPr>
        <w:t>年深圳市第三届政协委员，</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-2008</w:t>
      </w:r>
      <w:r>
        <w:rPr>
          <w:spacing w:val="-2"/>
        </w:rPr>
        <w:t>年担任广东省第九届政协委员；</w:t>
      </w:r>
      <w:r>
        <w:rPr>
          <w:spacing w:val="-76"/>
        </w:rPr>
        <w:t> </w:t>
      </w:r>
      <w:r>
        <w:rPr>
          <w:rFonts w:ascii="Times New Roman" w:hAnsi="Times New Roman" w:cs="Times New Roman" w:eastAsia="Times New Roman" w:hint="default"/>
        </w:rPr>
        <w:t>2010</w:t>
      </w:r>
      <w:r>
        <w:rPr/>
        <w:t>年至今担任深圳市第五届政协委员；</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日至今担任天源迪科股份公司独立董事。包括本公司在内，李毅兼任 独立董事的上市公司不超过</w:t>
      </w:r>
      <w:r>
        <w:rPr>
          <w:rFonts w:ascii="Times New Roman" w:hAnsi="Times New Roman" w:cs="Times New Roman" w:eastAsia="Times New Roman" w:hint="default"/>
        </w:rPr>
        <w:t>5</w:t>
      </w:r>
      <w:r>
        <w:rPr/>
        <w:t>家。</w:t>
      </w:r>
    </w:p>
    <w:p>
      <w:pPr>
        <w:pStyle w:val="BodyText"/>
        <w:spacing w:line="302" w:lineRule="auto" w:before="52"/>
        <w:ind w:right="90"/>
        <w:jc w:val="left"/>
      </w:pPr>
      <w:r>
        <w:rPr>
          <w:rFonts w:ascii="宋体" w:hAnsi="宋体" w:cs="宋体" w:eastAsia="宋体" w:hint="default"/>
          <w:b/>
          <w:bCs/>
        </w:rPr>
        <w:t>周俊祥，</w:t>
      </w:r>
      <w:r>
        <w:rPr/>
        <w:t>中国国籍，无境外居留权，男，生于</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12</w:t>
      </w:r>
      <w:r>
        <w:rPr/>
        <w:t>月，经济学硕士。现任本公司独立董事，任期为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 </w:t>
      </w:r>
      <w:r>
        <w:rPr/>
        <w:t>月。</w:t>
      </w:r>
    </w:p>
    <w:p>
      <w:pPr>
        <w:pStyle w:val="BodyText"/>
        <w:spacing w:line="307" w:lineRule="auto" w:before="68"/>
        <w:ind w:right="191"/>
        <w:jc w:val="both"/>
      </w:pPr>
      <w:r>
        <w:rPr>
          <w:spacing w:val="-2"/>
        </w:rPr>
        <w:t>先后担任珠海市会计师事务所审计部经理、珠海立信会计师事务所副所长、珠海原上草房地产评估咨询有限公司总经理、深</w:t>
      </w:r>
      <w:r>
        <w:rPr>
          <w:spacing w:val="-66"/>
        </w:rPr>
        <w:t> </w:t>
      </w:r>
      <w:r>
        <w:rPr>
          <w:spacing w:val="-66"/>
        </w:rPr>
      </w:r>
      <w:r>
        <w:rPr/>
        <w:t>圳市商立科技有限公司常务副总经理；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月加盟中和正信会计师事务所；现任立信会计师事务所</w:t>
      </w:r>
      <w:r>
        <w:rPr>
          <w:rFonts w:ascii="Times New Roman" w:hAnsi="Times New Roman" w:cs="Times New Roman" w:eastAsia="Times New Roman" w:hint="default"/>
        </w:rPr>
        <w:t>(</w:t>
      </w:r>
      <w:r>
        <w:rPr/>
        <w:t>特殊普通合伙）深 圳分所合伙人；长期从事独立审计和评估工作，主持和参与过多家上市公司的审计或评估业务。</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日至今担任天 源迪科股份公司独立董事。</w:t>
      </w:r>
    </w:p>
    <w:p>
      <w:pPr>
        <w:spacing w:after="0" w:line="307" w:lineRule="auto"/>
        <w:jc w:val="both"/>
        <w:sectPr>
          <w:footerReference w:type="default" r:id="rId19"/>
          <w:pgSz w:w="11910" w:h="16840"/>
          <w:pgMar w:footer="982" w:header="747" w:top="1060" w:bottom="1180" w:left="980" w:right="940"/>
          <w:pgNumType w:start="58"/>
        </w:sectPr>
      </w:pPr>
    </w:p>
    <w:p>
      <w:pPr>
        <w:spacing w:line="240" w:lineRule="auto" w:before="13"/>
        <w:rPr>
          <w:rFonts w:ascii="宋体" w:hAnsi="宋体" w:cs="宋体" w:eastAsia="宋体" w:hint="default"/>
          <w:sz w:val="25"/>
          <w:szCs w:val="25"/>
        </w:rPr>
      </w:pPr>
    </w:p>
    <w:p>
      <w:pPr>
        <w:pStyle w:val="BodyText"/>
        <w:spacing w:line="338" w:lineRule="auto"/>
        <w:ind w:right="136"/>
        <w:jc w:val="left"/>
      </w:pPr>
      <w:r>
        <w:rPr/>
        <w:t>包括本公司在内，周俊祥兼任独立董事的上市公司不超过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rPr>
        <w:t>邓爱国，</w:t>
      </w:r>
      <w:r>
        <w:rPr/>
        <w:t>中国国籍，无境外居留权，男，生于</w:t>
      </w:r>
      <w:r>
        <w:rPr>
          <w:rFonts w:ascii="Times New Roman" w:hAnsi="Times New Roman" w:cs="Times New Roman" w:eastAsia="Times New Roman" w:hint="default"/>
        </w:rPr>
        <w:t>1936</w:t>
      </w:r>
      <w:r>
        <w:rPr/>
        <w:t>年</w:t>
      </w:r>
      <w:r>
        <w:rPr>
          <w:rFonts w:ascii="Times New Roman" w:hAnsi="Times New Roman" w:cs="Times New Roman" w:eastAsia="Times New Roman" w:hint="default"/>
        </w:rPr>
        <w:t>8</w:t>
      </w:r>
      <w:r>
        <w:rPr/>
        <w:t>月，本科学历。现任本公司独立董事，任期为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300" w:lineRule="auto" w:before="20"/>
        <w:ind w:right="191"/>
        <w:jc w:val="both"/>
      </w:pPr>
      <w:r>
        <w:rPr>
          <w:rFonts w:ascii="Times New Roman" w:hAnsi="Times New Roman" w:cs="Times New Roman" w:eastAsia="Times New Roman" w:hint="default"/>
          <w:spacing w:val="-2"/>
        </w:rPr>
        <w:t>1962</w:t>
      </w:r>
      <w:r>
        <w:rPr>
          <w:spacing w:val="-2"/>
        </w:rPr>
        <w:t>年就职于国防科委十五所；</w:t>
      </w:r>
      <w:r>
        <w:rPr>
          <w:rFonts w:ascii="Times New Roman" w:hAnsi="Times New Roman" w:cs="Times New Roman" w:eastAsia="Times New Roman" w:hint="default"/>
          <w:spacing w:val="-2"/>
        </w:rPr>
        <w:t>1972</w:t>
      </w:r>
      <w:r>
        <w:rPr>
          <w:spacing w:val="-2"/>
        </w:rPr>
        <w:t>年调动至第十研究院，先后担任十院信息系统研究所副所长，电子工业部雷达局副总工</w:t>
      </w:r>
      <w:r>
        <w:rPr>
          <w:spacing w:val="-58"/>
        </w:rPr>
        <w:t> </w:t>
      </w:r>
      <w:r>
        <w:rPr>
          <w:spacing w:val="-58"/>
        </w:rPr>
      </w:r>
      <w:r>
        <w:rPr/>
        <w:t>程师等职；</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-1987</w:t>
      </w:r>
      <w:r>
        <w:rPr/>
        <w:t>年就职于深圳蛇口华达电子公司；</w:t>
      </w:r>
      <w:r>
        <w:rPr>
          <w:rFonts w:ascii="Times New Roman" w:hAnsi="Times New Roman" w:cs="Times New Roman" w:eastAsia="Times New Roman" w:hint="default"/>
        </w:rPr>
        <w:t>1987</w:t>
      </w:r>
      <w:r>
        <w:rPr/>
        <w:t>年组建深圳华达电脑软件公司，任副董事长兼总经理；</w:t>
      </w:r>
      <w:r>
        <w:rPr>
          <w:rFonts w:ascii="Times New Roman" w:hAnsi="Times New Roman" w:cs="Times New Roman" w:eastAsia="Times New Roman" w:hint="default"/>
        </w:rPr>
        <w:t>1993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-2000</w:t>
      </w:r>
      <w:r>
        <w:rPr/>
        <w:t>年底，任深圳远望城多媒体电脑有限公司副董事长兼总经理；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日至今担任天源迪科股份公司独立董 事。</w:t>
      </w:r>
    </w:p>
    <w:p>
      <w:pPr>
        <w:pStyle w:val="BodyText"/>
        <w:spacing w:line="319" w:lineRule="auto" w:before="70"/>
        <w:ind w:right="181"/>
        <w:jc w:val="left"/>
      </w:pPr>
      <w:r>
        <w:rPr/>
        <w:t>另外还曾先后担任以下职务：</w:t>
      </w:r>
      <w:r>
        <w:rPr>
          <w:rFonts w:ascii="Times New Roman" w:hAnsi="Times New Roman" w:cs="Times New Roman" w:eastAsia="Times New Roman" w:hint="default"/>
        </w:rPr>
        <w:t>1988</w:t>
      </w:r>
      <w:r>
        <w:rPr/>
        <w:t>年深圳软件行业协会副会长；</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月，全国多媒体用户协会副理事长；</w:t>
      </w:r>
      <w:r>
        <w:rPr>
          <w:rFonts w:ascii="Times New Roman" w:hAnsi="Times New Roman" w:cs="Times New Roman" w:eastAsia="Times New Roman" w:hint="default"/>
        </w:rPr>
        <w:t>1995</w:t>
      </w:r>
      <w:r>
        <w:rPr/>
        <w:t>年软件行 业协会会长；</w:t>
      </w:r>
      <w:r>
        <w:rPr>
          <w:rFonts w:ascii="Times New Roman" w:hAnsi="Times New Roman" w:cs="Times New Roman" w:eastAsia="Times New Roman" w:hint="default"/>
        </w:rPr>
        <w:t>2002</w:t>
      </w:r>
      <w:r>
        <w:rPr/>
        <w:t>年当选为中国软件行业协会副理事长；现任中国软件行业协会副理事长兼深圳软件行业协会理事长。 包括本公司在内，邓爱国兼任独立董事的上市公司不超过</w:t>
      </w:r>
      <w:r>
        <w:rPr>
          <w:rFonts w:ascii="Times New Roman" w:hAnsi="Times New Roman" w:cs="Times New Roman" w:eastAsia="Times New Roman" w:hint="default"/>
        </w:rPr>
        <w:t>5</w:t>
      </w:r>
      <w:r>
        <w:rPr/>
        <w:t>家。</w:t>
      </w:r>
    </w:p>
    <w:p>
      <w:pPr>
        <w:pStyle w:val="BodyText"/>
        <w:spacing w:line="319" w:lineRule="auto" w:before="38"/>
        <w:ind w:right="191"/>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99"/>
        </w:rPr>
        <w:t> </w:t>
      </w:r>
      <w:r>
        <w:rPr>
          <w:rFonts w:ascii="宋体" w:hAnsi="宋体" w:cs="宋体" w:eastAsia="宋体" w:hint="default"/>
          <w:b/>
          <w:bCs/>
          <w:spacing w:val="-2"/>
        </w:rPr>
        <w:t>周发军，</w:t>
      </w:r>
      <w:r>
        <w:rPr>
          <w:spacing w:val="-2"/>
        </w:rPr>
        <w:t>中国国籍，无境外居留权，男，生于</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10</w:t>
      </w:r>
      <w:r>
        <w:rPr>
          <w:spacing w:val="-2"/>
        </w:rPr>
        <w:t>月，工学硕士。现任本公司监事会主席、产品总监，监事任期为</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8</w:t>
      </w:r>
      <w:r>
        <w:rPr>
          <w:spacing w:val="-2"/>
        </w:rPr>
        <w:t>月加入天源迪科，先后担任公司软件工程师、软件一部经理、研发一部经理、产品总监；</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月至今担任天源迪</w:t>
      </w:r>
      <w:r>
        <w:rPr>
          <w:spacing w:val="-56"/>
        </w:rPr>
        <w:t> </w:t>
      </w:r>
      <w:r>
        <w:rPr/>
        <w:t>科股份公司监事会主席。</w:t>
      </w:r>
    </w:p>
    <w:p>
      <w:pPr>
        <w:pStyle w:val="BodyText"/>
        <w:spacing w:line="319" w:lineRule="auto" w:before="56"/>
        <w:ind w:right="190"/>
        <w:jc w:val="left"/>
      </w:pPr>
      <w:r>
        <w:rPr>
          <w:rFonts w:ascii="宋体" w:hAnsi="宋体" w:cs="宋体" w:eastAsia="宋体" w:hint="default"/>
          <w:b/>
          <w:bCs/>
        </w:rPr>
        <w:t>陈起，</w:t>
      </w:r>
      <w:r>
        <w:rPr/>
        <w:t>中国国籍，无境外居留权，男，生于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月，软件工程硕士。现任本公司监事、业务咨询专家、交付线总监，监 事任期为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月加入天源迪科，先后担任公司软件工程师、软件二部经理、测试工程部经理、业务咨询专家、交付线总监；</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4</w:t>
      </w:r>
      <w:r>
        <w:rPr/>
        <w:t>月至今担任天源迪科股份公司监事。 </w:t>
      </w:r>
      <w:r>
        <w:rPr>
          <w:rFonts w:ascii="宋体" w:hAnsi="宋体" w:cs="宋体" w:eastAsia="宋体" w:hint="default"/>
          <w:b/>
          <w:bCs/>
          <w:spacing w:val="-2"/>
        </w:rPr>
        <w:t>莫波（前），</w:t>
      </w:r>
      <w:r>
        <w:rPr>
          <w:spacing w:val="-2"/>
        </w:rPr>
        <w:t>中国国籍，无境外居留权，男，生于</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11</w:t>
      </w:r>
      <w:r>
        <w:rPr>
          <w:spacing w:val="-2"/>
        </w:rPr>
        <w:t>月，本科学历。报告期内任本公司监事、技术支持部经理，监事</w:t>
      </w:r>
      <w:r>
        <w:rPr>
          <w:spacing w:val="-69"/>
        </w:rPr>
        <w:t> </w:t>
      </w:r>
      <w:r>
        <w:rPr>
          <w:spacing w:val="-69"/>
        </w:rPr>
      </w:r>
      <w:r>
        <w:rPr/>
        <w:t>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月加入天源迪科，先后担任公司系统工程师、销售部副经理、系统集成部副经理、技术支持部经理；</w:t>
      </w:r>
      <w:r>
        <w:rPr>
          <w:spacing w:val="-19"/>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月至</w:t>
      </w:r>
    </w:p>
    <w:p>
      <w:pPr>
        <w:pStyle w:val="BodyText"/>
        <w:spacing w:line="319" w:lineRule="auto" w:before="0"/>
        <w:ind w:left="154" w:right="19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日担任天源迪科股份公司监事。 </w:t>
      </w:r>
      <w:r>
        <w:rPr>
          <w:rFonts w:ascii="宋体" w:hAnsi="宋体" w:cs="宋体" w:eastAsia="宋体" w:hint="default"/>
          <w:b/>
          <w:bCs/>
          <w:spacing w:val="-2"/>
        </w:rPr>
        <w:t>易绚雯，</w:t>
      </w:r>
      <w:r>
        <w:rPr>
          <w:spacing w:val="-2"/>
        </w:rPr>
        <w:t>中国国籍，无境外居留权，女，生于</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6</w:t>
      </w:r>
      <w:r>
        <w:rPr>
          <w:spacing w:val="-2"/>
        </w:rPr>
        <w:t>月，产业经济学硕士。现任本公司监事、投资管理部经理，于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6"/>
        </w:rPr>
        <w:t> </w:t>
      </w:r>
      <w:r>
        <w:rPr/>
        <w:t>月</w:t>
      </w:r>
      <w:r>
        <w:rPr>
          <w:rFonts w:ascii="Times New Roman" w:hAnsi="Times New Roman" w:cs="Times New Roman" w:eastAsia="Times New Roman" w:hint="default"/>
        </w:rPr>
        <w:t>6</w:t>
      </w:r>
      <w:r>
        <w:rPr/>
        <w:t>日经公司职工代表大会选举为公司职工代表监事，监事任期为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36"/>
        <w:ind w:left="154" w:right="9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月加入天源迪科，先后任公司董事会办公室投资经理、投资管理部经理。</w:t>
      </w:r>
    </w:p>
    <w:p>
      <w:pPr>
        <w:pStyle w:val="BodyText"/>
        <w:spacing w:line="338" w:lineRule="auto" w:before="103"/>
        <w:ind w:left="154" w:right="6230"/>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陈友，总经理，参见本节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陈鲁康，副总经理，参见本节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李谦益，副总经理，参见本节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谢晓宾，副总经理，参见本节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汪东升，副总经理，参见本节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319" w:lineRule="auto" w:before="22"/>
        <w:ind w:right="90"/>
        <w:jc w:val="left"/>
      </w:pPr>
      <w:r>
        <w:rPr>
          <w:rFonts w:ascii="宋体" w:hAnsi="宋体" w:cs="宋体" w:eastAsia="宋体" w:hint="default"/>
          <w:b/>
          <w:bCs/>
        </w:rPr>
        <w:t>魏丽，</w:t>
      </w:r>
      <w:r>
        <w:rPr/>
        <w:t>中国国籍，无境外居留权，女，生于</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MBA</w:t>
      </w:r>
      <w:r>
        <w:rPr/>
        <w:t>。现任本公司副总经理，任期为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月加入天源迪科，先后担任公司市场支持部经理、总经理助理、行政部经理、副总经理；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月担 任公司董事。</w:t>
      </w:r>
    </w:p>
    <w:p>
      <w:pPr>
        <w:pStyle w:val="BodyText"/>
        <w:spacing w:line="338" w:lineRule="auto" w:before="56"/>
        <w:ind w:right="101"/>
        <w:jc w:val="both"/>
      </w:pPr>
      <w:r>
        <w:rPr>
          <w:rFonts w:ascii="宋体" w:hAnsi="宋体" w:cs="宋体" w:eastAsia="宋体" w:hint="default"/>
          <w:b/>
          <w:bCs/>
        </w:rPr>
        <w:t>梁林志，</w:t>
      </w:r>
      <w:r>
        <w:rPr/>
        <w:t>中国国籍，无境外居留权，男，生于</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8</w:t>
      </w:r>
      <w:r>
        <w:rPr/>
        <w:t>月，本科学历。现任本公司副总经理，任期为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月加入天源迪科，先后担任公司软件工程师、电信软件部副经理、软件开发部经理、电信行业技术总监、副总经理。</w:t>
      </w:r>
      <w:r>
        <w:rPr>
          <w:spacing w:val="-60"/>
        </w:rPr>
        <w:t> </w:t>
      </w:r>
      <w:r>
        <w:rPr>
          <w:spacing w:val="-60"/>
        </w:rPr>
      </w:r>
      <w:r>
        <w:rPr>
          <w:rFonts w:ascii="宋体" w:hAnsi="宋体" w:cs="宋体" w:eastAsia="宋体" w:hint="default"/>
          <w:b/>
          <w:bCs/>
        </w:rPr>
        <w:t>林容，</w:t>
      </w:r>
      <w:r>
        <w:rPr/>
        <w:t>中国国籍，无境外居留权，女，生于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月，现任公司任联通事业部总经理，公司副总经理，</w:t>
      </w:r>
      <w:r>
        <w:rPr>
          <w:spacing w:val="-21"/>
        </w:rPr>
        <w:t> </w:t>
      </w:r>
      <w:r>
        <w:rPr/>
        <w:t>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p>
    <w:p>
      <w:pPr>
        <w:pStyle w:val="BodyText"/>
        <w:spacing w:line="231" w:lineRule="exact" w:before="0"/>
        <w:ind w:right="90"/>
        <w:jc w:val="left"/>
      </w:pP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319" w:lineRule="auto" w:before="101"/>
        <w:ind w:right="191"/>
        <w:jc w:val="left"/>
        <w:rPr>
          <w:rFonts w:ascii="Times New Roman" w:hAnsi="Times New Roman" w:cs="Times New Roman" w:eastAsia="Times New Roman" w:hint="default"/>
        </w:rPr>
      </w:pP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2008</w:t>
      </w:r>
      <w:r>
        <w:rPr>
          <w:spacing w:val="-2"/>
        </w:rPr>
        <w:t>年就职于北京朗新信息系统有限公司；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月加入天源迪科，担任联通事业部总经理至今，全面负责公司</w:t>
      </w:r>
      <w:r>
        <w:rPr>
          <w:spacing w:val="-52"/>
        </w:rPr>
        <w:t> </w:t>
      </w:r>
      <w:r>
        <w:rPr>
          <w:spacing w:val="-52"/>
        </w:rPr>
      </w:r>
      <w:r>
        <w:rPr/>
        <w:t>面向中国联通的业务；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月至今担任公司副总经理。 </w:t>
      </w:r>
      <w:r>
        <w:rPr>
          <w:rFonts w:ascii="宋体" w:hAnsi="宋体" w:cs="宋体" w:eastAsia="宋体" w:hint="default"/>
          <w:b/>
          <w:bCs/>
          <w:spacing w:val="-1"/>
        </w:rPr>
        <w:t>邹立文，</w:t>
      </w:r>
      <w:r>
        <w:rPr>
          <w:spacing w:val="-1"/>
        </w:rPr>
        <w:t>中国国籍，无境外居留权，男，生于</w:t>
      </w:r>
      <w:r>
        <w:rPr>
          <w:rFonts w:ascii="Times New Roman" w:hAnsi="Times New Roman" w:cs="Times New Roman" w:eastAsia="Times New Roman" w:hint="default"/>
          <w:spacing w:val="-1"/>
        </w:rPr>
        <w:t>1956</w:t>
      </w:r>
      <w:r>
        <w:rPr>
          <w:spacing w:val="-1"/>
        </w:rPr>
        <w:t>年</w:t>
      </w:r>
      <w:r>
        <w:rPr>
          <w:rFonts w:ascii="Times New Roman" w:hAnsi="Times New Roman" w:cs="Times New Roman" w:eastAsia="Times New Roman" w:hint="default"/>
          <w:spacing w:val="-1"/>
        </w:rPr>
        <w:t>9</w:t>
      </w:r>
      <w:r>
        <w:rPr>
          <w:spacing w:val="-1"/>
        </w:rPr>
        <w:t>月，国际会计硕士。现任本公司财务总监，任期为</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p>
    <w:p>
      <w:pPr>
        <w:spacing w:after="0" w:line="319" w:lineRule="auto"/>
        <w:jc w:val="left"/>
        <w:rPr>
          <w:rFonts w:ascii="Times New Roman" w:hAnsi="Times New Roman" w:cs="Times New Roman" w:eastAsia="Times New Roman" w:hint="default"/>
        </w:rPr>
        <w:sectPr>
          <w:footerReference w:type="default" r:id="rId20"/>
          <w:pgSz w:w="11910" w:h="16840"/>
          <w:pgMar w:footer="982" w:header="747" w:top="1060" w:bottom="1180" w:left="980" w:right="940"/>
          <w:pgNumType w:start="59"/>
        </w:sectPr>
      </w:pPr>
    </w:p>
    <w:p>
      <w:pPr>
        <w:spacing w:line="240" w:lineRule="auto" w:before="7"/>
        <w:rPr>
          <w:rFonts w:ascii="Times New Roman" w:hAnsi="Times New Roman" w:cs="Times New Roman" w:eastAsia="Times New Roman" w:hint="default"/>
          <w:sz w:val="29"/>
          <w:szCs w:val="29"/>
        </w:rPr>
      </w:pPr>
    </w:p>
    <w:p>
      <w:pPr>
        <w:pStyle w:val="BodyText"/>
        <w:spacing w:line="240" w:lineRule="auto"/>
        <w:ind w:right="0"/>
        <w:jc w:val="left"/>
      </w:pPr>
      <w:r>
        <w:rPr/>
        <w:t>月。</w:t>
      </w:r>
    </w:p>
    <w:p>
      <w:pPr>
        <w:pStyle w:val="BodyText"/>
        <w:spacing w:line="319" w:lineRule="auto" w:before="116"/>
        <w:ind w:right="195"/>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月加入天源迪科，先后担任公司财务部经理、财务总监。 </w:t>
      </w:r>
      <w:r>
        <w:rPr>
          <w:rFonts w:ascii="宋体" w:hAnsi="宋体" w:cs="宋体" w:eastAsia="宋体" w:hint="default"/>
          <w:b/>
          <w:bCs/>
        </w:rPr>
        <w:t>陈秀琴，</w:t>
      </w:r>
      <w:r>
        <w:rPr/>
        <w:t>中国国籍，无境外居留权，女，生于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10</w:t>
      </w:r>
      <w:r>
        <w:rPr/>
        <w:t>月，暨南大学毕业，中级会计师，英国威尔士大学</w:t>
      </w:r>
      <w:r>
        <w:rPr>
          <w:rFonts w:ascii="Times New Roman" w:hAnsi="Times New Roman" w:cs="Times New Roman" w:eastAsia="Times New Roman" w:hint="default"/>
        </w:rPr>
        <w:t>MBA</w:t>
      </w:r>
      <w:r>
        <w:rPr/>
        <w:t>在读。现任 本公司董事会秘书，任期为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338" w:lineRule="auto" w:before="36"/>
        <w:ind w:right="1221"/>
        <w:jc w:val="left"/>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月加入天源迪科，先后任公司总帐会计、税务会计、成本会计、往来款会计、财务经理、审计总监。 在股东单位任职情况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深圳市天泽投资有限公司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深圳市同洲电子股份有限公司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武汉金家房地产开发有限公司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中联资本置业基金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北京市昌久律师事务所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深圳市雅都软件股份有限公司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特殊普通合伙）深圳 分所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2"/>
      </w:tblGrid>
      <w:tr>
        <w:trPr>
          <w:trHeight w:val="1026"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日，公司第二届董事会第十六次会议审议通过了《</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302" w:lineRule="auto" w:before="61"/>
              <w:ind w:left="22" w:right="20"/>
              <w:jc w:val="left"/>
              <w:rPr>
                <w:rFonts w:ascii="宋体" w:hAnsi="宋体" w:cs="宋体" w:eastAsia="宋体" w:hint="default"/>
                <w:sz w:val="18"/>
                <w:szCs w:val="18"/>
              </w:rPr>
            </w:pPr>
            <w:r>
              <w:rPr>
                <w:rFonts w:ascii="宋体" w:hAnsi="宋体" w:cs="宋体" w:eastAsia="宋体" w:hint="default"/>
                <w:spacing w:val="-7"/>
                <w:sz w:val="18"/>
                <w:szCs w:val="18"/>
              </w:rPr>
              <w:t>高管薪酬的议案》，议案中对公司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年度董事、监事、高级管理人员的薪</w:t>
            </w:r>
            <w:r>
              <w:rPr>
                <w:rFonts w:ascii="宋体" w:hAnsi="宋体" w:cs="宋体" w:eastAsia="宋体" w:hint="default"/>
                <w:sz w:val="18"/>
                <w:szCs w:val="18"/>
              </w:rPr>
              <w:t> 酬标准及考核办法进行的明确。</w:t>
            </w:r>
          </w:p>
        </w:tc>
      </w:tr>
      <w:tr>
        <w:trPr>
          <w:trHeight w:val="362"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年度董事、监事、高级管理人员的薪酬标准及考核办法由公司董事会薪</w:t>
            </w:r>
          </w:p>
        </w:tc>
      </w:tr>
      <w:tr>
        <w:trPr>
          <w:trHeight w:val="306"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酬与考核委员会拟订。在公司兼职董事、监事的人员按其在公司所任行政职</w:t>
            </w:r>
          </w:p>
        </w:tc>
      </w:tr>
      <w:tr>
        <w:trPr>
          <w:trHeight w:val="317"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务领取薪酬；独立董事津贴为税前</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年；高管薪酬实行年薪制，年薪</w:t>
            </w:r>
          </w:p>
        </w:tc>
      </w:tr>
      <w:tr>
        <w:trPr>
          <w:trHeight w:val="308"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分为基础年薪和绩效奖金，高管绩效奖金所得基于其年度绩效考核结果、岗</w:t>
            </w:r>
          </w:p>
        </w:tc>
      </w:tr>
      <w:tr>
        <w:trPr>
          <w:trHeight w:val="357"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5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位职责确定。</w:t>
            </w:r>
          </w:p>
        </w:tc>
      </w:tr>
      <w:tr>
        <w:trPr>
          <w:trHeight w:val="363"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p>
        </w:tc>
        <w:tc>
          <w:tcPr>
            <w:tcW w:w="5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独立董事津贴已按照规定支付；高级管理人员基础年薪已按月支付，</w:t>
            </w:r>
            <w:r>
              <w:rPr>
                <w:rFonts w:ascii="Times New Roman" w:hAnsi="Times New Roman" w:cs="Times New Roman" w:eastAsia="Times New Roman" w:hint="default"/>
                <w:sz w:val="18"/>
                <w:szCs w:val="18"/>
              </w:rPr>
              <w:t>2012</w:t>
            </w:r>
          </w:p>
        </w:tc>
      </w:tr>
      <w:tr>
        <w:trPr>
          <w:trHeight w:val="351"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年度绩效奖金已根据公司考核情况发放。</w:t>
            </w:r>
          </w:p>
        </w:tc>
      </w:tr>
    </w:tbl>
    <w:p>
      <w:pPr>
        <w:pStyle w:val="BodyText"/>
        <w:spacing w:line="240" w:lineRule="auto" w:before="51"/>
        <w:ind w:left="154" w:right="0"/>
        <w:jc w:val="left"/>
      </w:pPr>
      <w:r>
        <w:rPr/>
        <w:t>公司报告期内董事、监事和高级管理人员报酬情况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683,959.64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683,959.64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572,008.00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572,008.00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555,929.47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555,929.47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514,144.64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514,144.64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639,344.64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639,344.64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474,792.36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474,792.36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379,637.64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379,637.64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579,544.64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579,544.64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634,127.216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634,127.216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448,849.64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448,849.64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460,520.64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460,520.64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425,720.64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425,720.64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224,791.10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224,791.10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莫波（前）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35,258.10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35,258.10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6,868,628.37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6,868,628.37</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6"/>
        <w:gridCol w:w="958"/>
        <w:gridCol w:w="956"/>
        <w:gridCol w:w="958"/>
        <w:gridCol w:w="956"/>
        <w:gridCol w:w="958"/>
        <w:gridCol w:w="956"/>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6"/>
        <w:gridCol w:w="958"/>
        <w:gridCol w:w="956"/>
        <w:gridCol w:w="958"/>
        <w:gridCol w:w="956"/>
        <w:gridCol w:w="958"/>
        <w:gridCol w:w="956"/>
      </w:tblGrid>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莫波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54" w:right="0"/>
        <w:jc w:val="left"/>
      </w:pPr>
      <w:r>
        <w:rPr/>
        <w:t>报告期内核心技术团队或关键技术人员（非董事、监事、高级管理人员）未发生变动。</w:t>
      </w:r>
    </w:p>
    <w:p>
      <w:pPr>
        <w:spacing w:line="240" w:lineRule="auto" w:before="2"/>
        <w:rPr>
          <w:rFonts w:ascii="宋体" w:hAnsi="宋体" w:cs="宋体" w:eastAsia="宋体" w:hint="default"/>
          <w:sz w:val="25"/>
          <w:szCs w:val="25"/>
        </w:rPr>
      </w:pPr>
    </w:p>
    <w:p>
      <w:pPr>
        <w:pStyle w:val="Heading3"/>
        <w:spacing w:line="240" w:lineRule="auto" w:before="0"/>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2976"/>
        <w:jc w:val="left"/>
      </w:pPr>
      <w:r>
        <w:rPr/>
        <w:t>截止报告期末，公司共有员工</w:t>
      </w:r>
      <w:r>
        <w:rPr>
          <w:rFonts w:ascii="Times New Roman" w:hAnsi="Times New Roman" w:cs="Times New Roman" w:eastAsia="Times New Roman" w:hint="default"/>
        </w:rPr>
        <w:t>2,228</w:t>
      </w:r>
      <w:r>
        <w:rPr/>
        <w:t>人（合并报表范围），承担费用的离退休人员</w:t>
      </w:r>
      <w:r>
        <w:rPr>
          <w:rFonts w:ascii="Times New Roman" w:hAnsi="Times New Roman" w:cs="Times New Roman" w:eastAsia="Times New Roman" w:hint="default"/>
        </w:rPr>
        <w:t>0</w:t>
      </w:r>
      <w:r>
        <w:rPr/>
        <w:t>人。 员工构成如下：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050"/>
        <w:gridCol w:w="3229"/>
        <w:gridCol w:w="2190"/>
        <w:gridCol w:w="2189"/>
      </w:tblGrid>
      <w:tr>
        <w:trPr>
          <w:trHeight w:val="336" w:hRule="exact"/>
        </w:trPr>
        <w:tc>
          <w:tcPr>
            <w:tcW w:w="20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1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left="783" w:right="0"/>
              <w:jc w:val="left"/>
              <w:rPr>
                <w:rFonts w:ascii="宋体" w:hAnsi="宋体" w:cs="宋体" w:eastAsia="宋体" w:hint="default"/>
                <w:sz w:val="21"/>
                <w:szCs w:val="21"/>
              </w:rPr>
            </w:pPr>
            <w:r>
              <w:rPr>
                <w:rFonts w:ascii="宋体" w:hAnsi="宋体" w:cs="宋体" w:eastAsia="宋体" w:hint="default"/>
                <w:sz w:val="21"/>
                <w:szCs w:val="21"/>
              </w:rPr>
              <w:t>员工人数</w:t>
            </w:r>
          </w:p>
        </w:tc>
        <w:tc>
          <w:tcPr>
            <w:tcW w:w="21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left="677" w:right="0"/>
              <w:jc w:val="left"/>
              <w:rPr>
                <w:rFonts w:ascii="宋体" w:hAnsi="宋体" w:cs="宋体" w:eastAsia="宋体" w:hint="default"/>
                <w:sz w:val="21"/>
                <w:szCs w:val="21"/>
              </w:rPr>
            </w:pPr>
            <w:r>
              <w:rPr>
                <w:rFonts w:ascii="宋体" w:hAnsi="宋体" w:cs="宋体" w:eastAsia="宋体" w:hint="default"/>
                <w:sz w:val="21"/>
                <w:szCs w:val="21"/>
              </w:rPr>
              <w:t>占总数比例</w:t>
            </w:r>
          </w:p>
        </w:tc>
      </w:tr>
      <w:tr>
        <w:trPr>
          <w:trHeight w:val="352" w:hRule="exact"/>
        </w:trPr>
        <w:tc>
          <w:tcPr>
            <w:tcW w:w="205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left="596"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3229" w:type="dxa"/>
            <w:tcBorders>
              <w:top w:val="single" w:sz="10"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5"/>
              <w:ind w:left="850" w:right="0"/>
              <w:jc w:val="left"/>
              <w:rPr>
                <w:rFonts w:ascii="Times New Roman" w:hAnsi="Times New Roman" w:cs="Times New Roman" w:eastAsia="Times New Roman" w:hint="default"/>
                <w:sz w:val="21"/>
                <w:szCs w:val="21"/>
              </w:rPr>
            </w:pPr>
            <w:r>
              <w:rPr>
                <w:rFonts w:ascii="Times New Roman"/>
                <w:sz w:val="21"/>
              </w:rPr>
              <w:t>1,668</w:t>
            </w:r>
          </w:p>
        </w:tc>
        <w:tc>
          <w:tcPr>
            <w:tcW w:w="218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74.87%</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110</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4.94%</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132</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5.92%</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管理及行政人员</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318</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14.27%</w:t>
            </w:r>
          </w:p>
        </w:tc>
      </w:tr>
      <w:tr>
        <w:trPr>
          <w:trHeight w:val="348" w:hRule="exact"/>
        </w:trPr>
        <w:tc>
          <w:tcPr>
            <w:tcW w:w="2050" w:type="dxa"/>
            <w:vMerge/>
            <w:tcBorders>
              <w:left w:val="single" w:sz="6" w:space="0" w:color="000000"/>
              <w:bottom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50" w:right="0"/>
              <w:jc w:val="left"/>
              <w:rPr>
                <w:rFonts w:ascii="Times New Roman" w:hAnsi="Times New Roman" w:cs="Times New Roman" w:eastAsia="Times New Roman" w:hint="default"/>
                <w:sz w:val="21"/>
                <w:szCs w:val="21"/>
              </w:rPr>
            </w:pPr>
            <w:r>
              <w:rPr>
                <w:rFonts w:ascii="Times New Roman"/>
                <w:sz w:val="21"/>
              </w:rPr>
              <w:t>2,228</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0" w:right="0"/>
              <w:jc w:val="left"/>
              <w:rPr>
                <w:rFonts w:ascii="Times New Roman" w:hAnsi="Times New Roman" w:cs="Times New Roman" w:eastAsia="Times New Roman" w:hint="default"/>
                <w:sz w:val="21"/>
                <w:szCs w:val="21"/>
              </w:rPr>
            </w:pPr>
            <w:r>
              <w:rPr>
                <w:rFonts w:ascii="Times New Roman"/>
                <w:sz w:val="21"/>
              </w:rPr>
              <w:t>100.00%</w:t>
            </w:r>
          </w:p>
        </w:tc>
      </w:tr>
      <w:tr>
        <w:trPr>
          <w:trHeight w:val="347" w:hRule="exact"/>
        </w:trPr>
        <w:tc>
          <w:tcPr>
            <w:tcW w:w="2050" w:type="dxa"/>
            <w:vMerge w:val="restart"/>
            <w:tcBorders>
              <w:top w:val="single" w:sz="6" w:space="0" w:color="000000"/>
              <w:left w:val="single" w:sz="6" w:space="0" w:color="000000"/>
              <w:right w:val="single" w:sz="6" w:space="0" w:color="000000"/>
            </w:tcBorders>
            <w:shd w:val="clear" w:color="auto" w:fill="D9D9D9"/>
          </w:tcPr>
          <w:p>
            <w:pPr>
              <w:pStyle w:val="TableParagraph"/>
              <w:spacing w:line="270" w:lineRule="exact"/>
              <w:ind w:left="596"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硕士</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99</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4.44%</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50" w:right="0"/>
              <w:jc w:val="left"/>
              <w:rPr>
                <w:rFonts w:ascii="Times New Roman" w:hAnsi="Times New Roman" w:cs="Times New Roman" w:eastAsia="Times New Roman" w:hint="default"/>
                <w:sz w:val="21"/>
                <w:szCs w:val="21"/>
              </w:rPr>
            </w:pPr>
            <w:r>
              <w:rPr>
                <w:rFonts w:ascii="Times New Roman"/>
                <w:sz w:val="21"/>
              </w:rPr>
              <w:t>1,537</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68.99%</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550</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24.69%</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42</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1.89%</w:t>
            </w:r>
          </w:p>
        </w:tc>
      </w:tr>
      <w:tr>
        <w:trPr>
          <w:trHeight w:val="347" w:hRule="exact"/>
        </w:trPr>
        <w:tc>
          <w:tcPr>
            <w:tcW w:w="2050" w:type="dxa"/>
            <w:vMerge/>
            <w:tcBorders>
              <w:left w:val="single" w:sz="6" w:space="0" w:color="000000"/>
              <w:bottom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50" w:right="0"/>
              <w:jc w:val="left"/>
              <w:rPr>
                <w:rFonts w:ascii="Times New Roman" w:hAnsi="Times New Roman" w:cs="Times New Roman" w:eastAsia="Times New Roman" w:hint="default"/>
                <w:sz w:val="21"/>
                <w:szCs w:val="21"/>
              </w:rPr>
            </w:pPr>
            <w:r>
              <w:rPr>
                <w:rFonts w:ascii="Times New Roman"/>
                <w:sz w:val="21"/>
              </w:rPr>
              <w:t>2,228</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0" w:right="0"/>
              <w:jc w:val="left"/>
              <w:rPr>
                <w:rFonts w:ascii="Times New Roman" w:hAnsi="Times New Roman" w:cs="Times New Roman" w:eastAsia="Times New Roman" w:hint="default"/>
                <w:sz w:val="21"/>
                <w:szCs w:val="21"/>
              </w:rPr>
            </w:pPr>
            <w:r>
              <w:rPr>
                <w:rFonts w:ascii="Times New Roman"/>
                <w:sz w:val="21"/>
              </w:rPr>
              <w:t>100.00%</w:t>
            </w:r>
          </w:p>
        </w:tc>
      </w:tr>
      <w:tr>
        <w:trPr>
          <w:trHeight w:val="348" w:hRule="exact"/>
        </w:trPr>
        <w:tc>
          <w:tcPr>
            <w:tcW w:w="2050" w:type="dxa"/>
            <w:vMerge w:val="restart"/>
            <w:tcBorders>
              <w:top w:val="single" w:sz="6" w:space="0" w:color="000000"/>
              <w:left w:val="single" w:sz="6" w:space="0" w:color="000000"/>
              <w:right w:val="single" w:sz="6" w:space="0" w:color="000000"/>
            </w:tcBorders>
            <w:shd w:val="clear" w:color="auto" w:fill="D9D9D9"/>
          </w:tcPr>
          <w:p>
            <w:pPr>
              <w:pStyle w:val="TableParagraph"/>
              <w:spacing w:line="271" w:lineRule="exact"/>
              <w:ind w:left="596" w:right="0"/>
              <w:jc w:val="left"/>
              <w:rPr>
                <w:rFonts w:ascii="宋体" w:hAnsi="宋体" w:cs="宋体" w:eastAsia="宋体" w:hint="default"/>
                <w:sz w:val="21"/>
                <w:szCs w:val="21"/>
              </w:rPr>
            </w:pPr>
            <w:r>
              <w:rPr>
                <w:rFonts w:ascii="宋体" w:hAnsi="宋体" w:cs="宋体" w:eastAsia="宋体" w:hint="default"/>
                <w:sz w:val="21"/>
                <w:szCs w:val="21"/>
              </w:rPr>
              <w:t>年龄分布</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50" w:right="0"/>
              <w:jc w:val="left"/>
              <w:rPr>
                <w:rFonts w:ascii="Times New Roman" w:hAnsi="Times New Roman" w:cs="Times New Roman" w:eastAsia="Times New Roman" w:hint="default"/>
                <w:sz w:val="21"/>
                <w:szCs w:val="21"/>
              </w:rPr>
            </w:pPr>
            <w:r>
              <w:rPr>
                <w:rFonts w:ascii="Times New Roman"/>
                <w:sz w:val="21"/>
              </w:rPr>
              <w:t>1,525</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68.45%</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岁</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636</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28.55%</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57</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2.56%</w:t>
            </w:r>
          </w:p>
        </w:tc>
      </w:tr>
      <w:tr>
        <w:trPr>
          <w:trHeight w:val="347" w:hRule="exact"/>
        </w:trPr>
        <w:tc>
          <w:tcPr>
            <w:tcW w:w="2050" w:type="dxa"/>
            <w:vMerge/>
            <w:tcBorders>
              <w:left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0.45%</w:t>
            </w:r>
          </w:p>
        </w:tc>
      </w:tr>
      <w:tr>
        <w:trPr>
          <w:trHeight w:val="348" w:hRule="exact"/>
        </w:trPr>
        <w:tc>
          <w:tcPr>
            <w:tcW w:w="2050" w:type="dxa"/>
            <w:vMerge/>
            <w:tcBorders>
              <w:left w:val="single" w:sz="6" w:space="0" w:color="000000"/>
              <w:bottom w:val="single" w:sz="6" w:space="0" w:color="000000"/>
              <w:right w:val="single" w:sz="6" w:space="0" w:color="000000"/>
            </w:tcBorders>
            <w:shd w:val="clear" w:color="auto" w:fill="D9D9D9"/>
          </w:tcPr>
          <w:p>
            <w:pP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50" w:right="0"/>
              <w:jc w:val="left"/>
              <w:rPr>
                <w:rFonts w:ascii="Times New Roman" w:hAnsi="Times New Roman" w:cs="Times New Roman" w:eastAsia="Times New Roman" w:hint="default"/>
                <w:sz w:val="21"/>
                <w:szCs w:val="21"/>
              </w:rPr>
            </w:pPr>
            <w:r>
              <w:rPr>
                <w:rFonts w:ascii="Times New Roman"/>
                <w:sz w:val="21"/>
              </w:rPr>
              <w:t>2,228</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0" w:right="0"/>
              <w:jc w:val="lef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right="90"/>
        <w:jc w:val="left"/>
        <w:rPr>
          <w:b w:val="0"/>
          <w:bCs w:val="0"/>
        </w:rPr>
      </w:pPr>
      <w:r>
        <w:rPr/>
        <w:t>一、公司治理的基本状况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4" w:right="90"/>
        <w:jc w:val="left"/>
      </w:pPr>
      <w:r>
        <w:rPr>
          <w:rFonts w:ascii="宋体" w:hAnsi="宋体" w:cs="宋体" w:eastAsia="宋体" w:hint="default"/>
          <w:b/>
          <w:bCs/>
        </w:rPr>
        <w:t>（一）公司治理情况综述</w:t>
      </w:r>
      <w:r>
        <w:rPr>
          <w:rFonts w:ascii="宋体" w:hAnsi="宋体" w:cs="宋体" w:eastAsia="宋体" w:hint="default"/>
          <w:b/>
          <w:bCs/>
          <w:spacing w:val="1"/>
          <w:w w:val="99"/>
        </w:rPr>
        <w:t> </w:t>
      </w:r>
      <w:r>
        <w:rPr>
          <w:spacing w:val="-2"/>
        </w:rPr>
        <w:t>报告期内，公司严格按照《公司法》、《证券法》、《深圳证券交易所创业板股票上市规则》、《深圳证券交易所创业板上</w:t>
      </w:r>
      <w:r>
        <w:rPr>
          <w:spacing w:val="-71"/>
        </w:rPr>
        <w:t> </w:t>
      </w:r>
      <w:r>
        <w:rPr>
          <w:spacing w:val="-71"/>
        </w:rPr>
      </w:r>
      <w:r>
        <w:rPr>
          <w:spacing w:val="-2"/>
        </w:rPr>
        <w:t>市公司规范运作指引》及《上市公司治理准则》及中国证监会有关法律、法规和公司规章的要求，继续完善公司的法人治理</w:t>
      </w:r>
    </w:p>
    <w:p>
      <w:pPr>
        <w:pStyle w:val="BodyText"/>
        <w:spacing w:line="338" w:lineRule="auto" w:before="2"/>
        <w:ind w:left="154" w:right="90"/>
        <w:jc w:val="left"/>
      </w:pPr>
      <w:r>
        <w:rPr>
          <w:spacing w:val="-2"/>
        </w:rPr>
        <w:t>结构，健全内部管理、规范公司运作。报告期内，根据中国证监会、深圳证券交易所的文件要求，制定了《对外提供财务资</w:t>
      </w:r>
      <w:r>
        <w:rPr>
          <w:spacing w:val="-65"/>
        </w:rPr>
        <w:t> </w:t>
      </w:r>
      <w:r>
        <w:rPr>
          <w:spacing w:val="-65"/>
        </w:rPr>
      </w:r>
      <w:r>
        <w:rPr/>
        <w:t>助管理》、《股票期权激励计划考核管理办法》、《薪酬委员会议事规则》。 </w:t>
      </w:r>
      <w:r>
        <w:rPr>
          <w:rFonts w:ascii="Times New Roman" w:hAnsi="Times New Roman" w:cs="Times New Roman" w:eastAsia="Times New Roman" w:hint="default"/>
          <w:spacing w:val="-2"/>
        </w:rPr>
        <w:t>1</w:t>
      </w:r>
      <w:r>
        <w:rPr>
          <w:spacing w:val="-2"/>
        </w:rPr>
        <w:t>、关于股东与股东大会：公司严格按照《公司章程》、《股东大会议事规则》等规定和要求，规范地召集、召开股东大会，</w:t>
      </w:r>
    </w:p>
    <w:p>
      <w:pPr>
        <w:pStyle w:val="BodyText"/>
        <w:spacing w:line="218" w:lineRule="exact" w:before="0"/>
        <w:ind w:left="154" w:right="90"/>
        <w:jc w:val="left"/>
      </w:pPr>
      <w:r>
        <w:rPr/>
        <w:t>平等对待所有股东，并尽可能为股东参加股东大会提供便利，确保股东合法行使权力。</w:t>
      </w:r>
    </w:p>
    <w:p>
      <w:pPr>
        <w:pStyle w:val="BodyText"/>
        <w:spacing w:line="309" w:lineRule="auto" w:before="116"/>
        <w:ind w:left="154" w:right="101"/>
        <w:jc w:val="both"/>
      </w:pPr>
      <w:r>
        <w:rPr>
          <w:rFonts w:ascii="Times New Roman" w:hAnsi="Times New Roman" w:cs="Times New Roman" w:eastAsia="Times New Roman" w:hint="default"/>
        </w:rPr>
        <w:t>2</w:t>
      </w:r>
      <w:r>
        <w:rPr/>
        <w:t>、关于公司与控股股东：公司无大股东及实际控制人。公司股东严格规范自己的行为，没有超越股东大会直接或间接干预 </w:t>
      </w:r>
      <w:r>
        <w:rPr>
          <w:spacing w:val="-2"/>
        </w:rPr>
        <w:t>公司的决策和经营活动，公司不存在向大股东、实际控制人提供未公开信息的情况。公司拥有独立完整的业务和自主经营能</w:t>
      </w:r>
      <w:r>
        <w:rPr>
          <w:spacing w:val="-66"/>
        </w:rPr>
        <w:t> </w:t>
      </w:r>
      <w:r>
        <w:rPr>
          <w:spacing w:val="-66"/>
        </w:rPr>
      </w:r>
      <w:r>
        <w:rPr/>
        <w:t>力，在业务、人员、资产、机构、财务上独立，公司董事会、监事会和内部机构独立运作。</w:t>
      </w:r>
    </w:p>
    <w:p>
      <w:pPr>
        <w:pStyle w:val="BodyText"/>
        <w:spacing w:line="309" w:lineRule="auto" w:before="62"/>
        <w:ind w:left="154" w:right="101"/>
        <w:jc w:val="both"/>
      </w:pPr>
      <w:r>
        <w:rPr>
          <w:rFonts w:ascii="Times New Roman" w:hAnsi="Times New Roman" w:cs="Times New Roman" w:eastAsia="Times New Roman" w:hint="default"/>
          <w:spacing w:val="-4"/>
        </w:rPr>
        <w:t>3</w:t>
      </w:r>
      <w:r>
        <w:rPr>
          <w:spacing w:val="-4"/>
        </w:rPr>
        <w:t>、关于董事和董事会：公司董事会设董事</w:t>
      </w:r>
      <w:r>
        <w:rPr>
          <w:rFonts w:ascii="Times New Roman" w:hAnsi="Times New Roman" w:cs="Times New Roman" w:eastAsia="Times New Roman" w:hint="default"/>
          <w:spacing w:val="-4"/>
        </w:rPr>
        <w:t>11</w:t>
      </w:r>
      <w:r>
        <w:rPr>
          <w:spacing w:val="-4"/>
        </w:rPr>
        <w:t>名，其中独立董事</w:t>
      </w:r>
      <w:r>
        <w:rPr>
          <w:rFonts w:ascii="Times New Roman" w:hAnsi="Times New Roman" w:cs="Times New Roman" w:eastAsia="Times New Roman" w:hint="default"/>
          <w:spacing w:val="-4"/>
        </w:rPr>
        <w:t>4</w:t>
      </w:r>
      <w:r>
        <w:rPr>
          <w:spacing w:val="-4"/>
        </w:rPr>
        <w:t>名，董事会的人数及人员构成符合法律、法规和《公司章程》</w:t>
      </w:r>
      <w:r>
        <w:rPr>
          <w:spacing w:val="-36"/>
        </w:rPr>
        <w:t> </w:t>
      </w:r>
      <w:r>
        <w:rPr>
          <w:spacing w:val="-36"/>
        </w:rPr>
      </w:r>
      <w:r>
        <w:rPr>
          <w:spacing w:val="-4"/>
        </w:rPr>
        <w:t>的要求。各位董事能够依据《董事会议事规则》、《独立董事工作制度》、《深圳证券交易所创业板上市公司规范运作指引》</w:t>
      </w:r>
      <w:r>
        <w:rPr>
          <w:spacing w:val="-46"/>
        </w:rPr>
        <w:t> </w:t>
      </w:r>
      <w:r>
        <w:rPr>
          <w:spacing w:val="-46"/>
        </w:rPr>
      </w:r>
      <w:r>
        <w:rPr/>
        <w:t>等开展工作，出席董事会和股东大会，勤勉尽责地履行职责和义务，同时积极参加相关培训，熟悉相关法律法规。</w:t>
      </w:r>
    </w:p>
    <w:p>
      <w:pPr>
        <w:pStyle w:val="BodyText"/>
        <w:spacing w:line="309" w:lineRule="auto" w:before="62"/>
        <w:ind w:left="154" w:right="191"/>
        <w:jc w:val="both"/>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名，监事会的人数和构成符合法律、法规的要求。各位监事 </w:t>
      </w:r>
      <w:r>
        <w:rPr>
          <w:spacing w:val="-2"/>
        </w:rPr>
        <w:t>能够按照《监事会议事规则》的要求，认真履行自己的职责，对公司重大事项、关联交易、财务状况以及董事、高管人员履</w:t>
      </w:r>
      <w:r>
        <w:rPr>
          <w:spacing w:val="-65"/>
        </w:rPr>
        <w:t> </w:t>
      </w:r>
      <w:r>
        <w:rPr>
          <w:spacing w:val="-65"/>
        </w:rPr>
      </w:r>
      <w:r>
        <w:rPr/>
        <w:t>行职责的合法合规性进行监督。</w:t>
      </w:r>
    </w:p>
    <w:p>
      <w:pPr>
        <w:pStyle w:val="BodyText"/>
        <w:spacing w:line="302" w:lineRule="auto" w:before="64"/>
        <w:ind w:left="154" w:right="180"/>
        <w:jc w:val="left"/>
      </w:pPr>
      <w:r>
        <w:rPr>
          <w:rFonts w:ascii="Times New Roman" w:hAnsi="Times New Roman" w:cs="Times New Roman" w:eastAsia="Times New Roman" w:hint="default"/>
        </w:rPr>
        <w:t>5</w:t>
      </w:r>
      <w:r>
        <w:rPr/>
        <w:t>、关于绩效评价与激励约束机制：公司董事会下设的薪酬和考核委员会负责对公司的董事、监事、高管进行绩效考核，公 司现有的考核及激励约束机制符合公司的发展现状。</w:t>
      </w:r>
    </w:p>
    <w:p>
      <w:pPr>
        <w:pStyle w:val="BodyText"/>
        <w:spacing w:line="309" w:lineRule="auto" w:before="68"/>
        <w:ind w:left="154" w:right="180"/>
        <w:jc w:val="left"/>
      </w:pPr>
      <w:r>
        <w:rPr>
          <w:rFonts w:ascii="Times New Roman" w:hAnsi="Times New Roman" w:cs="Times New Roman" w:eastAsia="Times New Roman" w:hint="default"/>
        </w:rPr>
        <w:t>6</w:t>
      </w:r>
      <w:r>
        <w:rPr/>
        <w:t>、关于信息披露与透明度：公司严格按照有关法律法规以及《信息披露管理制度》、《投资者关系管理制度》等的要求， </w:t>
      </w:r>
      <w:r>
        <w:rPr>
          <w:spacing w:val="-2"/>
        </w:rPr>
        <w:t>真实、准确、及时、公平、完整地披露有关信息；《信息披露制度》中年报信息披露重大差错责任追究做出明确规定；指定</w:t>
      </w:r>
      <w:r>
        <w:rPr>
          <w:spacing w:val="-67"/>
        </w:rPr>
        <w:t> </w:t>
      </w:r>
      <w:r>
        <w:rPr>
          <w:spacing w:val="-67"/>
        </w:rPr>
      </w:r>
      <w:r>
        <w:rPr>
          <w:spacing w:val="-2"/>
        </w:rPr>
        <w:t>公司董事会秘书负责信息披露工作，协调公司与投资者的关系，接待股东来访，回答投资者咨询，向投资者提供公司已披露</w:t>
      </w:r>
      <w:r>
        <w:rPr>
          <w:spacing w:val="-66"/>
        </w:rPr>
        <w:t> </w:t>
      </w:r>
      <w:r>
        <w:rPr>
          <w:spacing w:val="-66"/>
        </w:rPr>
      </w:r>
      <w:r>
        <w:rPr/>
        <w:t>的资料；并指定《证券时报》和巨潮网（</w:t>
      </w:r>
      <w:hyperlink r:id="rId12">
        <w:r>
          <w:rPr>
            <w:rFonts w:ascii="Times New Roman" w:hAnsi="Times New Roman" w:cs="Times New Roman" w:eastAsia="Times New Roman" w:hint="default"/>
          </w:rPr>
          <w:t>www.cninfo.com.cn</w:t>
        </w:r>
      </w:hyperlink>
      <w:r>
        <w:rPr/>
        <w:t>）为公司信息披露的指定报纸和网站，确保公司所有股东能够 以平等的机会获得信息。</w:t>
      </w:r>
    </w:p>
    <w:p>
      <w:pPr>
        <w:pStyle w:val="BodyText"/>
        <w:spacing w:line="302" w:lineRule="auto" w:before="62"/>
        <w:ind w:left="154" w:right="180"/>
        <w:jc w:val="left"/>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、关于相关利益者：公司充分尊重和维护相关利益者的合法权益，实现股东、员工、社会等各方利益的协调平衡，共同推 动公司持续、健康的发展。</w:t>
      </w:r>
    </w:p>
    <w:p>
      <w:pPr>
        <w:spacing w:line="348" w:lineRule="auto" w:before="70"/>
        <w:ind w:left="154" w:right="5112" w:firstLine="0"/>
        <w:jc w:val="left"/>
        <w:rPr>
          <w:rFonts w:ascii="宋体" w:hAnsi="宋体" w:cs="宋体" w:eastAsia="宋体" w:hint="default"/>
          <w:sz w:val="18"/>
          <w:szCs w:val="18"/>
        </w:rPr>
      </w:pPr>
      <w:r>
        <w:rPr>
          <w:rFonts w:ascii="宋体" w:hAnsi="宋体" w:cs="宋体" w:eastAsia="宋体" w:hint="default"/>
          <w:b/>
          <w:bCs/>
          <w:sz w:val="18"/>
          <w:szCs w:val="18"/>
        </w:rPr>
        <w:t>（二）报告期内年度股东大会、临时股东大会、董事会情况</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、股东大会情况</w:t>
      </w:r>
      <w:r>
        <w:rPr>
          <w:rFonts w:ascii="宋体" w:hAnsi="宋体" w:cs="宋体" w:eastAsia="宋体" w:hint="default"/>
          <w:b/>
          <w:bCs/>
          <w:w w:val="99"/>
          <w:sz w:val="18"/>
          <w:szCs w:val="18"/>
        </w:rPr>
        <w:t> </w:t>
      </w:r>
      <w:r>
        <w:rPr>
          <w:rFonts w:ascii="宋体" w:hAnsi="宋体" w:cs="宋体" w:eastAsia="宋体" w:hint="default"/>
          <w:sz w:val="18"/>
          <w:szCs w:val="18"/>
        </w:rPr>
        <w:t>报告期内，公司分别召开</w:t>
      </w:r>
      <w:r>
        <w:rPr>
          <w:rFonts w:ascii="Times New Roman" w:hAnsi="Times New Roman" w:cs="Times New Roman" w:eastAsia="Times New Roman" w:hint="default"/>
          <w:sz w:val="18"/>
          <w:szCs w:val="18"/>
        </w:rPr>
        <w:t>4</w:t>
      </w:r>
      <w:r>
        <w:rPr>
          <w:rFonts w:ascii="宋体" w:hAnsi="宋体" w:cs="宋体" w:eastAsia="宋体" w:hint="default"/>
          <w:sz w:val="18"/>
          <w:szCs w:val="18"/>
        </w:rPr>
        <w:t>次股东大会，具体情况如下：</w:t>
      </w:r>
    </w:p>
    <w:p>
      <w:pPr>
        <w:pStyle w:val="BodyText"/>
        <w:spacing w:line="319" w:lineRule="auto" w:before="14"/>
        <w:ind w:left="154" w:right="18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年第三次临时股东大会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日，于公司三楼会议室以现场方式召开了</w:t>
      </w:r>
      <w:r>
        <w:rPr>
          <w:rFonts w:ascii="Times New Roman" w:hAnsi="Times New Roman" w:cs="Times New Roman" w:eastAsia="Times New Roman" w:hint="default"/>
        </w:rPr>
        <w:t>2011</w:t>
      </w:r>
      <w:r>
        <w:rPr/>
        <w:t>年第三次临时股东大会，本次会议采用现场参会加网络投票的方 式召开。现场参会股东</w:t>
      </w:r>
      <w:r>
        <w:rPr>
          <w:rFonts w:ascii="Times New Roman" w:hAnsi="Times New Roman" w:cs="Times New Roman" w:eastAsia="Times New Roman" w:hint="default"/>
        </w:rPr>
        <w:t>7</w:t>
      </w:r>
      <w:r>
        <w:rPr/>
        <w:t>名，共持有公司股份</w:t>
      </w:r>
      <w:r>
        <w:rPr>
          <w:rFonts w:ascii="Times New Roman" w:hAnsi="Times New Roman" w:cs="Times New Roman" w:eastAsia="Times New Roman" w:hint="default"/>
        </w:rPr>
        <w:t>78,078,450</w:t>
      </w:r>
      <w:r>
        <w:rPr/>
        <w:t>股，占公司总股份的</w:t>
      </w:r>
      <w:r>
        <w:rPr>
          <w:rFonts w:ascii="Times New Roman" w:hAnsi="Times New Roman" w:cs="Times New Roman" w:eastAsia="Times New Roman" w:hint="default"/>
        </w:rPr>
        <w:t>49.76%</w:t>
      </w:r>
      <w:r>
        <w:rPr/>
        <w:t>；通过网络投票的股东</w:t>
      </w:r>
      <w:r>
        <w:rPr>
          <w:rFonts w:ascii="Times New Roman" w:hAnsi="Times New Roman" w:cs="Times New Roman" w:eastAsia="Times New Roman" w:hint="default"/>
        </w:rPr>
        <w:t>36</w:t>
      </w:r>
      <w:r>
        <w:rPr/>
        <w:t>人，代表股份</w:t>
      </w:r>
    </w:p>
    <w:p>
      <w:pPr>
        <w:pStyle w:val="BodyText"/>
        <w:spacing w:line="246" w:lineRule="exact" w:before="0"/>
        <w:ind w:left="154" w:right="90"/>
        <w:jc w:val="left"/>
      </w:pPr>
      <w:r>
        <w:rPr>
          <w:rFonts w:ascii="Times New Roman" w:hAnsi="Times New Roman" w:cs="Times New Roman" w:eastAsia="Times New Roman" w:hint="default"/>
        </w:rPr>
        <w:t>1,258,021</w:t>
      </w:r>
      <w:r>
        <w:rPr/>
        <w:t>股，占公司总股份的</w:t>
      </w:r>
      <w:r>
        <w:rPr>
          <w:rFonts w:ascii="Times New Roman" w:hAnsi="Times New Roman" w:cs="Times New Roman" w:eastAsia="Times New Roman" w:hint="default"/>
        </w:rPr>
        <w:t>0.8018%</w:t>
      </w:r>
      <w:r>
        <w:rPr/>
        <w:t>。合计参加本次股东大会的股东人数</w:t>
      </w:r>
      <w:r>
        <w:rPr>
          <w:rFonts w:ascii="Times New Roman" w:hAnsi="Times New Roman" w:cs="Times New Roman" w:eastAsia="Times New Roman" w:hint="default"/>
        </w:rPr>
        <w:t>43</w:t>
      </w:r>
      <w:r>
        <w:rPr/>
        <w:t>人，代表股份</w:t>
      </w:r>
      <w:r>
        <w:rPr>
          <w:rFonts w:ascii="Times New Roman" w:hAnsi="Times New Roman" w:cs="Times New Roman" w:eastAsia="Times New Roman" w:hint="default"/>
        </w:rPr>
        <w:t>79,336,471</w:t>
      </w:r>
      <w:r>
        <w:rPr/>
        <w:t>股，占公司总股本的</w:t>
      </w:r>
    </w:p>
    <w:p>
      <w:pPr>
        <w:pStyle w:val="BodyText"/>
        <w:spacing w:line="302" w:lineRule="auto" w:before="63"/>
        <w:ind w:left="154" w:right="255"/>
        <w:jc w:val="left"/>
      </w:pPr>
      <w:r>
        <w:rPr>
          <w:rFonts w:ascii="Times New Roman" w:hAnsi="Times New Roman" w:cs="Times New Roman" w:eastAsia="Times New Roman" w:hint="default"/>
        </w:rPr>
        <w:t>50.56%</w:t>
      </w:r>
      <w:r>
        <w:rPr/>
        <w:t>。会议审议通过了《关于公司股票期权激励计划（草案修订案）的议案》、《关于提请股东大会授权董事会办理股 票期权激励计划相关事宜的议案》、《股票期权激励计划考核管理办法》。</w:t>
      </w:r>
    </w:p>
    <w:p>
      <w:pPr>
        <w:pStyle w:val="BodyText"/>
        <w:spacing w:line="240" w:lineRule="auto" w:before="69"/>
        <w:ind w:left="154" w:right="9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年年度股东大会</w:t>
      </w:r>
    </w:p>
    <w:p>
      <w:pPr>
        <w:pStyle w:val="BodyText"/>
        <w:spacing w:line="240" w:lineRule="auto" w:before="101"/>
        <w:ind w:left="154" w:right="9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日，于公司三楼会议室以现场会议方式召开了</w:t>
      </w:r>
      <w:r>
        <w:rPr>
          <w:rFonts w:ascii="Times New Roman" w:hAnsi="Times New Roman" w:cs="Times New Roman" w:eastAsia="Times New Roman" w:hint="default"/>
        </w:rPr>
        <w:t>2011</w:t>
      </w:r>
      <w:r>
        <w:rPr/>
        <w:t>年年度股东大会，参会股东</w:t>
      </w:r>
      <w:r>
        <w:rPr>
          <w:rFonts w:ascii="Times New Roman" w:hAnsi="Times New Roman" w:cs="Times New Roman" w:eastAsia="Times New Roman" w:hint="default"/>
        </w:rPr>
        <w:t>7</w:t>
      </w:r>
      <w:r>
        <w:rPr/>
        <w:t>名，共持有公司股份</w:t>
      </w:r>
      <w:r>
        <w:rPr>
          <w:rFonts w:ascii="Times New Roman" w:hAnsi="Times New Roman" w:cs="Times New Roman" w:eastAsia="Times New Roman" w:hint="default"/>
        </w:rPr>
        <w:t>78,078,450</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ind w:right="151"/>
        <w:jc w:val="both"/>
      </w:pPr>
      <w:r>
        <w:rPr/>
        <w:t>股，占公司总股份的</w:t>
      </w:r>
      <w:r>
        <w:rPr>
          <w:rFonts w:ascii="Times New Roman" w:hAnsi="Times New Roman" w:cs="Times New Roman" w:eastAsia="Times New Roman" w:hint="default"/>
        </w:rPr>
        <w:t>49.76%</w:t>
      </w:r>
      <w:r>
        <w:rPr/>
        <w:t>。会议审议通过了《</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年年度报告及摘要》、《</w:t>
      </w:r>
      <w:r>
        <w:rPr>
          <w:rFonts w:ascii="Times New Roman" w:hAnsi="Times New Roman" w:cs="Times New Roman" w:eastAsia="Times New Roman" w:hint="default"/>
        </w:rPr>
        <w:t>2011</w:t>
      </w:r>
      <w:r>
        <w:rPr/>
        <w:t>年董事会工作报告》、《</w:t>
      </w:r>
      <w:r>
        <w:rPr>
          <w:rFonts w:ascii="Times New Roman" w:hAnsi="Times New Roman" w:cs="Times New Roman" w:eastAsia="Times New Roman" w:hint="default"/>
        </w:rPr>
        <w:t>2011</w:t>
      </w:r>
      <w:r>
        <w:rPr/>
        <w:t>年监事会 </w:t>
      </w:r>
      <w:r>
        <w:rPr>
          <w:spacing w:val="-2"/>
        </w:rPr>
        <w:t>工作报告》、《经审计的</w:t>
      </w:r>
      <w:r>
        <w:rPr>
          <w:rFonts w:ascii="Times New Roman" w:hAnsi="Times New Roman" w:cs="Times New Roman" w:eastAsia="Times New Roman" w:hint="default"/>
          <w:spacing w:val="-2"/>
        </w:rPr>
        <w:t>2011</w:t>
      </w:r>
      <w:r>
        <w:rPr>
          <w:spacing w:val="-2"/>
        </w:rPr>
        <w:t>年度财务报告》、《</w:t>
      </w:r>
      <w:r>
        <w:rPr>
          <w:rFonts w:ascii="Times New Roman" w:hAnsi="Times New Roman" w:cs="Times New Roman" w:eastAsia="Times New Roman" w:hint="default"/>
          <w:spacing w:val="-2"/>
        </w:rPr>
        <w:t>2012</w:t>
      </w:r>
      <w:r>
        <w:rPr>
          <w:spacing w:val="-2"/>
        </w:rPr>
        <w:t>年度财务预算报告》、《</w:t>
      </w:r>
      <w:r>
        <w:rPr>
          <w:rFonts w:ascii="Times New Roman" w:hAnsi="Times New Roman" w:cs="Times New Roman" w:eastAsia="Times New Roman" w:hint="default"/>
          <w:spacing w:val="-2"/>
        </w:rPr>
        <w:t>2011</w:t>
      </w:r>
      <w:r>
        <w:rPr>
          <w:spacing w:val="-2"/>
        </w:rPr>
        <w:t>年度利润分配方案》、《</w:t>
      </w:r>
      <w:r>
        <w:rPr>
          <w:rFonts w:ascii="Times New Roman" w:hAnsi="Times New Roman" w:cs="Times New Roman" w:eastAsia="Times New Roman" w:hint="default"/>
          <w:spacing w:val="-2"/>
        </w:rPr>
        <w:t>2011</w:t>
      </w:r>
      <w:r>
        <w:rPr>
          <w:spacing w:val="-2"/>
        </w:rPr>
        <w:t>年募集资</w:t>
      </w:r>
      <w:r>
        <w:rPr>
          <w:spacing w:val="-54"/>
        </w:rPr>
        <w:t> </w:t>
      </w:r>
      <w:r>
        <w:rPr/>
        <w:t>金存放与使用情况专项报告》、《关于续聘会计师事务所的议案》、《关于增加公司经营范围并修改公司章程的议案》。</w:t>
      </w:r>
    </w:p>
    <w:p>
      <w:pPr>
        <w:pStyle w:val="BodyText"/>
        <w:spacing w:line="319" w:lineRule="auto" w:before="71"/>
        <w:ind w:left="154" w:right="14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年第一次临时股东大会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日，于公司三楼会议室召开了</w:t>
      </w:r>
      <w:r>
        <w:rPr>
          <w:rFonts w:ascii="Times New Roman" w:hAnsi="Times New Roman" w:cs="Times New Roman" w:eastAsia="Times New Roman" w:hint="default"/>
        </w:rPr>
        <w:t>2012</w:t>
      </w:r>
      <w:r>
        <w:rPr/>
        <w:t>年第一次临时股东大会，本次会议采用现场参会加网络投票的方式召开。现 </w:t>
      </w:r>
      <w:r>
        <w:rPr>
          <w:spacing w:val="-1"/>
        </w:rPr>
        <w:t>场参会股东</w:t>
      </w:r>
      <w:r>
        <w:rPr>
          <w:rFonts w:ascii="Times New Roman" w:hAnsi="Times New Roman" w:cs="Times New Roman" w:eastAsia="Times New Roman" w:hint="default"/>
          <w:spacing w:val="-1"/>
        </w:rPr>
        <w:t>7</w:t>
      </w:r>
      <w:r>
        <w:rPr>
          <w:spacing w:val="-1"/>
        </w:rPr>
        <w:t>名，共持有公司股份</w:t>
      </w:r>
      <w:r>
        <w:rPr>
          <w:rFonts w:ascii="Times New Roman" w:hAnsi="Times New Roman" w:cs="Times New Roman" w:eastAsia="Times New Roman" w:hint="default"/>
          <w:spacing w:val="-1"/>
        </w:rPr>
        <w:t>78,078,450</w:t>
      </w:r>
      <w:r>
        <w:rPr>
          <w:spacing w:val="-1"/>
        </w:rPr>
        <w:t>股，占公司总股份的</w:t>
      </w:r>
      <w:r>
        <w:rPr>
          <w:rFonts w:ascii="Times New Roman" w:hAnsi="Times New Roman" w:cs="Times New Roman" w:eastAsia="Times New Roman" w:hint="default"/>
          <w:spacing w:val="-1"/>
        </w:rPr>
        <w:t>49.76%</w:t>
      </w:r>
      <w:r>
        <w:rPr>
          <w:spacing w:val="-1"/>
        </w:rPr>
        <w:t>；通过网络投票的股东</w:t>
      </w:r>
      <w:r>
        <w:rPr>
          <w:rFonts w:ascii="Times New Roman" w:hAnsi="Times New Roman" w:cs="Times New Roman" w:eastAsia="Times New Roman" w:hint="default"/>
          <w:spacing w:val="-1"/>
        </w:rPr>
        <w:t>2</w:t>
      </w:r>
      <w:r>
        <w:rPr>
          <w:spacing w:val="-1"/>
        </w:rPr>
        <w:t>人，代表股份</w:t>
      </w:r>
      <w:r>
        <w:rPr>
          <w:rFonts w:ascii="Times New Roman" w:hAnsi="Times New Roman" w:cs="Times New Roman" w:eastAsia="Times New Roman" w:hint="default"/>
          <w:spacing w:val="-1"/>
        </w:rPr>
        <w:t>4,500</w:t>
      </w:r>
      <w:r>
        <w:rPr>
          <w:spacing w:val="-1"/>
        </w:rPr>
        <w:t>股，占公</w:t>
      </w:r>
    </w:p>
    <w:p>
      <w:pPr>
        <w:pStyle w:val="BodyText"/>
        <w:spacing w:line="300" w:lineRule="auto" w:before="0"/>
        <w:ind w:left="154" w:right="86"/>
        <w:jc w:val="left"/>
      </w:pPr>
      <w:r>
        <w:rPr/>
        <w:t>司总股份的</w:t>
      </w:r>
      <w:r>
        <w:rPr>
          <w:rFonts w:ascii="Times New Roman" w:hAnsi="Times New Roman" w:cs="Times New Roman" w:eastAsia="Times New Roman" w:hint="default"/>
        </w:rPr>
        <w:t>0.0029%</w:t>
      </w:r>
      <w:r>
        <w:rPr/>
        <w:t>。合计参加本次股东大会的股东人数</w:t>
      </w:r>
      <w:r>
        <w:rPr>
          <w:rFonts w:ascii="Times New Roman" w:hAnsi="Times New Roman" w:cs="Times New Roman" w:eastAsia="Times New Roman" w:hint="default"/>
        </w:rPr>
        <w:t>9</w:t>
      </w:r>
      <w:r>
        <w:rPr/>
        <w:t>人，代表股份</w:t>
      </w:r>
      <w:r>
        <w:rPr>
          <w:rFonts w:ascii="Times New Roman" w:hAnsi="Times New Roman" w:cs="Times New Roman" w:eastAsia="Times New Roman" w:hint="default"/>
        </w:rPr>
        <w:t>78,082,950</w:t>
      </w:r>
      <w:r>
        <w:rPr/>
        <w:t>股，占公司总股本的</w:t>
      </w:r>
      <w:r>
        <w:rPr>
          <w:rFonts w:ascii="Times New Roman" w:hAnsi="Times New Roman" w:cs="Times New Roman" w:eastAsia="Times New Roman" w:hint="default"/>
        </w:rPr>
        <w:t>49.77%</w:t>
      </w:r>
      <w:r>
        <w:rPr/>
        <w:t>。会议审议通 过了《关于股东回报规划事宜的论证报告》、《分红管理制度》、《公司未来三年股东回报规划（</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p>
    <w:p>
      <w:pPr>
        <w:pStyle w:val="BodyText"/>
        <w:spacing w:line="240" w:lineRule="auto" w:before="14"/>
        <w:ind w:left="154" w:right="0"/>
        <w:jc w:val="left"/>
      </w:pPr>
      <w:r>
        <w:rPr/>
        <w:t>《关于修订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319" w:lineRule="auto" w:before="102"/>
        <w:ind w:left="154" w:right="138"/>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年第二次临时股东大会 </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21</w:t>
      </w:r>
      <w:r>
        <w:rPr>
          <w:spacing w:val="-4"/>
        </w:rPr>
        <w:t>日，于公司三楼会议室以现场方式召开了</w:t>
      </w:r>
      <w:r>
        <w:rPr>
          <w:rFonts w:ascii="Times New Roman" w:hAnsi="Times New Roman" w:cs="Times New Roman" w:eastAsia="Times New Roman" w:hint="default"/>
          <w:spacing w:val="-4"/>
        </w:rPr>
        <w:t>2012</w:t>
      </w:r>
      <w:r>
        <w:rPr>
          <w:spacing w:val="-4"/>
        </w:rPr>
        <w:t>年第二次临时股东大会，参会股东</w:t>
      </w:r>
      <w:r>
        <w:rPr>
          <w:rFonts w:ascii="Times New Roman" w:hAnsi="Times New Roman" w:cs="Times New Roman" w:eastAsia="Times New Roman" w:hint="default"/>
          <w:spacing w:val="-4"/>
        </w:rPr>
        <w:t>7</w:t>
      </w:r>
      <w:r>
        <w:rPr>
          <w:spacing w:val="-4"/>
        </w:rPr>
        <w:t>名，共持有公司股份</w:t>
      </w:r>
      <w:r>
        <w:rPr>
          <w:rFonts w:ascii="Times New Roman" w:hAnsi="Times New Roman" w:cs="Times New Roman" w:eastAsia="Times New Roman" w:hint="default"/>
          <w:spacing w:val="-4"/>
        </w:rPr>
        <w:t>96,330,300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股，占公司总股份的</w:t>
      </w:r>
      <w:r>
        <w:rPr>
          <w:rFonts w:ascii="Times New Roman" w:hAnsi="Times New Roman" w:cs="Times New Roman" w:eastAsia="Times New Roman" w:hint="default"/>
        </w:rPr>
        <w:t>61.40%</w:t>
      </w:r>
      <w:r>
        <w:rPr/>
        <w:t>。会议审议通过了《关于改聘中瑞岳华会计师事务所（特殊普通合伙）为公司</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年度审计机</w:t>
      </w:r>
    </w:p>
    <w:p>
      <w:pPr>
        <w:pStyle w:val="BodyText"/>
        <w:spacing w:line="234" w:lineRule="exact" w:before="0"/>
        <w:ind w:left="154" w:right="0"/>
        <w:jc w:val="left"/>
      </w:pPr>
      <w:r>
        <w:rPr/>
        <w:t>构的议案》、《关于合肥子公司研发基地抵押贷款并为其提供担保的议案》。</w:t>
      </w:r>
    </w:p>
    <w:p>
      <w:pPr>
        <w:spacing w:line="338" w:lineRule="auto" w:before="117"/>
        <w:ind w:left="154" w:right="6710" w:firstLine="0"/>
        <w:jc w:val="left"/>
        <w:rPr>
          <w:rFonts w:ascii="宋体" w:hAnsi="宋体" w:cs="宋体" w:eastAsia="宋体" w:hint="default"/>
          <w:sz w:val="18"/>
          <w:szCs w:val="18"/>
        </w:rPr>
      </w:pPr>
      <w:r>
        <w:rPr/>
        <w:pict>
          <v:shape style="position:absolute;margin-left:261pt;margin-top:41.204544pt;width:119.85pt;height:36.2pt;mso-position-horizontal-relative:page;mso-position-vertical-relative:paragraph;z-index:-1151776" type="#_x0000_t202" filled="false" stroked="false">
            <v:textbox inset="0,0,0,0">
              <w:txbxContent>
                <w:p>
                  <w:pPr>
                    <w:pStyle w:val="BodyText"/>
                    <w:spacing w:line="240" w:lineRule="auto" w:before="61"/>
                    <w:ind w:left="0" w:right="0"/>
                    <w:jc w:val="left"/>
                  </w:pPr>
                  <w:r>
                    <w:rPr/>
                    <w:t>亲自出席（次）</w:t>
                  </w:r>
                </w:p>
              </w:txbxContent>
            </v:textbox>
            <w10:wrap type="none"/>
          </v:shape>
        </w:pict>
      </w:r>
      <w:r>
        <w:rPr/>
        <w:pict>
          <v:shape style="position:absolute;margin-left:321.359985pt;margin-top:41.204544pt;width:119.85pt;height:36.2pt;mso-position-horizontal-relative:page;mso-position-vertical-relative:paragraph;z-index:-1151752" type="#_x0000_t202" filled="false" stroked="false">
            <v:textbox inset="0,0,0,0">
              <w:txbxContent>
                <w:p>
                  <w:pPr>
                    <w:pStyle w:val="BodyText"/>
                    <w:spacing w:line="240" w:lineRule="auto" w:before="61"/>
                    <w:ind w:left="0" w:right="0"/>
                    <w:jc w:val="left"/>
                  </w:pPr>
                  <w:r>
                    <w:rPr/>
                    <w:t>委托出席（次）</w:t>
                  </w:r>
                </w:p>
              </w:txbxContent>
            </v:textbox>
            <w10:wrap type="none"/>
          </v:shape>
        </w:pic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、董事会情况</w:t>
      </w:r>
      <w:r>
        <w:rPr>
          <w:rFonts w:ascii="宋体" w:hAnsi="宋体" w:cs="宋体" w:eastAsia="宋体" w:hint="default"/>
          <w:b/>
          <w:bCs/>
          <w:w w:val="99"/>
          <w:sz w:val="18"/>
          <w:szCs w:val="18"/>
        </w:rPr>
        <w:t> </w:t>
      </w:r>
      <w:r>
        <w:rPr>
          <w:rFonts w:ascii="宋体" w:hAnsi="宋体" w:cs="宋体" w:eastAsia="宋体" w:hint="default"/>
          <w:sz w:val="18"/>
          <w:szCs w:val="18"/>
        </w:rPr>
        <w:t>报告期内董事出席董事会的情况如下：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360"/>
        <w:gridCol w:w="1358"/>
        <w:gridCol w:w="1358"/>
        <w:gridCol w:w="1207"/>
        <w:gridCol w:w="1206"/>
        <w:gridCol w:w="1207"/>
        <w:gridCol w:w="1961"/>
      </w:tblGrid>
      <w:tr>
        <w:trPr>
          <w:trHeight w:val="734" w:hRule="exact"/>
        </w:trPr>
        <w:tc>
          <w:tcPr>
            <w:tcW w:w="1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6"/>
              <w:ind w:left="400" w:right="41" w:hanging="360"/>
              <w:jc w:val="left"/>
              <w:rPr>
                <w:rFonts w:ascii="宋体" w:hAnsi="宋体" w:cs="宋体" w:eastAsia="宋体" w:hint="default"/>
                <w:sz w:val="18"/>
                <w:szCs w:val="18"/>
              </w:rPr>
            </w:pPr>
            <w:r>
              <w:rPr>
                <w:rFonts w:ascii="宋体" w:hAnsi="宋体" w:cs="宋体" w:eastAsia="宋体" w:hint="default"/>
                <w:sz w:val="18"/>
                <w:szCs w:val="18"/>
              </w:rPr>
              <w:t>本年应参加董事 会次数</w:t>
            </w:r>
          </w:p>
        </w:tc>
        <w:tc>
          <w:tcPr>
            <w:tcW w:w="120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20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2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缺席（次）</w:t>
            </w:r>
          </w:p>
        </w:tc>
        <w:tc>
          <w:tcPr>
            <w:tcW w:w="1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陈友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吴志东</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40"/>
              <w:jc w:val="left"/>
              <w:rPr>
                <w:rFonts w:ascii="宋体" w:hAnsi="宋体" w:cs="宋体" w:eastAsia="宋体" w:hint="default"/>
                <w:sz w:val="18"/>
                <w:szCs w:val="18"/>
              </w:rPr>
            </w:pPr>
            <w:r>
              <w:rPr>
                <w:rFonts w:ascii="宋体" w:hAnsi="宋体" w:cs="宋体" w:eastAsia="宋体" w:hint="default"/>
                <w:sz w:val="18"/>
                <w:szCs w:val="18"/>
              </w:rPr>
              <w:t>第二届董事会第二十二 次会议</w:t>
            </w:r>
          </w:p>
        </w:tc>
      </w:tr>
      <w:tr>
        <w:trPr>
          <w:trHeight w:val="1051"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陈鲁康</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40"/>
              <w:jc w:val="both"/>
              <w:rPr>
                <w:rFonts w:ascii="宋体" w:hAnsi="宋体" w:cs="宋体" w:eastAsia="宋体" w:hint="default"/>
                <w:sz w:val="18"/>
                <w:szCs w:val="18"/>
              </w:rPr>
            </w:pPr>
            <w:r>
              <w:rPr>
                <w:rFonts w:ascii="宋体" w:hAnsi="宋体" w:cs="宋体" w:eastAsia="宋体" w:hint="default"/>
                <w:sz w:val="18"/>
                <w:szCs w:val="18"/>
              </w:rPr>
              <w:t>第二届董事会第二十次 会议委托董事陈友先生 代为行使表决权</w:t>
            </w:r>
          </w:p>
        </w:tc>
      </w:tr>
      <w:tr>
        <w:trPr>
          <w:trHeight w:val="426"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谢晓宾</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李谦益</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1051"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杨文庆</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40"/>
              <w:jc w:val="both"/>
              <w:rPr>
                <w:rFonts w:ascii="宋体" w:hAnsi="宋体" w:cs="宋体" w:eastAsia="宋体" w:hint="default"/>
                <w:sz w:val="18"/>
                <w:szCs w:val="18"/>
              </w:rPr>
            </w:pPr>
            <w:r>
              <w:rPr>
                <w:rFonts w:ascii="宋体" w:hAnsi="宋体" w:cs="宋体" w:eastAsia="宋体" w:hint="default"/>
                <w:sz w:val="18"/>
                <w:szCs w:val="18"/>
              </w:rPr>
              <w:t>第二届董事会第二十一 次会议委托董事陈友先 生代为行使表决权</w:t>
            </w: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汪东升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戴昌久</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邓爱国</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毅</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周俊祥</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left="154" w:right="0"/>
        <w:jc w:val="left"/>
      </w:pPr>
      <w:r>
        <w:rPr/>
        <w:t>报告期内共召开</w:t>
      </w:r>
      <w:r>
        <w:rPr>
          <w:rFonts w:ascii="Times New Roman" w:hAnsi="Times New Roman" w:cs="Times New Roman" w:eastAsia="Times New Roman" w:hint="default"/>
        </w:rPr>
        <w:t>8</w:t>
      </w:r>
      <w:r>
        <w:rPr/>
        <w:t>次董事会，具体情况如下：</w:t>
      </w:r>
    </w:p>
    <w:p>
      <w:pPr>
        <w:pStyle w:val="BodyText"/>
        <w:spacing w:line="319" w:lineRule="auto" w:before="102"/>
        <w:ind w:right="141"/>
        <w:jc w:val="left"/>
      </w:pPr>
      <w:r>
        <w:rPr/>
        <w:t>（</w:t>
      </w:r>
      <w:r>
        <w:rPr>
          <w:rFonts w:ascii="Times New Roman" w:hAnsi="Times New Roman" w:cs="Times New Roman" w:eastAsia="Times New Roman" w:hint="default"/>
        </w:rPr>
        <w:t>1</w:t>
      </w:r>
      <w:r>
        <w:rPr/>
        <w:t>）第二届董事会第十五次会议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日，公司第二届董事会第十五次会议在公司三楼会议室召开，应到董事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人，会议审议通 过了《关于股票期权激励计划授予相关事项的议案》。</w:t>
      </w:r>
    </w:p>
    <w:p>
      <w:pPr>
        <w:pStyle w:val="BodyText"/>
        <w:spacing w:line="240" w:lineRule="auto" w:before="56"/>
        <w:ind w:right="0"/>
        <w:jc w:val="left"/>
      </w:pPr>
      <w:r>
        <w:rPr/>
        <w:t>（</w:t>
      </w:r>
      <w:r>
        <w:rPr>
          <w:rFonts w:ascii="Times New Roman" w:hAnsi="Times New Roman" w:cs="Times New Roman" w:eastAsia="Times New Roman" w:hint="default"/>
        </w:rPr>
        <w:t>2</w:t>
      </w:r>
      <w:r>
        <w:rPr/>
        <w:t>）第二届董事会第十六次会议</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ind w:right="10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日，公司第二届董事会第十六次会议在合肥子公司会议室召开，应到董事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 </w:t>
      </w:r>
      <w:r>
        <w:rPr>
          <w:spacing w:val="-2"/>
        </w:rPr>
        <w:t>通过了《</w:t>
      </w:r>
      <w:r>
        <w:rPr>
          <w:rFonts w:ascii="Times New Roman" w:hAnsi="Times New Roman" w:cs="Times New Roman" w:eastAsia="Times New Roman" w:hint="default"/>
          <w:spacing w:val="-2"/>
        </w:rPr>
        <w:t>2011</w:t>
      </w:r>
      <w:r>
        <w:rPr>
          <w:spacing w:val="-2"/>
        </w:rPr>
        <w:t>年年度报告及摘要》、《</w:t>
      </w:r>
      <w:r>
        <w:rPr>
          <w:rFonts w:ascii="Times New Roman" w:hAnsi="Times New Roman" w:cs="Times New Roman" w:eastAsia="Times New Roman" w:hint="default"/>
          <w:spacing w:val="-2"/>
        </w:rPr>
        <w:t>2011</w:t>
      </w:r>
      <w:r>
        <w:rPr>
          <w:spacing w:val="-2"/>
        </w:rPr>
        <w:t>年董事会工作报告》、《经审计的</w:t>
      </w:r>
      <w:r>
        <w:rPr>
          <w:rFonts w:ascii="Times New Roman" w:hAnsi="Times New Roman" w:cs="Times New Roman" w:eastAsia="Times New Roman" w:hint="default"/>
          <w:spacing w:val="-2"/>
        </w:rPr>
        <w:t>2011</w:t>
      </w:r>
      <w:r>
        <w:rPr>
          <w:spacing w:val="-2"/>
        </w:rPr>
        <w:t>年度财务报告》、《</w:t>
      </w:r>
      <w:r>
        <w:rPr>
          <w:rFonts w:ascii="Times New Roman" w:hAnsi="Times New Roman" w:cs="Times New Roman" w:eastAsia="Times New Roman" w:hint="default"/>
          <w:spacing w:val="-2"/>
        </w:rPr>
        <w:t>2012</w:t>
      </w:r>
      <w:r>
        <w:rPr>
          <w:spacing w:val="-2"/>
        </w:rPr>
        <w:t>年度财务预算报</w:t>
      </w:r>
      <w:r>
        <w:rPr>
          <w:spacing w:val="-52"/>
        </w:rPr>
        <w:t> </w:t>
      </w:r>
      <w:r>
        <w:rPr>
          <w:spacing w:val="-52"/>
        </w:rPr>
      </w:r>
      <w:r>
        <w:rPr/>
        <w:t>告》、《</w:t>
      </w:r>
      <w:r>
        <w:rPr>
          <w:rFonts w:ascii="Times New Roman" w:hAnsi="Times New Roman" w:cs="Times New Roman" w:eastAsia="Times New Roman" w:hint="default"/>
        </w:rPr>
        <w:t>2011</w:t>
      </w:r>
      <w:r>
        <w:rPr/>
        <w:t>年度利润分配方案》、《</w:t>
      </w:r>
      <w:r>
        <w:rPr>
          <w:rFonts w:ascii="Times New Roman" w:hAnsi="Times New Roman" w:cs="Times New Roman" w:eastAsia="Times New Roman" w:hint="default"/>
        </w:rPr>
        <w:t>2011</w:t>
      </w:r>
      <w:r>
        <w:rPr/>
        <w:t>年募集资金存放与使用情况专项报告》、《</w:t>
      </w:r>
      <w:r>
        <w:rPr>
          <w:rFonts w:ascii="Times New Roman" w:hAnsi="Times New Roman" w:cs="Times New Roman" w:eastAsia="Times New Roman" w:hint="default"/>
        </w:rPr>
        <w:t>2011</w:t>
      </w:r>
      <w:r>
        <w:rPr/>
        <w:t>年度内部控制自我评价报告》、</w:t>
      </w:r>
    </w:p>
    <w:p>
      <w:pPr>
        <w:pStyle w:val="BodyText"/>
        <w:spacing w:line="302" w:lineRule="auto" w:before="13"/>
        <w:ind w:right="90"/>
        <w:jc w:val="left"/>
      </w:pPr>
      <w:r>
        <w:rPr>
          <w:spacing w:val="-2"/>
        </w:rPr>
        <w:t>《</w:t>
      </w:r>
      <w:r>
        <w:rPr>
          <w:rFonts w:ascii="Times New Roman" w:hAnsi="Times New Roman" w:cs="Times New Roman" w:eastAsia="Times New Roman" w:hint="default"/>
          <w:spacing w:val="-2"/>
        </w:rPr>
        <w:t>2011</w:t>
      </w:r>
      <w:r>
        <w:rPr>
          <w:spacing w:val="-2"/>
        </w:rPr>
        <w:t>年度社会责任报告》、《</w:t>
      </w:r>
      <w:r>
        <w:rPr>
          <w:rFonts w:ascii="Times New Roman" w:hAnsi="Times New Roman" w:cs="Times New Roman" w:eastAsia="Times New Roman" w:hint="default"/>
          <w:spacing w:val="-2"/>
        </w:rPr>
        <w:t>2012</w:t>
      </w:r>
      <w:r>
        <w:rPr>
          <w:spacing w:val="-2"/>
        </w:rPr>
        <w:t>年度高管薪酬的议案》、《关于续聘会计师事务所的议案》、《关于召开</w:t>
      </w:r>
      <w:r>
        <w:rPr>
          <w:rFonts w:ascii="Times New Roman" w:hAnsi="Times New Roman" w:cs="Times New Roman" w:eastAsia="Times New Roman" w:hint="default"/>
          <w:spacing w:val="-2"/>
        </w:rPr>
        <w:t>2011</w:t>
      </w:r>
      <w:r>
        <w:rPr>
          <w:spacing w:val="-2"/>
        </w:rPr>
        <w:t>年年度股</w:t>
      </w:r>
      <w:r>
        <w:rPr>
          <w:spacing w:val="-57"/>
        </w:rPr>
        <w:t> </w:t>
      </w:r>
      <w:r>
        <w:rPr/>
        <w:t>东大会的议案》。</w:t>
      </w:r>
    </w:p>
    <w:p>
      <w:pPr>
        <w:pStyle w:val="BodyText"/>
        <w:spacing w:line="319" w:lineRule="auto" w:before="69"/>
        <w:ind w:right="176"/>
        <w:jc w:val="left"/>
      </w:pPr>
      <w:r>
        <w:rPr/>
        <w:t>（</w:t>
      </w:r>
      <w:r>
        <w:rPr>
          <w:rFonts w:ascii="Times New Roman" w:hAnsi="Times New Roman" w:cs="Times New Roman" w:eastAsia="Times New Roman" w:hint="default"/>
        </w:rPr>
        <w:t>3</w:t>
      </w:r>
      <w:r>
        <w:rPr/>
        <w:t>）第二届董事会第十七次会议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日，公司第二届董事会第十七次会议在合肥子公司会议室召开，应到董事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 </w:t>
      </w:r>
      <w:r>
        <w:rPr>
          <w:spacing w:val="-1"/>
        </w:rPr>
        <w:t>通过了《内幕信息知情人登记制度（修订）》、《募集资金管理办法（修订）》、《关于使用超募资金收购金华威</w:t>
      </w:r>
      <w:r>
        <w:rPr>
          <w:rFonts w:ascii="Times New Roman" w:hAnsi="Times New Roman" w:cs="Times New Roman" w:eastAsia="Times New Roman" w:hint="default"/>
          <w:spacing w:val="-1"/>
        </w:rPr>
        <w:t>10%</w:t>
      </w:r>
      <w:r>
        <w:rPr>
          <w:spacing w:val="-1"/>
        </w:rPr>
        <w:t>股权</w:t>
      </w:r>
    </w:p>
    <w:p>
      <w:pPr>
        <w:pStyle w:val="BodyText"/>
        <w:spacing w:line="234" w:lineRule="exact" w:before="0"/>
        <w:ind w:right="90"/>
        <w:jc w:val="left"/>
      </w:pPr>
      <w:r>
        <w:rPr/>
        <w:t>的议案》、《关于增加公司经营范围并修改公司章程的议案》。</w:t>
      </w:r>
    </w:p>
    <w:p>
      <w:pPr>
        <w:pStyle w:val="BodyText"/>
        <w:spacing w:line="319" w:lineRule="auto" w:before="116"/>
        <w:ind w:right="178"/>
        <w:jc w:val="left"/>
      </w:pPr>
      <w:r>
        <w:rPr/>
        <w:t>（</w:t>
      </w:r>
      <w:r>
        <w:rPr>
          <w:rFonts w:ascii="Times New Roman" w:hAnsi="Times New Roman" w:cs="Times New Roman" w:eastAsia="Times New Roman" w:hint="default"/>
        </w:rPr>
        <w:t>4</w:t>
      </w:r>
      <w:r>
        <w:rPr/>
        <w:t>）第二届董事会第十八次会议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日，公司第二届董事会第十八次会议在公司三楼会议室召开，应到董事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人，会议审议通 </w:t>
      </w:r>
      <w:r>
        <w:rPr>
          <w:spacing w:val="-1"/>
        </w:rPr>
        <w:t>过了《</w:t>
      </w:r>
      <w:r>
        <w:rPr>
          <w:rFonts w:ascii="Times New Roman" w:hAnsi="Times New Roman" w:cs="Times New Roman" w:eastAsia="Times New Roman" w:hint="default"/>
          <w:spacing w:val="-1"/>
        </w:rPr>
        <w:t>2012</w:t>
      </w:r>
      <w:r>
        <w:rPr>
          <w:spacing w:val="-1"/>
        </w:rPr>
        <w:t>年第一季度报告》正文及全文、《关于收购广州市易杰数码科技有限公司</w:t>
      </w:r>
      <w:r>
        <w:rPr>
          <w:rFonts w:ascii="Times New Roman" w:hAnsi="Times New Roman" w:cs="Times New Roman" w:eastAsia="Times New Roman" w:hint="default"/>
          <w:spacing w:val="-1"/>
        </w:rPr>
        <w:t>30%</w:t>
      </w:r>
      <w:r>
        <w:rPr>
          <w:spacing w:val="-1"/>
        </w:rPr>
        <w:t>股权的议案》、《关于对深圳市金</w:t>
      </w:r>
    </w:p>
    <w:p>
      <w:pPr>
        <w:pStyle w:val="BodyText"/>
        <w:spacing w:line="234" w:lineRule="exact" w:before="0"/>
        <w:ind w:right="90"/>
        <w:jc w:val="left"/>
      </w:pPr>
      <w:r>
        <w:rPr/>
        <w:t>华威数码科技有限公司提供财务资助的议案》。</w:t>
      </w:r>
    </w:p>
    <w:p>
      <w:pPr>
        <w:pStyle w:val="BodyText"/>
        <w:spacing w:line="319" w:lineRule="auto" w:before="117"/>
        <w:ind w:right="127"/>
        <w:jc w:val="left"/>
      </w:pPr>
      <w:r>
        <w:rPr/>
        <w:t>（</w:t>
      </w:r>
      <w:r>
        <w:rPr>
          <w:rFonts w:ascii="Times New Roman" w:hAnsi="Times New Roman" w:cs="Times New Roman" w:eastAsia="Times New Roman" w:hint="default"/>
        </w:rPr>
        <w:t>5</w:t>
      </w:r>
      <w:r>
        <w:rPr/>
        <w:t>）第二届董事会第十九次会议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日，公司第二届董事会第十九次会议在公司三楼会议室召开，应到董事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人，会议审议通 过了《关于股东回报规划事宜的论证报告》、《分红管理制度》、《公司未来三年股东回报规划（</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p>
    <w:p>
      <w:pPr>
        <w:pStyle w:val="BodyText"/>
        <w:spacing w:line="247" w:lineRule="exact" w:before="0"/>
        <w:ind w:right="90"/>
        <w:jc w:val="left"/>
      </w:pPr>
      <w:r>
        <w:rPr/>
        <w:t>《关于修订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的议案》、《关于召开</w:t>
      </w:r>
      <w:r>
        <w:rPr>
          <w:rFonts w:ascii="Times New Roman" w:hAnsi="Times New Roman" w:cs="Times New Roman" w:eastAsia="Times New Roman" w:hint="default"/>
        </w:rPr>
        <w:t>2012</w:t>
      </w:r>
      <w:r>
        <w:rPr/>
        <w:t>年第一次临时股东大会的通知》。</w:t>
      </w:r>
    </w:p>
    <w:p>
      <w:pPr>
        <w:pStyle w:val="BodyText"/>
        <w:spacing w:line="319" w:lineRule="auto" w:before="102"/>
        <w:ind w:left="154" w:right="90"/>
        <w:jc w:val="left"/>
      </w:pPr>
      <w:r>
        <w:rPr/>
        <w:t>（</w:t>
      </w:r>
      <w:r>
        <w:rPr>
          <w:rFonts w:ascii="Times New Roman" w:hAnsi="Times New Roman" w:cs="Times New Roman" w:eastAsia="Times New Roman" w:hint="default"/>
        </w:rPr>
        <w:t>6</w:t>
      </w:r>
      <w:r>
        <w:rPr/>
        <w:t>）第二届董事会第二十次会议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日，公司第二届董事会第二十次会议在公司三楼会议室召开，应到董事</w:t>
      </w:r>
      <w:r>
        <w:rPr>
          <w:rFonts w:ascii="Times New Roman" w:hAnsi="Times New Roman" w:cs="Times New Roman" w:eastAsia="Times New Roman" w:hint="default"/>
        </w:rPr>
        <w:t>11</w:t>
      </w:r>
      <w:r>
        <w:rPr/>
        <w:t>人，出席会议的董事</w:t>
      </w:r>
      <w:r>
        <w:rPr>
          <w:rFonts w:ascii="Times New Roman" w:hAnsi="Times New Roman" w:cs="Times New Roman" w:eastAsia="Times New Roman" w:hint="default"/>
        </w:rPr>
        <w:t>10</w:t>
      </w:r>
      <w:r>
        <w:rPr/>
        <w:t>人，董事陈鲁 </w:t>
      </w:r>
      <w:r>
        <w:rPr>
          <w:spacing w:val="-2"/>
        </w:rPr>
        <w:t>康先生委托董事陈友先生代为行使表决权。会议审议通过了《</w:t>
      </w:r>
      <w:r>
        <w:rPr>
          <w:rFonts w:ascii="Times New Roman" w:hAnsi="Times New Roman" w:cs="Times New Roman" w:eastAsia="Times New Roman" w:hint="default"/>
          <w:spacing w:val="-2"/>
        </w:rPr>
        <w:t>2012</w:t>
      </w:r>
      <w:r>
        <w:rPr>
          <w:spacing w:val="-2"/>
        </w:rPr>
        <w:t>年半年度报告》摘要及全文、《关于调整股票期权行权价</w:t>
      </w:r>
    </w:p>
    <w:p>
      <w:pPr>
        <w:pStyle w:val="BodyText"/>
        <w:spacing w:line="302" w:lineRule="auto" w:before="0"/>
        <w:ind w:left="154" w:right="123" w:hanging="1"/>
        <w:jc w:val="left"/>
      </w:pPr>
      <w:r>
        <w:rPr/>
        <w:t>格的议案》、《关于修订</w:t>
      </w:r>
      <w:r>
        <w:rPr>
          <w:rFonts w:ascii="Times New Roman" w:hAnsi="Times New Roman" w:cs="Times New Roman" w:eastAsia="Times New Roman" w:hint="default"/>
        </w:rPr>
        <w:t>&lt;</w:t>
      </w:r>
      <w:r>
        <w:rPr/>
        <w:t>投资管理制度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内幕信息知情人登记制度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董事、 监事和高级管理人员所持本公司股份及其变动管理制度</w:t>
      </w:r>
      <w:r>
        <w:rPr>
          <w:rFonts w:ascii="Times New Roman" w:hAnsi="Times New Roman" w:cs="Times New Roman" w:eastAsia="Times New Roman" w:hint="default"/>
        </w:rPr>
        <w:t>&gt;</w:t>
      </w:r>
      <w:r>
        <w:rPr/>
        <w:t>的议案》。</w:t>
      </w:r>
    </w:p>
    <w:p>
      <w:pPr>
        <w:pStyle w:val="BodyText"/>
        <w:spacing w:line="319" w:lineRule="auto" w:before="50"/>
        <w:ind w:left="154" w:right="90"/>
        <w:jc w:val="left"/>
      </w:pPr>
      <w:r>
        <w:rPr/>
        <w:t>（</w:t>
      </w:r>
      <w:r>
        <w:rPr>
          <w:rFonts w:ascii="Times New Roman" w:hAnsi="Times New Roman" w:cs="Times New Roman" w:eastAsia="Times New Roman" w:hint="default"/>
        </w:rPr>
        <w:t>7</w:t>
      </w:r>
      <w:r>
        <w:rPr/>
        <w:t>）第二届董事会第二十一次会议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日，公司第二届董事会第二十一次会议在公司三楼会议室召开，应到董事</w:t>
      </w:r>
      <w:r>
        <w:rPr>
          <w:rFonts w:ascii="Times New Roman" w:hAnsi="Times New Roman" w:cs="Times New Roman" w:eastAsia="Times New Roman" w:hint="default"/>
          <w:spacing w:val="-2"/>
        </w:rPr>
        <w:t>11</w:t>
      </w:r>
      <w:r>
        <w:rPr>
          <w:spacing w:val="-2"/>
        </w:rPr>
        <w:t>人，出席会议的董事</w:t>
      </w:r>
      <w:r>
        <w:rPr>
          <w:rFonts w:ascii="Times New Roman" w:hAnsi="Times New Roman" w:cs="Times New Roman" w:eastAsia="Times New Roman" w:hint="default"/>
          <w:spacing w:val="-2"/>
        </w:rPr>
        <w:t>10</w:t>
      </w:r>
      <w:r>
        <w:rPr>
          <w:spacing w:val="-2"/>
        </w:rPr>
        <w:t>人，董事杨</w:t>
      </w:r>
      <w:r>
        <w:rPr>
          <w:spacing w:val="-54"/>
        </w:rPr>
        <w:t> </w:t>
      </w:r>
      <w:r>
        <w:rPr>
          <w:spacing w:val="-54"/>
        </w:rPr>
      </w:r>
      <w:r>
        <w:rPr>
          <w:spacing w:val="-2"/>
        </w:rPr>
        <w:t>文庆先生由于工作原因未能亲自参加会议，授权董事陈友先生代为行使表决权。会议审议通过了《</w:t>
      </w:r>
      <w:r>
        <w:rPr>
          <w:rFonts w:ascii="Times New Roman" w:hAnsi="Times New Roman" w:cs="Times New Roman" w:eastAsia="Times New Roman" w:hint="default"/>
          <w:spacing w:val="-2"/>
        </w:rPr>
        <w:t>2012</w:t>
      </w:r>
      <w:r>
        <w:rPr>
          <w:spacing w:val="-2"/>
        </w:rPr>
        <w:t>年第三季度报告》全</w:t>
      </w:r>
    </w:p>
    <w:p>
      <w:pPr>
        <w:pStyle w:val="BodyText"/>
        <w:spacing w:line="234" w:lineRule="exact" w:before="0"/>
        <w:ind w:left="154" w:right="90"/>
        <w:jc w:val="left"/>
      </w:pPr>
      <w:r>
        <w:rPr/>
        <w:t>文及正文。</w:t>
      </w:r>
    </w:p>
    <w:p>
      <w:pPr>
        <w:pStyle w:val="BodyText"/>
        <w:spacing w:line="319" w:lineRule="auto" w:before="117"/>
        <w:ind w:left="154" w:right="180"/>
        <w:jc w:val="left"/>
      </w:pPr>
      <w:r>
        <w:rPr/>
        <w:t>（</w:t>
      </w:r>
      <w:r>
        <w:rPr>
          <w:rFonts w:ascii="Times New Roman" w:hAnsi="Times New Roman" w:cs="Times New Roman" w:eastAsia="Times New Roman" w:hint="default"/>
        </w:rPr>
        <w:t>8</w:t>
      </w:r>
      <w:r>
        <w:rPr/>
        <w:t>）第二届董事会第二十二次会议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日，公司第二届董事会第二十二次会议在公司三楼会议室召开，应到董事</w:t>
      </w:r>
      <w:r>
        <w:rPr>
          <w:rFonts w:ascii="Times New Roman" w:hAnsi="Times New Roman" w:cs="Times New Roman" w:eastAsia="Times New Roman" w:hint="default"/>
        </w:rPr>
        <w:t>11</w:t>
      </w:r>
      <w:r>
        <w:rPr/>
        <w:t>人，出席会议的董事</w:t>
      </w:r>
      <w:r>
        <w:rPr>
          <w:rFonts w:ascii="Times New Roman" w:hAnsi="Times New Roman" w:cs="Times New Roman" w:eastAsia="Times New Roman" w:hint="default"/>
        </w:rPr>
        <w:t>10</w:t>
      </w:r>
      <w:r>
        <w:rPr/>
        <w:t>人，董事吴 </w:t>
      </w:r>
      <w:r>
        <w:rPr>
          <w:spacing w:val="-2"/>
        </w:rPr>
        <w:t>志东因工作原因未能参加本次会议，也未委托其他董事代为行使表决权。会议审议通过了《关于改聘中瑞岳华会计师事务所</w:t>
      </w:r>
    </w:p>
    <w:p>
      <w:pPr>
        <w:pStyle w:val="BodyText"/>
        <w:spacing w:line="319" w:lineRule="auto" w:before="17"/>
        <w:ind w:left="154" w:right="90"/>
        <w:jc w:val="left"/>
        <w:rPr>
          <w:rFonts w:ascii="宋体" w:hAnsi="宋体" w:cs="宋体" w:eastAsia="宋体" w:hint="default"/>
        </w:rPr>
      </w:pPr>
      <w:r>
        <w:rPr>
          <w:spacing w:val="-2"/>
        </w:rPr>
        <w:t>（特殊普通合伙）为公司</w:t>
      </w:r>
      <w:r>
        <w:rPr>
          <w:rFonts w:ascii="Times New Roman" w:hAnsi="Times New Roman" w:cs="Times New Roman" w:eastAsia="Times New Roman" w:hint="default"/>
          <w:spacing w:val="-2"/>
        </w:rPr>
        <w:t>2012</w:t>
      </w:r>
      <w:r>
        <w:rPr>
          <w:spacing w:val="-2"/>
        </w:rPr>
        <w:t>年度审计机构的议案》、《关于对深圳市金华威数码科技有限公司提供担保的议案》、《关于</w:t>
      </w:r>
      <w:r>
        <w:rPr>
          <w:spacing w:val="-61"/>
        </w:rPr>
        <w:t> </w:t>
      </w:r>
      <w:r>
        <w:rPr>
          <w:spacing w:val="-61"/>
        </w:rPr>
      </w:r>
      <w:r>
        <w:rPr/>
        <w:t>合肥子公司研发基地抵押贷款并为其提供担保的议案》、《关于召开</w:t>
      </w:r>
      <w:r>
        <w:rPr>
          <w:rFonts w:ascii="Times New Roman" w:hAnsi="Times New Roman" w:cs="Times New Roman" w:eastAsia="Times New Roman" w:hint="default"/>
        </w:rPr>
        <w:t>2012</w:t>
      </w:r>
      <w:r>
        <w:rPr/>
        <w:t>年第二次临时股东大会的议案》。 </w:t>
      </w:r>
      <w:r>
        <w:rPr>
          <w:rFonts w:ascii="Times New Roman" w:hAnsi="Times New Roman" w:cs="Times New Roman" w:eastAsia="Times New Roman" w:hint="default"/>
          <w:b/>
          <w:bCs/>
        </w:rPr>
        <w:t>3</w:t>
      </w:r>
      <w:r>
        <w:rPr>
          <w:rFonts w:ascii="宋体" w:hAnsi="宋体" w:cs="宋体" w:eastAsia="宋体" w:hint="default"/>
          <w:b/>
          <w:bCs/>
        </w:rPr>
        <w:t>、独立董事履职情况</w:t>
      </w:r>
      <w:r>
        <w:rPr>
          <w:rFonts w:ascii="宋体" w:hAnsi="宋体" w:cs="宋体" w:eastAsia="宋体" w:hint="default"/>
        </w:rPr>
      </w:r>
    </w:p>
    <w:p>
      <w:pPr>
        <w:pStyle w:val="BodyText"/>
        <w:spacing w:line="309" w:lineRule="auto" w:before="36"/>
        <w:ind w:left="154" w:right="191"/>
        <w:jc w:val="both"/>
      </w:pPr>
      <w:r>
        <w:rPr/>
        <w:t>（</w:t>
      </w:r>
      <w:r>
        <w:rPr>
          <w:rFonts w:ascii="Times New Roman" w:hAnsi="Times New Roman" w:cs="Times New Roman" w:eastAsia="Times New Roman" w:hint="default"/>
        </w:rPr>
        <w:t>1</w:t>
      </w:r>
      <w:r>
        <w:rPr/>
        <w:t>）报告期内，独立董事根据《公司章程》及《独立董事工作制度》的要求，恪尽职守，切实维护公司的整体利益及中小 </w:t>
      </w:r>
      <w:r>
        <w:rPr>
          <w:spacing w:val="-2"/>
        </w:rPr>
        <w:t>股东的合法权益，认真履行了作为董事的忠实诚信、勤勉尽职的义务，按时出席了报告期内公司召开的各次股东会及董事会</w:t>
      </w:r>
      <w:r>
        <w:rPr>
          <w:spacing w:val="-66"/>
        </w:rPr>
        <w:t> </w:t>
      </w:r>
      <w:r>
        <w:rPr>
          <w:spacing w:val="-66"/>
        </w:rPr>
      </w:r>
      <w:r>
        <w:rPr/>
        <w:t>会议，对各项议案和其他事项进行了认真调查及讨论并进行了审慎表决，切实发挥了独立董事作用。</w:t>
      </w:r>
    </w:p>
    <w:p>
      <w:pPr>
        <w:pStyle w:val="BodyText"/>
        <w:spacing w:line="324" w:lineRule="auto" w:before="64"/>
        <w:ind w:left="154" w:right="90"/>
        <w:jc w:val="left"/>
      </w:pPr>
      <w:r>
        <w:rPr/>
        <w:t>（</w:t>
      </w:r>
      <w:r>
        <w:rPr>
          <w:rFonts w:ascii="Times New Roman" w:hAnsi="Times New Roman" w:cs="Times New Roman" w:eastAsia="Times New Roman" w:hint="default"/>
        </w:rPr>
        <w:t>2</w:t>
      </w:r>
      <w:r>
        <w:rPr/>
        <w:t>）独立董事对公司有关事项提出异议的情况 </w:t>
      </w:r>
      <w:r>
        <w:rPr>
          <w:spacing w:val="-2"/>
        </w:rPr>
        <w:t>报告期内，公司四位独立董事，能够严格按照《公司章程》、《独立董事工作制度》等的规定，本着对公司、股东负责的态</w:t>
      </w:r>
      <w:r>
        <w:rPr>
          <w:spacing w:val="-69"/>
        </w:rPr>
        <w:t> </w:t>
      </w:r>
      <w:r>
        <w:rPr>
          <w:spacing w:val="-69"/>
        </w:rPr>
      </w:r>
      <w:r>
        <w:rPr>
          <w:spacing w:val="-2"/>
        </w:rPr>
        <w:t>度，勤勉尽责，忠实履行职责，积极出席相关会议，认真审议各项议案，客观地发表自己的看法及观点，对公司发生的凡需</w:t>
      </w:r>
      <w:r>
        <w:rPr>
          <w:spacing w:val="-68"/>
        </w:rPr>
        <w:t> </w:t>
      </w:r>
      <w:r>
        <w:rPr>
          <w:spacing w:val="-68"/>
        </w:rPr>
      </w:r>
      <w:r>
        <w:rPr/>
        <w:t>要独立董事发表意见的重大事项均进行了认真审核，并提出了书面的独立董事意见函。</w:t>
      </w:r>
    </w:p>
    <w:p>
      <w:pPr>
        <w:pStyle w:val="BodyText"/>
        <w:spacing w:line="240" w:lineRule="auto" w:before="54"/>
        <w:ind w:left="154" w:right="90"/>
        <w:jc w:val="left"/>
      </w:pPr>
      <w:r>
        <w:rPr/>
        <w:t>报告期内，公司四位独立董事，对公司董事会审议的议案以及公司其它事项均未提出异议。</w:t>
      </w:r>
    </w:p>
    <w:p>
      <w:pPr>
        <w:pStyle w:val="Heading7"/>
        <w:spacing w:line="240" w:lineRule="auto" w:before="116"/>
        <w:ind w:left="154" w:right="90"/>
        <w:jc w:val="left"/>
        <w:rPr>
          <w:b w:val="0"/>
          <w:bCs w:val="0"/>
        </w:rPr>
      </w:pPr>
      <w:r>
        <w:rPr>
          <w:rFonts w:ascii="Times New Roman" w:hAnsi="Times New Roman" w:cs="Times New Roman" w:eastAsia="Times New Roman" w:hint="default"/>
        </w:rPr>
        <w:t>4</w:t>
      </w:r>
      <w:r>
        <w:rPr/>
        <w:t>、董事会专门委员会履职情况</w:t>
      </w:r>
      <w:r>
        <w:rPr>
          <w:b w:val="0"/>
          <w:bCs w:val="0"/>
        </w:rPr>
      </w:r>
    </w:p>
    <w:p>
      <w:pPr>
        <w:pStyle w:val="Heading7"/>
        <w:spacing w:line="240" w:lineRule="auto" w:before="102"/>
        <w:ind w:left="154" w:right="90"/>
        <w:jc w:val="left"/>
        <w:rPr>
          <w:b w:val="0"/>
          <w:bCs w:val="0"/>
        </w:rPr>
      </w:pPr>
      <w:r>
        <w:rPr>
          <w:rFonts w:ascii="Times New Roman" w:hAnsi="Times New Roman" w:cs="Times New Roman" w:eastAsia="Times New Roman" w:hint="default"/>
        </w:rPr>
        <w:t>4.1</w:t>
      </w:r>
      <w:r>
        <w:rPr>
          <w:rFonts w:ascii="Times New Roman" w:hAnsi="Times New Roman" w:cs="Times New Roman" w:eastAsia="Times New Roman" w:hint="default"/>
          <w:spacing w:val="29"/>
        </w:rPr>
        <w:t> </w:t>
      </w:r>
      <w:r>
        <w:rPr/>
        <w:t>审计委员会履职情况</w:t>
      </w:r>
      <w:r>
        <w:rPr>
          <w:b w:val="0"/>
          <w:bCs w:val="0"/>
        </w:rPr>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b/>
          <w:bCs/>
          <w:sz w:val="25"/>
          <w:szCs w:val="25"/>
        </w:rPr>
      </w:pPr>
    </w:p>
    <w:p>
      <w:pPr>
        <w:pStyle w:val="BodyText"/>
        <w:spacing w:line="240" w:lineRule="auto"/>
        <w:ind w:right="90"/>
        <w:jc w:val="left"/>
      </w:pPr>
      <w:r>
        <w:rPr>
          <w:rFonts w:ascii="Times New Roman" w:hAnsi="Times New Roman" w:cs="Times New Roman" w:eastAsia="Times New Roman" w:hint="default"/>
        </w:rPr>
        <w:t>1</w:t>
      </w:r>
      <w:r>
        <w:rPr/>
        <w:t>）本年度会议召开情况</w:t>
      </w:r>
    </w:p>
    <w:p>
      <w:pPr>
        <w:pStyle w:val="BodyText"/>
        <w:spacing w:line="240" w:lineRule="auto" w:before="102"/>
        <w:ind w:right="90"/>
        <w:jc w:val="left"/>
      </w:pPr>
      <w:r>
        <w:rPr>
          <w:rFonts w:ascii="Times New Roman" w:hAnsi="Times New Roman" w:cs="Times New Roman" w:eastAsia="Times New Roman" w:hint="default"/>
        </w:rPr>
        <w:t>2012</w:t>
      </w:r>
      <w:r>
        <w:rPr/>
        <w:t>年度，审计委员会共召开会议七次，具体情况如下：</w:t>
      </w:r>
    </w:p>
    <w:p>
      <w:pPr>
        <w:pStyle w:val="BodyText"/>
        <w:spacing w:line="309" w:lineRule="auto" w:before="102"/>
        <w:ind w:right="19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日，审计委员会和公司独立董事及中审国际会计师事务所签字注册会计师就天源迪科公司</w:t>
      </w:r>
      <w:r>
        <w:rPr>
          <w:rFonts w:ascii="Times New Roman" w:hAnsi="Times New Roman" w:cs="Times New Roman" w:eastAsia="Times New Roman" w:hint="default"/>
        </w:rPr>
        <w:t>2011</w:t>
      </w:r>
      <w:r>
        <w:rPr/>
        <w:t>年度财务审 </w:t>
      </w:r>
      <w:r>
        <w:rPr>
          <w:spacing w:val="-2"/>
        </w:rPr>
        <w:t>计相关事项进行了第一次充分沟通。本次沟通确定了审计的目的、审计计划、风险判断、风险及舞弊测试和评价方法、重点</w:t>
      </w:r>
      <w:r>
        <w:rPr>
          <w:spacing w:val="-66"/>
        </w:rPr>
        <w:t> </w:t>
      </w:r>
      <w:r>
        <w:rPr>
          <w:spacing w:val="-66"/>
        </w:rPr>
      </w:r>
      <w:r>
        <w:rPr/>
        <w:t>审计内容及审计时间和人员安排。</w:t>
      </w:r>
    </w:p>
    <w:p>
      <w:pPr>
        <w:pStyle w:val="BodyText"/>
        <w:spacing w:line="302" w:lineRule="auto" w:before="62"/>
        <w:ind w:right="9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日，审计委员会和公司独立董事及中审国际会计师事务所签字注册会计师就天源迪科公司</w:t>
      </w:r>
      <w:r>
        <w:rPr>
          <w:rFonts w:ascii="Times New Roman" w:hAnsi="Times New Roman" w:cs="Times New Roman" w:eastAsia="Times New Roman" w:hint="default"/>
        </w:rPr>
        <w:t>2011</w:t>
      </w:r>
      <w:r>
        <w:rPr/>
        <w:t>年度财务审 </w:t>
      </w:r>
      <w:r>
        <w:rPr>
          <w:spacing w:val="-4"/>
        </w:rPr>
        <w:t>计相关事项进行了第二次充分沟通。本次沟通对前期审计执行情况进行了总结，对审计中发现的问题提出了要求和完善建议。</w:t>
      </w:r>
    </w:p>
    <w:p>
      <w:pPr>
        <w:pStyle w:val="BodyText"/>
        <w:spacing w:line="240" w:lineRule="auto" w:before="69"/>
        <w:ind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日，审计委员会就</w:t>
      </w:r>
      <w:r>
        <w:rPr>
          <w:rFonts w:ascii="Times New Roman" w:hAnsi="Times New Roman" w:cs="Times New Roman" w:eastAsia="Times New Roman" w:hint="default"/>
        </w:rPr>
        <w:t>2011</w:t>
      </w:r>
      <w:r>
        <w:rPr/>
        <w:t>年度年度报告相关事项进行了董事会会前沟通，一致同意将议案提交董事会审议。</w:t>
      </w:r>
    </w:p>
    <w:p>
      <w:pPr>
        <w:pStyle w:val="BodyText"/>
        <w:spacing w:line="240" w:lineRule="auto" w:before="103"/>
        <w:ind w:right="9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日，审计委员会召开会议审阅了</w:t>
      </w:r>
      <w:r>
        <w:rPr>
          <w:rFonts w:ascii="Times New Roman" w:hAnsi="Times New Roman" w:cs="Times New Roman" w:eastAsia="Times New Roman" w:hint="default"/>
        </w:rPr>
        <w:t>2012</w:t>
      </w:r>
      <w:r>
        <w:rPr/>
        <w:t>年第一季度财务报表。</w:t>
      </w:r>
    </w:p>
    <w:p>
      <w:pPr>
        <w:pStyle w:val="BodyText"/>
        <w:spacing w:line="240" w:lineRule="auto" w:before="102"/>
        <w:ind w:right="9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日，审计委员会召开会议审阅了</w:t>
      </w:r>
      <w:r>
        <w:rPr>
          <w:rFonts w:ascii="Times New Roman" w:hAnsi="Times New Roman" w:cs="Times New Roman" w:eastAsia="Times New Roman" w:hint="default"/>
        </w:rPr>
        <w:t>2012</w:t>
      </w:r>
      <w:r>
        <w:rPr/>
        <w:t>年半年报财务报表。</w:t>
      </w:r>
    </w:p>
    <w:p>
      <w:pPr>
        <w:pStyle w:val="BodyText"/>
        <w:spacing w:line="240" w:lineRule="auto" w:before="102"/>
        <w:ind w:right="9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日，审计委员会召开会议审阅了</w:t>
      </w:r>
      <w:r>
        <w:rPr>
          <w:rFonts w:ascii="Times New Roman" w:hAnsi="Times New Roman" w:cs="Times New Roman" w:eastAsia="Times New Roman" w:hint="default"/>
        </w:rPr>
        <w:t>2012</w:t>
      </w:r>
      <w:r>
        <w:rPr/>
        <w:t>年三季报财务报表。</w:t>
      </w:r>
    </w:p>
    <w:p>
      <w:pPr>
        <w:pStyle w:val="BodyText"/>
        <w:spacing w:line="240" w:lineRule="auto" w:before="103"/>
        <w:ind w:right="9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日，审计委员会召开会议对公司改聘</w:t>
      </w:r>
      <w:r>
        <w:rPr>
          <w:rFonts w:ascii="Times New Roman" w:hAnsi="Times New Roman" w:cs="Times New Roman" w:eastAsia="Times New Roman" w:hint="default"/>
        </w:rPr>
        <w:t>2012</w:t>
      </w:r>
      <w:r>
        <w:rPr/>
        <w:t>年年度审计机构的事项进行了讨论沟通。</w:t>
      </w:r>
    </w:p>
    <w:p>
      <w:pPr>
        <w:pStyle w:val="BodyText"/>
        <w:spacing w:line="240" w:lineRule="auto" w:before="102"/>
        <w:ind w:right="90"/>
        <w:jc w:val="left"/>
      </w:pP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2012</w:t>
      </w:r>
      <w:r>
        <w:rPr/>
        <w:t>年度财务报告的审计的工作情况</w:t>
      </w:r>
    </w:p>
    <w:p>
      <w:pPr>
        <w:pStyle w:val="BodyText"/>
        <w:spacing w:line="319" w:lineRule="auto" w:before="102"/>
        <w:ind w:right="90"/>
        <w:jc w:val="left"/>
      </w:pPr>
      <w:r>
        <w:rPr/>
        <w:t>（</w:t>
      </w:r>
      <w:r>
        <w:rPr>
          <w:rFonts w:ascii="Times New Roman" w:hAnsi="Times New Roman" w:cs="Times New Roman" w:eastAsia="Times New Roman" w:hint="default"/>
        </w:rPr>
        <w:t>1</w:t>
      </w:r>
      <w:r>
        <w:rPr/>
        <w:t>）确定总体审计计划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日，公司独立董事及审计委员会与中瑞岳华会计师事务所（特殊普通合伙）签字注册会计师就公司</w:t>
      </w:r>
      <w:r>
        <w:rPr>
          <w:rFonts w:ascii="Times New Roman" w:hAnsi="Times New Roman" w:cs="Times New Roman" w:eastAsia="Times New Roman" w:hint="default"/>
        </w:rPr>
        <w:t>2012</w:t>
      </w:r>
      <w:r>
        <w:rPr/>
        <w:t>年度财 </w:t>
      </w:r>
      <w:r>
        <w:rPr>
          <w:spacing w:val="-4"/>
        </w:rPr>
        <w:t>务审计相关事项（包括审计工作小组人员构成、审计计划、风险判断、风险及舞弊测试和评价方法、本年度审计重点等内容）</w:t>
      </w:r>
      <w:r>
        <w:rPr>
          <w:spacing w:val="-44"/>
        </w:rPr>
        <w:t> </w:t>
      </w:r>
      <w:r>
        <w:rPr>
          <w:spacing w:val="-44"/>
        </w:rPr>
      </w:r>
      <w:r>
        <w:rPr/>
        <w:t>以邮件方式进行了充分沟通，确定了公司</w:t>
      </w:r>
      <w:r>
        <w:rPr>
          <w:rFonts w:ascii="Times New Roman" w:hAnsi="Times New Roman" w:cs="Times New Roman" w:eastAsia="Times New Roman" w:hint="default"/>
        </w:rPr>
        <w:t>2012</w:t>
      </w:r>
      <w:r>
        <w:rPr/>
        <w:t>年度财务总体审计时间表及审计重点。</w:t>
      </w:r>
    </w:p>
    <w:p>
      <w:pPr>
        <w:pStyle w:val="BodyText"/>
        <w:spacing w:line="319" w:lineRule="auto" w:before="36"/>
        <w:ind w:right="90"/>
        <w:jc w:val="left"/>
      </w:pPr>
      <w:r>
        <w:rPr/>
        <w:t>（</w:t>
      </w:r>
      <w:r>
        <w:rPr>
          <w:rFonts w:ascii="Times New Roman" w:hAnsi="Times New Roman" w:cs="Times New Roman" w:eastAsia="Times New Roman" w:hint="default"/>
        </w:rPr>
        <w:t>2</w:t>
      </w:r>
      <w:r>
        <w:rPr/>
        <w:t>）与会计师事务所审计初稿的沟通情况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日，审计委员会在审阅了拟出具初步审计意见的财务会计报表后，以电话会议方式与会计师事务进行审计情况沟</w:t>
      </w:r>
      <w:r>
        <w:rPr>
          <w:spacing w:val="-58"/>
        </w:rPr>
        <w:t> </w:t>
      </w:r>
      <w:r>
        <w:rPr>
          <w:spacing w:val="-58"/>
        </w:rPr>
      </w:r>
      <w:r>
        <w:rPr/>
        <w:t>通，并交换意见。</w:t>
      </w:r>
    </w:p>
    <w:p>
      <w:pPr>
        <w:pStyle w:val="BodyText"/>
        <w:spacing w:line="319" w:lineRule="auto" w:before="58"/>
        <w:ind w:right="9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）对公司财务报告的两次审议意见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14</w:t>
      </w:r>
      <w:r>
        <w:rPr>
          <w:spacing w:val="-2"/>
        </w:rPr>
        <w:t>日，审计委员会审阅了拟出具初步审计意见的财务会计报表，</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日召开审计委员会审议公司</w:t>
      </w:r>
      <w:r>
        <w:rPr>
          <w:rFonts w:ascii="Times New Roman" w:hAnsi="Times New Roman" w:cs="Times New Roman" w:eastAsia="Times New Roman" w:hint="default"/>
          <w:spacing w:val="-2"/>
        </w:rPr>
        <w:t>2012</w:t>
      </w:r>
      <w:r>
        <w:rPr>
          <w:spacing w:val="-2"/>
        </w:rPr>
        <w:t>年度</w:t>
      </w:r>
      <w:r>
        <w:rPr>
          <w:spacing w:val="-46"/>
        </w:rPr>
        <w:t> </w:t>
      </w:r>
      <w:r>
        <w:rPr>
          <w:spacing w:val="-2"/>
        </w:rPr>
        <w:t>财务报告。审计委员会审议后认为：公司财务报表严格按照企业会计准则的规定编制，在所有重大方面公允反映了公司</w:t>
      </w:r>
      <w:r>
        <w:rPr>
          <w:rFonts w:ascii="Times New Roman" w:hAnsi="Times New Roman" w:cs="Times New Roman" w:eastAsia="Times New Roman" w:hint="default"/>
          <w:spacing w:val="-2"/>
        </w:rPr>
        <w:t>2012</w:t>
      </w:r>
    </w:p>
    <w:p>
      <w:pPr>
        <w:pStyle w:val="BodyText"/>
        <w:spacing w:line="302" w:lineRule="auto" w:before="0"/>
        <w:ind w:left="154" w:right="90"/>
        <w:jc w:val="left"/>
      </w:pP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2012</w:t>
      </w:r>
      <w:r>
        <w:rPr>
          <w:spacing w:val="-2"/>
        </w:rPr>
        <w:t>年度的经营成果和现金流量，同意会计师事务所对公司拟发表</w:t>
      </w:r>
      <w:r>
        <w:rPr>
          <w:rFonts w:ascii="Times New Roman" w:hAnsi="Times New Roman" w:cs="Times New Roman" w:eastAsia="Times New Roman" w:hint="default"/>
          <w:spacing w:val="-2"/>
        </w:rPr>
        <w:t>2012</w:t>
      </w:r>
      <w:r>
        <w:rPr>
          <w:spacing w:val="-2"/>
        </w:rPr>
        <w:t>年年度财务报告标准无保</w:t>
      </w:r>
      <w:r>
        <w:rPr>
          <w:spacing w:val="-52"/>
        </w:rPr>
        <w:t> </w:t>
      </w:r>
      <w:r>
        <w:rPr/>
        <w:t>留审计意见的审计报告，并提请董事会审议。</w:t>
      </w:r>
    </w:p>
    <w:p>
      <w:pPr>
        <w:pStyle w:val="BodyText"/>
        <w:spacing w:line="326" w:lineRule="auto" w:before="69"/>
        <w:ind w:left="154" w:right="90"/>
        <w:jc w:val="left"/>
      </w:pPr>
      <w:r>
        <w:rPr>
          <w:rFonts w:ascii="Times New Roman" w:hAnsi="Times New Roman" w:cs="Times New Roman" w:eastAsia="Times New Roman" w:hint="default"/>
        </w:rPr>
        <w:t>3</w:t>
      </w:r>
      <w:r>
        <w:rPr/>
        <w:t>）对公司内部控制制度进行检查和评估后发表的专项意见 </w:t>
      </w:r>
      <w:r>
        <w:rPr>
          <w:spacing w:val="-2"/>
        </w:rPr>
        <w:t>审计委员会对内部控制进行了认真的自查和分析，认为：公司现有的内部控制制度符合我国有关法规和监管部门的要求，符</w:t>
      </w:r>
      <w:r>
        <w:rPr>
          <w:spacing w:val="-66"/>
        </w:rPr>
        <w:t> </w:t>
      </w:r>
      <w:r>
        <w:rPr>
          <w:spacing w:val="-66"/>
        </w:rPr>
      </w:r>
      <w:r>
        <w:rPr>
          <w:spacing w:val="-4"/>
        </w:rPr>
        <w:t>合公司实际情况。公司严格执行了内部控制制度，在对子公司的管理控制、关联交易、对外担保、募集资金使用、重大投资、</w:t>
      </w:r>
      <w:r>
        <w:rPr>
          <w:spacing w:val="-44"/>
        </w:rPr>
        <w:t> </w:t>
      </w:r>
      <w:r>
        <w:rPr>
          <w:spacing w:val="-44"/>
        </w:rPr>
      </w:r>
      <w:r>
        <w:rPr/>
        <w:t>信息披露等方面不存在重大缺陷。</w:t>
      </w:r>
    </w:p>
    <w:p>
      <w:pPr>
        <w:pStyle w:val="BodyText"/>
        <w:spacing w:line="338" w:lineRule="auto" w:before="51"/>
        <w:ind w:left="154" w:right="90"/>
        <w:jc w:val="left"/>
      </w:pPr>
      <w:r>
        <w:rPr>
          <w:rFonts w:ascii="Times New Roman" w:hAnsi="Times New Roman" w:cs="Times New Roman" w:eastAsia="Times New Roman" w:hint="default"/>
        </w:rPr>
        <w:t>4</w:t>
      </w:r>
      <w:r>
        <w:rPr/>
        <w:t>）对会计师事务所审计工作的督促情况 </w:t>
      </w:r>
      <w:r>
        <w:rPr>
          <w:spacing w:val="-2"/>
        </w:rPr>
        <w:t>在年审注册会计师进行现场审计的过程中，审计委员会委托公司内审部门全程跟进，积极配合年报审计工作的开展，督促年</w:t>
      </w:r>
      <w:r>
        <w:rPr>
          <w:spacing w:val="-66"/>
        </w:rPr>
        <w:t> </w:t>
      </w:r>
      <w:r>
        <w:rPr>
          <w:spacing w:val="-66"/>
        </w:rPr>
      </w:r>
      <w:r>
        <w:rPr/>
        <w:t>审会计师在约定的时限内及时提交审计报告。 </w:t>
      </w:r>
      <w:r>
        <w:rPr>
          <w:rFonts w:ascii="Times New Roman" w:hAnsi="Times New Roman" w:cs="Times New Roman" w:eastAsia="Times New Roman" w:hint="default"/>
        </w:rPr>
        <w:t>5</w:t>
      </w:r>
      <w:r>
        <w:rPr/>
        <w:t>）会计师事务所从事</w:t>
      </w:r>
      <w:r>
        <w:rPr>
          <w:rFonts w:ascii="Times New Roman" w:hAnsi="Times New Roman" w:cs="Times New Roman" w:eastAsia="Times New Roman" w:hint="default"/>
        </w:rPr>
        <w:t>2012</w:t>
      </w:r>
      <w:r>
        <w:rPr/>
        <w:t>年公司审计工作的总结报告及下年度续聘会计师事务所的情况</w:t>
      </w:r>
    </w:p>
    <w:p>
      <w:pPr>
        <w:pStyle w:val="BodyText"/>
        <w:spacing w:line="300" w:lineRule="auto" w:before="19"/>
        <w:ind w:left="154" w:right="191"/>
        <w:jc w:val="both"/>
      </w:pPr>
      <w:r>
        <w:rPr>
          <w:spacing w:val="-2"/>
        </w:rPr>
        <w:t>中瑞岳华会计师事务所（特殊普通合伙）在</w:t>
      </w:r>
      <w:r>
        <w:rPr>
          <w:rFonts w:ascii="Times New Roman" w:hAnsi="Times New Roman" w:cs="Times New Roman" w:eastAsia="Times New Roman" w:hint="default"/>
          <w:spacing w:val="-2"/>
        </w:rPr>
        <w:t>2012</w:t>
      </w:r>
      <w:r>
        <w:rPr>
          <w:spacing w:val="-2"/>
        </w:rPr>
        <w:t>年度的公司审计工作中很好地履行了双方签订的《</w:t>
      </w:r>
      <w:r>
        <w:rPr>
          <w:rFonts w:ascii="Times New Roman" w:hAnsi="Times New Roman" w:cs="Times New Roman" w:eastAsia="Times New Roman" w:hint="default"/>
          <w:spacing w:val="-2"/>
        </w:rPr>
        <w:t>2012</w:t>
      </w:r>
      <w:r>
        <w:rPr>
          <w:spacing w:val="-2"/>
        </w:rPr>
        <w:t>年年度报表审计业务</w:t>
      </w:r>
      <w:r>
        <w:rPr>
          <w:spacing w:val="-58"/>
        </w:rPr>
        <w:t> </w:t>
      </w:r>
      <w:r>
        <w:rPr/>
        <w:t>约定书》所规定的责任与义务，对</w:t>
      </w:r>
      <w:r>
        <w:rPr>
          <w:spacing w:val="-19"/>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日的公司及合并资产负债表，</w:t>
      </w:r>
      <w:r>
        <w:rPr>
          <w:rFonts w:ascii="Times New Roman" w:hAnsi="Times New Roman" w:cs="Times New Roman" w:eastAsia="Times New Roman" w:hint="default"/>
        </w:rPr>
        <w:t>2012</w:t>
      </w:r>
      <w:r>
        <w:rPr/>
        <w:t>年度的公司及合并利润表、公司及合并 </w:t>
      </w:r>
      <w:r>
        <w:rPr>
          <w:spacing w:val="-2"/>
        </w:rPr>
        <w:t>股东权益变动表和公司及合并现金流量表以及财务报表附注进行审计并出具标准无保留意见的审计报告，对</w:t>
      </w:r>
      <w:r>
        <w:rPr>
          <w:rFonts w:ascii="Times New Roman" w:hAnsi="Times New Roman" w:cs="Times New Roman" w:eastAsia="Times New Roman" w:hint="default"/>
          <w:spacing w:val="-2"/>
        </w:rPr>
        <w:t>2012</w:t>
      </w:r>
      <w:r>
        <w:rPr>
          <w:spacing w:val="-2"/>
        </w:rPr>
        <w:t>年度募集资</w:t>
      </w:r>
      <w:r>
        <w:rPr>
          <w:spacing w:val="-60"/>
        </w:rPr>
        <w:t> </w:t>
      </w:r>
      <w:r>
        <w:rPr/>
        <w:t>金的使用情况、内部控制、关联方占用资金情况进行专项审核并发表鉴证意见。</w:t>
      </w:r>
    </w:p>
    <w:p>
      <w:pPr>
        <w:pStyle w:val="BodyText"/>
        <w:spacing w:line="319" w:lineRule="auto" w:before="70"/>
        <w:ind w:left="154" w:right="90"/>
        <w:jc w:val="left"/>
        <w:rPr>
          <w:rFonts w:ascii="宋体" w:hAnsi="宋体" w:cs="宋体" w:eastAsia="宋体" w:hint="default"/>
        </w:rPr>
      </w:pPr>
      <w:r>
        <w:rPr>
          <w:spacing w:val="-2"/>
        </w:rPr>
        <w:t>审计委员会经认真审议，认为：中瑞岳华会计师事务所（特殊普通合伙）具有证券审计从业资格，具有上市公司审计工作的</w:t>
      </w:r>
      <w:r>
        <w:rPr>
          <w:spacing w:val="-66"/>
        </w:rPr>
        <w:t> </w:t>
      </w:r>
      <w:r>
        <w:rPr>
          <w:spacing w:val="-66"/>
        </w:rPr>
      </w:r>
      <w:r>
        <w:rPr/>
        <w:t>丰富经验和职业素养，能够为公司提供高质量的审计服务，为公司出具的</w:t>
      </w:r>
      <w:r>
        <w:rPr>
          <w:rFonts w:ascii="Times New Roman" w:hAnsi="Times New Roman" w:cs="Times New Roman" w:eastAsia="Times New Roman" w:hint="default"/>
        </w:rPr>
        <w:t>2012</w:t>
      </w:r>
      <w:r>
        <w:rPr/>
        <w:t>年度审计报告客观、公正地反映了公司</w:t>
      </w:r>
      <w:r>
        <w:rPr>
          <w:rFonts w:ascii="Times New Roman" w:hAnsi="Times New Roman" w:cs="Times New Roman" w:eastAsia="Times New Roman" w:hint="default"/>
        </w:rPr>
        <w:t>2012 </w:t>
      </w:r>
      <w:r>
        <w:rPr/>
        <w:t>年的财务状况、经营成果和现金流量，同意继续聘请中瑞岳华会计师事务所（特殊普通合伙）为公司</w:t>
      </w:r>
      <w:r>
        <w:rPr>
          <w:spacing w:val="-19"/>
        </w:rPr>
        <w:t> </w:t>
      </w:r>
      <w:r>
        <w:rPr>
          <w:rFonts w:ascii="Times New Roman" w:hAnsi="Times New Roman" w:cs="Times New Roman" w:eastAsia="Times New Roman" w:hint="default"/>
        </w:rPr>
        <w:t>2013</w:t>
      </w:r>
      <w:r>
        <w:rPr/>
        <w:t>年度审计机构。 </w:t>
      </w:r>
      <w:r>
        <w:rPr>
          <w:rFonts w:ascii="Times New Roman" w:hAnsi="Times New Roman" w:cs="Times New Roman" w:eastAsia="Times New Roman" w:hint="default"/>
          <w:b/>
          <w:bCs/>
        </w:rPr>
        <w:t>4.2</w:t>
      </w:r>
      <w:r>
        <w:rPr>
          <w:rFonts w:ascii="Times New Roman" w:hAnsi="Times New Roman" w:cs="Times New Roman" w:eastAsia="Times New Roman" w:hint="default"/>
          <w:b/>
          <w:bCs/>
          <w:spacing w:val="28"/>
        </w:rPr>
        <w:t> </w:t>
      </w:r>
      <w:r>
        <w:rPr>
          <w:rFonts w:ascii="宋体" w:hAnsi="宋体" w:cs="宋体" w:eastAsia="宋体" w:hint="default"/>
          <w:b/>
          <w:bCs/>
        </w:rPr>
        <w:t>战略与投资委员会履职情况</w:t>
      </w:r>
      <w:r>
        <w:rPr>
          <w:rFonts w:ascii="宋体" w:hAnsi="宋体" w:cs="宋体" w:eastAsia="宋体" w:hint="default"/>
        </w:rPr>
      </w:r>
    </w:p>
    <w:p>
      <w:pPr>
        <w:spacing w:after="0" w:line="319" w:lineRule="auto"/>
        <w:jc w:val="left"/>
        <w:rPr>
          <w:rFonts w:ascii="宋体" w:hAnsi="宋体" w:cs="宋体" w:eastAsia="宋体" w:hint="default"/>
        </w:rPr>
        <w:sectPr>
          <w:pgSz w:w="11910" w:h="16840"/>
          <w:pgMar w:header="747" w:footer="982" w:top="1060" w:bottom="1180" w:left="980" w:right="940"/>
        </w:sectPr>
      </w:pPr>
    </w:p>
    <w:p>
      <w:pPr>
        <w:spacing w:line="240" w:lineRule="auto" w:before="13"/>
        <w:rPr>
          <w:rFonts w:ascii="宋体" w:hAnsi="宋体" w:cs="宋体" w:eastAsia="宋体" w:hint="default"/>
          <w:b/>
          <w:bCs/>
          <w:sz w:val="25"/>
          <w:szCs w:val="25"/>
        </w:rPr>
      </w:pPr>
    </w:p>
    <w:p>
      <w:pPr>
        <w:pStyle w:val="BodyText"/>
        <w:spacing w:line="240" w:lineRule="auto"/>
        <w:ind w:right="90"/>
        <w:jc w:val="left"/>
      </w:pPr>
      <w:r>
        <w:rPr>
          <w:rFonts w:ascii="Times New Roman" w:hAnsi="Times New Roman" w:cs="Times New Roman" w:eastAsia="Times New Roman" w:hint="default"/>
        </w:rPr>
        <w:t>2012</w:t>
      </w:r>
      <w:r>
        <w:rPr/>
        <w:t>年度，战略与投资委员会召开一次会议，具体情况如下：</w:t>
      </w:r>
    </w:p>
    <w:p>
      <w:pPr>
        <w:pStyle w:val="BodyText"/>
        <w:spacing w:line="240" w:lineRule="auto" w:before="102"/>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日，战略与投资委员会对公司增加经营范围的事项进行了审议，一致同意将该议案提交公司董事会审议。</w:t>
      </w:r>
    </w:p>
    <w:p>
      <w:pPr>
        <w:pStyle w:val="Heading7"/>
        <w:spacing w:line="240" w:lineRule="auto" w:before="103"/>
        <w:ind w:right="90"/>
        <w:jc w:val="left"/>
        <w:rPr>
          <w:b w:val="0"/>
          <w:bCs w:val="0"/>
        </w:rPr>
      </w:pPr>
      <w:r>
        <w:rPr>
          <w:rFonts w:ascii="Times New Roman" w:hAnsi="Times New Roman" w:cs="Times New Roman" w:eastAsia="Times New Roman" w:hint="default"/>
        </w:rPr>
        <w:t>4.3</w:t>
      </w:r>
      <w:r>
        <w:rPr>
          <w:rFonts w:ascii="Times New Roman" w:hAnsi="Times New Roman" w:cs="Times New Roman" w:eastAsia="Times New Roman" w:hint="default"/>
          <w:spacing w:val="29"/>
        </w:rPr>
        <w:t> </w:t>
      </w:r>
      <w:r>
        <w:rPr/>
        <w:t>提名委员会履职情况</w:t>
      </w:r>
      <w:r>
        <w:rPr>
          <w:b w:val="0"/>
          <w:bCs w:val="0"/>
        </w:rPr>
      </w:r>
    </w:p>
    <w:p>
      <w:pPr>
        <w:pStyle w:val="BodyText"/>
        <w:spacing w:line="240" w:lineRule="auto" w:before="102"/>
        <w:ind w:right="90"/>
        <w:jc w:val="left"/>
      </w:pPr>
      <w:r>
        <w:rPr>
          <w:rFonts w:ascii="Times New Roman" w:hAnsi="Times New Roman" w:cs="Times New Roman" w:eastAsia="Times New Roman" w:hint="default"/>
        </w:rPr>
        <w:t>2012</w:t>
      </w:r>
      <w:r>
        <w:rPr/>
        <w:t>年度，提名委员会未召开会议。</w:t>
      </w:r>
    </w:p>
    <w:p>
      <w:pPr>
        <w:pStyle w:val="Heading7"/>
        <w:spacing w:line="240" w:lineRule="auto" w:before="102"/>
        <w:ind w:right="90"/>
        <w:jc w:val="left"/>
        <w:rPr>
          <w:b w:val="0"/>
          <w:bCs w:val="0"/>
        </w:rPr>
      </w:pPr>
      <w:r>
        <w:rPr>
          <w:rFonts w:ascii="Times New Roman" w:hAnsi="Times New Roman" w:cs="Times New Roman" w:eastAsia="Times New Roman" w:hint="default"/>
        </w:rPr>
        <w:t>4.4</w:t>
      </w:r>
      <w:r>
        <w:rPr>
          <w:rFonts w:ascii="Times New Roman" w:hAnsi="Times New Roman" w:cs="Times New Roman" w:eastAsia="Times New Roman" w:hint="default"/>
          <w:spacing w:val="28"/>
        </w:rPr>
        <w:t> </w:t>
      </w:r>
      <w:r>
        <w:rPr/>
        <w:t>薪酬与考核委员会履职情况</w:t>
      </w:r>
      <w:r>
        <w:rPr>
          <w:b w:val="0"/>
          <w:bCs w:val="0"/>
        </w:rPr>
      </w:r>
    </w:p>
    <w:p>
      <w:pPr>
        <w:pStyle w:val="BodyText"/>
        <w:spacing w:line="240" w:lineRule="auto" w:before="103"/>
        <w:ind w:right="9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年度，薪酬和考核委员会召开会议一次，情况如下：</w:t>
      </w:r>
    </w:p>
    <w:p>
      <w:pPr>
        <w:pStyle w:val="BodyText"/>
        <w:spacing w:line="240" w:lineRule="auto" w:before="102"/>
        <w:ind w:right="9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日，薪酬和考核委员会对</w:t>
      </w:r>
      <w:r>
        <w:rPr>
          <w:rFonts w:ascii="Times New Roman" w:hAnsi="Times New Roman" w:cs="Times New Roman" w:eastAsia="Times New Roman" w:hint="default"/>
        </w:rPr>
        <w:t>2012</w:t>
      </w:r>
      <w:r>
        <w:rPr/>
        <w:t>年度高管薪酬的事项进行了审议讨论，并同意将该议案提交公司董事会审议。</w:t>
      </w:r>
    </w:p>
    <w:p>
      <w:pPr>
        <w:pStyle w:val="BodyText"/>
        <w:spacing w:line="319" w:lineRule="auto" w:before="102"/>
        <w:ind w:right="90"/>
        <w:jc w:val="left"/>
      </w:pPr>
      <w:r>
        <w:rPr/>
        <w:t>（</w:t>
      </w:r>
      <w:r>
        <w:rPr>
          <w:rFonts w:ascii="Times New Roman" w:hAnsi="Times New Roman" w:cs="Times New Roman" w:eastAsia="Times New Roman" w:hint="default"/>
        </w:rPr>
        <w:t>2</w:t>
      </w:r>
      <w:r>
        <w:rPr/>
        <w:t>）对公司董事、监事和高级管理人员披露薪酬的审核意见 </w:t>
      </w:r>
      <w:r>
        <w:rPr>
          <w:spacing w:val="-2"/>
        </w:rPr>
        <w:t>公司薪酬与考核委员会对公司</w:t>
      </w:r>
      <w:r>
        <w:rPr>
          <w:rFonts w:ascii="Times New Roman" w:hAnsi="Times New Roman" w:cs="Times New Roman" w:eastAsia="Times New Roman" w:hint="default"/>
          <w:spacing w:val="-2"/>
        </w:rPr>
        <w:t>2012</w:t>
      </w:r>
      <w:r>
        <w:rPr>
          <w:spacing w:val="-2"/>
        </w:rPr>
        <w:t>年度董事、监事、高级管理人员的薪酬情况进行了审核，认为公司董事、监事、高级管理</w:t>
      </w:r>
      <w:r>
        <w:rPr>
          <w:spacing w:val="-61"/>
        </w:rPr>
        <w:t> </w:t>
      </w:r>
      <w:r>
        <w:rPr>
          <w:spacing w:val="-61"/>
        </w:rPr>
      </w:r>
      <w:r>
        <w:rPr/>
        <w:t>人员</w:t>
      </w:r>
      <w:r>
        <w:rPr>
          <w:rFonts w:ascii="Times New Roman" w:hAnsi="Times New Roman" w:cs="Times New Roman" w:eastAsia="Times New Roman" w:hint="default"/>
        </w:rPr>
        <w:t>2012</w:t>
      </w:r>
      <w:r>
        <w:rPr/>
        <w:t>年度薪酬符合公司股东大会、董事会制定的相关制度和方案，符合公司的经营业绩和个人绩效。</w:t>
      </w:r>
    </w:p>
    <w:p>
      <w:pPr>
        <w:pStyle w:val="BodyText"/>
        <w:spacing w:line="319" w:lineRule="auto" w:before="36"/>
        <w:ind w:right="90"/>
        <w:jc w:val="left"/>
      </w:pPr>
      <w:r>
        <w:rPr/>
        <w:t>（</w:t>
      </w:r>
      <w:r>
        <w:rPr>
          <w:rFonts w:ascii="Times New Roman" w:hAnsi="Times New Roman" w:cs="Times New Roman" w:eastAsia="Times New Roman" w:hint="default"/>
        </w:rPr>
        <w:t>3</w:t>
      </w:r>
      <w:r>
        <w:rPr/>
        <w:t>）公司股权激励计划实施过程授权合规性核实情况 </w:t>
      </w:r>
      <w:r>
        <w:rPr>
          <w:spacing w:val="-1"/>
        </w:rPr>
        <w:t>报告期内，公司实施的股权激励计划</w:t>
      </w:r>
      <w:r>
        <w:rPr>
          <w:rFonts w:ascii="Times New Roman" w:hAnsi="Times New Roman" w:cs="Times New Roman" w:eastAsia="Times New Roman" w:hint="default"/>
          <w:spacing w:val="-1"/>
        </w:rPr>
        <w:t>(</w:t>
      </w:r>
      <w:r>
        <w:rPr>
          <w:spacing w:val="-1"/>
        </w:rPr>
        <w:t>草案修订案</w:t>
      </w:r>
      <w:r>
        <w:rPr>
          <w:rFonts w:ascii="Times New Roman" w:hAnsi="Times New Roman" w:cs="Times New Roman" w:eastAsia="Times New Roman" w:hint="default"/>
          <w:spacing w:val="-1"/>
        </w:rPr>
        <w:t>)</w:t>
      </w:r>
      <w:r>
        <w:rPr>
          <w:spacing w:val="-1"/>
        </w:rPr>
        <w:t>有利于进一步完善公司治理结构，健全公司激励机制，增强公司管理团队</w:t>
      </w:r>
      <w:r>
        <w:rPr>
          <w:spacing w:val="-59"/>
        </w:rPr>
        <w:t> </w:t>
      </w:r>
      <w:r>
        <w:rPr>
          <w:spacing w:val="-59"/>
        </w:rPr>
      </w:r>
      <w:r>
        <w:rPr/>
        <w:t>和业务骨干对实现公司持续、健康发展的责任感、使命感，有利于公司的持续发展，不会损害公司及全体股东的利益。</w:t>
      </w:r>
    </w:p>
    <w:p>
      <w:pPr>
        <w:pStyle w:val="BodyText"/>
        <w:spacing w:line="328" w:lineRule="auto" w:before="58"/>
        <w:ind w:right="90"/>
        <w:jc w:val="left"/>
      </w:pPr>
      <w:r>
        <w:rPr>
          <w:rFonts w:ascii="Times New Roman" w:hAnsi="Times New Roman" w:cs="Times New Roman" w:eastAsia="Times New Roman" w:hint="default"/>
          <w:b/>
          <w:bCs/>
        </w:rPr>
        <w:t>5</w:t>
      </w:r>
      <w:r>
        <w:rPr>
          <w:rFonts w:ascii="宋体" w:hAnsi="宋体" w:cs="宋体" w:eastAsia="宋体" w:hint="default"/>
          <w:b/>
          <w:bCs/>
        </w:rPr>
        <w:t>、监事会情况</w:t>
      </w:r>
      <w:r>
        <w:rPr>
          <w:rFonts w:ascii="宋体" w:hAnsi="宋体" w:cs="宋体" w:eastAsia="宋体" w:hint="default"/>
          <w:b/>
          <w:bCs/>
          <w:w w:val="99"/>
        </w:rPr>
        <w:t> </w:t>
      </w:r>
      <w:r>
        <w:rPr>
          <w:spacing w:val="-2"/>
        </w:rPr>
        <w:t>报告期内，公司监事会根据《公司法》、《证券法》、《公司章程》和《监事会议事规则》的有关规定，认真履行各项职权</w:t>
      </w:r>
      <w:r>
        <w:rPr>
          <w:spacing w:val="-72"/>
        </w:rPr>
        <w:t> </w:t>
      </w:r>
      <w:r>
        <w:rPr>
          <w:spacing w:val="-72"/>
        </w:rPr>
      </w:r>
      <w:r>
        <w:rPr/>
        <w:t>和义务，充分行使对公司董事及管理人员的监督职能，维护了股东的合法权益。</w:t>
      </w:r>
    </w:p>
    <w:p>
      <w:pPr>
        <w:spacing w:line="340" w:lineRule="auto" w:before="49"/>
        <w:ind w:left="153" w:right="531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报告期内监事会会议召开情况</w:t>
      </w:r>
      <w:r>
        <w:rPr>
          <w:rFonts w:ascii="宋体" w:hAnsi="宋体" w:cs="宋体" w:eastAsia="宋体" w:hint="default"/>
          <w:b/>
          <w:bCs/>
          <w:w w:val="99"/>
          <w:sz w:val="18"/>
          <w:szCs w:val="18"/>
        </w:rPr>
        <w:t> </w:t>
      </w:r>
      <w:r>
        <w:rPr>
          <w:rFonts w:ascii="宋体" w:hAnsi="宋体" w:cs="宋体" w:eastAsia="宋体" w:hint="default"/>
          <w:sz w:val="18"/>
          <w:szCs w:val="18"/>
        </w:rPr>
        <w:t>报告期内，公司共召开七次监事会会议。具体内容如下：</w:t>
      </w:r>
    </w:p>
    <w:p>
      <w:pPr>
        <w:spacing w:line="240" w:lineRule="auto" w:before="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278"/>
        <w:gridCol w:w="3745"/>
        <w:gridCol w:w="3635"/>
      </w:tblGrid>
      <w:tr>
        <w:trPr>
          <w:trHeight w:val="414"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36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召开时间</w:t>
            </w:r>
          </w:p>
        </w:tc>
      </w:tr>
      <w:tr>
        <w:trPr>
          <w:trHeight w:val="428" w:hRule="exact"/>
        </w:trPr>
        <w:tc>
          <w:tcPr>
            <w:tcW w:w="227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1</w:t>
            </w:r>
          </w:p>
        </w:tc>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第二届监事会第十二次</w:t>
            </w:r>
          </w:p>
        </w:tc>
        <w:tc>
          <w:tcPr>
            <w:tcW w:w="36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第二届监事会第十三次</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42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第二届监事会第十四次</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42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第二届监事会第十五次</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42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第二届监事会第十六次</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42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第二届监事会第十七次</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42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第二届监事会第十八次</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bl>
    <w:p>
      <w:pPr>
        <w:pStyle w:val="BodyText"/>
        <w:spacing w:line="319" w:lineRule="auto" w:before="51"/>
        <w:ind w:right="181"/>
        <w:jc w:val="left"/>
      </w:pPr>
      <w:r>
        <w:rPr/>
        <w:t>（</w:t>
      </w:r>
      <w:r>
        <w:rPr>
          <w:rFonts w:ascii="Times New Roman" w:hAnsi="Times New Roman" w:cs="Times New Roman" w:eastAsia="Times New Roman" w:hint="default"/>
        </w:rPr>
        <w:t>1</w:t>
      </w:r>
      <w:r>
        <w:rPr/>
        <w:t>）第二届监事会第十二次会议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日，在公司会议室以现场方式召开了第二届监事会第十二次会议，审议通过了《关于股票期权激励计划首次授 予相关事项的议案》。</w:t>
      </w:r>
    </w:p>
    <w:p>
      <w:pPr>
        <w:pStyle w:val="BodyText"/>
        <w:spacing w:line="319" w:lineRule="auto" w:before="56"/>
        <w:ind w:right="9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）第二届监事会第十三次会议 </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21</w:t>
      </w:r>
      <w:r>
        <w:rPr>
          <w:spacing w:val="-6"/>
        </w:rPr>
        <w:t>日，在公司会议室以现场方式召开了第二届监事会第十三次会议，审议通过了《</w:t>
      </w:r>
      <w:r>
        <w:rPr>
          <w:rFonts w:ascii="Times New Roman" w:hAnsi="Times New Roman" w:cs="Times New Roman" w:eastAsia="Times New Roman" w:hint="default"/>
          <w:spacing w:val="-6"/>
        </w:rPr>
        <w:t>2011</w:t>
      </w:r>
      <w:r>
        <w:rPr>
          <w:spacing w:val="-6"/>
        </w:rPr>
        <w:t>年年度报告及摘要》、《</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21"/>
        </w:rPr>
        <w:t> </w:t>
      </w:r>
      <w:r>
        <w:rPr>
          <w:spacing w:val="-2"/>
        </w:rPr>
        <w:t>年监事会工作报告》、《经审计的</w:t>
      </w:r>
      <w:r>
        <w:rPr>
          <w:rFonts w:ascii="Times New Roman" w:hAnsi="Times New Roman" w:cs="Times New Roman" w:eastAsia="Times New Roman" w:hint="default"/>
          <w:spacing w:val="-2"/>
        </w:rPr>
        <w:t>2011</w:t>
      </w:r>
      <w:r>
        <w:rPr>
          <w:spacing w:val="-2"/>
        </w:rPr>
        <w:t>年度财务报告》、《</w:t>
      </w:r>
      <w:r>
        <w:rPr>
          <w:rFonts w:ascii="Times New Roman" w:hAnsi="Times New Roman" w:cs="Times New Roman" w:eastAsia="Times New Roman" w:hint="default"/>
          <w:spacing w:val="-2"/>
        </w:rPr>
        <w:t>2011</w:t>
      </w:r>
      <w:r>
        <w:rPr>
          <w:spacing w:val="-2"/>
        </w:rPr>
        <w:t>年度利润分配方案》、《</w:t>
      </w:r>
      <w:r>
        <w:rPr>
          <w:rFonts w:ascii="Times New Roman" w:hAnsi="Times New Roman" w:cs="Times New Roman" w:eastAsia="Times New Roman" w:hint="default"/>
          <w:spacing w:val="-2"/>
        </w:rPr>
        <w:t>2012</w:t>
      </w:r>
      <w:r>
        <w:rPr>
          <w:spacing w:val="-2"/>
        </w:rPr>
        <w:t>年高管薪酬的议案》、《</w:t>
      </w:r>
      <w:r>
        <w:rPr>
          <w:rFonts w:ascii="Times New Roman" w:hAnsi="Times New Roman" w:cs="Times New Roman" w:eastAsia="Times New Roman" w:hint="default"/>
          <w:spacing w:val="-2"/>
        </w:rPr>
        <w:t>2011</w:t>
      </w:r>
    </w:p>
    <w:p>
      <w:pPr>
        <w:pStyle w:val="BodyText"/>
        <w:spacing w:line="302" w:lineRule="auto" w:before="0"/>
        <w:ind w:left="154" w:right="90"/>
        <w:jc w:val="left"/>
      </w:pPr>
      <w:r>
        <w:rPr>
          <w:spacing w:val="-2"/>
        </w:rPr>
        <w:t>年募集资金存放与使用情况专项报告》、《</w:t>
      </w:r>
      <w:r>
        <w:rPr>
          <w:rFonts w:ascii="Times New Roman" w:hAnsi="Times New Roman" w:cs="Times New Roman" w:eastAsia="Times New Roman" w:hint="default"/>
          <w:spacing w:val="-2"/>
        </w:rPr>
        <w:t>2011</w:t>
      </w:r>
      <w:r>
        <w:rPr>
          <w:spacing w:val="-2"/>
        </w:rPr>
        <w:t>年度内部控制自我评价报告》、《</w:t>
      </w:r>
      <w:r>
        <w:rPr>
          <w:rFonts w:ascii="Times New Roman" w:hAnsi="Times New Roman" w:cs="Times New Roman" w:eastAsia="Times New Roman" w:hint="default"/>
          <w:spacing w:val="-2"/>
        </w:rPr>
        <w:t>2011</w:t>
      </w:r>
      <w:r>
        <w:rPr>
          <w:spacing w:val="-2"/>
        </w:rPr>
        <w:t>年度社会责任报告》、《关于续聘会</w:t>
      </w:r>
      <w:r>
        <w:rPr>
          <w:spacing w:val="-60"/>
        </w:rPr>
        <w:t> </w:t>
      </w:r>
      <w:r>
        <w:rPr>
          <w:spacing w:val="-60"/>
        </w:rPr>
      </w:r>
      <w:r>
        <w:rPr/>
        <w:t>计师事务所的议案》、《</w:t>
      </w:r>
      <w:r>
        <w:rPr>
          <w:rFonts w:ascii="Times New Roman" w:hAnsi="Times New Roman" w:cs="Times New Roman" w:eastAsia="Times New Roman" w:hint="default"/>
        </w:rPr>
        <w:t>2011</w:t>
      </w:r>
      <w:r>
        <w:rPr/>
        <w:t>年控股股东及其他关联方占用资金情况的专项说明》。</w:t>
      </w:r>
    </w:p>
    <w:p>
      <w:pPr>
        <w:pStyle w:val="BodyText"/>
        <w:spacing w:line="240" w:lineRule="auto" w:before="52"/>
        <w:ind w:left="154" w:right="90"/>
        <w:jc w:val="left"/>
      </w:pPr>
      <w:r>
        <w:rPr/>
        <w:t>（</w:t>
      </w:r>
      <w:r>
        <w:rPr>
          <w:rFonts w:ascii="Times New Roman" w:hAnsi="Times New Roman" w:cs="Times New Roman" w:eastAsia="Times New Roman" w:hint="default"/>
        </w:rPr>
        <w:t>3</w:t>
      </w:r>
      <w:r>
        <w:rPr/>
        <w:t>）第二届监事会第十四次会议</w:t>
      </w:r>
    </w:p>
    <w:p>
      <w:pPr>
        <w:pStyle w:val="BodyText"/>
        <w:spacing w:line="240" w:lineRule="auto" w:before="101"/>
        <w:ind w:left="154" w:right="9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日，在公司会议室以现场方式召开了第二届监事会第十四次会议，审议通过了《关于使用超募资金收购金华威</w:t>
      </w:r>
    </w:p>
    <w:p>
      <w:pPr>
        <w:pStyle w:val="BodyText"/>
        <w:spacing w:line="240" w:lineRule="auto" w:before="64"/>
        <w:ind w:left="154" w:right="90"/>
        <w:jc w:val="left"/>
      </w:pPr>
      <w:r>
        <w:rPr>
          <w:rFonts w:ascii="Times New Roman" w:hAnsi="Times New Roman" w:cs="Times New Roman" w:eastAsia="Times New Roman" w:hint="default"/>
        </w:rPr>
        <w:t>10%</w:t>
      </w:r>
      <w:r>
        <w:rPr/>
        <w:t>股权的议案》。</w:t>
      </w:r>
    </w:p>
    <w:p>
      <w:pPr>
        <w:pStyle w:val="BodyText"/>
        <w:spacing w:line="240" w:lineRule="auto" w:before="102"/>
        <w:ind w:left="154" w:right="90"/>
        <w:jc w:val="left"/>
      </w:pPr>
      <w:r>
        <w:rPr/>
        <w:t>（</w:t>
      </w:r>
      <w:r>
        <w:rPr>
          <w:rFonts w:ascii="Times New Roman" w:hAnsi="Times New Roman" w:cs="Times New Roman" w:eastAsia="Times New Roman" w:hint="default"/>
        </w:rPr>
        <w:t>4</w:t>
      </w:r>
      <w:r>
        <w:rPr/>
        <w:t>）第二届监事会第十五次会议</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ind w:right="14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日，在公司会议室以现场方式召开了第二届监事会第十五次会议，审议通过了《</w:t>
      </w:r>
      <w:r>
        <w:rPr>
          <w:rFonts w:ascii="Times New Roman" w:hAnsi="Times New Roman" w:cs="Times New Roman" w:eastAsia="Times New Roman" w:hint="default"/>
        </w:rPr>
        <w:t>2012</w:t>
      </w:r>
      <w:r>
        <w:rPr/>
        <w:t>年第一季度报告》正文及 全文、《关于收购广州市易杰数码科技有限公司</w:t>
      </w:r>
      <w:r>
        <w:rPr>
          <w:rFonts w:ascii="Times New Roman" w:hAnsi="Times New Roman" w:cs="Times New Roman" w:eastAsia="Times New Roman" w:hint="default"/>
        </w:rPr>
        <w:t>30%</w:t>
      </w:r>
      <w:r>
        <w:rPr/>
        <w:t>股权的议案》。</w:t>
      </w:r>
    </w:p>
    <w:p>
      <w:pPr>
        <w:pStyle w:val="BodyText"/>
        <w:spacing w:line="319" w:lineRule="auto" w:before="50"/>
        <w:ind w:right="141"/>
        <w:jc w:val="left"/>
      </w:pPr>
      <w:r>
        <w:rPr/>
        <w:t>（</w:t>
      </w:r>
      <w:r>
        <w:rPr>
          <w:rFonts w:ascii="Times New Roman" w:hAnsi="Times New Roman" w:cs="Times New Roman" w:eastAsia="Times New Roman" w:hint="default"/>
        </w:rPr>
        <w:t>5</w:t>
      </w:r>
      <w:r>
        <w:rPr/>
        <w:t>）第二届监事会第十六次会议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日，在公司会议室以现场方式召开了第二届监事会第十六次会议，审议通过了《</w:t>
      </w:r>
      <w:r>
        <w:rPr>
          <w:rFonts w:ascii="Times New Roman" w:hAnsi="Times New Roman" w:cs="Times New Roman" w:eastAsia="Times New Roman" w:hint="default"/>
        </w:rPr>
        <w:t>2012</w:t>
      </w:r>
      <w:r>
        <w:rPr/>
        <w:t>年半年度报告》全文及摘 要。</w:t>
      </w:r>
    </w:p>
    <w:p>
      <w:pPr>
        <w:pStyle w:val="BodyText"/>
        <w:spacing w:line="319" w:lineRule="auto" w:before="56"/>
        <w:ind w:right="0"/>
        <w:jc w:val="left"/>
      </w:pPr>
      <w:r>
        <w:rPr/>
        <w:t>（</w:t>
      </w:r>
      <w:r>
        <w:rPr>
          <w:rFonts w:ascii="Times New Roman" w:hAnsi="Times New Roman" w:cs="Times New Roman" w:eastAsia="Times New Roman" w:hint="default"/>
        </w:rPr>
        <w:t>6</w:t>
      </w:r>
      <w:r>
        <w:rPr/>
        <w:t>）第二届监事会第十七次会议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日，在公司会议室以现场方式召开了第二届监事会第十七次会议，审议通过了《</w:t>
      </w:r>
      <w:r>
        <w:rPr>
          <w:rFonts w:ascii="Times New Roman" w:hAnsi="Times New Roman" w:cs="Times New Roman" w:eastAsia="Times New Roman" w:hint="default"/>
          <w:spacing w:val="-2"/>
        </w:rPr>
        <w:t>2012</w:t>
      </w:r>
      <w:r>
        <w:rPr>
          <w:spacing w:val="-2"/>
        </w:rPr>
        <w:t>年第三季度报告》正文及</w:t>
      </w:r>
      <w:r>
        <w:rPr>
          <w:spacing w:val="-54"/>
        </w:rPr>
        <w:t> </w:t>
      </w:r>
      <w:r>
        <w:rPr>
          <w:spacing w:val="-54"/>
        </w:rPr>
      </w:r>
      <w:r>
        <w:rPr/>
        <w:t>全文。</w:t>
      </w:r>
    </w:p>
    <w:p>
      <w:pPr>
        <w:pStyle w:val="BodyText"/>
        <w:spacing w:line="319" w:lineRule="auto" w:before="58"/>
        <w:ind w:right="141"/>
        <w:jc w:val="left"/>
      </w:pPr>
      <w:r>
        <w:rPr/>
        <w:t>（</w:t>
      </w:r>
      <w:r>
        <w:rPr>
          <w:rFonts w:ascii="Times New Roman" w:hAnsi="Times New Roman" w:cs="Times New Roman" w:eastAsia="Times New Roman" w:hint="default"/>
        </w:rPr>
        <w:t>7</w:t>
      </w:r>
      <w:r>
        <w:rPr/>
        <w:t>）第二届监事会第十八次会议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日，在公司会议室以现场方式召开了第二届监事会第十八次会议，审议通过了《关于改聘中瑞岳华会计师事务 </w:t>
      </w:r>
      <w:r>
        <w:rPr>
          <w:spacing w:val="-2"/>
        </w:rPr>
        <w:t>所（特殊普通合伙）为公司</w:t>
      </w:r>
      <w:r>
        <w:rPr>
          <w:rFonts w:ascii="Times New Roman" w:hAnsi="Times New Roman" w:cs="Times New Roman" w:eastAsia="Times New Roman" w:hint="default"/>
          <w:spacing w:val="-2"/>
        </w:rPr>
        <w:t>2012</w:t>
      </w:r>
      <w:r>
        <w:rPr>
          <w:spacing w:val="-2"/>
        </w:rPr>
        <w:t>年度审计机构的议案》、《关于对深圳市金华威数码科技有限公司提供担保的议案》、《关</w:t>
      </w:r>
    </w:p>
    <w:p>
      <w:pPr>
        <w:pStyle w:val="BodyText"/>
        <w:spacing w:line="234" w:lineRule="exact" w:before="0"/>
        <w:ind w:right="0"/>
        <w:jc w:val="left"/>
      </w:pPr>
      <w:r>
        <w:rPr/>
        <w:t>于合肥子公司研发基地抵押贷款并为其提供担保的议案》。</w:t>
      </w:r>
    </w:p>
    <w:p>
      <w:pPr>
        <w:pStyle w:val="BodyText"/>
        <w:spacing w:line="328" w:lineRule="auto" w:before="116"/>
        <w:ind w:right="0"/>
        <w:jc w:val="left"/>
      </w:pPr>
      <w:r>
        <w:rPr>
          <w:rFonts w:ascii="Times New Roman" w:hAnsi="Times New Roman" w:cs="Times New Roman" w:eastAsia="Times New Roman" w:hint="default"/>
          <w:b/>
          <w:bCs/>
        </w:rPr>
        <w:t>5.2</w:t>
      </w:r>
      <w:r>
        <w:rPr>
          <w:rFonts w:ascii="Times New Roman" w:hAnsi="Times New Roman" w:cs="Times New Roman" w:eastAsia="Times New Roman" w:hint="default"/>
          <w:b/>
          <w:bCs/>
          <w:spacing w:val="31"/>
        </w:rPr>
        <w:t> </w:t>
      </w:r>
      <w:r>
        <w:rPr>
          <w:rFonts w:ascii="宋体" w:hAnsi="宋体" w:cs="宋体" w:eastAsia="宋体" w:hint="default"/>
          <w:b/>
          <w:bCs/>
        </w:rPr>
        <w:t>监事会对公司报告期内有关事项的审核意见</w:t>
      </w:r>
      <w:r>
        <w:rPr>
          <w:rFonts w:ascii="宋体" w:hAnsi="宋体" w:cs="宋体" w:eastAsia="宋体" w:hint="default"/>
          <w:b/>
          <w:bCs/>
          <w:w w:val="99"/>
        </w:rPr>
        <w:t> </w:t>
      </w:r>
      <w:r>
        <w:rPr>
          <w:spacing w:val="-2"/>
        </w:rPr>
        <w:t>报告期内，公司监事会严格按照有关法律、法规及公司章程的规定，对公司依法运作情况、公司财务情况、募集资金投入情</w:t>
      </w:r>
      <w:r>
        <w:rPr>
          <w:spacing w:val="-66"/>
        </w:rPr>
        <w:t> </w:t>
      </w:r>
      <w:r>
        <w:rPr>
          <w:spacing w:val="-66"/>
        </w:rPr>
      </w:r>
      <w:r>
        <w:rPr/>
        <w:t>况、关联交易等事项进行了认真监督检查，根据检查结果，对报告期内公司有关情况发表如下独立意见：</w:t>
      </w:r>
    </w:p>
    <w:p>
      <w:pPr>
        <w:pStyle w:val="BodyText"/>
        <w:spacing w:line="319" w:lineRule="auto" w:before="49"/>
        <w:ind w:right="0"/>
        <w:jc w:val="left"/>
      </w:pPr>
      <w:r>
        <w:rPr/>
        <w:t>（</w:t>
      </w:r>
      <w:r>
        <w:rPr>
          <w:rFonts w:ascii="Times New Roman" w:hAnsi="Times New Roman" w:cs="Times New Roman" w:eastAsia="Times New Roman" w:hint="default"/>
        </w:rPr>
        <w:t>1</w:t>
      </w:r>
      <w:r>
        <w:rPr/>
        <w:t>）公司依法运作情况 </w:t>
      </w:r>
      <w:r>
        <w:rPr>
          <w:rFonts w:ascii="Times New Roman" w:hAnsi="Times New Roman" w:cs="Times New Roman" w:eastAsia="Times New Roman" w:hint="default"/>
          <w:spacing w:val="-2"/>
        </w:rPr>
        <w:t>2012</w:t>
      </w:r>
      <w:r>
        <w:rPr>
          <w:spacing w:val="-2"/>
        </w:rPr>
        <w:t>年，公司监事会依据《公司法》、《公司章程》、《监事会议事规则》等赋予的职权，积极参加股东大会，列席董事会</w:t>
      </w:r>
      <w:r>
        <w:rPr>
          <w:spacing w:val="-66"/>
        </w:rPr>
        <w:t> </w:t>
      </w:r>
      <w:r>
        <w:rPr>
          <w:spacing w:val="-66"/>
        </w:rPr>
      </w:r>
      <w:r>
        <w:rPr>
          <w:spacing w:val="-2"/>
        </w:rPr>
        <w:t>会议，对公司的决策程序、内部控制制度的建立与执行情况以及公司董事、高级管理人员履行职务情况进行了监督。监事会</w:t>
      </w:r>
      <w:r>
        <w:rPr>
          <w:spacing w:val="-66"/>
        </w:rPr>
        <w:t> </w:t>
      </w:r>
      <w:r>
        <w:rPr>
          <w:spacing w:val="-66"/>
        </w:rPr>
      </w:r>
      <w:r>
        <w:rPr>
          <w:spacing w:val="-2"/>
        </w:rPr>
        <w:t>认为：公司决策程序遵守了《公司法》、《证券法》等法律、法规以及《公司章程》等的相关规定。董事会运作规范、决策</w:t>
      </w:r>
      <w:r>
        <w:rPr>
          <w:spacing w:val="-70"/>
        </w:rPr>
        <w:t> </w:t>
      </w:r>
      <w:r>
        <w:rPr>
          <w:spacing w:val="-70"/>
        </w:rPr>
      </w:r>
      <w:r>
        <w:rPr>
          <w:spacing w:val="-2"/>
        </w:rPr>
        <w:t>合理、程序合法，认真执行股东大会的各项决议。公司董事、高级管理人员执行公司职务时忠于职守、勤勉尽责，不存在违</w:t>
      </w:r>
      <w:r>
        <w:rPr>
          <w:spacing w:val="-68"/>
        </w:rPr>
        <w:t> </w:t>
      </w:r>
      <w:r>
        <w:rPr>
          <w:spacing w:val="-68"/>
        </w:rPr>
      </w:r>
      <w:r>
        <w:rPr/>
        <w:t>反法律、法规、《公司章程》或损害公司利益的行为。</w:t>
      </w:r>
    </w:p>
    <w:p>
      <w:pPr>
        <w:pStyle w:val="BodyText"/>
        <w:spacing w:line="319" w:lineRule="auto" w:before="58"/>
        <w:ind w:right="0"/>
        <w:jc w:val="left"/>
      </w:pPr>
      <w:r>
        <w:rPr/>
        <w:t>（</w:t>
      </w:r>
      <w:r>
        <w:rPr>
          <w:rFonts w:ascii="Times New Roman" w:hAnsi="Times New Roman" w:cs="Times New Roman" w:eastAsia="Times New Roman" w:hint="default"/>
        </w:rPr>
        <w:t>2</w:t>
      </w:r>
      <w:r>
        <w:rPr/>
        <w:t>）公司财务情况 </w:t>
      </w:r>
      <w:r>
        <w:rPr>
          <w:spacing w:val="-2"/>
        </w:rPr>
        <w:t>监事会通过听取公司财务负责人等专项汇报、审议公司年度报告、查阅公司审计会计师审计资料底稿等方式，对公司财务运</w:t>
      </w:r>
      <w:r>
        <w:rPr>
          <w:spacing w:val="-66"/>
        </w:rPr>
        <w:t> </w:t>
      </w:r>
      <w:r>
        <w:rPr>
          <w:spacing w:val="-66"/>
        </w:rPr>
      </w:r>
      <w:r>
        <w:rPr>
          <w:spacing w:val="-2"/>
        </w:rPr>
        <w:t>作情况进行检查、监督，认为：</w:t>
      </w:r>
      <w:r>
        <w:rPr>
          <w:rFonts w:ascii="Times New Roman" w:hAnsi="Times New Roman" w:cs="Times New Roman" w:eastAsia="Times New Roman" w:hint="default"/>
          <w:spacing w:val="-2"/>
        </w:rPr>
        <w:t>2012</w:t>
      </w:r>
      <w:r>
        <w:rPr>
          <w:spacing w:val="-2"/>
        </w:rPr>
        <w:t>年度公司财务制度健全，各项费用提取合理，公司</w:t>
      </w:r>
      <w:r>
        <w:rPr>
          <w:rFonts w:ascii="Times New Roman" w:hAnsi="Times New Roman" w:cs="Times New Roman" w:eastAsia="Times New Roman" w:hint="default"/>
          <w:spacing w:val="-2"/>
        </w:rPr>
        <w:t>2012</w:t>
      </w:r>
      <w:r>
        <w:rPr>
          <w:spacing w:val="-2"/>
        </w:rPr>
        <w:t>年度财务报告真实地反映了公司</w:t>
      </w:r>
      <w:r>
        <w:rPr>
          <w:spacing w:val="-58"/>
        </w:rPr>
        <w:t> </w:t>
      </w:r>
      <w:r>
        <w:rPr>
          <w:rFonts w:ascii="Times New Roman" w:hAnsi="Times New Roman" w:cs="Times New Roman" w:eastAsia="Times New Roman" w:hint="default"/>
        </w:rPr>
        <w:t>2012</w:t>
      </w:r>
      <w:r>
        <w:rPr/>
        <w:t>年度的财务状况和经营成果。</w:t>
      </w:r>
    </w:p>
    <w:p>
      <w:pPr>
        <w:pStyle w:val="BodyText"/>
        <w:spacing w:line="328" w:lineRule="auto" w:before="36"/>
        <w:ind w:right="0"/>
        <w:jc w:val="left"/>
      </w:pPr>
      <w:r>
        <w:rPr/>
        <w:t>（</w:t>
      </w:r>
      <w:r>
        <w:rPr>
          <w:rFonts w:ascii="Times New Roman" w:hAnsi="Times New Roman" w:cs="Times New Roman" w:eastAsia="Times New Roman" w:hint="default"/>
        </w:rPr>
        <w:t>3</w:t>
      </w:r>
      <w:r>
        <w:rPr/>
        <w:t>）公司募集资金使用与管理情况 </w:t>
      </w:r>
      <w:r>
        <w:rPr>
          <w:spacing w:val="-2"/>
        </w:rPr>
        <w:t>经核查，公司募集资金实际投入项目与承诺投入项目一致，没有变更投向和用途，公司募集资金使用与管理符合全体股东的</w:t>
      </w:r>
      <w:r>
        <w:rPr>
          <w:spacing w:val="-66"/>
        </w:rPr>
        <w:t> </w:t>
      </w:r>
      <w:r>
        <w:rPr>
          <w:spacing w:val="-66"/>
        </w:rPr>
      </w:r>
      <w:r>
        <w:rPr/>
        <w:t>利益，符合有关法律、法规和《公司章程》及超募资金使用的相关规定。</w:t>
      </w:r>
    </w:p>
    <w:p>
      <w:pPr>
        <w:pStyle w:val="BodyText"/>
        <w:spacing w:line="336" w:lineRule="auto" w:before="49"/>
        <w:ind w:right="146"/>
        <w:jc w:val="left"/>
      </w:pPr>
      <w:r>
        <w:rPr/>
        <w:t>（</w:t>
      </w:r>
      <w:r>
        <w:rPr>
          <w:rFonts w:ascii="Times New Roman" w:hAnsi="Times New Roman" w:cs="Times New Roman" w:eastAsia="Times New Roman" w:hint="default"/>
        </w:rPr>
        <w:t>4</w:t>
      </w:r>
      <w:r>
        <w:rPr/>
        <w:t>）公司收购、出售资产交易情况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日第二届监事会第十四次会议审议通过了使用超募资金收购金华威</w:t>
      </w:r>
      <w:r>
        <w:rPr>
          <w:rFonts w:ascii="Times New Roman" w:hAnsi="Times New Roman" w:cs="Times New Roman" w:eastAsia="Times New Roman" w:hint="default"/>
        </w:rPr>
        <w:t>10%</w:t>
      </w:r>
      <w:r>
        <w:rPr/>
        <w:t>股权的议案。 </w:t>
      </w:r>
      <w:r>
        <w:rPr>
          <w:spacing w:val="-2"/>
        </w:rPr>
        <w:t>监事会认为：本次交易公开、公平、合理，表决程序合法有效，交易价格公允，符合全体股东的利益，符合有关法律、法规</w:t>
      </w:r>
      <w:r>
        <w:rPr>
          <w:spacing w:val="-67"/>
        </w:rPr>
        <w:t> </w:t>
      </w:r>
      <w:r>
        <w:rPr>
          <w:spacing w:val="-67"/>
        </w:rPr>
      </w:r>
      <w:r>
        <w:rPr/>
        <w:t>和《公司章程》及超募资金使用的相关规定。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日第二届监事会第十五次会议审议通过了关于收购广州市易杰数码科技有限公司</w:t>
      </w:r>
      <w:r>
        <w:rPr>
          <w:rFonts w:ascii="Times New Roman" w:hAnsi="Times New Roman" w:cs="Times New Roman" w:eastAsia="Times New Roman" w:hint="default"/>
        </w:rPr>
        <w:t>30%</w:t>
      </w:r>
      <w:r>
        <w:rPr/>
        <w:t>股权的议案。 </w:t>
      </w:r>
      <w:r>
        <w:rPr>
          <w:spacing w:val="-5"/>
        </w:rPr>
        <w:t>公司监事会认为，本次超募资金使用计划的表决程序合法有效，该投资项目符合全体股东的利益，符合有关法律、法规和《公</w:t>
      </w:r>
      <w:r>
        <w:rPr>
          <w:spacing w:val="-78"/>
        </w:rPr>
        <w:t> </w:t>
      </w:r>
      <w:r>
        <w:rPr>
          <w:spacing w:val="-78"/>
        </w:rPr>
      </w:r>
      <w:r>
        <w:rPr/>
        <w:t>司章程》及超募资金使用的相关规定。</w:t>
      </w:r>
    </w:p>
    <w:p>
      <w:pPr>
        <w:pStyle w:val="BodyText"/>
        <w:spacing w:line="319" w:lineRule="auto" w:before="45"/>
        <w:ind w:left="154" w:right="0"/>
        <w:jc w:val="left"/>
      </w:pPr>
      <w:r>
        <w:rPr/>
        <w:t>（</w:t>
      </w:r>
      <w:r>
        <w:rPr>
          <w:rFonts w:ascii="Times New Roman" w:hAnsi="Times New Roman" w:cs="Times New Roman" w:eastAsia="Times New Roman" w:hint="default"/>
        </w:rPr>
        <w:t>5</w:t>
      </w:r>
      <w:r>
        <w:rPr/>
        <w:t>）对内部控制自我评价报告的意见 </w:t>
      </w:r>
      <w:r>
        <w:rPr>
          <w:spacing w:val="-2"/>
        </w:rPr>
        <w:t>根据深圳证券交易所《上市公司内部控制指引》、《关于做好上市公司</w:t>
      </w:r>
      <w:r>
        <w:rPr>
          <w:rFonts w:ascii="Times New Roman" w:hAnsi="Times New Roman" w:cs="Times New Roman" w:eastAsia="Times New Roman" w:hint="default"/>
          <w:spacing w:val="-2"/>
        </w:rPr>
        <w:t>2012</w:t>
      </w:r>
      <w:r>
        <w:rPr>
          <w:spacing w:val="-2"/>
        </w:rPr>
        <w:t>年年度报告披露工作的通知》有关规定，监事会</w:t>
      </w:r>
      <w:r>
        <w:rPr>
          <w:spacing w:val="-63"/>
        </w:rPr>
        <w:t> </w:t>
      </w:r>
      <w:r>
        <w:rPr>
          <w:spacing w:val="-63"/>
        </w:rPr>
      </w:r>
      <w:r>
        <w:rPr>
          <w:spacing w:val="-2"/>
        </w:rPr>
        <w:t>对《</w:t>
      </w:r>
      <w:r>
        <w:rPr>
          <w:rFonts w:ascii="Times New Roman" w:hAnsi="Times New Roman" w:cs="Times New Roman" w:eastAsia="Times New Roman" w:hint="default"/>
          <w:spacing w:val="-2"/>
        </w:rPr>
        <w:t>2012</w:t>
      </w:r>
      <w:r>
        <w:rPr>
          <w:spacing w:val="-2"/>
        </w:rPr>
        <w:t>年度内部控制自我评价报告》发表意见如下：</w:t>
      </w:r>
      <w:r>
        <w:rPr>
          <w:rFonts w:ascii="Times New Roman" w:hAnsi="Times New Roman" w:cs="Times New Roman" w:eastAsia="Times New Roman" w:hint="default"/>
          <w:spacing w:val="-2"/>
        </w:rPr>
        <w:t>2012</w:t>
      </w:r>
      <w:r>
        <w:rPr>
          <w:spacing w:val="-2"/>
        </w:rPr>
        <w:t>年度，公司按照《公司法》、《证券法》以及深圳证券交易所有</w:t>
      </w:r>
    </w:p>
    <w:p>
      <w:pPr>
        <w:pStyle w:val="BodyText"/>
        <w:spacing w:line="312" w:lineRule="auto" w:before="0"/>
        <w:ind w:left="154" w:right="149"/>
        <w:jc w:val="both"/>
      </w:pPr>
      <w:r>
        <w:rPr>
          <w:spacing w:val="-2"/>
        </w:rPr>
        <w:t>关创业板上市公司的有关规定，制订了各项内控制度，形成了比较系统的公司治理框架，完善了公司法人治理结构，建立了</w:t>
      </w:r>
      <w:r>
        <w:rPr>
          <w:spacing w:val="-66"/>
        </w:rPr>
        <w:t> </w:t>
      </w:r>
      <w:r>
        <w:rPr>
          <w:spacing w:val="-66"/>
        </w:rPr>
      </w:r>
      <w:r>
        <w:rPr>
          <w:spacing w:val="-2"/>
        </w:rPr>
        <w:t>公司规范运行的内部控制环境。保证了公司各项业务活动的有序、有效开展，保护了公司资产的安全、完整，维护了公司及</w:t>
      </w:r>
      <w:r>
        <w:rPr>
          <w:spacing w:val="-66"/>
        </w:rPr>
        <w:t> </w:t>
      </w:r>
      <w:r>
        <w:rPr>
          <w:spacing w:val="-66"/>
        </w:rPr>
      </w:r>
      <w:r>
        <w:rPr>
          <w:spacing w:val="-2"/>
        </w:rPr>
        <w:t>股东的利益。公司内部控制组织机构完整，内部控制重点活动执行及监督充分有效。公司</w:t>
      </w:r>
      <w:r>
        <w:rPr>
          <w:rFonts w:ascii="Times New Roman" w:hAnsi="Times New Roman" w:cs="Times New Roman" w:eastAsia="Times New Roman" w:hint="default"/>
          <w:spacing w:val="-2"/>
        </w:rPr>
        <w:t>2012</w:t>
      </w:r>
      <w:r>
        <w:rPr>
          <w:spacing w:val="-2"/>
        </w:rPr>
        <w:t>年度内部控制自我评价报告是</w:t>
      </w:r>
      <w:r>
        <w:rPr>
          <w:spacing w:val="-62"/>
        </w:rPr>
        <w:t> </w:t>
      </w:r>
      <w:r>
        <w:rPr/>
        <w:t>真实、有效的。同时，公司董事会对《</w:t>
      </w:r>
      <w:r>
        <w:rPr>
          <w:rFonts w:ascii="Times New Roman" w:hAnsi="Times New Roman" w:cs="Times New Roman" w:eastAsia="Times New Roman" w:hint="default"/>
        </w:rPr>
        <w:t>2011</w:t>
      </w:r>
      <w:r>
        <w:rPr/>
        <w:t>年度内部控制自我评价报告》无异议。</w:t>
      </w:r>
    </w:p>
    <w:p>
      <w:pPr>
        <w:spacing w:after="0" w:line="312"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19" w:lineRule="auto"/>
        <w:ind w:right="90"/>
        <w:jc w:val="left"/>
      </w:pPr>
      <w:r>
        <w:rPr/>
        <w:t>（</w:t>
      </w:r>
      <w:r>
        <w:rPr>
          <w:rFonts w:ascii="Times New Roman" w:hAnsi="Times New Roman" w:cs="Times New Roman" w:eastAsia="Times New Roman" w:hint="default"/>
        </w:rPr>
        <w:t>6</w:t>
      </w:r>
      <w:r>
        <w:rPr/>
        <w:t>）对社会责任报告的意见 </w:t>
      </w:r>
      <w:r>
        <w:rPr>
          <w:spacing w:val="-2"/>
        </w:rPr>
        <w:t>监事会对公司编制的社会责任报告进行了细致的阅读和审核，监事会认为：</w:t>
      </w:r>
      <w:r>
        <w:rPr>
          <w:rFonts w:ascii="Times New Roman" w:hAnsi="Times New Roman" w:cs="Times New Roman" w:eastAsia="Times New Roman" w:hint="default"/>
          <w:spacing w:val="-2"/>
        </w:rPr>
        <w:t>2012</w:t>
      </w:r>
      <w:r>
        <w:rPr>
          <w:spacing w:val="-2"/>
        </w:rPr>
        <w:t>年年度社会责任报告从经济、社会和环境等</w:t>
      </w:r>
      <w:r>
        <w:rPr>
          <w:spacing w:val="-62"/>
        </w:rPr>
        <w:t> </w:t>
      </w:r>
      <w:r>
        <w:rPr>
          <w:spacing w:val="-62"/>
        </w:rPr>
      </w:r>
      <w:r>
        <w:rPr>
          <w:spacing w:val="-2"/>
        </w:rPr>
        <w:t>各方面披露了公司的相关战略、政策、管理和绩效，体现了公司勇于承担社会责任，实现企业价值的勇气。公司发布社会责</w:t>
      </w:r>
      <w:r>
        <w:rPr>
          <w:spacing w:val="-66"/>
        </w:rPr>
        <w:t> </w:t>
      </w:r>
      <w:r>
        <w:rPr>
          <w:spacing w:val="-66"/>
        </w:rPr>
      </w:r>
      <w:r>
        <w:rPr/>
        <w:t>任报告能够起到提升企业社会形象，加强企业与外部沟通、提高风险管理能力和提升企业管理绩效的作用。</w:t>
      </w:r>
    </w:p>
    <w:p>
      <w:pPr>
        <w:pStyle w:val="BodyText"/>
        <w:spacing w:line="319" w:lineRule="auto" w:before="58"/>
        <w:ind w:right="91"/>
        <w:jc w:val="left"/>
      </w:pPr>
      <w:r>
        <w:rPr/>
        <w:t>（</w:t>
      </w:r>
      <w:r>
        <w:rPr>
          <w:rFonts w:ascii="Times New Roman" w:hAnsi="Times New Roman" w:cs="Times New Roman" w:eastAsia="Times New Roman" w:hint="default"/>
        </w:rPr>
        <w:t>7</w:t>
      </w:r>
      <w:r>
        <w:rPr/>
        <w:t>）对公司</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年年度报告的审核意见 </w:t>
      </w:r>
      <w:r>
        <w:rPr>
          <w:spacing w:val="-2"/>
        </w:rPr>
        <w:t>监事会根据《证券法》第</w:t>
      </w:r>
      <w:r>
        <w:rPr>
          <w:rFonts w:ascii="Times New Roman" w:hAnsi="Times New Roman" w:cs="Times New Roman" w:eastAsia="Times New Roman" w:hint="default"/>
          <w:spacing w:val="-2"/>
        </w:rPr>
        <w:t>68</w:t>
      </w:r>
      <w:r>
        <w:rPr>
          <w:spacing w:val="-2"/>
        </w:rPr>
        <w:t>条和《公开发行证券的公司信息披露内容与格式准则第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创业板上市公司年度报告的内容</w:t>
      </w:r>
      <w:r>
        <w:rPr>
          <w:spacing w:val="-62"/>
        </w:rPr>
        <w:t> </w:t>
      </w:r>
      <w:r>
        <w:rPr/>
        <w:t>与格式（修订）》的相关规定，对董事会编制的</w:t>
      </w:r>
      <w:r>
        <w:rPr>
          <w:rFonts w:ascii="Times New Roman" w:hAnsi="Times New Roman" w:cs="Times New Roman" w:eastAsia="Times New Roman" w:hint="default"/>
        </w:rPr>
        <w:t>2012</w:t>
      </w:r>
      <w:r>
        <w:rPr/>
        <w:t>年度报告进行了认真审核。通过审核，监事会提出如下书面审核意见：</w:t>
      </w:r>
    </w:p>
    <w:p>
      <w:pPr>
        <w:pStyle w:val="BodyText"/>
        <w:spacing w:line="302" w:lineRule="auto" w:before="0"/>
        <w:ind w:right="90"/>
        <w:jc w:val="left"/>
      </w:pPr>
      <w:r>
        <w:rPr>
          <w:spacing w:val="-2"/>
        </w:rPr>
        <w:t>董事会编制和审核公司</w:t>
      </w:r>
      <w:r>
        <w:rPr>
          <w:rFonts w:ascii="Times New Roman" w:hAnsi="Times New Roman" w:cs="Times New Roman" w:eastAsia="Times New Roman" w:hint="default"/>
          <w:spacing w:val="-2"/>
        </w:rPr>
        <w:t>2012</w:t>
      </w:r>
      <w:r>
        <w:rPr>
          <w:spacing w:val="-2"/>
        </w:rPr>
        <w:t>年年度报告的程序符合法律、行政法规和中国证监会的规定，报告内容真实、准确、完整地反映</w:t>
      </w:r>
      <w:r>
        <w:rPr>
          <w:spacing w:val="-62"/>
        </w:rPr>
        <w:t> </w:t>
      </w:r>
      <w:r>
        <w:rPr>
          <w:spacing w:val="-62"/>
        </w:rPr>
      </w:r>
      <w:r>
        <w:rPr/>
        <w:t>了公司</w:t>
      </w:r>
      <w:r>
        <w:rPr>
          <w:rFonts w:ascii="Times New Roman" w:hAnsi="Times New Roman" w:cs="Times New Roman" w:eastAsia="Times New Roman" w:hint="default"/>
        </w:rPr>
        <w:t>2012</w:t>
      </w:r>
      <w:r>
        <w:rPr/>
        <w:t>年度经营的的实际情况，不存在任何虚假、误导性陈述或者重大遗漏。</w:t>
      </w:r>
    </w:p>
    <w:p>
      <w:pPr>
        <w:pStyle w:val="BodyText"/>
        <w:spacing w:line="338" w:lineRule="auto" w:before="50"/>
        <w:ind w:left="513" w:right="90" w:hanging="360"/>
        <w:jc w:val="left"/>
      </w:pPr>
      <w:r>
        <w:rPr/>
        <w:t>（</w:t>
      </w:r>
      <w:r>
        <w:rPr>
          <w:rFonts w:ascii="Times New Roman" w:hAnsi="Times New Roman" w:cs="Times New Roman" w:eastAsia="Times New Roman" w:hint="default"/>
        </w:rPr>
        <w:t>8</w:t>
      </w:r>
      <w:r>
        <w:rPr/>
        <w:t>）对公司</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年年度财务报告的审核意见 </w:t>
      </w:r>
      <w:r>
        <w:rPr>
          <w:spacing w:val="-2"/>
        </w:rPr>
        <w:t>监事会对中瑞岳华会计师事务所（特殊普通合伙）出具的关于</w:t>
      </w:r>
      <w:r>
        <w:rPr>
          <w:rFonts w:ascii="Times New Roman" w:hAnsi="Times New Roman" w:cs="Times New Roman" w:eastAsia="Times New Roman" w:hint="default"/>
          <w:spacing w:val="-2"/>
        </w:rPr>
        <w:t>2012</w:t>
      </w:r>
      <w:r>
        <w:rPr>
          <w:spacing w:val="-2"/>
        </w:rPr>
        <w:t>年年度财务报告的标准无保留意见的审计报告进行了</w:t>
      </w:r>
    </w:p>
    <w:p>
      <w:pPr>
        <w:pStyle w:val="BodyText"/>
        <w:spacing w:line="230" w:lineRule="exact" w:before="0"/>
        <w:ind w:right="0"/>
        <w:jc w:val="left"/>
      </w:pPr>
      <w:r>
        <w:rPr/>
        <w:t>仔细检查。通过检查，监事会提出如下书面审核意见：公司</w:t>
      </w:r>
      <w:r>
        <w:rPr>
          <w:rFonts w:ascii="Times New Roman" w:hAnsi="Times New Roman" w:cs="Times New Roman" w:eastAsia="Times New Roman" w:hint="default"/>
        </w:rPr>
        <w:t>2012</w:t>
      </w:r>
      <w:r>
        <w:rPr/>
        <w:t>年年度财务报告真实可靠，在所有重大方面公允地反映了公</w:t>
      </w:r>
    </w:p>
    <w:p>
      <w:pPr>
        <w:pStyle w:val="BodyText"/>
        <w:spacing w:line="240" w:lineRule="auto" w:before="64"/>
        <w:ind w:right="90"/>
        <w:jc w:val="left"/>
      </w:pPr>
      <w:r>
        <w:rPr/>
        <w:t>司的财务状况和经营成果。</w:t>
      </w:r>
    </w:p>
    <w:p>
      <w:pPr>
        <w:pStyle w:val="BodyText"/>
        <w:spacing w:line="321" w:lineRule="auto" w:before="116"/>
        <w:ind w:right="90"/>
        <w:jc w:val="left"/>
      </w:pPr>
      <w:r>
        <w:rPr/>
        <w:t>（</w:t>
      </w:r>
      <w:r>
        <w:rPr>
          <w:rFonts w:ascii="Times New Roman" w:hAnsi="Times New Roman" w:cs="Times New Roman" w:eastAsia="Times New Roman" w:hint="default"/>
        </w:rPr>
        <w:t>9</w:t>
      </w:r>
      <w:r>
        <w:rPr/>
        <w:t>）对公司建立和实施内幕信息知情人管理制度的核查意见 </w:t>
      </w:r>
      <w:r>
        <w:rPr>
          <w:spacing w:val="-2"/>
        </w:rPr>
        <w:t>公司监事会对报告期内公司建立和实施内幕信息知情人管理制度的情况进行了核查，监事会认为：公司已根据相关法律法规</w:t>
      </w:r>
      <w:r>
        <w:rPr>
          <w:spacing w:val="-64"/>
        </w:rPr>
        <w:t> </w:t>
      </w:r>
      <w:r>
        <w:rPr>
          <w:spacing w:val="-64"/>
        </w:rPr>
      </w:r>
      <w:r>
        <w:rPr>
          <w:spacing w:val="-2"/>
        </w:rPr>
        <w:t>的要求，建立了内幕信息知情人管理制度体系。报告期内，公司严格执行内幕信息保密制度，严格规范信息传递流程，公司</w:t>
      </w:r>
      <w:r>
        <w:rPr>
          <w:spacing w:val="-66"/>
        </w:rPr>
        <w:t> </w:t>
      </w:r>
      <w:r>
        <w:rPr>
          <w:spacing w:val="-66"/>
        </w:rPr>
      </w:r>
      <w:r>
        <w:rPr>
          <w:spacing w:val="-2"/>
        </w:rPr>
        <w:t>董事、监事及高级管理人员和其他相关知情人严格遵守了内幕信息知情人管理制度，未发现有内幕信息知情人利用内幕信息</w:t>
      </w:r>
      <w:r>
        <w:rPr>
          <w:spacing w:val="-64"/>
        </w:rPr>
        <w:t> </w:t>
      </w:r>
      <w:r>
        <w:rPr>
          <w:spacing w:val="-64"/>
        </w:rPr>
      </w:r>
      <w:r>
        <w:rPr>
          <w:spacing w:val="-2"/>
        </w:rPr>
        <w:t>买卖本公司股份的情况，也未发生受到监管部门查处和整改的情形。公司将会依据相关法律法规以及《关于要求深圳上市公</w:t>
      </w:r>
      <w:r>
        <w:rPr>
          <w:spacing w:val="-66"/>
        </w:rPr>
        <w:t> </w:t>
      </w:r>
      <w:r>
        <w:rPr>
          <w:spacing w:val="-66"/>
        </w:rPr>
      </w:r>
      <w:r>
        <w:rPr/>
        <w:t>司进一步做好内幕信息管理有关工作的通知》等一系列通知的要求，进一步完善内幕信息知情人管理工作。</w:t>
      </w:r>
    </w:p>
    <w:p>
      <w:pPr>
        <w:pStyle w:val="BodyText"/>
        <w:spacing w:line="321" w:lineRule="auto" w:before="56"/>
        <w:ind w:right="91"/>
        <w:jc w:val="left"/>
      </w:pPr>
      <w:r>
        <w:rPr>
          <w:rFonts w:ascii="Times New Roman" w:hAnsi="Times New Roman" w:cs="Times New Roman" w:eastAsia="Times New Roman" w:hint="default"/>
          <w:b/>
          <w:bCs/>
        </w:rPr>
        <w:t>6</w:t>
      </w:r>
      <w:r>
        <w:rPr>
          <w:rFonts w:ascii="宋体" w:hAnsi="宋体" w:cs="宋体" w:eastAsia="宋体" w:hint="default"/>
          <w:b/>
          <w:bCs/>
        </w:rPr>
        <w:t>、公司内部控制制度的建立健全情况</w:t>
      </w:r>
      <w:r>
        <w:rPr>
          <w:rFonts w:ascii="宋体" w:hAnsi="宋体" w:cs="宋体" w:eastAsia="宋体" w:hint="default"/>
          <w:b/>
          <w:bCs/>
          <w:w w:val="99"/>
        </w:rPr>
        <w:t> </w:t>
      </w:r>
      <w:r>
        <w:rPr>
          <w:spacing w:val="-2"/>
        </w:rPr>
        <w:t>公司自上市以来，严格按照《公司法》、《证券法》、《深圳证券交易所创业板股票上市规则》以及中国证监会有关法律法</w:t>
      </w:r>
      <w:r>
        <w:rPr>
          <w:spacing w:val="-68"/>
        </w:rPr>
        <w:t> </w:t>
      </w:r>
      <w:r>
        <w:rPr>
          <w:spacing w:val="-68"/>
        </w:rPr>
      </w:r>
      <w:r>
        <w:rPr/>
        <w:t>规的要求，规范运作，完善公司法人治理结构。公司致力于建立完善的内部控制体系，公司按照《企业内部控制基本规范》 </w:t>
      </w:r>
      <w:r>
        <w:rPr>
          <w:spacing w:val="-2"/>
        </w:rPr>
        <w:t>和《企业内部控制配套指引》的相关要求建立健全并有效执行内部控制制度，目前已建立起较为健全的内部控制制度，整套</w:t>
      </w:r>
      <w:r>
        <w:rPr>
          <w:spacing w:val="-66"/>
        </w:rPr>
        <w:t> </w:t>
      </w:r>
      <w:r>
        <w:rPr>
          <w:spacing w:val="-66"/>
        </w:rPr>
      </w:r>
      <w:r>
        <w:rPr>
          <w:spacing w:val="-2"/>
        </w:rPr>
        <w:t>内部控制制度包括法人治理、生产经营、财务管理、行政及人力资源管理、信息披露等方面，基本涵盖公司经营管理的各层</w:t>
      </w:r>
      <w:r>
        <w:rPr>
          <w:spacing w:val="-66"/>
        </w:rPr>
        <w:t> </w:t>
      </w:r>
      <w:r>
        <w:rPr>
          <w:spacing w:val="-66"/>
        </w:rPr>
      </w:r>
      <w:r>
        <w:rPr>
          <w:spacing w:val="-2"/>
        </w:rPr>
        <w:t>面和各主要业务环节。通过对公司各项治理制度的规范和落实，公司的治理水平不断提高。有效的保证了公司经营效益水平</w:t>
      </w:r>
      <w:r>
        <w:rPr>
          <w:spacing w:val="-66"/>
        </w:rPr>
        <w:t> </w:t>
      </w:r>
      <w:r>
        <w:rPr>
          <w:spacing w:val="-66"/>
        </w:rPr>
      </w:r>
      <w:r>
        <w:rPr/>
        <w:t>的不断提升和战略目标的实现。</w:t>
      </w:r>
    </w:p>
    <w:p>
      <w:pPr>
        <w:pStyle w:val="BodyText"/>
        <w:spacing w:line="338" w:lineRule="auto" w:before="55"/>
        <w:ind w:right="90"/>
        <w:jc w:val="left"/>
      </w:pPr>
      <w:r>
        <w:rPr/>
        <w:t>（</w:t>
      </w:r>
      <w:r>
        <w:rPr>
          <w:rFonts w:ascii="Times New Roman" w:hAnsi="Times New Roman" w:cs="Times New Roman" w:eastAsia="Times New Roman" w:hint="default"/>
        </w:rPr>
        <w:t>1</w:t>
      </w:r>
      <w:r>
        <w:rPr/>
        <w:t>）法人治理方面 </w:t>
      </w:r>
      <w:r>
        <w:rPr>
          <w:spacing w:val="-4"/>
        </w:rPr>
        <w:t>公司于第二届董事会第一次会议和第二届董事会第六次会议对《公司章程》、《股东大会议事规则》、《董事会议事规则》、</w:t>
      </w:r>
    </w:p>
    <w:p>
      <w:pPr>
        <w:pStyle w:val="BodyText"/>
        <w:spacing w:line="319" w:lineRule="auto" w:before="2"/>
        <w:ind w:right="101"/>
        <w:jc w:val="both"/>
      </w:pPr>
      <w:r>
        <w:rPr>
          <w:spacing w:val="-2"/>
        </w:rPr>
        <w:t>《监事会议事规则》、《总经理工作细则》、《董事会秘书工作细则》、《董事会专门委员会工作细则》、《独立董事工作</w:t>
      </w:r>
      <w:r>
        <w:rPr>
          <w:spacing w:val="-70"/>
        </w:rPr>
        <w:t> </w:t>
      </w:r>
      <w:r>
        <w:rPr>
          <w:spacing w:val="-70"/>
        </w:rPr>
      </w:r>
      <w:r>
        <w:rPr>
          <w:spacing w:val="-2"/>
        </w:rPr>
        <w:t>制度》《董事、监事和高级管理人员所持本公司股份及其变动管理制度》等制度进行了修订，并审议通过了《董事、监事和</w:t>
      </w:r>
      <w:r>
        <w:rPr>
          <w:spacing w:val="-65"/>
        </w:rPr>
        <w:t> </w:t>
      </w:r>
      <w:r>
        <w:rPr>
          <w:spacing w:val="-65"/>
        </w:rPr>
      </w:r>
      <w:r>
        <w:rPr>
          <w:spacing w:val="-2"/>
        </w:rPr>
        <w:t>高级管理人员所持本公司股份及其变动管理制度》、《内幕信息知情人登记制度》、《独立董事年报工作规程》、《审计委</w:t>
      </w:r>
      <w:r>
        <w:rPr>
          <w:spacing w:val="-70"/>
        </w:rPr>
        <w:t> </w:t>
      </w:r>
      <w:r>
        <w:rPr>
          <w:spacing w:val="-70"/>
        </w:rPr>
      </w:r>
      <w:r>
        <w:rPr>
          <w:spacing w:val="-2"/>
        </w:rPr>
        <w:t>员会年报工作规程》、《会计师事务所选聘制度》、《防范大股东及其关联方资金占用制度》、《子公司管理制度》、《内</w:t>
      </w:r>
      <w:r>
        <w:rPr>
          <w:spacing w:val="-71"/>
        </w:rPr>
        <w:t> </w:t>
      </w:r>
      <w:r>
        <w:rPr>
          <w:spacing w:val="-71"/>
        </w:rPr>
      </w:r>
      <w:r>
        <w:rPr>
          <w:spacing w:val="-7"/>
        </w:rPr>
        <w:t>部审计制度》等制度。第二届董事会第十一次会议审议通过了《薪酬委员会议事规则》、《股票期权激励计划考核管理办法》。</w:t>
      </w:r>
    </w:p>
    <w:p>
      <w:pPr>
        <w:pStyle w:val="BodyText"/>
        <w:spacing w:line="357" w:lineRule="auto" w:before="56"/>
        <w:ind w:right="2071"/>
        <w:jc w:val="left"/>
      </w:pPr>
      <w:r>
        <w:rPr/>
        <w:t>第二届董事会第十七次会议对《内幕信息知情人登记制度》、《募集资金管理办法》进行了修订。 这些制度对完善公司治理结构，规范公司决策和运作发挥着重要的作用。</w:t>
      </w:r>
    </w:p>
    <w:p>
      <w:pPr>
        <w:pStyle w:val="BodyText"/>
        <w:spacing w:line="324" w:lineRule="auto" w:before="29"/>
        <w:ind w:right="91"/>
        <w:jc w:val="left"/>
      </w:pPr>
      <w:r>
        <w:rPr/>
        <w:t>（</w:t>
      </w:r>
      <w:r>
        <w:rPr>
          <w:rFonts w:ascii="Times New Roman" w:hAnsi="Times New Roman" w:cs="Times New Roman" w:eastAsia="Times New Roman" w:hint="default"/>
        </w:rPr>
        <w:t>2</w:t>
      </w:r>
      <w:r>
        <w:rPr/>
        <w:t>）经营管理方面 </w:t>
      </w:r>
      <w:r>
        <w:rPr>
          <w:spacing w:val="-2"/>
        </w:rPr>
        <w:t>为规范经营管理，公司各研发、运营、销售部门都制订了详细的经营管理制度。公司于第二届董事会第一次会议和第二届董</w:t>
      </w:r>
      <w:r>
        <w:rPr>
          <w:spacing w:val="-66"/>
        </w:rPr>
        <w:t> </w:t>
      </w:r>
      <w:r>
        <w:rPr>
          <w:spacing w:val="-66"/>
        </w:rPr>
      </w:r>
      <w:r>
        <w:rPr/>
        <w:t>事会第六次会议修订了《关联交易公允决策制度》、《投资管理制度》、《对外担保管理制度》、《投资者关系管理制度》 等制度，在具体业务管理方面，公司也制订了一系列规范文件，保证各项业务有章可循，规范操作。</w:t>
      </w:r>
    </w:p>
    <w:p>
      <w:pPr>
        <w:pStyle w:val="BodyText"/>
        <w:spacing w:line="328" w:lineRule="auto" w:before="53"/>
        <w:ind w:right="90"/>
        <w:jc w:val="left"/>
      </w:pPr>
      <w:r>
        <w:rPr/>
        <w:t>（</w:t>
      </w:r>
      <w:r>
        <w:rPr>
          <w:rFonts w:ascii="Times New Roman" w:hAnsi="Times New Roman" w:cs="Times New Roman" w:eastAsia="Times New Roman" w:hint="default"/>
        </w:rPr>
        <w:t>3</w:t>
      </w:r>
      <w:r>
        <w:rPr/>
        <w:t>）财务管理方面 </w:t>
      </w:r>
      <w:r>
        <w:rPr>
          <w:spacing w:val="-2"/>
        </w:rPr>
        <w:t>公司已基本建立一套与公司财务信息相关的、符合公司实际情况的、较为合理的内部控制制度，并且得到了有效的执行。在</w:t>
      </w:r>
      <w:r>
        <w:rPr>
          <w:spacing w:val="-66"/>
        </w:rPr>
        <w:t> </w:t>
      </w:r>
      <w:r>
        <w:rPr>
          <w:spacing w:val="-66"/>
        </w:rPr>
      </w:r>
      <w:r>
        <w:rPr>
          <w:spacing w:val="-2"/>
        </w:rPr>
        <w:t>财务管理和会计审核方面均设置了较为合理的岗位职责权限，并配备了相应的人员以保证财会工作的顺利开展，财务会计机</w:t>
      </w:r>
    </w:p>
    <w:p>
      <w:pPr>
        <w:spacing w:after="0" w:line="328"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right="90"/>
        <w:jc w:val="left"/>
      </w:pPr>
      <w:r>
        <w:rPr>
          <w:spacing w:val="-2"/>
        </w:rPr>
        <w:t>构人员分工明确，实行岗位责任制，各岗位都能相互牵制相互制衡。公司的会计管理内部控制完整、合理、有效，公司各级</w:t>
      </w:r>
      <w:r>
        <w:rPr>
          <w:spacing w:val="-68"/>
        </w:rPr>
        <w:t> </w:t>
      </w:r>
      <w:r>
        <w:rPr>
          <w:spacing w:val="-68"/>
        </w:rPr>
      </w:r>
      <w:r>
        <w:rPr>
          <w:spacing w:val="-4"/>
        </w:rPr>
        <w:t>会计人员具备了相应的专业素质，不定期的参加相关业务培训，对重要会计业务和电算化操作制定和执行了明确的授权规定。</w:t>
      </w:r>
      <w:r>
        <w:rPr>
          <w:spacing w:val="-44"/>
        </w:rPr>
        <w:t> </w:t>
      </w:r>
      <w:r>
        <w:rPr>
          <w:spacing w:val="-44"/>
        </w:rPr>
      </w:r>
      <w:r>
        <w:rPr>
          <w:spacing w:val="-7"/>
        </w:rPr>
        <w:t>公司于第二届董事会第一次会议和第二届董事会第六次会议制定了《对外提供财务资助管理制度》、《财务负责人管理制度》、</w:t>
      </w:r>
    </w:p>
    <w:p>
      <w:pPr>
        <w:pStyle w:val="BodyText"/>
        <w:spacing w:line="319" w:lineRule="auto" w:before="19"/>
        <w:ind w:left="154" w:right="90"/>
        <w:jc w:val="left"/>
      </w:pPr>
      <w:r>
        <w:rPr>
          <w:spacing w:val="-2"/>
        </w:rPr>
        <w:t>《内部审计制度》等制度。第二届董事会第八次会议对《对外提供财务资助管理制度》进行了修订。公司的内部控制机制较</w:t>
      </w:r>
      <w:r>
        <w:rPr>
          <w:spacing w:val="-65"/>
        </w:rPr>
        <w:t> </w:t>
      </w:r>
      <w:r>
        <w:rPr>
          <w:spacing w:val="-65"/>
        </w:rPr>
      </w:r>
      <w:r>
        <w:rPr/>
        <w:t>为完善，能够得到切实有效地实施。</w:t>
      </w:r>
    </w:p>
    <w:p>
      <w:pPr>
        <w:pStyle w:val="BodyText"/>
        <w:spacing w:line="324" w:lineRule="auto" w:before="56"/>
        <w:ind w:left="154" w:right="90"/>
        <w:jc w:val="left"/>
      </w:pPr>
      <w:r>
        <w:rPr/>
        <w:t>（</w:t>
      </w:r>
      <w:r>
        <w:rPr>
          <w:rFonts w:ascii="Times New Roman" w:hAnsi="Times New Roman" w:cs="Times New Roman" w:eastAsia="Times New Roman" w:hint="default"/>
        </w:rPr>
        <w:t>4</w:t>
      </w:r>
      <w:r>
        <w:rPr/>
        <w:t>）信息披露方面 </w:t>
      </w:r>
      <w:r>
        <w:rPr>
          <w:spacing w:val="-2"/>
        </w:rPr>
        <w:t>公司于第二届董事会第一次会议和第二届董事会第六次会议制定了《内幕信息知情人登记制度》、《重大信息内部报告及保</w:t>
      </w:r>
      <w:r>
        <w:rPr>
          <w:spacing w:val="-65"/>
        </w:rPr>
        <w:t> </w:t>
      </w:r>
      <w:r>
        <w:rPr>
          <w:spacing w:val="-65"/>
        </w:rPr>
      </w:r>
      <w:r>
        <w:rPr>
          <w:spacing w:val="-2"/>
        </w:rPr>
        <w:t>密制度》、《突发事件处理制度》、《外部信息使用人管理制度》、《年报信息披露重大差错责任追究制度》，并对《信息</w:t>
      </w:r>
      <w:r>
        <w:rPr>
          <w:spacing w:val="-72"/>
        </w:rPr>
        <w:t> </w:t>
      </w:r>
      <w:r>
        <w:rPr>
          <w:spacing w:val="-72"/>
        </w:rPr>
      </w:r>
      <w:r>
        <w:rPr>
          <w:spacing w:val="-2"/>
        </w:rPr>
        <w:t>披露管理制度》进行了修订，同时加强公司与投资者之间的信息交流，使投资者能够全面、完整、真实、准确、及时、公平</w:t>
      </w:r>
      <w:r>
        <w:rPr>
          <w:spacing w:val="-68"/>
        </w:rPr>
        <w:t> </w:t>
      </w:r>
      <w:r>
        <w:rPr>
          <w:spacing w:val="-68"/>
        </w:rPr>
      </w:r>
      <w:r>
        <w:rPr/>
        <w:t>地了解和掌握公司的经营状况。</w:t>
      </w:r>
    </w:p>
    <w:p>
      <w:pPr>
        <w:pStyle w:val="BodyText"/>
        <w:spacing w:line="324" w:lineRule="auto" w:before="53"/>
        <w:ind w:left="154" w:right="90"/>
        <w:jc w:val="left"/>
      </w:pPr>
      <w:r>
        <w:rPr/>
        <w:t>（</w:t>
      </w:r>
      <w:r>
        <w:rPr>
          <w:rFonts w:ascii="Times New Roman" w:hAnsi="Times New Roman" w:cs="Times New Roman" w:eastAsia="Times New Roman" w:hint="default"/>
        </w:rPr>
        <w:t>5</w:t>
      </w:r>
      <w:r>
        <w:rPr/>
        <w:t>）高级管理人员的考评及激励情况 </w:t>
      </w:r>
      <w:r>
        <w:rPr>
          <w:spacing w:val="-2"/>
        </w:rPr>
        <w:t>公司建立了完善的高级管理人员绩效考评体系和薪酬制度，高级管理人员的工作绩效与其收入直接挂钩。为激励公司高级管</w:t>
      </w:r>
      <w:r>
        <w:rPr>
          <w:spacing w:val="-64"/>
        </w:rPr>
        <w:t> </w:t>
      </w:r>
      <w:r>
        <w:rPr>
          <w:spacing w:val="-64"/>
        </w:rPr>
      </w:r>
      <w:r>
        <w:rPr>
          <w:spacing w:val="-2"/>
        </w:rPr>
        <w:t>理人员勤勉尽责，恪守职责，努力完成和超额完成公司制定的各项任务，对公司高管的业绩完成情况进行考核，强化了对高</w:t>
      </w:r>
      <w:r>
        <w:rPr>
          <w:spacing w:val="-66"/>
        </w:rPr>
        <w:t> </w:t>
      </w:r>
      <w:r>
        <w:rPr>
          <w:spacing w:val="-66"/>
        </w:rPr>
      </w:r>
      <w:r>
        <w:rPr>
          <w:spacing w:val="-2"/>
        </w:rPr>
        <w:t>级管理人员的考评激励作用，使高级管理人员与股东利益取向一致，最终实现股东价值最大化。除此之外，公司本报告期内</w:t>
      </w:r>
      <w:r>
        <w:rPr>
          <w:spacing w:val="-66"/>
        </w:rPr>
        <w:t> </w:t>
      </w:r>
      <w:r>
        <w:rPr>
          <w:spacing w:val="-66"/>
        </w:rPr>
      </w:r>
      <w:r>
        <w:rPr/>
        <w:t>没有对高级管理人员的考评制度进行补充和修改。</w:t>
      </w:r>
    </w:p>
    <w:p>
      <w:pPr>
        <w:pStyle w:val="BodyText"/>
        <w:spacing w:line="324" w:lineRule="auto" w:before="54"/>
        <w:ind w:left="154" w:right="90"/>
        <w:jc w:val="left"/>
      </w:pPr>
      <w:r>
        <w:rPr/>
        <w:t>（</w:t>
      </w:r>
      <w:r>
        <w:rPr>
          <w:rFonts w:ascii="Times New Roman" w:hAnsi="Times New Roman" w:cs="Times New Roman" w:eastAsia="Times New Roman" w:hint="default"/>
        </w:rPr>
        <w:t>6</w:t>
      </w:r>
      <w:r>
        <w:rPr/>
        <w:t>）公司各项内部控制制度的修订情况 </w:t>
      </w:r>
      <w:r>
        <w:rPr>
          <w:spacing w:val="-2"/>
        </w:rPr>
        <w:t>公司根据《公司法》、《证券法》、《企业内部控制基本规范》等有关法律、法规和规章制度，结合公司的实际情况、自身</w:t>
      </w:r>
      <w:r>
        <w:rPr>
          <w:spacing w:val="-72"/>
        </w:rPr>
        <w:t> </w:t>
      </w:r>
      <w:r>
        <w:rPr>
          <w:spacing w:val="-72"/>
        </w:rPr>
      </w:r>
      <w:r>
        <w:rPr>
          <w:spacing w:val="-2"/>
        </w:rPr>
        <w:t>特点和管理需要，制定了贯穿于公司生产经营各层面、各环节的内部控制体系，并不断完善。公司对各项内部控制制度及修</w:t>
      </w:r>
      <w:r>
        <w:rPr>
          <w:spacing w:val="-66"/>
        </w:rPr>
        <w:t> </w:t>
      </w:r>
      <w:r>
        <w:rPr>
          <w:spacing w:val="-66"/>
        </w:rPr>
      </w:r>
      <w:r>
        <w:rPr/>
        <w:t>订情况见下表：</w:t>
      </w:r>
    </w:p>
    <w:p>
      <w:pPr>
        <w:spacing w:line="240" w:lineRule="auto" w:before="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319"/>
        <w:gridCol w:w="5873"/>
        <w:gridCol w:w="2466"/>
      </w:tblGrid>
      <w:tr>
        <w:trPr>
          <w:trHeight w:val="427" w:hRule="exact"/>
        </w:trPr>
        <w:tc>
          <w:tcPr>
            <w:tcW w:w="13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8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1" w:right="0"/>
              <w:jc w:val="center"/>
              <w:rPr>
                <w:rFonts w:ascii="宋体" w:hAnsi="宋体" w:cs="宋体" w:eastAsia="宋体" w:hint="default"/>
                <w:sz w:val="18"/>
                <w:szCs w:val="18"/>
              </w:rPr>
            </w:pPr>
            <w:r>
              <w:rPr>
                <w:rFonts w:ascii="宋体" w:hAnsi="宋体" w:cs="宋体" w:eastAsia="宋体" w:hint="default"/>
                <w:sz w:val="18"/>
                <w:szCs w:val="18"/>
              </w:rPr>
              <w:t>最新制定</w:t>
            </w:r>
            <w:r>
              <w:rPr>
                <w:rFonts w:ascii="Times New Roman" w:hAnsi="Times New Roman" w:cs="Times New Roman" w:eastAsia="Times New Roman" w:hint="default"/>
                <w:sz w:val="18"/>
                <w:szCs w:val="18"/>
              </w:rPr>
              <w:t>/</w:t>
            </w:r>
            <w:r>
              <w:rPr>
                <w:rFonts w:ascii="宋体" w:hAnsi="宋体" w:cs="宋体" w:eastAsia="宋体" w:hint="default"/>
                <w:sz w:val="18"/>
                <w:szCs w:val="18"/>
              </w:rPr>
              <w:t>修订时间</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《董事会专门委员会工作细则》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《关联交易公允决策制度》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《天源迪科累积投票制实施细则》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《天源迪科募集资金管理办法》</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16</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《董事、监事和高级管理人员所持本公司股份及其变动管理制度》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《独立董事年报工作规程》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19"/>
        <w:gridCol w:w="5873"/>
        <w:gridCol w:w="2466"/>
      </w:tblGrid>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《重大信息内部报告和保密制度》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23</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24</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25</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《防范大股东及其关联方资金占用制度》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26</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《财务负责人管理制度》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27</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《对外提供财务资助管理制度》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29</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《薪酬委员会议事规则》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w:t>
            </w:r>
          </w:p>
        </w:tc>
        <w:tc>
          <w:tcPr>
            <w:tcW w:w="5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《股票期权激励计划考核管理办法》</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月制定</w:t>
            </w:r>
          </w:p>
        </w:tc>
      </w:tr>
    </w:tbl>
    <w:p>
      <w:pPr>
        <w:pStyle w:val="BodyText"/>
        <w:spacing w:line="328" w:lineRule="auto" w:before="51"/>
        <w:ind w:left="154" w:right="90"/>
        <w:jc w:val="left"/>
      </w:pPr>
      <w:r>
        <w:rPr>
          <w:rFonts w:ascii="Times New Roman" w:hAnsi="Times New Roman" w:cs="Times New Roman" w:eastAsia="Times New Roman" w:hint="default"/>
          <w:b/>
          <w:bCs/>
        </w:rPr>
        <w:t>7</w:t>
      </w:r>
      <w:r>
        <w:rPr>
          <w:rFonts w:ascii="宋体" w:hAnsi="宋体" w:cs="宋体" w:eastAsia="宋体" w:hint="default"/>
          <w:b/>
          <w:bCs/>
        </w:rPr>
        <w:t>、内部控制自我评价报告相关情况</w:t>
      </w:r>
      <w:r>
        <w:rPr>
          <w:rFonts w:ascii="宋体" w:hAnsi="宋体" w:cs="宋体" w:eastAsia="宋体" w:hint="default"/>
          <w:b/>
          <w:bCs/>
          <w:spacing w:val="1"/>
          <w:w w:val="99"/>
        </w:rPr>
        <w:t> </w:t>
      </w:r>
      <w:r>
        <w:rPr>
          <w:spacing w:val="-2"/>
        </w:rPr>
        <w:t>根据《创业板上市公司规范运作指引》、上市公司内部审计工作指引的规定，公司董事会对与财务报告和信息披露事务相关</w:t>
      </w:r>
      <w:r>
        <w:rPr>
          <w:spacing w:val="-66"/>
        </w:rPr>
        <w:t> </w:t>
      </w:r>
      <w:r>
        <w:rPr>
          <w:spacing w:val="-66"/>
        </w:rPr>
      </w:r>
      <w:r>
        <w:rPr/>
        <w:t>的内部控制制度的建立和实施情况出具了</w:t>
      </w:r>
      <w:r>
        <w:rPr>
          <w:rFonts w:ascii="Times New Roman" w:hAnsi="Times New Roman" w:cs="Times New Roman" w:eastAsia="Times New Roman" w:hint="default"/>
        </w:rPr>
        <w:t>2012</w:t>
      </w:r>
      <w:r>
        <w:rPr/>
        <w:t>年度《内部控制自我评价报告》。</w:t>
      </w:r>
    </w:p>
    <w:p>
      <w:pPr>
        <w:pStyle w:val="BodyText"/>
        <w:spacing w:line="324" w:lineRule="auto" w:before="28"/>
        <w:ind w:left="154" w:right="90"/>
        <w:jc w:val="left"/>
      </w:pPr>
      <w:r>
        <w:rPr/>
        <w:t>（</w:t>
      </w:r>
      <w:r>
        <w:rPr>
          <w:rFonts w:ascii="Times New Roman" w:hAnsi="Times New Roman" w:cs="Times New Roman" w:eastAsia="Times New Roman" w:hint="default"/>
        </w:rPr>
        <w:t>1</w:t>
      </w:r>
      <w:r>
        <w:rPr/>
        <w:t>）董事会对内部控制责任的声明 </w:t>
      </w:r>
      <w:r>
        <w:rPr>
          <w:spacing w:val="-2"/>
        </w:rPr>
        <w:t>为规范经营管理，降低内控风险，公司已建立起较为健全的内部控制制度，整套内部控制制度包括法人治理、生产经营、财</w:t>
      </w:r>
      <w:r>
        <w:rPr>
          <w:spacing w:val="-66"/>
        </w:rPr>
        <w:t> </w:t>
      </w:r>
      <w:r>
        <w:rPr>
          <w:spacing w:val="-66"/>
        </w:rPr>
      </w:r>
      <w:r>
        <w:rPr>
          <w:spacing w:val="-2"/>
        </w:rPr>
        <w:t>务管理、行政及人力资源管理、信息披露等方面，基本涵盖公司经营管理的各层面和各主要业务环节。通过对公司各项治理</w:t>
      </w:r>
      <w:r>
        <w:rPr>
          <w:spacing w:val="-66"/>
        </w:rPr>
        <w:t> </w:t>
      </w:r>
      <w:r>
        <w:rPr>
          <w:spacing w:val="-66"/>
        </w:rPr>
      </w:r>
      <w:r>
        <w:rPr/>
        <w:t>制度的规范和落实，公司的治理水平不断提高。有效的保证了公司经营效益水平的不断提升和战略目标的实现。</w:t>
      </w:r>
    </w:p>
    <w:p>
      <w:pPr>
        <w:pStyle w:val="BodyText"/>
        <w:spacing w:line="300" w:lineRule="auto" w:before="53"/>
        <w:ind w:left="154" w:right="188"/>
        <w:jc w:val="both"/>
      </w:pPr>
      <w:r>
        <w:rPr/>
        <w:t>公司董事会认为，公司按照《企业内部控制基本规范》及相关规范于</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日在所有重大方面保持了与财务报表相 </w:t>
      </w:r>
      <w:r>
        <w:rPr>
          <w:spacing w:val="-5"/>
        </w:rPr>
        <w:t>关的有效的内部控制，并出具了《</w:t>
      </w:r>
      <w:r>
        <w:rPr>
          <w:rFonts w:ascii="Times New Roman" w:hAnsi="Times New Roman" w:cs="Times New Roman" w:eastAsia="Times New Roman" w:hint="default"/>
          <w:spacing w:val="-5"/>
        </w:rPr>
        <w:t>2012</w:t>
      </w:r>
      <w:r>
        <w:rPr>
          <w:spacing w:val="-5"/>
        </w:rPr>
        <w:t>年度内部控制自我评价报告》，中瑞岳华会计师事务所（特殊普通合伙）对公司《</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6"/>
        </w:rPr>
        <w:t> </w:t>
      </w:r>
      <w:r>
        <w:rPr/>
        <w:t>年度内部控制自我评价报告》涉及的与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日财务报表相关的公司内部控制有效性进行了认定。</w:t>
      </w:r>
    </w:p>
    <w:p>
      <w:pPr>
        <w:pStyle w:val="BodyText"/>
        <w:spacing w:line="319" w:lineRule="auto" w:before="52"/>
        <w:ind w:left="154" w:right="90"/>
        <w:jc w:val="left"/>
      </w:pPr>
      <w:r>
        <w:rPr/>
        <w:t>（</w:t>
      </w:r>
      <w:r>
        <w:rPr>
          <w:rFonts w:ascii="Times New Roman" w:hAnsi="Times New Roman" w:cs="Times New Roman" w:eastAsia="Times New Roman" w:hint="default"/>
        </w:rPr>
        <w:t>2</w:t>
      </w:r>
      <w:r>
        <w:rPr/>
        <w:t>）公司董事会对《内部控制自我评价报告》的审核意见 </w:t>
      </w:r>
      <w:r>
        <w:rPr>
          <w:spacing w:val="-4"/>
        </w:rPr>
        <w:t>董事会已经审阅了公司</w:t>
      </w:r>
      <w:r>
        <w:rPr>
          <w:rFonts w:ascii="Times New Roman" w:hAnsi="Times New Roman" w:cs="Times New Roman" w:eastAsia="Times New Roman" w:hint="default"/>
          <w:spacing w:val="-4"/>
        </w:rPr>
        <w:t>2012</w:t>
      </w:r>
      <w:r>
        <w:rPr>
          <w:spacing w:val="-4"/>
        </w:rPr>
        <w:t>年度内部控制自我评价报告，认为该报告对公司内部控制制度体系建立和完善、重点环节的控制、</w:t>
      </w:r>
      <w:r>
        <w:rPr>
          <w:spacing w:val="-36"/>
        </w:rPr>
        <w:t> </w:t>
      </w:r>
      <w:r>
        <w:rPr>
          <w:spacing w:val="-36"/>
        </w:rPr>
      </w:r>
      <w:r>
        <w:rPr/>
        <w:t>整改措施等方面的内容作了详细的说明，能够全面、客观地反映公司内部控制的实际情况。</w:t>
      </w:r>
    </w:p>
    <w:p>
      <w:pPr>
        <w:pStyle w:val="BodyText"/>
        <w:spacing w:line="319" w:lineRule="auto" w:before="58"/>
        <w:ind w:left="154" w:right="90"/>
        <w:jc w:val="left"/>
      </w:pPr>
      <w:r>
        <w:rPr/>
        <w:t>（</w:t>
      </w:r>
      <w:r>
        <w:rPr>
          <w:rFonts w:ascii="Times New Roman" w:hAnsi="Times New Roman" w:cs="Times New Roman" w:eastAsia="Times New Roman" w:hint="default"/>
        </w:rPr>
        <w:t>3</w:t>
      </w:r>
      <w:r>
        <w:rPr/>
        <w:t>）公司监事会对《内部控制自我评价报告》的审核意见 </w:t>
      </w:r>
      <w:r>
        <w:rPr>
          <w:spacing w:val="-2"/>
        </w:rPr>
        <w:t>监事会认为，</w:t>
      </w:r>
      <w:r>
        <w:rPr>
          <w:rFonts w:ascii="Times New Roman" w:hAnsi="Times New Roman" w:cs="Times New Roman" w:eastAsia="Times New Roman" w:hint="default"/>
          <w:spacing w:val="-2"/>
        </w:rPr>
        <w:t>2012</w:t>
      </w:r>
      <w:r>
        <w:rPr>
          <w:spacing w:val="-2"/>
        </w:rPr>
        <w:t>年度，公司制订了各项内控制度，完善了公司法人治理结构，建立了公司规范运行的内部控制环境，保证</w:t>
      </w:r>
      <w:r>
        <w:rPr>
          <w:spacing w:val="-62"/>
        </w:rPr>
        <w:t> </w:t>
      </w:r>
      <w:r>
        <w:rPr>
          <w:spacing w:val="-62"/>
        </w:rPr>
      </w:r>
      <w:r>
        <w:rPr>
          <w:spacing w:val="-2"/>
        </w:rPr>
        <w:t>了公司各项业务活动的有序、有效开展，保护了公司资产的安全、完整，维护了公司及股东的利益。公司内部控制组织机构</w:t>
      </w:r>
      <w:r>
        <w:rPr>
          <w:spacing w:val="-65"/>
        </w:rPr>
        <w:t> </w:t>
      </w:r>
      <w:r>
        <w:rPr>
          <w:spacing w:val="-65"/>
        </w:rPr>
      </w:r>
      <w:r>
        <w:rPr/>
        <w:t>完整，内部控制重点活动执行及监督充分有效。公司</w:t>
      </w:r>
      <w:r>
        <w:rPr>
          <w:rFonts w:ascii="Times New Roman" w:hAnsi="Times New Roman" w:cs="Times New Roman" w:eastAsia="Times New Roman" w:hint="default"/>
        </w:rPr>
        <w:t>2012</w:t>
      </w:r>
      <w:r>
        <w:rPr/>
        <w:t>年度内部控制自我评价报告是真实、有效的。</w:t>
      </w:r>
    </w:p>
    <w:p>
      <w:pPr>
        <w:pStyle w:val="BodyText"/>
        <w:spacing w:line="324" w:lineRule="auto" w:before="36"/>
        <w:ind w:left="154" w:right="90"/>
        <w:jc w:val="left"/>
      </w:pPr>
      <w:r>
        <w:rPr/>
        <w:t>（</w:t>
      </w:r>
      <w:r>
        <w:rPr>
          <w:rFonts w:ascii="Times New Roman" w:hAnsi="Times New Roman" w:cs="Times New Roman" w:eastAsia="Times New Roman" w:hint="default"/>
        </w:rPr>
        <w:t>4</w:t>
      </w:r>
      <w:r>
        <w:rPr/>
        <w:t>）公司独立董事对《内部控制自我评价报告》的审核意见 </w:t>
      </w:r>
      <w:r>
        <w:rPr>
          <w:spacing w:val="-2"/>
        </w:rPr>
        <w:t>报告期内，公司制订、修改和完善了一系列的内控管理制度，内部控制制度健全，符合国家有关法律、法规和监管部门的要</w:t>
      </w:r>
      <w:r>
        <w:rPr>
          <w:spacing w:val="-66"/>
        </w:rPr>
        <w:t> </w:t>
      </w:r>
      <w:r>
        <w:rPr>
          <w:spacing w:val="-66"/>
        </w:rPr>
      </w:r>
      <w:r>
        <w:rPr>
          <w:spacing w:val="-2"/>
        </w:rPr>
        <w:t>求，符合公司的实际情况。公司重点活动能够严格、规范地执行公司内部控制各项制度，对子公司控制、关联交易、重大投</w:t>
      </w:r>
      <w:r>
        <w:rPr>
          <w:spacing w:val="-68"/>
        </w:rPr>
        <w:t> </w:t>
      </w:r>
      <w:r>
        <w:rPr>
          <w:spacing w:val="-68"/>
        </w:rPr>
      </w:r>
      <w:r>
        <w:rPr>
          <w:spacing w:val="-2"/>
        </w:rPr>
        <w:t>资、信息披露的内部控制符合国家法律法规和证券监管部门的规章要求，保证了公司正常运行。公司开展的各项重要内部控</w:t>
      </w:r>
    </w:p>
    <w:p>
      <w:pPr>
        <w:pStyle w:val="BodyText"/>
        <w:spacing w:line="240" w:lineRule="auto" w:before="14"/>
        <w:ind w:left="154" w:right="90"/>
        <w:jc w:val="left"/>
      </w:pPr>
      <w:r>
        <w:rPr/>
        <w:t>制活动符合公司内外部形势要求，取得了较好的成效。</w:t>
      </w:r>
    </w:p>
    <w:p>
      <w:pPr>
        <w:pStyle w:val="BodyText"/>
        <w:spacing w:line="302" w:lineRule="auto" w:before="115"/>
        <w:ind w:left="154" w:right="90"/>
        <w:jc w:val="left"/>
      </w:pPr>
      <w:r>
        <w:rPr>
          <w:spacing w:val="-2"/>
        </w:rPr>
        <w:t>公司《</w:t>
      </w:r>
      <w:r>
        <w:rPr>
          <w:rFonts w:ascii="Times New Roman" w:hAnsi="Times New Roman" w:cs="Times New Roman" w:eastAsia="Times New Roman" w:hint="default"/>
          <w:spacing w:val="-2"/>
        </w:rPr>
        <w:t>2012</w:t>
      </w:r>
      <w:r>
        <w:rPr>
          <w:spacing w:val="-2"/>
        </w:rPr>
        <w:t>年度内部控制自我评价报告》客观地反映了内部控制的真实情况和存在的问题，整改计划明确，有较强的可操作</w:t>
      </w:r>
      <w:r>
        <w:rPr>
          <w:spacing w:val="-62"/>
        </w:rPr>
        <w:t> </w:t>
      </w:r>
      <w:r>
        <w:rPr>
          <w:spacing w:val="-62"/>
        </w:rPr>
      </w:r>
      <w:r>
        <w:rPr/>
        <w:t>性。</w:t>
      </w:r>
    </w:p>
    <w:p>
      <w:pPr>
        <w:spacing w:after="0" w:line="302"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公司治理与《公司法》和中国证监会相关规定的要求是否存在差异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3"/>
        <w:spacing w:line="240" w:lineRule="auto" w:before="0"/>
        <w:ind w:right="0"/>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6"/>
                <w:sz w:val="18"/>
                <w:szCs w:val="18"/>
              </w:rPr>
              <w:t>因仅审议《</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年第三季度报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告》全文及摘要，故未进行董 事会会议决议公告。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第二届董事会第二十二次会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3"/>
        <w:spacing w:line="240" w:lineRule="auto"/>
        <w:ind w:right="9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left="154" w:right="96"/>
        <w:jc w:val="left"/>
      </w:pPr>
      <w:r>
        <w:rPr>
          <w:spacing w:val="-2"/>
        </w:rPr>
        <w:t>为了提高公司的规范运作水平，增强信息披露的真实性、准确性、完整性和及时性，提高年报信息披露的质量和透明度，公</w:t>
      </w:r>
      <w:r>
        <w:rPr>
          <w:spacing w:val="-66"/>
        </w:rPr>
        <w:t> </w:t>
      </w:r>
      <w:r>
        <w:rPr>
          <w:spacing w:val="-66"/>
        </w:rPr>
      </w:r>
      <w:r>
        <w:rPr>
          <w:spacing w:val="-5"/>
        </w:rPr>
        <w:t>司根据《上市公司信息披露管理办法》、《深圳证券交易所创业板股票上市规则》及《公司章程》等要求，结合公司实际情况</w:t>
      </w:r>
      <w:r>
        <w:rPr>
          <w:spacing w:val="-80"/>
        </w:rPr>
        <w:t> </w:t>
      </w:r>
      <w:r>
        <w:rPr>
          <w:spacing w:val="-80"/>
        </w:rPr>
      </w:r>
      <w:r>
        <w:rPr>
          <w:spacing w:val="-4"/>
        </w:rPr>
        <w:t>制定了《年报信息披露重大差错责任追究制度》，并于</w:t>
      </w:r>
      <w:r>
        <w:rPr>
          <w:spacing w:val="-45"/>
        </w:rPr>
        <w:t> </w:t>
      </w:r>
      <w:r>
        <w:rPr>
          <w:rFonts w:ascii="Times New Roman" w:hAnsi="Times New Roman" w:cs="Times New Roman" w:eastAsia="Times New Roman" w:hint="default"/>
        </w:rPr>
        <w:t>2010 </w:t>
      </w:r>
      <w:r>
        <w:rPr/>
        <w:t>年</w:t>
      </w:r>
      <w:r>
        <w:rPr>
          <w:spacing w:val="-45"/>
        </w:rPr>
        <w:t> </w:t>
      </w:r>
      <w:r>
        <w:rPr>
          <w:rFonts w:ascii="Times New Roman" w:hAnsi="Times New Roman" w:cs="Times New Roman" w:eastAsia="Times New Roman" w:hint="default"/>
        </w:rPr>
        <w:t>5 </w:t>
      </w:r>
      <w:r>
        <w:rPr/>
        <w:t>月第二届董事会第一次会议审议通过。自该制度制定以来， </w:t>
      </w:r>
      <w:r>
        <w:rPr>
          <w:spacing w:val="-2"/>
        </w:rPr>
        <w:t>相关人员严格执行，认真做好年报信息披露工作。报告期内，公司未发生重大会计差错更正、重大遗漏信息补充以及业绩预</w:t>
      </w:r>
      <w:r>
        <w:rPr>
          <w:spacing w:val="-66"/>
        </w:rPr>
        <w:t> </w:t>
      </w:r>
      <w:r>
        <w:rPr>
          <w:spacing w:val="-66"/>
        </w:rPr>
      </w:r>
      <w:r>
        <w:rPr/>
        <w:t>告修正等情况。公司不存在有关监管部门对责任人采取问责措施的情形。</w:t>
      </w:r>
    </w:p>
    <w:p>
      <w:pPr>
        <w:spacing w:line="240" w:lineRule="auto" w:before="9"/>
        <w:rPr>
          <w:rFonts w:ascii="宋体" w:hAnsi="宋体" w:cs="宋体" w:eastAsia="宋体" w:hint="default"/>
          <w:sz w:val="20"/>
          <w:szCs w:val="20"/>
        </w:rPr>
      </w:pPr>
    </w:p>
    <w:p>
      <w:pPr>
        <w:pStyle w:val="Heading3"/>
        <w:spacing w:line="240" w:lineRule="auto" w:before="0"/>
        <w:ind w:right="90"/>
        <w:jc w:val="left"/>
        <w:rPr>
          <w:b w:val="0"/>
          <w:bCs w:val="0"/>
        </w:rPr>
      </w:pP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90"/>
        <w:jc w:val="left"/>
      </w:pPr>
      <w:r>
        <w:rPr/>
        <w:t>监事会在报告期内的监督活动是否发现公司存在风险</w:t>
      </w:r>
    </w:p>
    <w:p>
      <w:pPr>
        <w:pStyle w:val="BodyText"/>
        <w:spacing w:line="340" w:lineRule="auto" w:before="116"/>
        <w:ind w:left="154" w:right="63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827"/>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right="10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51"/>
        <w:ind w:left="3750" w:right="3827"/>
        <w:jc w:val="center"/>
      </w:pPr>
      <w:r>
        <w:rPr/>
        <w:t>审计报告正文</w:t>
      </w:r>
    </w:p>
    <w:p>
      <w:pPr>
        <w:pStyle w:val="Heading3"/>
        <w:spacing w:line="240" w:lineRule="auto" w:before="65"/>
        <w:ind w:right="0"/>
        <w:jc w:val="both"/>
        <w:rPr>
          <w:b w:val="0"/>
          <w:bCs w:val="0"/>
        </w:rPr>
      </w:pPr>
      <w:r>
        <w:rPr/>
        <w:t>深圳天源迪科信息技术股份有限公司全体股东：</w:t>
      </w:r>
      <w:r>
        <w:rPr>
          <w:b w:val="0"/>
          <w:bCs w:val="0"/>
        </w:rPr>
      </w:r>
    </w:p>
    <w:p>
      <w:pPr>
        <w:spacing w:line="240" w:lineRule="auto" w:before="0"/>
        <w:rPr>
          <w:rFonts w:ascii="宋体" w:hAnsi="宋体" w:cs="宋体" w:eastAsia="宋体" w:hint="default"/>
          <w:b/>
          <w:bCs/>
          <w:sz w:val="26"/>
          <w:szCs w:val="26"/>
        </w:rPr>
      </w:pPr>
    </w:p>
    <w:p>
      <w:pPr>
        <w:pStyle w:val="Heading4"/>
        <w:spacing w:line="312" w:lineRule="exact"/>
        <w:ind w:left="154" w:right="104" w:firstLine="480"/>
        <w:jc w:val="left"/>
      </w:pPr>
      <w:r>
        <w:rPr>
          <w:spacing w:val="-4"/>
        </w:rPr>
        <w:t>我们审计了后附的深圳天源迪科信息技术股份有限公司（以下简称</w:t>
      </w:r>
      <w:r>
        <w:rPr>
          <w:rFonts w:ascii="Times New Roman" w:hAnsi="Times New Roman" w:cs="Times New Roman" w:eastAsia="Times New Roman" w:hint="default"/>
          <w:spacing w:val="-4"/>
        </w:rPr>
        <w:t>“</w:t>
      </w:r>
      <w:r>
        <w:rPr>
          <w:spacing w:val="-4"/>
        </w:rPr>
        <w:t>贵公司</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8"/>
        </w:rPr>
        <w:t> </w:t>
      </w:r>
      <w:r>
        <w:rPr/>
        <w:t>及其子公司 </w:t>
      </w:r>
      <w:r>
        <w:rPr>
          <w:spacing w:val="-2"/>
        </w:rPr>
        <w:t>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日的合并及公司的资产负债表，</w:t>
      </w:r>
      <w:r>
        <w:rPr>
          <w:rFonts w:ascii="Times New Roman" w:hAnsi="Times New Roman" w:cs="Times New Roman" w:eastAsia="Times New Roman" w:hint="default"/>
          <w:spacing w:val="-2"/>
        </w:rPr>
        <w:t>2012</w:t>
      </w:r>
      <w:r>
        <w:rPr>
          <w:spacing w:val="-2"/>
        </w:rPr>
        <w:t>年度合并及公司的利润表、</w:t>
      </w:r>
      <w:r>
        <w:rPr>
          <w:spacing w:val="-108"/>
        </w:rPr>
        <w:t> </w:t>
      </w:r>
      <w:r>
        <w:rPr/>
        <w:t>合并及公司的现金流量表和合并及公司的所有者权益变动表以及财务报表附注。</w:t>
      </w:r>
    </w:p>
    <w:p>
      <w:pPr>
        <w:spacing w:line="240" w:lineRule="auto" w:before="11"/>
        <w:rPr>
          <w:rFonts w:ascii="宋体" w:hAnsi="宋体" w:cs="宋体" w:eastAsia="宋体" w:hint="default"/>
          <w:sz w:val="23"/>
          <w:szCs w:val="23"/>
        </w:rPr>
      </w:pPr>
    </w:p>
    <w:p>
      <w:pPr>
        <w:spacing w:line="312" w:lineRule="exact" w:before="0"/>
        <w:ind w:left="634" w:right="104"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编制和公允列报财务报表是贵公司管理层的责任。这种责任包括：（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）按照企业会计准</w:t>
      </w:r>
    </w:p>
    <w:p>
      <w:pPr>
        <w:pStyle w:val="Heading4"/>
        <w:spacing w:line="312" w:lineRule="exact"/>
        <w:ind w:left="154" w:right="228"/>
        <w:jc w:val="both"/>
      </w:pPr>
      <w:r>
        <w:rPr>
          <w:spacing w:val="-3"/>
        </w:rPr>
        <w:t>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）设计、执行和维护必要的内部控制，以</w:t>
      </w:r>
      <w:r>
        <w:rPr>
          <w:spacing w:val="-82"/>
        </w:rPr>
        <w:t> </w:t>
      </w:r>
      <w:r>
        <w:rPr>
          <w:spacing w:val="-82"/>
        </w:rPr>
      </w:r>
      <w:r>
        <w:rPr/>
        <w:t>使财务报表不存在由于舞弊或错误导致的重大错报。</w:t>
      </w:r>
    </w:p>
    <w:p>
      <w:pPr>
        <w:spacing w:line="240" w:lineRule="auto" w:before="11"/>
        <w:rPr>
          <w:rFonts w:ascii="宋体" w:hAnsi="宋体" w:cs="宋体" w:eastAsia="宋体" w:hint="default"/>
          <w:sz w:val="23"/>
          <w:szCs w:val="23"/>
        </w:rPr>
      </w:pPr>
    </w:p>
    <w:p>
      <w:pPr>
        <w:spacing w:line="312" w:lineRule="exact" w:before="0"/>
        <w:ind w:left="634" w:right="104"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4"/>
        <w:spacing w:line="312" w:lineRule="exact"/>
        <w:ind w:left="154" w:right="228"/>
        <w:jc w:val="both"/>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pStyle w:val="Heading4"/>
        <w:spacing w:line="312" w:lineRule="exact"/>
        <w:ind w:left="154" w:right="92"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spacing w:val="-2"/>
        </w:rPr>
        <w:t>当的审计程序。审计工作还包括评价管理层选用会计政策的恰当性和作出会计估计的合理性，</w:t>
      </w:r>
      <w:r>
        <w:rPr/>
        <w:t> 以及评价财务报表的总体列报。</w:t>
      </w:r>
    </w:p>
    <w:p>
      <w:pPr>
        <w:pStyle w:val="Heading4"/>
        <w:spacing w:line="312" w:lineRule="exact"/>
        <w:ind w:left="634" w:right="104"/>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我们认为，上述财务报表在所有重大方面按照企业会计准则的规定编制，公允反映了深</w:t>
      </w:r>
    </w:p>
    <w:p>
      <w:pPr>
        <w:pStyle w:val="Heading4"/>
        <w:spacing w:line="312" w:lineRule="exact"/>
        <w:ind w:right="228"/>
        <w:jc w:val="both"/>
      </w:pPr>
      <w:r>
        <w:rPr/>
        <w:t>圳天源迪科信息技术股份有限公司及其子公司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日的合并财务状况以及</w:t>
      </w:r>
      <w:r>
        <w:rPr>
          <w:rFonts w:ascii="Times New Roman" w:hAnsi="Times New Roman" w:cs="Times New Roman" w:eastAsia="Times New Roman" w:hint="default"/>
        </w:rPr>
        <w:t>2012</w:t>
      </w:r>
      <w:r>
        <w:rPr/>
        <w:t>年度</w:t>
      </w:r>
      <w:r>
        <w:rPr>
          <w:spacing w:val="-93"/>
        </w:rPr>
        <w:t> </w:t>
      </w:r>
      <w:r>
        <w:rPr/>
        <w:t>的合并经营成果和合并现金流量，以及深圳天源迪科信息技术股份有限公司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5"/>
        </w:rPr>
        <w:t> </w:t>
      </w:r>
      <w:r>
        <w:rPr/>
        <w:t>的财务状况以及</w:t>
      </w:r>
      <w:r>
        <w:rPr>
          <w:rFonts w:ascii="Times New Roman" w:hAnsi="Times New Roman" w:cs="Times New Roman" w:eastAsia="Times New Roman" w:hint="default"/>
        </w:rPr>
        <w:t>2012</w:t>
      </w:r>
      <w:r>
        <w:rPr/>
        <w:t>年度的经营成果和现金流量。</w:t>
      </w:r>
    </w:p>
    <w:p>
      <w:pPr>
        <w:spacing w:line="240" w:lineRule="auto" w:before="10"/>
        <w:rPr>
          <w:rFonts w:ascii="宋体" w:hAnsi="宋体" w:cs="宋体" w:eastAsia="宋体" w:hint="default"/>
          <w:sz w:val="20"/>
          <w:szCs w:val="20"/>
        </w:rPr>
      </w:pPr>
    </w:p>
    <w:p>
      <w:pPr>
        <w:pStyle w:val="Heading3"/>
        <w:spacing w:line="240" w:lineRule="auto" w:before="0"/>
        <w:ind w:left="153" w:right="0"/>
        <w:jc w:val="both"/>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both"/>
      </w:pPr>
      <w:r>
        <w:rPr/>
        <w:t>财务附注中报表的单位为：人民币元</w:t>
      </w:r>
    </w:p>
    <w:p>
      <w:pPr>
        <w:spacing w:after="0" w:line="240" w:lineRule="auto"/>
        <w:jc w:val="both"/>
        <w:sectPr>
          <w:pgSz w:w="11910" w:h="16840"/>
          <w:pgMar w:header="747" w:footer="982" w:top="1060" w:bottom="1180" w:left="980" w:right="90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0"/>
        <w:jc w:val="left"/>
      </w:pPr>
      <w:r>
        <w:rPr/>
        <w:t>编制单位：深圳天源迪科信息技术股份有限公司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244,323,834.53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451,664,597.14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8,422,838.49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3,913,856.00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360,863,695.79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266,491,496.48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18,482,035.25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2,106,112.15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5,610,324.45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7,545,069.65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16,226,841.70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11,541,539.01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103,462,262.38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2,127,044.00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757,391,832.59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745,389,714.43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56,221,726.78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46,390,521.53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73,166,980.62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76,851,102.50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102,769,924.49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22,936,749.90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161,953,035.56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96,676,250.02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55,511,795.24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78,286,444.62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36,189,482.29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29,151,429.28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2,335,965.08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2,362,304.95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4,570,627.94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4,182,380.87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492,719,538.00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356,837,183.67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1,250,111,370.59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1,102,226,898.10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37,027,782.00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27,115,186.57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18,945,197.26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15,687,619.75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3,693,347.17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7,701,743.19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8,761,716.89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-2,972,315.63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5,299,287.91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11,204,681.54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2,533,170.39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178,332,697.42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39,232,719.62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188,482,697.42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42,832,719.62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627,116,352.00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678,873,114.65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35,540,891.02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26,928,645.24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222,392,486.76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178,344,328.01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1,041,949,729.78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1,041,046,087.90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19,678,943.39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18,348,090.58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1,061,628,673.17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1,059,394,178.48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1,250,111,370.59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1,102,226,898.10</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ind w:left="154" w:right="0"/>
        <w:jc w:val="lef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编制单位：深圳天源迪科信息技术股份有限公司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6"/>
              <w:jc w:val="right"/>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168,769,825.87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319,108,467.07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6,170,773.09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3,913,856.00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311,469,607.39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236,565,799.60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5,369,882.65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1,363,162.22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6,195,639.10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7,032,577.11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4,630,498.75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25,776,577.14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2,099,493.23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549,009,243.25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573,876,915.97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387,591,303.42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274,808,247.52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67,792,722.77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72,340,239.69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145,423,863.52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81,539,141.62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55,511,795.24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80,412,451.80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1,505,699.48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1,732,599.14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4,337,522.36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3,877,782.43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662,162,906.79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514,710,462.20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1,211,172,150.04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1,088,587,378.17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37,027,782.00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12,707,430.07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24,055,311.26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5,844,176.15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3,691,347.17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5,237,791.10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5,408,451.74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-848,592.78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3,127,465.62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8,941,172.68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211,372.90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111,477,759.22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36,493,948.69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118,277,759.22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40,093,948.69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702,055,480.65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696,706,977.13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35,540,891.02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26,928,645.24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198,398,019.15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167,957,807.11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1,092,894,390.82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1,048,493,429.48</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1,211,172,150.04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1,088,587,378.17</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ind w:left="154" w:right="0"/>
        <w:jc w:val="lef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编制单位：深圳天源迪科信息技术股份有限公司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665,088,034.69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417,445,269.73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665,088,034.69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417,445,269.73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555,973,364.26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329,897,678.27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398,363,796.47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218,228,276.00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1,315,867.73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3,719,756.98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35,263,180.97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24,760,955.62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122,952,416.24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89,639,632.38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-5,243,620.28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-11,937,955.33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3,321,723.13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5,487,012.62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407,765.90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2,061,710.72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109,522,436.33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89,609,302.18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3,397,755.91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11,607,823.85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406,249.08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248,705.59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364,119.33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238,705.59</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112,513,943.16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100,968,420.44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10,798,731.54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12,081,229.12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101,715,211.62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88,887,191.32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99,730,404.53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81,252,099.13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1,984,807.09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7,635,092.19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101,715,211.62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88,887,191.32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99,730,404.53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81,252,099.13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1,984,807.09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7,635,092.19</w:t>
            </w:r>
          </w:p>
        </w:tc>
      </w:tr>
    </w:tbl>
    <w:p>
      <w:pPr>
        <w:pStyle w:val="BodyText"/>
        <w:spacing w:line="240" w:lineRule="auto" w:before="51"/>
        <w:ind w:left="154"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483" w:val="left" w:leader="none"/>
          <w:tab w:pos="7713" w:val="left" w:leader="none"/>
        </w:tabs>
        <w:spacing w:line="240" w:lineRule="auto" w:before="141"/>
        <w:ind w:right="0"/>
        <w:jc w:val="lef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0"/>
        <w:jc w:val="left"/>
      </w:pPr>
      <w:r>
        <w:rPr/>
        <w:t>编制单位：深圳天源迪科信息技术股份有限公司</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394,196,583.62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349,799,387.30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218,859,572.16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206,079,325.72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-105,694.35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1,692,753.90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23,057,861.06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20,330,200.64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60,804,932.41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55,334,822.11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-4,240,223.75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-8,658,074.78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3,506,359.37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4,453,676.56</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407,765.90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2,061,710.72</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92,721,542.62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72,628,393.87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2,402,843.76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4,669,021.10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314,381.27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236,960.50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94,810,005.11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77,060,454.47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8,687,547.29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8,611,343.00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86,122,457.82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68,449,111.47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86,122,457.82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68,449,111.47</w:t>
            </w:r>
          </w:p>
        </w:tc>
      </w:tr>
    </w:tbl>
    <w:p>
      <w:pPr>
        <w:spacing w:line="240" w:lineRule="auto" w:before="6"/>
        <w:rPr>
          <w:rFonts w:ascii="宋体" w:hAnsi="宋体" w:cs="宋体" w:eastAsia="宋体" w:hint="default"/>
          <w:sz w:val="20"/>
          <w:szCs w:val="20"/>
        </w:rPr>
      </w:pPr>
    </w:p>
    <w:p>
      <w:pPr>
        <w:pStyle w:val="BodyText"/>
        <w:tabs>
          <w:tab w:pos="3483" w:val="left" w:leader="none"/>
          <w:tab w:pos="7713" w:val="left" w:leader="none"/>
        </w:tabs>
        <w:spacing w:line="240" w:lineRule="auto"/>
        <w:ind w:left="154" w:right="0"/>
        <w:jc w:val="lef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编制单位：深圳天源迪科信息技术股份有限公司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621,363,474.69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292,210,741.98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6,926,908.79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26,973,864.37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20,721,049.53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648,337,339.06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319,858,700.30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372,161,663.99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169,213,014.30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169,603,304.48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107,167,478.57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24,492,537.44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20,302,464.97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57,859,768.65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53,247,250.93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624,117,274.56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349,930,208.77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24,220,064.50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-30,071,508.47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117,743.10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38,110.74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117,743.10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38,110.74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140,555,212.14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100,210,924.87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88,101,266.80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63,609,426.00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1,123,576.93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2,961,314.97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229,780,055.87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166,781,665.84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-229,662,312.77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-166,743,555.10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121,368,000.00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2,744,560.80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121,368,000.00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2,744,560.80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49,466,514.34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31,380,000.00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2,992,907.12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126,259,421.46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-4,891,421.46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-28,635,439.20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-210,333,669.73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-225,450,502.77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451,150,977.31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676,601,480.08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240,817,307.58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451,150,977.31</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ind w:left="154" w:right="0"/>
        <w:jc w:val="lef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编制单位：深圳天源迪科信息技术股份有限公司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326,295,906.95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242,871,968.66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105,658.12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12,092,182.61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28,059,402.53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338,388,089.56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271,037,029.31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160,138,644.31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157,236,023.65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92,502,615.04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75,254,487.34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13,243,108.25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8,050,612.21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23,516,150.19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40,250,238.47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289,400,517.79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280,791,361.67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48,987,571.77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-9,754,332.36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1,036,443.82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85,687.68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37,510.74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51,122,131.50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37,510.74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71,839,171.25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73,345,584.84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103,701,266.80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102,609,426.00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245,540,438.05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175,955,010.84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-194,418,306.55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-175,917,500.10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2,744,560.80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2,744,560.80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47,475,906.42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31,380,000.00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2,759,447.12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50,235,353.54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-7,667,353.54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-28,635,439.20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-153,098,088.32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-214,307,271.66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318,594,847.24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532,902,118.90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165,496,758.92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318,594,847.24</w:t>
            </w:r>
          </w:p>
        </w:tc>
      </w:tr>
    </w:tbl>
    <w:p>
      <w:pPr>
        <w:spacing w:line="240" w:lineRule="auto" w:before="6"/>
        <w:rPr>
          <w:rFonts w:ascii="宋体" w:hAnsi="宋体" w:cs="宋体" w:eastAsia="宋体" w:hint="default"/>
          <w:sz w:val="20"/>
          <w:szCs w:val="20"/>
        </w:rPr>
      </w:pPr>
    </w:p>
    <w:p>
      <w:pPr>
        <w:pStyle w:val="BodyText"/>
        <w:tabs>
          <w:tab w:pos="3483" w:val="left" w:leader="none"/>
          <w:tab w:pos="7713" w:val="left" w:leader="none"/>
        </w:tabs>
        <w:spacing w:line="240" w:lineRule="auto"/>
        <w:ind w:left="154" w:right="0"/>
        <w:jc w:val="left"/>
      </w:pPr>
      <w:r>
        <w:rPr/>
        <w:t>法定代表人：陈友</w:t>
        <w:tab/>
        <w:t>主管会计工作负责人：邹立文</w:t>
        <w:tab/>
        <w:t>会计机构负责人：钱文胜</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ind w:right="-19"/>
        <w:jc w:val="left"/>
      </w:pPr>
      <w:r>
        <w:rPr/>
        <w:t>编制单位：深圳天源迪科信息技术股份有限公司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80" w:left="980" w:right="980"/>
          <w:cols w:num="2" w:equalWidth="0">
            <w:col w:w="3935" w:space="498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50"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678,873,</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114.65</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26,928,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645.24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178,344,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328.01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18,348,09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0.58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1,059,394,</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178.48</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678,873,</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114.65</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26,928,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645.24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178,344,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328.01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18,348,09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0.58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1,059,394,</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178.48</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-51,756,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762.65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8,612,2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45.78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44,048,1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58.75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1,330,852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2,234,494.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99,730,4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04.53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1,984,807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101,715,21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1.62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99,730,4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04.53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1,984,807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101,715,21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1.62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8,612,2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45.78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-55,682,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245.78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-47,070,00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8,612,2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45.78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-8,612,2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45.78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-47,070,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-47,070,00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-51,756,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762.65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-653,954.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-52,410,71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6.93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627,116,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352.00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35,540,</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891.02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222,392,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486.76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19,678,94</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3.39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1,061,628,</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673.17</w:t>
            </w:r>
          </w:p>
        </w:tc>
      </w:tr>
    </w:tbl>
    <w:p>
      <w:pPr>
        <w:pStyle w:val="BodyText"/>
        <w:spacing w:line="240" w:lineRule="auto" w:before="51"/>
        <w:ind w:left="154"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49"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104,600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748,051,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777.53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20,083,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734.09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135,317,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140.03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10,246,91</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7.75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1,018,299,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569.40</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104,600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748,051,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777.53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20,083,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734.09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135,317,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140.03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10,246,91</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7.75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1,018,299,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569.40</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52,300,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-69,178,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662.88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6,844,91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43,027,1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87.98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8,101,172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41,094,609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81,252,0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99.13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7,635,092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88,887,191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81,252,0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99.13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7,635,092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88,887,191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6,844,91</w:t>
            </w:r>
          </w:p>
          <w:p>
            <w:pPr>
              <w:pStyle w:val="TableParagraph"/>
              <w:spacing w:line="240" w:lineRule="auto" w:before="106"/>
              <w:ind w:left="335" w:right="0"/>
              <w:jc w:val="left"/>
              <w:rPr>
                <w:rFonts w:ascii="Times New Roman" w:hAnsi="Times New Roman" w:cs="Times New Roman" w:eastAsia="Times New Roman" w:hint="default"/>
                <w:sz w:val="18"/>
                <w:szCs w:val="18"/>
              </w:rPr>
            </w:pPr>
            <w:r>
              <w:rPr>
                <w:rFonts w:ascii="Times New Roman"/>
                <w:sz w:val="18"/>
              </w:rPr>
              <w:t>1.15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-38,224,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911.15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-31,380,00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6,844,91</w:t>
            </w:r>
          </w:p>
          <w:p>
            <w:pPr>
              <w:pStyle w:val="TableParagraph"/>
              <w:spacing w:line="240" w:lineRule="auto" w:before="106"/>
              <w:ind w:left="335" w:right="0"/>
              <w:jc w:val="left"/>
              <w:rPr>
                <w:rFonts w:ascii="Times New Roman" w:hAnsi="Times New Roman" w:cs="Times New Roman" w:eastAsia="Times New Roman" w:hint="default"/>
                <w:sz w:val="18"/>
                <w:szCs w:val="18"/>
              </w:rPr>
            </w:pPr>
            <w:r>
              <w:rPr>
                <w:rFonts w:ascii="Times New Roman"/>
                <w:sz w:val="18"/>
              </w:rPr>
              <w:t>1.15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-6,844,9</w:t>
            </w:r>
          </w:p>
          <w:p>
            <w:pPr>
              <w:pStyle w:val="TableParagraph"/>
              <w:spacing w:line="240" w:lineRule="auto" w:before="106"/>
              <w:ind w:left="254" w:right="0"/>
              <w:jc w:val="left"/>
              <w:rPr>
                <w:rFonts w:ascii="Times New Roman" w:hAnsi="Times New Roman" w:cs="Times New Roman" w:eastAsia="Times New Roman" w:hint="default"/>
                <w:sz w:val="18"/>
                <w:szCs w:val="18"/>
              </w:rPr>
            </w:pPr>
            <w:r>
              <w:rPr>
                <w:rFonts w:ascii="Times New Roman"/>
                <w:sz w:val="18"/>
              </w:rPr>
              <w:t>11.15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-31,380,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-31,380,00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52,300,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-52,300,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52,300,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-52,300,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662.88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466,080.6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-16,412,58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2.24</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678,873,</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114.65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26,928,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645.24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178,344,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328.01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18,348,09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0.58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1,059,394,</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178.48</w:t>
            </w:r>
          </w:p>
        </w:tc>
      </w:tr>
    </w:tbl>
    <w:p>
      <w:pPr>
        <w:spacing w:line="240" w:lineRule="auto" w:before="6"/>
        <w:rPr>
          <w:rFonts w:ascii="宋体" w:hAnsi="宋体" w:cs="宋体" w:eastAsia="宋体" w:hint="default"/>
          <w:sz w:val="20"/>
          <w:szCs w:val="20"/>
        </w:rPr>
      </w:pPr>
    </w:p>
    <w:p>
      <w:pPr>
        <w:pStyle w:val="BodyText"/>
        <w:tabs>
          <w:tab w:pos="3483" w:val="left" w:leader="none"/>
          <w:tab w:pos="7713" w:val="left" w:leader="none"/>
        </w:tabs>
        <w:spacing w:line="240" w:lineRule="auto"/>
        <w:ind w:left="154" w:right="0"/>
        <w:jc w:val="lef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ind w:right="-19"/>
        <w:jc w:val="left"/>
      </w:pPr>
      <w:r>
        <w:rPr/>
        <w:t>编制单位：深圳天源迪科信息技术股份有限公司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80" w:left="980" w:right="980"/>
          <w:cols w:num="2" w:equalWidth="0">
            <w:col w:w="3935" w:space="498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2"/>
      </w:tblGrid>
      <w:tr>
        <w:trPr>
          <w:trHeight w:val="402" w:hRule="exact"/>
        </w:trPr>
        <w:tc>
          <w:tcPr>
            <w:tcW w:w="24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6"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bl>
    <w:p>
      <w:pPr>
        <w:spacing w:after="0" w:line="316"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8.539993pt;margin-top:594.780029pt;width:86pt;height:19.650pt;mso-position-horizontal-relative:page;mso-position-vertical-relative:page;z-index:-1151728"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shape style="position:absolute;margin-left:138.539993pt;margin-top:614.880005pt;width:86pt;height:19.650pt;mso-position-horizontal-relative:page;mso-position-vertical-relative:page;z-index:-1151704" type="#_x0000_t202" filled="false" stroked="false">
            <v:textbox inset="0,0,0,0">
              <w:txbxContent>
                <w:p>
                  <w:pPr>
                    <w:pStyle w:val="BodyText"/>
                    <w:spacing w:line="240" w:lineRule="auto" w:before="51"/>
                    <w:ind w:left="0" w:right="0"/>
                    <w:jc w:val="left"/>
                  </w:pPr>
                  <w:r>
                    <w:rPr/>
                    <w:t>（或股本）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156,900,00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696,706,97</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7.13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26,928,645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167,957,80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7.11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1,048,493,</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429.48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156,900,00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696,706,97</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7.13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26,928,645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167,957,80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7.11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1,048,493,</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429.48</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5,348,503.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8,612,245.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30,440,212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44,400,961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86,122,457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86,122,457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86,122,457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86,122,457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8,612,245.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-55,682,24</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5.78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-47,070,00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8,612,245.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-8,612,245.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-47,070,00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-47,070,00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tc>
        <w:tc>
          <w:tcPr>
            <w:tcW w:w="886"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tc>
        <w:tc>
          <w:tcPr>
            <w:tcW w:w="886"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5,348,503.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5,348,503.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36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156,900,00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702,055,48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35,540,891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198,398,01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9.15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1,092,894,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390.82</w:t>
            </w:r>
          </w:p>
        </w:tc>
      </w:tr>
    </w:tbl>
    <w:p>
      <w:pPr>
        <w:pStyle w:val="BodyText"/>
        <w:spacing w:line="240" w:lineRule="auto" w:before="51"/>
        <w:ind w:left="154" w:right="0"/>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104,600,00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749,006,97</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7.13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20,083,734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137,733,60</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6.79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1,011,424,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318.01</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104,600,00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749,006,97</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7.13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20,083,734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137,733,60</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6.79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1,011,424,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318.01</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-52,300,00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30,224,200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37,069,111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68,449,111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68,449,111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68,449,111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68,449,111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-38,224,91</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1.15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-31,380,00</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-31,380,00</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0.00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-31,380,00</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-52,300,00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39.499405pt;margin-top:72.480003pt;width:85.95pt;height:35.25pt;mso-position-horizontal-relative:page;mso-position-vertical-relative:page;z-index:-1151680"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before="0"/>
                    <w:ind w:left="0" w:right="0"/>
                    <w:jc w:val="left"/>
                  </w:pPr>
                  <w:r>
                    <w:rPr/>
                    <w:t>（或股本）</w:t>
                  </w:r>
                </w:p>
              </w:txbxContent>
            </v:textbox>
            <w10:wrap type="none"/>
          </v:shape>
        </w:pict>
      </w:r>
      <w:r>
        <w:rPr/>
        <w:pict>
          <v:shape style="position:absolute;margin-left:139.499405pt;margin-top:108.18pt;width:85.95pt;height:19.650pt;mso-position-horizontal-relative:page;mso-position-vertical-relative:page;z-index:-1151656"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group style="position:absolute;margin-left:181.679993pt;margin-top:72.480003pt;width:43.75pt;height:35.25pt;mso-position-horizontal-relative:page;mso-position-vertical-relative:page;z-index:-1151632" coordorigin="3634,1450" coordsize="875,705">
            <v:group style="position:absolute;left:3634;top:1450;width:875;height:705" coordorigin="3634,1450" coordsize="875,705">
              <v:shape style="position:absolute;left:3634;top:1450;width:875;height:705" coordorigin="3634,1450" coordsize="875,705" path="m3634,2154l4508,2154,4508,1450,3634,1450,3634,2154xe" filled="true" fillcolor="#ffffff" stroked="false">
                <v:path arrowok="t"/>
                <v:fill type="solid"/>
              </v:shape>
            </v:group>
            <v:group style="position:absolute;left:3656;top:1450;width:830;height:353" coordorigin="3656,1450" coordsize="830,353">
              <v:shape style="position:absolute;left:3656;top:1450;width:830;height:353" coordorigin="3656,1450" coordsize="830,353" path="m3656,1802l4486,1802,4486,1450,3656,1450,3656,1802xe" filled="true" fillcolor="#ffffff" stroked="false">
                <v:path arrowok="t"/>
                <v:fill type="solid"/>
              </v:shape>
            </v:group>
            <v:group style="position:absolute;left:3656;top:1802;width:830;height:352" coordorigin="3656,1802" coordsize="830,352">
              <v:shape style="position:absolute;left:3656;top:1802;width:830;height:352" coordorigin="3656,1802" coordsize="830,352" path="m3656,2154l4486,2154,4486,1802,3656,1802,3656,215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-52,300,00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156,900,00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696,706,97</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7.13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26,928,645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167,957,80</w:t>
            </w:r>
          </w:p>
          <w:p>
            <w:pPr>
              <w:pStyle w:val="TableParagraph"/>
              <w:spacing w:line="240" w:lineRule="auto" w:before="106"/>
              <w:ind w:left="542" w:right="0"/>
              <w:jc w:val="left"/>
              <w:rPr>
                <w:rFonts w:ascii="Times New Roman" w:hAnsi="Times New Roman" w:cs="Times New Roman" w:eastAsia="Times New Roman" w:hint="default"/>
                <w:sz w:val="18"/>
                <w:szCs w:val="18"/>
              </w:rPr>
            </w:pPr>
            <w:r>
              <w:rPr>
                <w:rFonts w:ascii="Times New Roman"/>
                <w:sz w:val="18"/>
              </w:rPr>
              <w:t>7.11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1,048,493,</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429.48</w:t>
            </w:r>
          </w:p>
        </w:tc>
      </w:tr>
    </w:tbl>
    <w:p>
      <w:pPr>
        <w:spacing w:line="240" w:lineRule="auto" w:before="6"/>
        <w:rPr>
          <w:rFonts w:ascii="宋体" w:hAnsi="宋体" w:cs="宋体" w:eastAsia="宋体" w:hint="default"/>
          <w:sz w:val="20"/>
          <w:szCs w:val="20"/>
        </w:rPr>
      </w:pPr>
    </w:p>
    <w:p>
      <w:pPr>
        <w:pStyle w:val="BodyText"/>
        <w:tabs>
          <w:tab w:pos="3483" w:val="left" w:leader="none"/>
          <w:tab w:pos="7713" w:val="left" w:leader="none"/>
        </w:tabs>
        <w:spacing w:line="240" w:lineRule="auto"/>
        <w:ind w:left="154" w:right="0"/>
        <w:jc w:val="both"/>
      </w:pPr>
      <w:r>
        <w:rPr/>
        <w:t>法定代表人：陈友</w:t>
        <w:tab/>
        <w:t>主管会计工作负责人：邹立文</w:t>
        <w:tab/>
        <w:t>会计机构负责人：钱文胜</w:t>
      </w:r>
    </w:p>
    <w:p>
      <w:pPr>
        <w:spacing w:line="240" w:lineRule="auto" w:before="1"/>
        <w:rPr>
          <w:rFonts w:ascii="宋体" w:hAnsi="宋体" w:cs="宋体" w:eastAsia="宋体" w:hint="default"/>
          <w:sz w:val="25"/>
          <w:szCs w:val="25"/>
        </w:rPr>
      </w:pPr>
    </w:p>
    <w:p>
      <w:pPr>
        <w:pStyle w:val="Heading3"/>
        <w:spacing w:line="240" w:lineRule="auto" w:before="0"/>
        <w:ind w:right="0"/>
        <w:jc w:val="both"/>
        <w:rPr>
          <w:b w:val="0"/>
          <w:bCs w:val="0"/>
        </w:rPr>
      </w:pPr>
      <w:r>
        <w:rPr/>
        <w:t>三、公司基本情况</w:t>
      </w:r>
      <w:r>
        <w:rPr>
          <w:b w:val="0"/>
          <w:bCs w:val="0"/>
        </w:rPr>
      </w:r>
    </w:p>
    <w:p>
      <w:pPr>
        <w:pStyle w:val="BodyText"/>
        <w:spacing w:line="420" w:lineRule="atLeast" w:before="163"/>
        <w:ind w:left="514" w:right="178" w:hanging="360"/>
        <w:jc w:val="left"/>
        <w:rPr>
          <w:rFonts w:ascii="Times New Roman" w:hAnsi="Times New Roman" w:cs="Times New Roman" w:eastAsia="Times New Roman" w:hint="default"/>
        </w:rPr>
      </w:pPr>
      <w:r>
        <w:rPr/>
        <w:t>（一）历史沿革 </w:t>
      </w:r>
      <w:r>
        <w:rPr>
          <w:spacing w:val="-4"/>
        </w:rPr>
        <w:t>深圳天源迪科信息技术股份有限公司（以下简称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），前身为深圳天源迪科计算机有限公司，成立于</w:t>
      </w:r>
      <w:r>
        <w:rPr>
          <w:rFonts w:ascii="Times New Roman" w:hAnsi="Times New Roman" w:cs="Times New Roman" w:eastAsia="Times New Roman" w:hint="default"/>
          <w:spacing w:val="-4"/>
        </w:rPr>
        <w:t>1993</w:t>
      </w:r>
    </w:p>
    <w:p>
      <w:pPr>
        <w:pStyle w:val="BodyText"/>
        <w:spacing w:line="300" w:lineRule="auto" w:before="63"/>
        <w:ind w:left="154" w:right="188"/>
        <w:jc w:val="both"/>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日，经深圳市人民政府深府外复</w:t>
      </w:r>
      <w:r>
        <w:rPr>
          <w:rFonts w:ascii="Times New Roman" w:hAnsi="Times New Roman" w:cs="Times New Roman" w:eastAsia="Times New Roman" w:hint="default"/>
        </w:rPr>
        <w:t>[1992]1904</w:t>
      </w:r>
      <w:r>
        <w:rPr/>
        <w:t>号《关于合资经营天源迪科计算机有限公司的批复》批准，由深圳市天</w:t>
      </w:r>
      <w:r>
        <w:rPr>
          <w:spacing w:val="-34"/>
        </w:rPr>
        <w:t> </w:t>
      </w:r>
      <w:r>
        <w:rPr>
          <w:spacing w:val="-34"/>
        </w:rPr>
      </w:r>
      <w:r>
        <w:rPr>
          <w:spacing w:val="-1"/>
        </w:rPr>
        <w:t>源实业股份有限公司（以下简称</w:t>
      </w:r>
      <w:r>
        <w:rPr>
          <w:rFonts w:ascii="Times New Roman" w:hAnsi="Times New Roman" w:cs="Times New Roman" w:eastAsia="Times New Roman" w:hint="default"/>
          <w:spacing w:val="-1"/>
        </w:rPr>
        <w:t>“</w:t>
      </w:r>
      <w:r>
        <w:rPr>
          <w:spacing w:val="-1"/>
        </w:rPr>
        <w:t>天源实业公司</w:t>
      </w:r>
      <w:r>
        <w:rPr>
          <w:rFonts w:ascii="Times New Roman" w:hAnsi="Times New Roman" w:cs="Times New Roman" w:eastAsia="Times New Roman" w:hint="default"/>
          <w:spacing w:val="-1"/>
        </w:rPr>
        <w:t>”</w:t>
      </w:r>
      <w:r>
        <w:rPr>
          <w:spacing w:val="-1"/>
        </w:rPr>
        <w:t>）和香港泰汇国际有限公司（以下简称</w:t>
      </w:r>
      <w:r>
        <w:rPr>
          <w:rFonts w:ascii="Times New Roman" w:hAnsi="Times New Roman" w:cs="Times New Roman" w:eastAsia="Times New Roman" w:hint="default"/>
          <w:spacing w:val="-1"/>
        </w:rPr>
        <w:t>“</w:t>
      </w:r>
      <w:r>
        <w:rPr>
          <w:spacing w:val="-1"/>
        </w:rPr>
        <w:t>香港泰汇公司</w:t>
      </w:r>
      <w:r>
        <w:rPr>
          <w:rFonts w:ascii="Times New Roman" w:hAnsi="Times New Roman" w:cs="Times New Roman" w:eastAsia="Times New Roman" w:hint="default"/>
          <w:spacing w:val="-1"/>
        </w:rPr>
        <w:t>”</w:t>
      </w:r>
      <w:r>
        <w:rPr>
          <w:spacing w:val="-1"/>
        </w:rPr>
        <w:t>）共同发起设立，领</w:t>
      </w:r>
      <w:r>
        <w:rPr>
          <w:spacing w:val="-79"/>
        </w:rPr>
        <w:t> </w:t>
      </w:r>
      <w:r>
        <w:rPr>
          <w:spacing w:val="-79"/>
        </w:rPr>
      </w:r>
      <w:r>
        <w:rPr/>
        <w:t>取注册号为工商外企合粤深字第</w:t>
      </w:r>
      <w:r>
        <w:rPr>
          <w:rFonts w:ascii="Times New Roman" w:hAnsi="Times New Roman" w:cs="Times New Roman" w:eastAsia="Times New Roman" w:hint="default"/>
        </w:rPr>
        <w:t>103505</w:t>
      </w:r>
      <w:r>
        <w:rPr/>
        <w:t>号中华人民共和国企业法人营业执照。</w:t>
      </w:r>
    </w:p>
    <w:p>
      <w:pPr>
        <w:pStyle w:val="BodyText"/>
        <w:spacing w:line="240" w:lineRule="auto" w:before="13"/>
        <w:ind w:left="514" w:right="9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日，在深圳天源迪科计算机有限公司基础上改组为股份有限公司。</w:t>
      </w:r>
    </w:p>
    <w:p>
      <w:pPr>
        <w:pStyle w:val="BodyText"/>
        <w:spacing w:line="240" w:lineRule="auto" w:before="63"/>
        <w:ind w:left="514" w:right="9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w:t>
      </w:r>
      <w:r>
        <w:rPr>
          <w:spacing w:val="-78"/>
        </w:rPr>
        <w:t>，</w:t>
      </w:r>
      <w:r>
        <w:rPr/>
        <w:t>经中国证券监督管理委员会证监发行字</w:t>
      </w:r>
      <w:r>
        <w:rPr>
          <w:rFonts w:ascii="Times New Roman" w:hAnsi="Times New Roman" w:cs="Times New Roman" w:eastAsia="Times New Roman" w:hint="default"/>
        </w:rPr>
        <w:t>[2009</w:t>
      </w:r>
      <w:r>
        <w:rPr>
          <w:rFonts w:ascii="Times New Roman" w:hAnsi="Times New Roman" w:cs="Times New Roman" w:eastAsia="Times New Roman" w:hint="default"/>
          <w:spacing w:val="-2"/>
        </w:rPr>
        <w:t>]</w:t>
      </w:r>
      <w:r>
        <w:rPr>
          <w:rFonts w:ascii="Times New Roman" w:hAnsi="Times New Roman" w:cs="Times New Roman" w:eastAsia="Times New Roman" w:hint="default"/>
        </w:rPr>
        <w:t>1463</w:t>
      </w:r>
      <w:r>
        <w:rPr/>
        <w:t>号文</w:t>
      </w:r>
      <w:r>
        <w:rPr>
          <w:spacing w:val="1"/>
        </w:rPr>
        <w:t>核</w:t>
      </w:r>
      <w:r>
        <w:rPr/>
        <w:t>准</w:t>
      </w:r>
      <w:r>
        <w:rPr>
          <w:spacing w:val="-78"/>
        </w:rPr>
        <w:t>，</w:t>
      </w:r>
      <w:r>
        <w:rPr/>
        <w:t>本公司向社会公众发行人民币普通股</w:t>
      </w:r>
      <w:r>
        <w:rPr>
          <w:rFonts w:ascii="Times New Roman" w:hAnsi="Times New Roman" w:cs="Times New Roman" w:eastAsia="Times New Roman" w:hint="default"/>
        </w:rPr>
        <w:t>2,7</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left="154" w:right="0"/>
        <w:jc w:val="both"/>
      </w:pPr>
      <w:r>
        <w:rPr/>
        <w:t>万股，每股面值</w:t>
      </w:r>
      <w:r>
        <w:rPr>
          <w:rFonts w:ascii="Times New Roman" w:hAnsi="Times New Roman" w:cs="Times New Roman" w:eastAsia="Times New Roman" w:hint="default"/>
        </w:rPr>
        <w:t>1.00</w:t>
      </w:r>
      <w:r>
        <w:rPr/>
        <w:t>元，每股发行价</w:t>
      </w:r>
      <w:r>
        <w:rPr>
          <w:rFonts w:ascii="Times New Roman" w:hAnsi="Times New Roman" w:cs="Times New Roman" w:eastAsia="Times New Roman" w:hint="default"/>
        </w:rPr>
        <w:t>30.00</w:t>
      </w:r>
      <w:r>
        <w:rPr/>
        <w:t>元，发行后本公司注册资本为人民币</w:t>
      </w:r>
      <w:r>
        <w:rPr>
          <w:rFonts w:ascii="Times New Roman" w:hAnsi="Times New Roman" w:cs="Times New Roman" w:eastAsia="Times New Roman" w:hint="default"/>
        </w:rPr>
        <w:t>10,460</w:t>
      </w:r>
      <w:r>
        <w:rPr/>
        <w:t>万元。</w:t>
      </w:r>
    </w:p>
    <w:p>
      <w:pPr>
        <w:pStyle w:val="BodyText"/>
        <w:spacing w:line="300" w:lineRule="auto" w:before="63"/>
        <w:ind w:left="154" w:right="90" w:firstLine="359"/>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日，依据</w:t>
      </w:r>
      <w:r>
        <w:rPr>
          <w:rFonts w:ascii="Times New Roman" w:hAnsi="Times New Roman" w:cs="Times New Roman" w:eastAsia="Times New Roman" w:hint="default"/>
        </w:rPr>
        <w:t>2010</w:t>
      </w:r>
      <w:r>
        <w:rPr/>
        <w:t>年年度股东大会决议和修改后的章程，以公司本次转增前总股本</w:t>
      </w:r>
      <w:r>
        <w:rPr>
          <w:rFonts w:ascii="Times New Roman" w:hAnsi="Times New Roman" w:cs="Times New Roman" w:eastAsia="Times New Roman" w:hint="default"/>
        </w:rPr>
        <w:t>10,460</w:t>
      </w:r>
      <w:r>
        <w:rPr/>
        <w:t>万股为基数，以资本 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5,230</w:t>
      </w:r>
      <w:r>
        <w:rPr/>
        <w:t>万股，转增后公司注册资本为人民币</w:t>
      </w:r>
      <w:r>
        <w:rPr>
          <w:rFonts w:ascii="Times New Roman" w:hAnsi="Times New Roman" w:cs="Times New Roman" w:eastAsia="Times New Roman" w:hint="default"/>
        </w:rPr>
        <w:t>15,690</w:t>
      </w:r>
      <w:r>
        <w:rPr/>
        <w:t>万元。</w:t>
      </w:r>
    </w:p>
    <w:p>
      <w:pPr>
        <w:pStyle w:val="BodyText"/>
        <w:spacing w:line="240" w:lineRule="auto" w:before="13"/>
        <w:ind w:left="514" w:right="9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15,690</w:t>
      </w:r>
      <w:r>
        <w:rPr/>
        <w:t>万股，详见附注七、</w:t>
      </w:r>
      <w:r>
        <w:rPr>
          <w:rFonts w:ascii="Times New Roman" w:hAnsi="Times New Roman" w:cs="Times New Roman" w:eastAsia="Times New Roman" w:hint="default"/>
        </w:rPr>
        <w:t>24</w:t>
      </w:r>
      <w:r>
        <w:rPr/>
        <w:t>。</w:t>
      </w:r>
    </w:p>
    <w:p>
      <w:pPr>
        <w:pStyle w:val="BodyText"/>
        <w:spacing w:line="410" w:lineRule="exact" w:before="46"/>
        <w:ind w:left="514" w:right="6660"/>
        <w:jc w:val="left"/>
        <w:rPr>
          <w:rFonts w:ascii="Times New Roman" w:hAnsi="Times New Roman" w:cs="Times New Roman" w:eastAsia="Times New Roman" w:hint="default"/>
        </w:rPr>
      </w:pPr>
      <w:r>
        <w:rPr/>
        <w:t>（二）公司注册情况 营业执照注册号：</w:t>
      </w:r>
      <w:r>
        <w:rPr>
          <w:rFonts w:ascii="Times New Roman" w:hAnsi="Times New Roman" w:cs="Times New Roman" w:eastAsia="Times New Roman" w:hint="default"/>
        </w:rPr>
        <w:t>440301103047339</w:t>
      </w:r>
    </w:p>
    <w:p>
      <w:pPr>
        <w:pStyle w:val="BodyText"/>
        <w:spacing w:line="300" w:lineRule="auto" w:before="19"/>
        <w:ind w:left="514" w:right="4900"/>
        <w:jc w:val="left"/>
      </w:pPr>
      <w:r>
        <w:rPr/>
        <w:t>注册地址：深圳市高新区南区市高新技术工业村</w:t>
      </w:r>
      <w:r>
        <w:rPr>
          <w:rFonts w:ascii="Times New Roman" w:hAnsi="Times New Roman" w:cs="Times New Roman" w:eastAsia="Times New Roman" w:hint="default"/>
        </w:rPr>
        <w:t>T3</w:t>
      </w:r>
      <w:r>
        <w:rPr/>
        <w:t>栋</w:t>
      </w:r>
      <w:r>
        <w:rPr>
          <w:rFonts w:ascii="Times New Roman" w:hAnsi="Times New Roman" w:cs="Times New Roman" w:eastAsia="Times New Roman" w:hint="default"/>
        </w:rPr>
        <w:t>B3</w:t>
      </w:r>
      <w:r>
        <w:rPr/>
        <w:t>楼 法定代表人：陈友</w:t>
      </w:r>
    </w:p>
    <w:p>
      <w:pPr>
        <w:pStyle w:val="BodyText"/>
        <w:spacing w:line="316" w:lineRule="auto" w:before="31"/>
        <w:ind w:left="514" w:right="90"/>
        <w:jc w:val="left"/>
      </w:pPr>
      <w:r>
        <w:rPr/>
        <w:t>公司行业性质：电子信息。 </w:t>
      </w:r>
      <w:r>
        <w:rPr>
          <w:spacing w:val="-2"/>
        </w:rPr>
        <w:t>公司经营范围：计算机软、硬件产品的生产和销售及售后服务；计算机网络设计、软件开发、系统集成。信息系统咨询</w:t>
      </w:r>
    </w:p>
    <w:p>
      <w:pPr>
        <w:pStyle w:val="BodyText"/>
        <w:spacing w:line="316" w:lineRule="auto" w:before="19"/>
        <w:ind w:left="154" w:right="108"/>
        <w:jc w:val="both"/>
      </w:pPr>
      <w:r>
        <w:rPr>
          <w:spacing w:val="-2"/>
        </w:rPr>
        <w:t>和相关技术服务（不含限制项目及专营、专控、专卖商品）；经营进出口业务（法律、行政法规、国务院决定禁止的项目除</w:t>
      </w:r>
      <w:r>
        <w:rPr>
          <w:spacing w:val="-67"/>
        </w:rPr>
        <w:t> </w:t>
      </w:r>
      <w:r>
        <w:rPr>
          <w:spacing w:val="-67"/>
        </w:rPr>
      </w:r>
      <w:r>
        <w:rPr/>
        <w:t>外，限制的项目须取得许可后方可经营）；通信产品及其配套设备的代理销售、售后服务（不含专营、专控、专卖商品）。</w:t>
      </w:r>
    </w:p>
    <w:p>
      <w:pPr>
        <w:pStyle w:val="BodyText"/>
        <w:spacing w:line="240" w:lineRule="auto" w:before="19"/>
        <w:ind w:left="514" w:right="90"/>
        <w:jc w:val="left"/>
      </w:pPr>
      <w:r>
        <w:rPr/>
        <w:t>本财务报表业经本公司董事会于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日决议批准报出。</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3"/>
        <w:spacing w:line="240" w:lineRule="auto"/>
        <w:ind w:right="9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88" w:firstLine="360"/>
        <w:jc w:val="both"/>
      </w:pPr>
      <w:r>
        <w:rPr/>
        <w:t>本公司财务报表以持续经营假设为基础编制，根据实际发生的交易和事项，按照财政部于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 </w:t>
      </w:r>
      <w:r>
        <w:rPr>
          <w:spacing w:val="-2"/>
        </w:rPr>
        <w:t>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项具体会计准则、其后颁布的企业会计准则应用指南、企业会计准则解释及其他相关规定（以</w:t>
      </w:r>
      <w:r>
        <w:rPr>
          <w:spacing w:val="-64"/>
        </w:rPr>
        <w:t> </w:t>
      </w:r>
      <w:r>
        <w:rPr>
          <w:spacing w:val="-64"/>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r>
        <w:rPr>
          <w:spacing w:val="-43"/>
        </w:rPr>
        <w:t> </w:t>
      </w:r>
      <w:r>
        <w:rPr/>
        <w:t>般规定》（</w:t>
      </w:r>
      <w:r>
        <w:rPr>
          <w:rFonts w:ascii="Times New Roman" w:hAnsi="Times New Roman" w:cs="Times New Roman" w:eastAsia="Times New Roman" w:hint="default"/>
        </w:rPr>
        <w:t>2010</w:t>
      </w:r>
      <w:r>
        <w:rPr/>
        <w:t>年修订）的披露规定编制。</w:t>
      </w:r>
    </w:p>
    <w:p>
      <w:pPr>
        <w:pStyle w:val="BodyText"/>
        <w:spacing w:line="316" w:lineRule="auto" w:before="13"/>
        <w:ind w:right="191"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5"/>
        <w:spacing w:line="240" w:lineRule="auto"/>
        <w:ind w:right="9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01" w:firstLine="360"/>
        <w:jc w:val="both"/>
      </w:pPr>
      <w:r>
        <w:rPr/>
        <w:t>本公司编制的财务报表符合企业会计准则的要求，真实、完整地反映了本公司及子公司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spacing w:val="2"/>
        </w:rPr>
        <w:t> </w:t>
      </w:r>
      <w:r>
        <w:rPr>
          <w:rFonts w:ascii="Times New Roman" w:hAnsi="Times New Roman" w:cs="Times New Roman" w:eastAsia="Times New Roman" w:hint="default"/>
          <w:spacing w:val="-2"/>
        </w:rPr>
        <w:t>2012</w:t>
      </w:r>
      <w:r>
        <w:rPr>
          <w:spacing w:val="-2"/>
        </w:rPr>
        <w:t>年度的经营成果和现金流量等有关信息。此外，本公司及本公司的财务报表在所有重大方面符合中国证券监督管理委员</w:t>
      </w:r>
      <w:r>
        <w:rPr>
          <w:spacing w:val="-60"/>
        </w:rPr>
        <w:t> </w:t>
      </w:r>
      <w:r>
        <w:rPr>
          <w:spacing w:val="-60"/>
        </w:rPr>
      </w:r>
      <w:r>
        <w:rPr>
          <w:spacing w:val="-3"/>
        </w:rPr>
        <w:t>会</w:t>
      </w:r>
      <w:r>
        <w:rPr>
          <w:rFonts w:ascii="Times New Roman" w:hAnsi="Times New Roman" w:cs="Times New Roman" w:eastAsia="Times New Roman" w:hint="default"/>
          <w:spacing w:val="-3"/>
        </w:rPr>
        <w:t>2010</w:t>
      </w:r>
      <w:r>
        <w:rPr>
          <w:spacing w:val="-3"/>
        </w:rPr>
        <w:t>年修订的《公开发行证券的公司信息披露编报规则第</w:t>
      </w:r>
      <w:r>
        <w:rPr>
          <w:rFonts w:ascii="Times New Roman" w:hAnsi="Times New Roman" w:cs="Times New Roman" w:eastAsia="Times New Roman" w:hint="default"/>
          <w:spacing w:val="-3"/>
        </w:rPr>
        <w:t>15</w:t>
      </w:r>
      <w:r>
        <w:rPr>
          <w:spacing w:val="-3"/>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9"/>
        <w:ind w:right="9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08"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5"/>
        <w:spacing w:line="240" w:lineRule="auto"/>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90" w:firstLine="360"/>
        <w:jc w:val="both"/>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9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89" w:firstLine="426"/>
        <w:jc w:val="both"/>
      </w:pPr>
      <w:r>
        <w:rPr/>
        <w:t>参与合并的企业在合并前后均受同一方或相同的多方最终控制，且该控制并非暂时性的，为同一控制下的企业合并。 </w:t>
      </w: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right="101" w:firstLine="426"/>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580" w:right="90"/>
        <w:jc w:val="left"/>
      </w:pPr>
      <w:r>
        <w:rPr/>
        <w:t>合并方为进行企业合并发生的各项直接费用，于发生时计入当期损益。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5"/>
        <w:spacing w:line="240" w:lineRule="auto"/>
        <w:ind w:right="9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80" w:right="90"/>
        <w:jc w:val="left"/>
      </w:pPr>
      <w:r>
        <w:rPr/>
        <w:t>参与合并的企业在合并前后不受同一方或相同的多方最终控制的，为非同一控制下的企业合并。非同一控制下的企业</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right="191"/>
        <w:jc w:val="both"/>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4" w:lineRule="auto" w:before="19"/>
        <w:ind w:right="91" w:firstLine="426"/>
        <w:jc w:val="left"/>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t>一步证据而需要调整或有对价的，相应调整合并商誉。通过多次交换交易分步实现的企业合并，在本公司合并财务报表中， </w:t>
      </w:r>
      <w:r>
        <w:rPr>
          <w:spacing w:val="-2"/>
        </w:rPr>
        <w:t>对于购买日之前持有的被购买方的股权，按照该股权在购买日的公允价值进行重新计量，公允价值与其账面价值的差额计入</w:t>
      </w:r>
      <w:r>
        <w:rPr>
          <w:spacing w:val="-64"/>
        </w:rPr>
        <w:t> </w:t>
      </w:r>
      <w:r>
        <w:rPr>
          <w:spacing w:val="-64"/>
        </w:rPr>
      </w:r>
      <w:r>
        <w:rPr>
          <w:spacing w:val="-2"/>
        </w:rPr>
        <w:t>购买日所属当期投资收益，同时将与购买日之前持有的被购买方的股权相关的其他综合收益转为当期投资收益，合并成本为</w:t>
      </w:r>
      <w:r>
        <w:rPr>
          <w:spacing w:val="-64"/>
        </w:rPr>
        <w:t> </w:t>
      </w:r>
      <w:r>
        <w:rPr>
          <w:spacing w:val="-64"/>
        </w:rPr>
      </w:r>
      <w:r>
        <w:rPr/>
        <w:t>购买日之前持有的被购买方的股权在购买日的公允价值与购买日增持的被购买方股权在购买日的公允价值之和。</w:t>
      </w:r>
    </w:p>
    <w:p>
      <w:pPr>
        <w:pStyle w:val="BodyText"/>
        <w:spacing w:line="316" w:lineRule="auto" w:before="20"/>
        <w:ind w:right="189" w:firstLine="426"/>
        <w:jc w:val="both"/>
      </w:pPr>
      <w:r>
        <w:rPr/>
        <w:t>购买方发生的合并成本及在合并中取得的可辨认净资产按购买日的公允价值计量。合并成本大于合并中取得的被购买 </w:t>
      </w:r>
      <w:r>
        <w:rPr>
          <w:spacing w:val="-2"/>
        </w:rPr>
        <w:t>方于购买日可辨认净资产公允价值份额的差额，确认为商誉。合并成本小于合并中取得的被购买方可辨认净资产公允价值份</w:t>
      </w:r>
      <w:r>
        <w:rPr>
          <w:spacing w:val="-64"/>
        </w:rPr>
        <w:t> </w:t>
      </w:r>
      <w:r>
        <w:rPr>
          <w:spacing w:val="-64"/>
        </w:rPr>
      </w:r>
      <w:r>
        <w:rPr>
          <w:spacing w:val="-2"/>
        </w:rPr>
        <w:t>额的，首先对取得的被购买方各项可辨认资产、负债及或有负债的公允价值以及合并成本的计量进行复核，复核后合并成本</w:t>
      </w:r>
      <w:r>
        <w:rPr>
          <w:spacing w:val="-66"/>
        </w:rPr>
        <w:t> </w:t>
      </w:r>
      <w:r>
        <w:rPr>
          <w:spacing w:val="-66"/>
        </w:rPr>
      </w:r>
      <w:r>
        <w:rPr/>
        <w:t>仍小于合并中取得的被购买方可辨认净资产公允价值份额的，其差额计入当期损益。</w:t>
      </w:r>
    </w:p>
    <w:p>
      <w:pPr>
        <w:pStyle w:val="BodyText"/>
        <w:spacing w:line="312" w:lineRule="auto" w:before="19"/>
        <w:ind w:right="188" w:firstLine="426"/>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89" w:firstLine="426"/>
        <w:jc w:val="both"/>
      </w:pPr>
      <w:r>
        <w:rPr/>
        <w:t>从取得子公司的净资产和生产经营决策的实际控制权之日起，本公司开始将其纳入合并范围；从丧失实际控制权之日 </w:t>
      </w: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right="189" w:firstLine="426"/>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580" w:right="90"/>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8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项目列示。少数股东分担的子公司的亏损超过了少数股东在该子公司期初所有者权益中所享有的份额，冲减少数</w:t>
      </w:r>
      <w:r>
        <w:rPr>
          <w:spacing w:val="-77"/>
        </w:rPr>
        <w:t> </w:t>
      </w:r>
      <w:r>
        <w:rPr>
          <w:spacing w:val="-77"/>
        </w:rPr>
      </w:r>
      <w:r>
        <w:rPr/>
        <w:t>股东权益。</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89" w:firstLine="426"/>
        <w:jc w:val="both"/>
      </w:pPr>
      <w:r>
        <w:rPr/>
        <w:t>本公司现金及现金等价物包括库存现金、可以随时用于支付的存款以及本公司持有的期限短（一般为从购买日起，三 个月内到期）、流动性强、易于转换为已知金额的现金、价值变动风险很小的投资。</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5"/>
        <w:spacing w:line="240" w:lineRule="auto" w:before="35"/>
        <w:ind w:right="9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9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0" w:firstLine="426"/>
        <w:jc w:val="left"/>
      </w:pPr>
      <w:r>
        <w:rPr/>
        <w:t>本公司发生的外币交易在初始确认时，按交易日的即期汇率折算为记账本位币金额，但公司发生的外币兑换业务或涉 及外币兑换的交易事项，按照实际采用的汇率折算为记账本位币金额。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9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0" w:firstLine="360"/>
        <w:jc w:val="left"/>
      </w:pPr>
      <w:r>
        <w:rPr>
          <w:spacing w:val="-2"/>
        </w:rPr>
        <w:t>资产负债表日，对于外币货币性项目采用资产负债表日即期汇率折算，由此产生的汇兑差额，除：①属于与购建符合资</w:t>
      </w:r>
      <w:r>
        <w:rPr/>
        <w:t> </w:t>
      </w: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6"/>
        </w:rPr>
        <w:t> </w:t>
      </w:r>
      <w:r>
        <w:rPr>
          <w:spacing w:val="-66"/>
        </w:rPr>
      </w:r>
      <w:r>
        <w:rPr/>
        <w:t>动（含汇率变动）处理，计入当期损益或确认为其他综合收益并计入资本公积。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9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89" w:firstLine="360"/>
        <w:jc w:val="both"/>
      </w:pPr>
      <w:r>
        <w:rPr>
          <w:spacing w:val="-2"/>
        </w:rPr>
        <w:t>公允价值，指在公平交易中，熟悉情况的交易双方自愿进行资产交换或债务清偿的金额。金融工具存在活跃市场的，本</w:t>
      </w:r>
      <w:r>
        <w:rPr/>
        <w:t> </w:t>
      </w:r>
      <w:r>
        <w:rPr>
          <w:spacing w:val="-2"/>
        </w:rPr>
        <w:t>公司采用活跃市场中的报价确定其公允价值。活跃市场中的报价是指易于定期从交易所、经纪商、行业协会、定价服务机构</w:t>
      </w:r>
      <w:r>
        <w:rPr>
          <w:spacing w:val="-66"/>
        </w:rPr>
        <w:t> </w:t>
      </w:r>
      <w:r>
        <w:rPr>
          <w:spacing w:val="-66"/>
        </w:rPr>
      </w:r>
      <w:r>
        <w:rPr>
          <w:spacing w:val="-2"/>
        </w:rPr>
        <w:t>等获得的价格，且代表了在公平交易中实际发生的市场交易的价格。金融工具不存在活跃市场的，本公司采用估值技术确定</w:t>
      </w:r>
      <w:r>
        <w:rPr>
          <w:spacing w:val="-66"/>
        </w:rPr>
        <w:t> </w:t>
      </w:r>
      <w:r>
        <w:rPr>
          <w:spacing w:val="-66"/>
        </w:rPr>
      </w:r>
      <w:r>
        <w:rPr>
          <w:spacing w:val="-2"/>
        </w:rPr>
        <w:t>其公允价值。估值技术包括参考熟悉情况并自愿交易的各方最近进行的市场交易中使用的价格、参照实质上相同的其他金融</w:t>
      </w:r>
      <w:r>
        <w:rPr>
          <w:spacing w:val="-64"/>
        </w:rPr>
        <w:t> </w:t>
      </w:r>
      <w:r>
        <w:rPr>
          <w:spacing w:val="-64"/>
        </w:rPr>
      </w:r>
      <w:r>
        <w:rPr/>
        <w:t>工具当前的公允价值、现金流量折现法和期权定价模型等。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5"/>
        <w:spacing w:line="240" w:lineRule="auto"/>
        <w:ind w:right="9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28" w:firstLine="480"/>
        <w:jc w:val="both"/>
      </w:pPr>
      <w:r>
        <w:rPr/>
        <w:t>以常规方式买卖金融资产，按交易日进行会计确认和终止确认。金融资产在初始确认时 划分为以公允价值计量且其变动计入当期损益的金融资产、持有至到期投资、贷款和应收款 项以及可供出售金融资产。初始确认金融资产，以公允价值计量。对于以公允价值计量且其 变动计入当期损益的金融资产，相关的交易费用直接计入当期损益，对于其他类别的金融资 产，相关交易费用计入初始确认金额。</w:t>
      </w:r>
    </w:p>
    <w:p>
      <w:pPr>
        <w:spacing w:line="240" w:lineRule="auto" w:before="7"/>
        <w:rPr>
          <w:rFonts w:ascii="宋体" w:hAnsi="宋体" w:cs="宋体" w:eastAsia="宋体" w:hint="default"/>
          <w:sz w:val="22"/>
          <w:szCs w:val="22"/>
        </w:rPr>
      </w:pPr>
    </w:p>
    <w:p>
      <w:pPr>
        <w:pStyle w:val="Heading5"/>
        <w:spacing w:line="240" w:lineRule="auto"/>
        <w:ind w:right="9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90" w:firstLine="360"/>
        <w:jc w:val="left"/>
      </w:pPr>
      <w:r>
        <w:rPr>
          <w:spacing w:val="-2"/>
        </w:rPr>
        <w:t>以常规方式买卖金融资产，按交易日进行会计确认和终止确认。金融资产在初始确认时划分为以公允价值计量且其变动</w:t>
      </w:r>
      <w:r>
        <w:rPr/>
        <w:t> </w:t>
      </w:r>
      <w:r>
        <w:rPr>
          <w:spacing w:val="-4"/>
        </w:rPr>
        <w:t>计入当期损益的金融资产、持有至到期投资、贷款和应收款项以及可供出售金融资产。初始确认金融资产，以公允价值计量。</w:t>
      </w:r>
      <w:r>
        <w:rPr>
          <w:spacing w:val="-46"/>
        </w:rPr>
        <w:t> </w:t>
      </w:r>
      <w:r>
        <w:rPr>
          <w:spacing w:val="-46"/>
        </w:rPr>
      </w:r>
      <w:r>
        <w:rPr>
          <w:spacing w:val="-2"/>
        </w:rPr>
        <w:t>对于以公允价值计量且其变动计入当期损益的金融资产，相关的交易费用直接计入当期损益，对于其他类别的金融资产，相</w:t>
      </w:r>
      <w:r>
        <w:rPr>
          <w:spacing w:val="-66"/>
        </w:rPr>
        <w:t> </w:t>
      </w:r>
      <w:r>
        <w:rPr>
          <w:spacing w:val="-66"/>
        </w:rPr>
      </w:r>
      <w:r>
        <w:rPr/>
        <w:t>关交易费用计入初始确认金额。</w:t>
      </w:r>
    </w:p>
    <w:p>
      <w:pPr>
        <w:pStyle w:val="BodyText"/>
        <w:spacing w:line="309" w:lineRule="auto" w:before="19"/>
        <w:ind w:left="579" w:right="225" w:hanging="66"/>
        <w:jc w:val="left"/>
      </w:pPr>
      <w:r>
        <w:rPr>
          <w:rFonts w:ascii="Times New Roman" w:hAnsi="Times New Roman" w:cs="Times New Roman" w:eastAsia="Times New Roman" w:hint="default"/>
        </w:rPr>
        <w:t>1.</w:t>
      </w:r>
      <w:r>
        <w:rPr/>
        <w:t>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ind w:right="191"/>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9"/>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right="190" w:firstLine="426"/>
        <w:jc w:val="both"/>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A.</w:t>
      </w:r>
      <w:r>
        <w:rPr/>
        <w:t>该指定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9"/>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6"/>
        <w:ind w:right="222" w:firstLine="426"/>
        <w:jc w:val="both"/>
      </w:pPr>
      <w:r>
        <w:rPr/>
        <w:t>以公允价值计量且其变动计入当期损益的金融资产采用公允价值进行后续计量，公允价值变动形成的利得或损失以及 与该等金融资产相关的股利和利息收入计入当期损益。</w:t>
      </w:r>
    </w:p>
    <w:p>
      <w:pPr>
        <w:pStyle w:val="BodyText"/>
        <w:spacing w:line="309" w:lineRule="auto" w:before="19"/>
        <w:ind w:left="579" w:right="205"/>
        <w:jc w:val="left"/>
      </w:pPr>
      <w:r>
        <w:rPr>
          <w:rFonts w:ascii="Times New Roman" w:hAnsi="Times New Roman" w:cs="Times New Roman" w:eastAsia="Times New Roman" w:hint="default"/>
        </w:rPr>
        <w:t>2.</w:t>
      </w:r>
      <w:r>
        <w:rPr/>
        <w:t>持有至到期投资 是指到期日固定、回收金额固定或可确定，且本公司有明确意图和能力持有至到期的非衍生金融资产。 持有至到期投资采用实际利率法，按摊余成本进行后续计量，在终止确认、发生减值或摊销时产生的利得或损失，计</w:t>
      </w:r>
    </w:p>
    <w:p>
      <w:pPr>
        <w:pStyle w:val="BodyText"/>
        <w:spacing w:line="240" w:lineRule="auto" w:before="24"/>
        <w:ind w:right="90"/>
        <w:jc w:val="left"/>
      </w:pPr>
      <w:r>
        <w:rPr/>
        <w:t>入当期损益。</w:t>
      </w:r>
    </w:p>
    <w:p>
      <w:pPr>
        <w:pStyle w:val="BodyText"/>
        <w:spacing w:line="316" w:lineRule="auto" w:before="76"/>
        <w:ind w:right="190" w:firstLine="426"/>
        <w:jc w:val="both"/>
      </w:pPr>
      <w:r>
        <w:rPr/>
        <w:t>实际利率法是指按照金融资产或金融负债（含一组金融资产或金融负债）的实际利率计算其摊余成本及各期利息收入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90" w:firstLine="426"/>
        <w:jc w:val="both"/>
      </w:pPr>
      <w:r>
        <w:rPr/>
        <w:t>在计算实际利率时，本公司将在考虑金融资产或金融负债所有合同条款的基础上预计未来现金流量（不考虑未来的信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00" w:lineRule="auto" w:before="19"/>
        <w:ind w:left="513" w:right="90" w:firstLine="2"/>
        <w:jc w:val="left"/>
      </w:pPr>
      <w:r>
        <w:rPr>
          <w:rFonts w:ascii="Times New Roman" w:hAnsi="Times New Roman" w:cs="Times New Roman" w:eastAsia="Times New Roman" w:hint="default"/>
        </w:rPr>
        <w:t>3.</w:t>
      </w:r>
      <w:r>
        <w:rPr/>
        <w:t>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31"/>
        <w:ind w:left="513" w:right="9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90"/>
        <w:jc w:val="left"/>
      </w:pPr>
      <w:r>
        <w:rPr/>
        <w:t>当期损益。</w:t>
      </w:r>
    </w:p>
    <w:p>
      <w:pPr>
        <w:pStyle w:val="BodyText"/>
        <w:spacing w:line="300" w:lineRule="auto" w:before="76"/>
        <w:ind w:left="513" w:right="91" w:firstLine="2"/>
        <w:jc w:val="left"/>
      </w:pPr>
      <w:r>
        <w:rPr>
          <w:rFonts w:ascii="Times New Roman" w:hAnsi="Times New Roman" w:cs="Times New Roman" w:eastAsia="Times New Roman" w:hint="default"/>
        </w:rPr>
        <w:t>4.</w:t>
      </w:r>
      <w:r>
        <w:rPr/>
        <w:t>可供出售金融资产 包括初始确认时即被指定为可供出售的非衍生金融资产，以及除了以公允价值计量且其变动计入当期损益的金融资产、</w:t>
      </w:r>
    </w:p>
    <w:p>
      <w:pPr>
        <w:pStyle w:val="BodyText"/>
        <w:spacing w:line="316" w:lineRule="auto" w:before="31"/>
        <w:ind w:left="513" w:right="90" w:hanging="360"/>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before="19"/>
        <w:ind w:right="191"/>
        <w:jc w:val="both"/>
      </w:pPr>
      <w:r>
        <w:rPr>
          <w:spacing w:val="-2"/>
        </w:rPr>
        <w:t>摊余成本相关的汇兑差额计入当期损益外，确认为其他综合收益并计入资本公积，在该金融资产终止确认时转出，计入当期</w:t>
      </w:r>
      <w:r>
        <w:rPr>
          <w:spacing w:val="-66"/>
        </w:rPr>
        <w:t> </w:t>
      </w:r>
      <w:r>
        <w:rPr>
          <w:spacing w:val="-66"/>
        </w:rPr>
      </w:r>
      <w:r>
        <w:rPr/>
        <w:t>损益。</w:t>
      </w:r>
    </w:p>
    <w:p>
      <w:pPr>
        <w:pStyle w:val="BodyText"/>
        <w:spacing w:line="240" w:lineRule="auto" w:before="19"/>
        <w:ind w:left="513" w:right="90"/>
        <w:jc w:val="left"/>
      </w:pPr>
      <w:r>
        <w:rPr/>
        <w:t>可供出售金融资产持有期间取得的利息及被投资单位宣告发放的现金股利，计入投资收益。</w:t>
      </w:r>
    </w:p>
    <w:p>
      <w:pPr>
        <w:spacing w:line="240" w:lineRule="auto" w:before="12"/>
        <w:rPr>
          <w:rFonts w:ascii="宋体" w:hAnsi="宋体" w:cs="宋体" w:eastAsia="宋体" w:hint="default"/>
          <w:sz w:val="26"/>
          <w:szCs w:val="26"/>
        </w:rPr>
      </w:pPr>
    </w:p>
    <w:p>
      <w:pPr>
        <w:pStyle w:val="Heading5"/>
        <w:spacing w:line="240" w:lineRule="auto"/>
        <w:ind w:right="9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28" w:firstLine="480"/>
        <w:jc w:val="both"/>
      </w:pPr>
      <w:r>
        <w:rPr/>
        <w:t>满足下列条件之一的金融资产，予以终止确认：①收取该金融资产现金流量的合同权利 终止；②该金融资产已转移，且将金融资产所有权上几乎所有的风险和报酬转移给转入方；</w:t>
      </w:r>
    </w:p>
    <w:p>
      <w:pPr>
        <w:pStyle w:val="Heading4"/>
        <w:spacing w:line="312" w:lineRule="exact"/>
        <w:ind w:left="154" w:right="228"/>
        <w:jc w:val="both"/>
      </w:pPr>
      <w:r>
        <w:rPr/>
        <w:t>③该金融资产已转移，虽然企业既没有转移也没有保留金融资产所有权上几乎所有的风险和 报酬，但是放弃了对该金融资产控制。</w:t>
      </w:r>
    </w:p>
    <w:p>
      <w:pPr>
        <w:pStyle w:val="Heading4"/>
        <w:spacing w:line="312" w:lineRule="exact"/>
        <w:ind w:right="228"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Heading4"/>
        <w:spacing w:line="312" w:lineRule="exact"/>
        <w:ind w:right="228" w:firstLine="480"/>
        <w:jc w:val="both"/>
      </w:pPr>
      <w:r>
        <w:rPr/>
        <w:t>金融资产整体转移满足终止确认条件的，将所转移金融资产的账面价值及因转移而收到 的对价与原计入其他综合收益的公允价值变动累计额之和的差额计入当期损益。</w:t>
      </w:r>
    </w:p>
    <w:p>
      <w:pPr>
        <w:spacing w:after="0" w:line="312" w:lineRule="exact"/>
        <w:jc w:val="both"/>
        <w:sectPr>
          <w:pgSz w:w="11910" w:h="16840"/>
          <w:pgMar w:header="747" w:footer="982" w:top="1060" w:bottom="1180" w:left="980" w:right="940"/>
        </w:sectPr>
      </w:pPr>
    </w:p>
    <w:p>
      <w:pPr>
        <w:spacing w:line="240" w:lineRule="auto" w:before="7"/>
        <w:rPr>
          <w:rFonts w:ascii="宋体" w:hAnsi="宋体" w:cs="宋体" w:eastAsia="宋体" w:hint="default"/>
          <w:sz w:val="23"/>
          <w:szCs w:val="23"/>
        </w:rPr>
      </w:pPr>
    </w:p>
    <w:p>
      <w:pPr>
        <w:pStyle w:val="Heading4"/>
        <w:spacing w:line="312" w:lineRule="exact" w:before="56"/>
        <w:ind w:left="154" w:right="228"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89" w:firstLine="360"/>
        <w:jc w:val="both"/>
      </w:pPr>
      <w:r>
        <w:rPr>
          <w:spacing w:val="-2"/>
        </w:rPr>
        <w:t>金融负债的现时义务全部或部分已经解除的，才能终止确认该金融负债或其一部分。本公司（债务人）与债权人之间签</w:t>
      </w:r>
      <w:r>
        <w:rPr/>
        <w:t> </w:t>
      </w: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right="9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90" w:firstLine="360"/>
        <w:jc w:val="left"/>
      </w:pPr>
      <w:r>
        <w:rPr>
          <w:spacing w:val="-2"/>
        </w:rPr>
        <w:t>以常规方式买卖金融资产，按交易日进行会计确认和终止确认。金融资产在初始确认时划分为以公允价值计量且其变动</w:t>
      </w:r>
      <w:r>
        <w:rPr/>
        <w:t> </w:t>
      </w:r>
      <w:r>
        <w:rPr>
          <w:spacing w:val="-4"/>
        </w:rPr>
        <w:t>计入当期损益的金融资产、持有至到期投资、贷款和应收款项以及可供出售金融资产。初始确认金融资产，以公允价值计量。</w:t>
      </w:r>
      <w:r>
        <w:rPr>
          <w:spacing w:val="-46"/>
        </w:rPr>
        <w:t> </w:t>
      </w:r>
      <w:r>
        <w:rPr>
          <w:spacing w:val="-46"/>
        </w:rPr>
      </w:r>
      <w:r>
        <w:rPr>
          <w:spacing w:val="-2"/>
        </w:rPr>
        <w:t>对于以公允价值计量且其变动计入当期损益的金融资产，相关的交易费用直接计入当期损益，对于其他类别的金融资产，相</w:t>
      </w:r>
      <w:r>
        <w:rPr>
          <w:spacing w:val="-66"/>
        </w:rPr>
        <w:t> </w:t>
      </w:r>
      <w:r>
        <w:rPr>
          <w:spacing w:val="-66"/>
        </w:rPr>
      </w:r>
      <w:r>
        <w:rPr/>
        <w:t>关交易费用计入初始确认金额。</w:t>
      </w:r>
    </w:p>
    <w:p>
      <w:pPr>
        <w:pStyle w:val="BodyText"/>
        <w:spacing w:line="309" w:lineRule="auto" w:before="19"/>
        <w:ind w:left="513" w:right="90"/>
        <w:jc w:val="left"/>
      </w:pPr>
      <w:r>
        <w:rPr>
          <w:rFonts w:ascii="Times New Roman" w:hAnsi="Times New Roman" w:cs="Times New Roman" w:eastAsia="Times New Roman" w:hint="default"/>
        </w:rPr>
        <w:t>1</w:t>
      </w:r>
      <w:r>
        <w:rPr/>
        <w:t>、以公允价值计量且其变动计入当期损益的金融资产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before="5"/>
        <w:ind w:left="154" w:right="189"/>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9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9"/>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90" w:firstLine="360"/>
        <w:jc w:val="left"/>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right="91" w:firstLine="360"/>
        <w:jc w:val="left"/>
      </w:pPr>
      <w:r>
        <w:rPr/>
        <w:t>金融负债在初始确认时划分为以公允价值计量且其变动计入当期损益的金融负债和其他金融负债。初始确认金融负债， </w:t>
      </w: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00" w:lineRule="auto" w:before="19"/>
        <w:ind w:left="513" w:right="271"/>
        <w:jc w:val="left"/>
      </w:pPr>
      <w:r>
        <w:rPr>
          <w:rFonts w:ascii="Times New Roman" w:hAnsi="Times New Roman" w:cs="Times New Roman" w:eastAsia="Times New Roman" w:hint="default"/>
        </w:rPr>
        <w:t>2</w:t>
      </w:r>
      <w:r>
        <w:rPr/>
        <w:t>、以公允价值计量且其变动计入当期损益的金融负债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31"/>
        <w:ind w:left="513" w:right="9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both"/>
      </w:pPr>
      <w:r>
        <w:rPr/>
        <w:t>与该等金融负债相关的股利和利息支出计入当期损益。</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222" w:firstLine="426"/>
        <w:jc w:val="both"/>
      </w:pPr>
      <w:r>
        <w:rPr/>
        <w:t>除了以公允价值计量且其变动计入当期损益的金融资产外，本公司在每个资产负债表日对其他金融资产的账面价值进 行检查，有客观证据表明金融资产发生减值的，计提减值准备。</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right="151"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0" w:firstLine="66"/>
        <w:jc w:val="left"/>
      </w:pPr>
      <w:r>
        <w:rPr/>
        <w:t>坏账准备的确认标准： </w:t>
      </w:r>
      <w:r>
        <w:rPr>
          <w:spacing w:val="-2"/>
        </w:rPr>
        <w:t>本公司在资产负债表日对应收款项账面价值进行检查，对存在下列客观证据表明应收款项发生减值的，计提减值准备①</w:t>
      </w:r>
    </w:p>
    <w:p>
      <w:pPr>
        <w:pStyle w:val="BodyText"/>
        <w:spacing w:line="316" w:lineRule="auto" w:before="19"/>
        <w:ind w:right="0"/>
        <w:jc w:val="left"/>
      </w:pPr>
      <w:r>
        <w:rPr>
          <w:spacing w:val="-2"/>
        </w:rPr>
        <w:t>债务人发生严重的财务困难；②债务人违反合同条款（如偿付利息或本金发生违约或逾期等）；③债务人很可能倒闭或进行</w:t>
      </w:r>
      <w:r>
        <w:rPr>
          <w:spacing w:val="-66"/>
        </w:rPr>
        <w:t> </w:t>
      </w:r>
      <w:r>
        <w:rPr>
          <w:spacing w:val="-66"/>
        </w:rPr>
      </w:r>
      <w:r>
        <w:rPr/>
        <w:t>其他财务重组；④其他表明应收款项发生减值的客观依据。</w:t>
      </w:r>
    </w:p>
    <w:p>
      <w:pPr>
        <w:pStyle w:val="BodyText"/>
        <w:spacing w:line="240" w:lineRule="auto" w:before="19"/>
        <w:ind w:left="513" w:right="0"/>
        <w:jc w:val="left"/>
      </w:pPr>
      <w:r>
        <w:rPr/>
        <w:t>坏账准备的计提方法：</w:t>
      </w:r>
    </w:p>
    <w:p>
      <w:pPr>
        <w:pStyle w:val="BodyText"/>
        <w:spacing w:line="309" w:lineRule="auto" w:before="76"/>
        <w:ind w:left="513" w:right="0"/>
        <w:jc w:val="left"/>
      </w:pPr>
      <w:r>
        <w:rPr/>
        <w:t>①单项金额重大并单项计提坏账准备的应收款项坏账准备的确认标准、计提方法 本公司将金额为人民币</w:t>
      </w:r>
      <w:r>
        <w:rPr>
          <w:rFonts w:ascii="Times New Roman" w:hAnsi="Times New Roman" w:cs="Times New Roman" w:eastAsia="Times New Roman" w:hint="default"/>
        </w:rPr>
        <w:t>100</w:t>
      </w:r>
      <w:r>
        <w:rPr/>
        <w:t>万元及以上的应收款项确认为单项金额重大的应收款项。 </w:t>
      </w:r>
      <w:r>
        <w:rPr>
          <w:spacing w:val="-2"/>
        </w:rPr>
        <w:t>本公司对单项金额重大的应收款项单独进行减值测试，单独测试未发生减值的金融资产，包括在具有类似信用风险特征</w:t>
      </w:r>
    </w:p>
    <w:p>
      <w:pPr>
        <w:pStyle w:val="BodyText"/>
        <w:spacing w:line="316" w:lineRule="auto" w:before="24"/>
        <w:ind w:right="0"/>
        <w:jc w:val="left"/>
      </w:pPr>
      <w:r>
        <w:rPr>
          <w:spacing w:val="-2"/>
        </w:rPr>
        <w:t>的金融资产组合中进行减值测试。单项测试已确认减值损失的应收款项，不再包括在具有类似信用风险特征的应收款项组合</w:t>
      </w:r>
      <w:r>
        <w:rPr>
          <w:spacing w:val="-64"/>
        </w:rPr>
        <w:t> </w:t>
      </w:r>
      <w:r>
        <w:rPr>
          <w:spacing w:val="-64"/>
        </w:rPr>
      </w:r>
      <w:r>
        <w:rPr/>
        <w:t>中进行减值测试。</w:t>
      </w:r>
    </w:p>
    <w:p>
      <w:pPr>
        <w:pStyle w:val="BodyText"/>
        <w:spacing w:line="240" w:lineRule="auto" w:before="19"/>
        <w:ind w:left="513" w:right="0"/>
        <w:jc w:val="left"/>
      </w:pPr>
      <w:r>
        <w:rPr/>
        <w:t>②按信用风险组合计提坏账准备的应收款项的确定依据、坏账准备计提方法</w:t>
      </w:r>
    </w:p>
    <w:p>
      <w:pPr>
        <w:pStyle w:val="BodyText"/>
        <w:spacing w:line="300" w:lineRule="auto" w:before="76"/>
        <w:ind w:left="513" w:right="0"/>
        <w:jc w:val="left"/>
      </w:pPr>
      <w:r>
        <w:rPr>
          <w:rFonts w:ascii="Times New Roman" w:hAnsi="Times New Roman" w:cs="Times New Roman" w:eastAsia="Times New Roman" w:hint="default"/>
        </w:rPr>
        <w:t>A</w:t>
      </w:r>
      <w:r>
        <w:rPr/>
        <w:t>．信用风险特征组合的确定依据 </w:t>
      </w:r>
      <w:r>
        <w:rPr>
          <w:spacing w:val="-2"/>
        </w:rPr>
        <w:t>本公司对单项金额不重大以及金额重大但单项测试未发生减值的应收款项，按信用风险特征的相似性和相关性对金融资</w:t>
      </w:r>
    </w:p>
    <w:p>
      <w:pPr>
        <w:pStyle w:val="BodyText"/>
        <w:spacing w:line="316" w:lineRule="auto" w:before="31"/>
        <w:ind w:right="0"/>
        <w:jc w:val="left"/>
      </w:pPr>
      <w:r>
        <w:rPr>
          <w:spacing w:val="-2"/>
        </w:rPr>
        <w:t>产进行分组。这些信用风险通常反映债务人按照该等资产的合同条款偿还所有到期金额的能力，并且与被检查资产的未来现</w:t>
      </w:r>
      <w:r>
        <w:rPr>
          <w:spacing w:val="-64"/>
        </w:rPr>
        <w:t> </w:t>
      </w:r>
      <w:r>
        <w:rPr>
          <w:spacing w:val="-64"/>
        </w:rPr>
      </w:r>
      <w:r>
        <w:rPr/>
        <w:t>金流量测算相关。</w:t>
      </w:r>
    </w:p>
    <w:p>
      <w:pPr>
        <w:pStyle w:val="BodyText"/>
        <w:spacing w:line="300" w:lineRule="auto" w:before="19"/>
        <w:ind w:left="513" w:right="0"/>
        <w:jc w:val="left"/>
      </w:pPr>
      <w:r>
        <w:rPr>
          <w:rFonts w:ascii="Times New Roman" w:hAnsi="Times New Roman" w:cs="Times New Roman" w:eastAsia="Times New Roman" w:hint="default"/>
        </w:rPr>
        <w:t>B</w:t>
      </w:r>
      <w:r>
        <w:rPr/>
        <w:t>．根据信用风险特征组合确定的坏账准备计提方法 </w:t>
      </w:r>
      <w:r>
        <w:rPr>
          <w:spacing w:val="-2"/>
        </w:rPr>
        <w:t>按组合方式实施减值测试时，坏账准备金额系根据应收款项组合结构及类似信用风险特征（债务人根据合同条款偿还欠</w:t>
      </w:r>
    </w:p>
    <w:p>
      <w:pPr>
        <w:pStyle w:val="BodyText"/>
        <w:spacing w:line="240" w:lineRule="auto" w:before="31"/>
        <w:ind w:right="0"/>
        <w:jc w:val="left"/>
      </w:pPr>
      <w:r>
        <w:rPr/>
        <w:t>款的能力）按历史损失经验及目前经济状况与预计应收款项组合中已经存在的损失评估确定。</w:t>
      </w:r>
    </w:p>
    <w:p>
      <w:pPr>
        <w:pStyle w:val="BodyText"/>
        <w:spacing w:line="338" w:lineRule="auto" w:before="76"/>
        <w:ind w:right="0" w:firstLine="360"/>
        <w:jc w:val="left"/>
      </w:pPr>
      <w:r>
        <w:rPr/>
        <w:t>③单项金额虽不重大但单项计提坏账准备的应收款项 </w:t>
      </w:r>
      <w:r>
        <w:rPr>
          <w:spacing w:val="-2"/>
        </w:rPr>
        <w:t>本公司对于单项金额虽不重大但具备以下特征的应收款项，单独进行减值测试，有客观证据表明其发生了减值的，根据其未</w:t>
      </w:r>
      <w:r>
        <w:rPr>
          <w:spacing w:val="-66"/>
        </w:rPr>
        <w:t> </w:t>
      </w:r>
      <w:r>
        <w:rPr>
          <w:spacing w:val="-66"/>
        </w:rPr>
      </w:r>
      <w:r>
        <w:rPr>
          <w:spacing w:val="-2"/>
        </w:rPr>
        <w:t>来现金流量现值低于其账面价值的差额，确认减值损失，计提坏账准备：应收关联方款项；与对方存在争议或涉及诉讼、仲</w:t>
      </w:r>
    </w:p>
    <w:p>
      <w:pPr>
        <w:pStyle w:val="BodyText"/>
        <w:spacing w:line="240" w:lineRule="auto" w:before="4"/>
        <w:ind w:right="0"/>
        <w:jc w:val="left"/>
      </w:pPr>
      <w:r>
        <w:rPr/>
        <w:t>裁的应收款项；已有明显迹象表明债务人很可能无法履行还款义务的应收款项等。</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713"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万元及以上的应收款项确认为单项金额 重大的应收款项。</w:t>
            </w:r>
          </w:p>
        </w:tc>
      </w:tr>
      <w:tr>
        <w:trPr>
          <w:trHeight w:val="358" w:hRule="exact"/>
        </w:trPr>
        <w:tc>
          <w:tcPr>
            <w:tcW w:w="5055"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2"/>
                <w:sz w:val="18"/>
                <w:szCs w:val="18"/>
              </w:rPr>
              <w:t>对单项金额重大的应收款项单独进行减值测试，单独测试</w:t>
            </w:r>
          </w:p>
        </w:tc>
      </w:tr>
      <w:tr>
        <w:trPr>
          <w:trHeight w:val="311"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未发生减值的金融资产，包括在具有类似信用风险特征的</w:t>
            </w:r>
          </w:p>
        </w:tc>
      </w:tr>
      <w:tr>
        <w:trPr>
          <w:trHeight w:val="313"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金融资产组合中进行减值测试。单项测试已确认减值损失</w:t>
            </w:r>
          </w:p>
        </w:tc>
      </w:tr>
      <w:tr>
        <w:trPr>
          <w:trHeight w:val="312"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的应收款项，不再包括在具有类似信用风险特征的应收款</w:t>
            </w:r>
          </w:p>
        </w:tc>
      </w:tr>
      <w:tr>
        <w:trPr>
          <w:trHeight w:val="357" w:hRule="exact"/>
        </w:trPr>
        <w:tc>
          <w:tcPr>
            <w:tcW w:w="5055"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项组合中进行减值测试。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left="154"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单项金额虽不重大但已涉及诉讼事项或已有客观证据表明很有可能形成损失的 应收款项。</w:t>
            </w:r>
          </w:p>
        </w:tc>
      </w:tr>
      <w:tr>
        <w:trPr>
          <w:trHeight w:val="1026"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对单项金额虽不重大但已涉及诉讼事项或已有客观证据表明很有可能形成损失 的应收款项需单独进行减值测试，根据其未来现金流量现值低于其账面价值的 差额，确认减值损失，计入当期损益。</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存货主要包括存货分为在产品、库存商品、发出商品及低值易耗品等。</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计价方法：加权平均法</w:t>
      </w:r>
    </w:p>
    <w:p>
      <w:pPr>
        <w:pStyle w:val="Heading2"/>
        <w:spacing w:line="312" w:lineRule="exact" w:before="96"/>
        <w:ind w:right="0"/>
        <w:jc w:val="left"/>
        <w:rPr>
          <w:i w:val="0"/>
        </w:rPr>
      </w:pPr>
      <w:r>
        <w:rPr>
          <w:w w:val="95"/>
        </w:rPr>
        <w:t>存货的计价方法：网络产品分销业务存货发出按加权平均法，系统集成业务等存货发出按个</w:t>
      </w:r>
      <w:r>
        <w:rPr>
          <w:spacing w:val="19"/>
          <w:w w:val="95"/>
        </w:rPr>
        <w:t> </w:t>
      </w:r>
      <w:r>
        <w:rPr>
          <w:spacing w:val="19"/>
          <w:w w:val="95"/>
        </w:rPr>
      </w:r>
      <w:r>
        <w:rPr/>
        <w:t>别计价法。</w:t>
      </w:r>
      <w:r>
        <w:rPr>
          <w:i w:val="0"/>
        </w:rPr>
      </w:r>
    </w:p>
    <w:p>
      <w:pPr>
        <w:spacing w:after="0" w:line="312" w:lineRule="exact"/>
        <w:jc w:val="left"/>
        <w:sectPr>
          <w:pgSz w:w="11910" w:h="16840"/>
          <w:pgMar w:header="747" w:footer="982" w:top="1060" w:bottom="1180" w:left="980" w:right="980"/>
        </w:sectPr>
      </w:pPr>
    </w:p>
    <w:p>
      <w:pPr>
        <w:spacing w:line="240" w:lineRule="auto" w:before="10"/>
        <w:rPr>
          <w:rFonts w:ascii="宋体" w:hAnsi="宋体" w:cs="宋体" w:eastAsia="宋体" w:hint="default"/>
          <w:i/>
          <w:sz w:val="24"/>
          <w:szCs w:val="24"/>
        </w:rPr>
      </w:pPr>
    </w:p>
    <w:p>
      <w:pPr>
        <w:pStyle w:val="Heading5"/>
        <w:spacing w:line="240" w:lineRule="auto" w:before="35"/>
        <w:ind w:right="10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68" w:firstLine="480"/>
        <w:jc w:val="both"/>
      </w:pPr>
      <w:r>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Heading2"/>
        <w:spacing w:line="312" w:lineRule="exact"/>
        <w:ind w:right="104" w:firstLine="480"/>
        <w:jc w:val="left"/>
        <w:rPr>
          <w:i w:val="0"/>
        </w:rPr>
      </w:pPr>
      <w:r>
        <w:rPr>
          <w:w w:val="95"/>
        </w:rPr>
        <w:t>在资产负债表日，存货按照成本与可变现净值孰低计量。当其可变现净值低于成本时，</w:t>
      </w:r>
      <w:r>
        <w:rPr>
          <w:spacing w:val="1"/>
          <w:w w:val="96"/>
        </w:rPr>
        <w:t> </w:t>
      </w:r>
      <w:r>
        <w:rPr>
          <w:spacing w:val="-3"/>
          <w:w w:val="95"/>
        </w:rPr>
        <w:t>提取存货跌价准备。存货跌价准备通常按单个存货项目的成本高于其可变现净值的差额提取。</w:t>
      </w:r>
      <w:r>
        <w:rPr>
          <w:i w:val="0"/>
          <w:spacing w:val="-3"/>
        </w:rPr>
      </w:r>
    </w:p>
    <w:p>
      <w:pPr>
        <w:pStyle w:val="Heading4"/>
        <w:spacing w:line="312" w:lineRule="exact"/>
        <w:ind w:left="154" w:right="268"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104"/>
        <w:jc w:val="left"/>
      </w:pPr>
      <w:r>
        <w:rPr/>
        <w:t>盘存制度：永续盘存制</w:t>
      </w:r>
    </w:p>
    <w:p>
      <w:pPr>
        <w:pStyle w:val="Heading4"/>
        <w:spacing w:line="240" w:lineRule="auto" w:before="65"/>
        <w:ind w:left="154" w:right="104"/>
        <w:jc w:val="left"/>
      </w:pPr>
      <w:r>
        <w:rPr/>
        <w:t>本公司存货采用永续盘存制。</w:t>
      </w:r>
    </w:p>
    <w:p>
      <w:pPr>
        <w:spacing w:line="240" w:lineRule="auto" w:before="9"/>
        <w:rPr>
          <w:rFonts w:ascii="宋体" w:hAnsi="宋体" w:cs="宋体" w:eastAsia="宋体" w:hint="default"/>
          <w:sz w:val="24"/>
          <w:szCs w:val="24"/>
        </w:rPr>
      </w:pPr>
    </w:p>
    <w:p>
      <w:pPr>
        <w:pStyle w:val="Heading5"/>
        <w:spacing w:line="240" w:lineRule="auto"/>
        <w:ind w:right="10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4" w:right="8050"/>
        <w:jc w:val="left"/>
      </w:pPr>
      <w:r>
        <w:rPr/>
        <w:t>低值易耗品 摊销方法：一次摊销法</w:t>
      </w:r>
    </w:p>
    <w:p>
      <w:pPr>
        <w:pStyle w:val="Heading4"/>
        <w:spacing w:line="291" w:lineRule="exact"/>
        <w:ind w:left="154" w:right="104"/>
        <w:jc w:val="left"/>
      </w:pPr>
      <w:r>
        <w:rPr/>
        <w:t>低值易耗品于领用时按一次摊销法摊销。</w:t>
      </w:r>
    </w:p>
    <w:p>
      <w:pPr>
        <w:pStyle w:val="BodyText"/>
        <w:spacing w:line="360" w:lineRule="auto" w:before="88"/>
        <w:ind w:left="154" w:right="8050"/>
        <w:jc w:val="left"/>
      </w:pPr>
      <w:r>
        <w:rPr/>
        <w:t>包装物 摊销方法：一次摊销法</w:t>
      </w:r>
    </w:p>
    <w:p>
      <w:pPr>
        <w:pStyle w:val="Heading4"/>
        <w:spacing w:line="289" w:lineRule="exact"/>
        <w:ind w:left="154" w:right="104"/>
        <w:jc w:val="left"/>
      </w:pPr>
      <w:r>
        <w:rPr/>
        <w:t>包装物于领用时按一次摊销法摊销。</w:t>
      </w:r>
    </w:p>
    <w:p>
      <w:pPr>
        <w:spacing w:line="240" w:lineRule="auto" w:before="9"/>
        <w:rPr>
          <w:rFonts w:ascii="宋体" w:hAnsi="宋体" w:cs="宋体" w:eastAsia="宋体" w:hint="default"/>
          <w:sz w:val="24"/>
          <w:szCs w:val="24"/>
        </w:rPr>
      </w:pPr>
    </w:p>
    <w:p>
      <w:pPr>
        <w:pStyle w:val="Heading5"/>
        <w:spacing w:line="240" w:lineRule="auto"/>
        <w:ind w:right="10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04"/>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104"/>
        <w:jc w:val="left"/>
      </w:pPr>
      <w:r>
        <w:rPr>
          <w:spacing w:val="-2"/>
        </w:rPr>
        <w:t>对于企业合并形成的长期股权投资，如为同一控制下的企业合并取得的长期股权投资，在合并日按照取得被合并方所有者权</w:t>
      </w:r>
      <w:r>
        <w:rPr>
          <w:spacing w:val="-64"/>
        </w:rPr>
        <w:t> </w:t>
      </w:r>
      <w:r>
        <w:rPr>
          <w:spacing w:val="-64"/>
        </w:rPr>
      </w:r>
      <w:r>
        <w:rPr>
          <w:spacing w:val="-2"/>
        </w:rPr>
        <w:t>益账面价值的份额作为初始投资成本。通过非同一控制下的企业合并取得的长期股权投资，企业合并成本包括购买方付出的</w:t>
      </w:r>
      <w:r>
        <w:rPr>
          <w:spacing w:val="-64"/>
        </w:rPr>
        <w:t> </w:t>
      </w:r>
      <w:r>
        <w:rPr>
          <w:spacing w:val="-64"/>
        </w:rPr>
      </w:r>
      <w:r>
        <w:rPr>
          <w:spacing w:val="-2"/>
        </w:rPr>
        <w:t>资产、发生或承担的负债、发行的权益性证券的公允价值之和；购买方为企业合并发生的审计、法律服务、评估咨询等中介</w:t>
      </w:r>
      <w:r>
        <w:rPr>
          <w:spacing w:val="-66"/>
        </w:rPr>
        <w:t> </w:t>
      </w:r>
      <w:r>
        <w:rPr>
          <w:spacing w:val="-66"/>
        </w:rPr>
      </w:r>
      <w:r>
        <w:rPr>
          <w:spacing w:val="-4"/>
        </w:rPr>
        <w:t>费用以及其他相关管理费用，应当于发生时计入当期损益；购买方作为合并对价发行的权益性证券或债务性证券的交易费用，</w:t>
      </w:r>
      <w:r>
        <w:rPr>
          <w:spacing w:val="-44"/>
        </w:rPr>
        <w:t> </w:t>
      </w:r>
      <w:r>
        <w:rPr>
          <w:spacing w:val="-44"/>
        </w:rPr>
      </w:r>
      <w:r>
        <w:rPr>
          <w:spacing w:val="-2"/>
        </w:rPr>
        <w:t>应当计入权益性证券或债务性证券的初始确认金额。除企业合并形成的长期股权投资外的其他股权投资，按成本进行初始计</w:t>
      </w:r>
      <w:r>
        <w:rPr>
          <w:spacing w:val="-64"/>
        </w:rPr>
        <w:t> </w:t>
      </w:r>
      <w:r>
        <w:rPr>
          <w:spacing w:val="-64"/>
        </w:rPr>
      </w:r>
      <w:r>
        <w:rPr>
          <w:spacing w:val="-2"/>
        </w:rPr>
        <w:t>量，该成本视长期股权投资取得方式的不同，分别按照本公司实际支付的现金购买价款、本公司发行的权益性证券的公允价</w:t>
      </w:r>
      <w:r>
        <w:rPr>
          <w:spacing w:val="-66"/>
        </w:rPr>
        <w:t> </w:t>
      </w:r>
      <w:r>
        <w:rPr>
          <w:spacing w:val="-66"/>
        </w:rPr>
      </w:r>
      <w:r>
        <w:rPr>
          <w:spacing w:val="-2"/>
        </w:rPr>
        <w:t>值、投资合同或协议约定的价值、非货币性资产交换交易中换出资产的公允价值或原账面价值、该项长期股权投资自身的公</w:t>
      </w:r>
      <w:r>
        <w:rPr>
          <w:spacing w:val="-66"/>
        </w:rPr>
        <w:t> </w:t>
      </w:r>
      <w:r>
        <w:rPr>
          <w:spacing w:val="-66"/>
        </w:rPr>
      </w:r>
      <w:r>
        <w:rPr/>
        <w:t>允价值等方式确定。与取得长期股权投资直接相关的费用、税金及其他必要支出也计入投资成本。</w:t>
      </w:r>
    </w:p>
    <w:p>
      <w:pPr>
        <w:spacing w:line="240" w:lineRule="auto" w:before="4"/>
        <w:rPr>
          <w:rFonts w:ascii="宋体" w:hAnsi="宋体" w:cs="宋体" w:eastAsia="宋体" w:hint="default"/>
          <w:sz w:val="22"/>
          <w:szCs w:val="22"/>
        </w:rPr>
      </w:pPr>
    </w:p>
    <w:p>
      <w:pPr>
        <w:pStyle w:val="Heading5"/>
        <w:spacing w:line="240" w:lineRule="auto"/>
        <w:ind w:right="104"/>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229"/>
        <w:jc w:val="both"/>
      </w:pPr>
      <w:r>
        <w:rPr>
          <w:spacing w:val="-2"/>
        </w:rPr>
        <w:t>对被投资单位不具有共同控制或重大影响并且在活跃市场中没有报价、公允价值不能可靠计量的长期股权投资，采用成本法</w:t>
      </w:r>
      <w:r>
        <w:rPr>
          <w:spacing w:val="-64"/>
        </w:rPr>
        <w:t> </w:t>
      </w:r>
      <w:r>
        <w:rPr>
          <w:spacing w:val="-64"/>
        </w:rPr>
      </w:r>
      <w:r>
        <w:rPr>
          <w:spacing w:val="-2"/>
        </w:rPr>
        <w:t>核算；对被投资单位具有共同控制或重大影响的长期股权投资，采用权益法核算；对被投资单位不具有控制、共同控制或重</w:t>
      </w:r>
      <w:r>
        <w:rPr>
          <w:spacing w:val="-66"/>
        </w:rPr>
        <w:t> </w:t>
      </w:r>
      <w:r>
        <w:rPr>
          <w:spacing w:val="-66"/>
        </w:rPr>
      </w:r>
      <w:r>
        <w:rPr>
          <w:spacing w:val="-2"/>
        </w:rPr>
        <w:t>大影响并且公允价值能够可靠计量的长期股权投资，作为可供出售金融资产或以公允价值计量且其变动计入当期损益的金融</w:t>
      </w:r>
      <w:r>
        <w:rPr>
          <w:spacing w:val="-64"/>
        </w:rPr>
        <w:t> </w:t>
      </w:r>
      <w:r>
        <w:rPr>
          <w:spacing w:val="-64"/>
        </w:rPr>
      </w:r>
      <w:r>
        <w:rPr/>
        <w:t>资产核算。此外，公司财务报表采用成本法核算能够对被投资单位实施控制的长期股权投资。      ①</w:t>
      </w:r>
      <w:r>
        <w:rPr>
          <w:spacing w:val="6"/>
        </w:rPr>
        <w:t> </w:t>
      </w:r>
      <w:r>
        <w:rPr/>
        <w:t>成本法核算的长期</w:t>
      </w:r>
    </w:p>
    <w:p>
      <w:pPr>
        <w:spacing w:after="0" w:line="316" w:lineRule="auto"/>
        <w:jc w:val="both"/>
        <w:sectPr>
          <w:pgSz w:w="11910" w:h="16840"/>
          <w:pgMar w:header="747" w:footer="982" w:top="1060" w:bottom="1180" w:left="980" w:right="900"/>
        </w:sectPr>
      </w:pPr>
    </w:p>
    <w:p>
      <w:pPr>
        <w:spacing w:line="240" w:lineRule="auto" w:before="12"/>
        <w:rPr>
          <w:rFonts w:ascii="宋体" w:hAnsi="宋体" w:cs="宋体" w:eastAsia="宋体" w:hint="default"/>
          <w:sz w:val="25"/>
          <w:szCs w:val="25"/>
        </w:rPr>
      </w:pPr>
    </w:p>
    <w:p>
      <w:pPr>
        <w:pStyle w:val="BodyText"/>
        <w:tabs>
          <w:tab w:pos="1503" w:val="left" w:leader="none"/>
          <w:tab w:pos="2943" w:val="left" w:leader="none"/>
          <w:tab w:pos="4682" w:val="left" w:leader="none"/>
          <w:tab w:pos="4868" w:val="left" w:leader="none"/>
          <w:tab w:pos="9603" w:val="left" w:leader="none"/>
        </w:tabs>
        <w:spacing w:line="316" w:lineRule="auto"/>
        <w:ind w:right="108"/>
        <w:jc w:val="left"/>
      </w:pPr>
      <w:r>
        <w:rPr/>
        <w:t>股权投资</w:t>
        <w:tab/>
        <w:t>采用成本法核算时，长期股权投资按初始投资成本计价，除取得投资时实际支付的价款或者对价中包含的 已宣告但尚未发放的现金股利或者利润外，当期投资收益按照享有被投资单位宣告发放的现金股利或利润确认。</w:t>
        <w:tab/>
        <w:t>② 权益法核算的长期股权投资</w:t>
        <w:tab/>
        <w:t>采用权益法核算时，长期股权投资的初始投资成本大于投资时应享有被投资单位可辨认 </w:t>
      </w:r>
      <w:r>
        <w:rPr>
          <w:spacing w:val="-2"/>
        </w:rPr>
        <w:t>净资产公允价值份额的，不调整长期股权投资的初始投资成本；初始投资成本小于投资时应享有被投资单位可辨认净资产公</w:t>
      </w:r>
      <w:r>
        <w:rPr>
          <w:spacing w:val="-64"/>
        </w:rPr>
        <w:t> </w:t>
      </w:r>
      <w:r>
        <w:rPr>
          <w:spacing w:val="-64"/>
        </w:rPr>
      </w:r>
      <w:r>
        <w:rPr>
          <w:spacing w:val="-2"/>
        </w:rPr>
        <w:t>允价值份额的，其差额计入当期损益，同时调整长期股权投资的成本。采用权益法核算时，当期投资损益为应享有或应分担</w:t>
      </w:r>
      <w:r>
        <w:rPr>
          <w:spacing w:val="-66"/>
        </w:rPr>
        <w:t> </w:t>
      </w:r>
      <w:r>
        <w:rPr>
          <w:spacing w:val="-66"/>
        </w:rPr>
      </w:r>
      <w:r>
        <w:rPr>
          <w:spacing w:val="-2"/>
        </w:rPr>
        <w:t>的被投资单位当年实现的净损益的份额。在确认应享有被投资单位净损益的份额时，以取得投资时被投资单位各项可辨认资</w:t>
      </w:r>
      <w:r>
        <w:rPr>
          <w:spacing w:val="-64"/>
        </w:rPr>
        <w:t> </w:t>
      </w:r>
      <w:r>
        <w:rPr>
          <w:spacing w:val="-64"/>
        </w:rPr>
      </w:r>
      <w:r>
        <w:rPr>
          <w:spacing w:val="-2"/>
        </w:rPr>
        <w:t>产等的公允价值为基础，并按照本公司的会计政策及会计期间，对被投资单位的净利润进行调整后确认。对于本公司与联营</w:t>
      </w:r>
      <w:r>
        <w:rPr>
          <w:spacing w:val="-66"/>
        </w:rPr>
        <w:t> </w:t>
      </w:r>
      <w:r>
        <w:rPr>
          <w:spacing w:val="-66"/>
        </w:rPr>
      </w:r>
      <w:r>
        <w:rPr>
          <w:spacing w:val="-2"/>
        </w:rPr>
        <w:t>企业及合营之间发生的未实现内部交易损益，按照持股比例计算属于本公司的部分予以抵销，在此基础上确认投资损益。但</w:t>
      </w:r>
      <w:r>
        <w:rPr>
          <w:spacing w:val="-66"/>
        </w:rPr>
        <w:t> </w:t>
      </w:r>
      <w:r>
        <w:rPr>
          <w:spacing w:val="-66"/>
        </w:rPr>
      </w:r>
      <w:r>
        <w:rPr/>
        <w:t>本公司与被投资单位发生的未实现内部交易损失，按照《企业会计准则第</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资产减值》等规定属于所转让资产减值损 </w:t>
      </w:r>
      <w:r>
        <w:rPr>
          <w:spacing w:val="-4"/>
        </w:rPr>
        <w:t>失的，不予以抵销。对被投资单位的其他综合收益，相应调整长期股权投资的账面价值确认为其他综合收益并计入资本公积。</w:t>
      </w:r>
      <w:r>
        <w:rPr>
          <w:spacing w:val="-44"/>
        </w:rPr>
        <w:t> </w:t>
      </w:r>
      <w:r>
        <w:rPr>
          <w:spacing w:val="-44"/>
        </w:rPr>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spacing w:val="-3"/>
        </w:rPr>
        <w:t>失。被投资单位以后期间实现净利润的，本公司在收益分享额弥补未确认的亏损分担额后，恢复确认收益分享额。</w:t>
        <w:tab/>
      </w:r>
      <w:r>
        <w:rPr/>
        <w:t>对</w:t>
      </w:r>
      <w:r>
        <w:rPr/>
        <w:t> </w:t>
      </w:r>
      <w:r>
        <w:rPr>
          <w:spacing w:val="-2"/>
        </w:rPr>
        <w:t>于本公司首次执行新会计准则之前已经持有的对联营企业和合营企业的长期股权投资，如存在与该投资相关的股权投资借方</w:t>
      </w:r>
      <w:r>
        <w:rPr>
          <w:spacing w:val="-64"/>
        </w:rPr>
        <w:t> </w:t>
      </w:r>
      <w:r>
        <w:rPr>
          <w:spacing w:val="-64"/>
        </w:rPr>
      </w:r>
      <w:r>
        <w:rPr>
          <w:spacing w:val="-2"/>
        </w:rPr>
        <w:t>差额，按原剩余期限直线摊销的金额计入当期损益。</w:t>
        <w:tab/>
        <w:tab/>
      </w:r>
      <w:r>
        <w:rPr/>
        <w:t>③</w:t>
      </w:r>
      <w:r>
        <w:rPr>
          <w:spacing w:val="24"/>
        </w:rPr>
        <w:t> </w:t>
      </w:r>
      <w:r>
        <w:rPr>
          <w:spacing w:val="-2"/>
        </w:rPr>
        <w:t>收购少数股权在编制合并财务报表时，因购买少数股权新增</w:t>
      </w:r>
      <w:r>
        <w:rPr/>
        <w:t> </w:t>
      </w:r>
      <w:r>
        <w:rPr>
          <w:spacing w:val="-2"/>
        </w:rPr>
        <w:t>的长期股权投资与按照新增持股比例计算应享有子公司自购买日（或合并日）开始持续计算的净资产份额之间的差额，调整</w:t>
      </w:r>
      <w:r>
        <w:rPr>
          <w:spacing w:val="-66"/>
        </w:rPr>
        <w:t> </w:t>
      </w:r>
      <w:r>
        <w:rPr>
          <w:spacing w:val="-66"/>
        </w:rPr>
      </w:r>
      <w:r>
        <w:rPr>
          <w:spacing w:val="-2"/>
        </w:rPr>
        <w:t>资本公积，资本公积不足冲减的，调整留存收益。</w:t>
        <w:tab/>
      </w:r>
      <w:r>
        <w:rPr/>
        <w:t>④</w:t>
      </w:r>
      <w:r>
        <w:rPr>
          <w:spacing w:val="6"/>
        </w:rPr>
        <w:t> </w:t>
      </w:r>
      <w:r>
        <w:rPr>
          <w:spacing w:val="-1"/>
        </w:rPr>
        <w:t>处置长期股权投资在合并财务报表中，母公司在不丧失控制权</w:t>
      </w:r>
      <w:r>
        <w:rPr/>
        <w:t> 的情况下部分处置对子公司的长期股权投资，处置价款与处置长期股权投资相对应享有子公司净资产的差额计入所有者权 </w:t>
      </w:r>
      <w:r>
        <w:rPr>
          <w:spacing w:val="-5"/>
        </w:rPr>
        <w:t>益；母公司部分处置对子公司的长期股权投资导致丧失对子公司控制权的，按本附注四、</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w:t>
      </w:r>
      <w:r>
        <w:rPr>
          <w:spacing w:val="-5"/>
        </w:rPr>
        <w:t>合并财务报表编制的方法</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1"/>
        </w:rPr>
        <w:t> </w:t>
      </w:r>
      <w:r>
        <w:rPr>
          <w:spacing w:val="-2"/>
        </w:rPr>
        <w:t>中所述的相关会计政策处理。其他情形下的长期股权投资处置，对于处置的股权，其账面价值与实际取得价款的差额，计入</w:t>
      </w:r>
      <w:r>
        <w:rPr>
          <w:spacing w:val="-66"/>
        </w:rPr>
        <w:t> </w:t>
      </w:r>
      <w:r>
        <w:rPr>
          <w:spacing w:val="-66"/>
        </w:rPr>
      </w:r>
      <w:r>
        <w:rPr>
          <w:spacing w:val="-4"/>
        </w:rPr>
        <w:t>当期损益；采用权益法核算的长期股权投资，在处置时将原计入所有者权益的其他综合收益部分按相应的比例转入当期损益。</w:t>
      </w:r>
      <w:r>
        <w:rPr>
          <w:spacing w:val="-44"/>
        </w:rPr>
        <w:t> </w:t>
      </w:r>
      <w:r>
        <w:rPr>
          <w:spacing w:val="-44"/>
        </w:rPr>
      </w:r>
      <w:r>
        <w:rPr>
          <w:spacing w:val="-2"/>
        </w:rPr>
        <w:t>对于剩余股权，按其账面价值确认为长期股权投资或其他相关金融资产，并按前述长期股权投资或金融资产的会计政策进行</w:t>
      </w:r>
      <w:r>
        <w:rPr>
          <w:spacing w:val="-64"/>
        </w:rPr>
        <w:t> </w:t>
      </w:r>
      <w:r>
        <w:rPr>
          <w:spacing w:val="-64"/>
        </w:rPr>
      </w:r>
      <w:r>
        <w:rPr/>
        <w:t>后续计量。涉及对剩余股权由成本法转为权益法核算的，按相关规定进行追溯调整。</w:t>
      </w:r>
    </w:p>
    <w:p>
      <w:pPr>
        <w:spacing w:line="240" w:lineRule="auto" w:before="4"/>
        <w:rPr>
          <w:rFonts w:ascii="宋体" w:hAnsi="宋体" w:cs="宋体" w:eastAsia="宋体" w:hint="default"/>
          <w:sz w:val="22"/>
          <w:szCs w:val="22"/>
        </w:rPr>
      </w:pPr>
    </w:p>
    <w:p>
      <w:pPr>
        <w:pStyle w:val="Heading5"/>
        <w:spacing w:line="240" w:lineRule="auto"/>
        <w:ind w:right="9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90" w:firstLine="630"/>
        <w:jc w:val="left"/>
      </w:pPr>
      <w:r>
        <w:rPr/>
        <w:t>控制是指有权决定一个企业的财务和经营政策，并能据以从该企业的经营活动中获取利益。共同控制是指按照合同 </w:t>
      </w:r>
      <w:r>
        <w:rPr>
          <w:spacing w:val="-2"/>
        </w:rPr>
        <w:t>约定对某项经济活动所共有的控制，仅在与该项经济活动相关的重要财务和经营决策需要分享控制权的投资方一致同意时存</w:t>
      </w:r>
      <w:r>
        <w:rPr>
          <w:spacing w:val="-64"/>
        </w:rPr>
        <w:t> </w:t>
      </w:r>
      <w:r>
        <w:rPr>
          <w:spacing w:val="-64"/>
        </w:rPr>
      </w:r>
      <w:r>
        <w:rPr>
          <w:spacing w:val="-2"/>
        </w:rPr>
        <w:t>在。重大影响是指对一个企业的财务和经营政策有参与决策的权力，但并不能够控制或者与其他方一起共同控制这些政策的</w:t>
      </w:r>
      <w:r>
        <w:rPr>
          <w:spacing w:val="-64"/>
        </w:rPr>
        <w:t> </w:t>
      </w:r>
      <w:r>
        <w:rPr>
          <w:spacing w:val="-64"/>
        </w:rPr>
      </w:r>
      <w:r>
        <w:rPr>
          <w:spacing w:val="-4"/>
        </w:rPr>
        <w:t>制定。在确定能否对被投资单位实施控制或施加重大影响时，已考虑投资企业和其他持有的被投资单位当期可转换公司债券、</w:t>
      </w:r>
      <w:r>
        <w:rPr>
          <w:spacing w:val="-44"/>
        </w:rPr>
        <w:t> </w:t>
      </w:r>
      <w:r>
        <w:rPr>
          <w:spacing w:val="-44"/>
        </w:rPr>
      </w:r>
      <w:r>
        <w:rPr/>
        <w:t>当期可执行认股权证等潜在表决权因素。</w:t>
      </w:r>
    </w:p>
    <w:p>
      <w:pPr>
        <w:spacing w:line="240" w:lineRule="auto" w:before="3"/>
        <w:rPr>
          <w:rFonts w:ascii="宋体" w:hAnsi="宋体" w:cs="宋体" w:eastAsia="宋体" w:hint="default"/>
          <w:sz w:val="22"/>
          <w:szCs w:val="22"/>
        </w:rPr>
      </w:pPr>
    </w:p>
    <w:p>
      <w:pPr>
        <w:pStyle w:val="Heading5"/>
        <w:spacing w:line="240" w:lineRule="auto"/>
        <w:ind w:right="9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2"/>
        <w:rPr>
          <w:rFonts w:ascii="宋体" w:hAnsi="宋体" w:cs="宋体" w:eastAsia="宋体" w:hint="default"/>
          <w:b/>
          <w:bCs/>
          <w:sz w:val="25"/>
          <w:szCs w:val="25"/>
        </w:rPr>
      </w:pPr>
    </w:p>
    <w:p>
      <w:pPr>
        <w:pStyle w:val="Heading4"/>
        <w:spacing w:line="312" w:lineRule="exact"/>
        <w:ind w:left="154" w:right="228" w:firstLine="480"/>
        <w:jc w:val="both"/>
      </w:pPr>
      <w:r>
        <w:rPr/>
        <w:t>本公司在每一个资产负债表日检查长期股权投资是否存在可能发生减值的迹象。如果该 资产存在减值迹象，则估计其可收回金额。如果资产的可收回金额低于其账面价值，按其差 额计提资产减值准备，并计入当期损益。</w:t>
      </w:r>
    </w:p>
    <w:p>
      <w:pPr>
        <w:pStyle w:val="Heading4"/>
        <w:spacing w:line="283" w:lineRule="exact"/>
        <w:ind w:left="633" w:right="90"/>
        <w:jc w:val="left"/>
      </w:pPr>
      <w:r>
        <w:rPr/>
        <w:t>长期股权投资的减值损失一经确认，在以后会计期间不予转回。</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Heading5"/>
        <w:spacing w:line="240" w:lineRule="auto"/>
        <w:ind w:right="9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28" w:firstLine="480"/>
        <w:jc w:val="both"/>
      </w:pPr>
      <w:r>
        <w:rPr/>
        <w:t>投资性房地产是指为赚取租金或资本增值，或两者兼有而持有的房地产。包括已出租的 土地使用权、持有并准备增值后转让的土地使用权、已出租的建筑物等。</w:t>
      </w:r>
    </w:p>
    <w:p>
      <w:pPr>
        <w:spacing w:after="0" w:line="312" w:lineRule="exact"/>
        <w:jc w:val="both"/>
        <w:sectPr>
          <w:footerReference w:type="default" r:id="rId21"/>
          <w:pgSz w:w="11910" w:h="16840"/>
          <w:pgMar w:footer="982" w:header="747" w:top="1060" w:bottom="1180" w:left="980" w:right="940"/>
        </w:sectPr>
      </w:pPr>
    </w:p>
    <w:p>
      <w:pPr>
        <w:spacing w:line="240" w:lineRule="auto" w:before="7"/>
        <w:rPr>
          <w:rFonts w:ascii="宋体" w:hAnsi="宋体" w:cs="宋体" w:eastAsia="宋体" w:hint="default"/>
          <w:sz w:val="23"/>
          <w:szCs w:val="23"/>
        </w:rPr>
      </w:pPr>
    </w:p>
    <w:p>
      <w:pPr>
        <w:pStyle w:val="Heading4"/>
        <w:spacing w:line="312" w:lineRule="exact" w:before="56"/>
        <w:ind w:left="154" w:right="92" w:firstLine="480"/>
        <w:jc w:val="left"/>
      </w:pPr>
      <w:r>
        <w:rPr/>
        <w:t>投资性房地产按成本进行初始计量。与投资性房地产有关的后续支出，如果与该资产有 </w:t>
      </w:r>
      <w:r>
        <w:rPr>
          <w:spacing w:val="-2"/>
        </w:rPr>
        <w:t>关的经济利益很可能流入且其成本能可靠地计量，则计入投资性房地产成本。其他后续支出，</w:t>
      </w:r>
      <w:r>
        <w:rPr/>
        <w:t> 在发生时计入当期损益。</w:t>
      </w:r>
    </w:p>
    <w:p>
      <w:pPr>
        <w:pStyle w:val="Heading4"/>
        <w:spacing w:line="312" w:lineRule="exact"/>
        <w:ind w:right="228" w:firstLine="480"/>
        <w:jc w:val="both"/>
      </w:pPr>
      <w:r>
        <w:rPr/>
        <w:t>当投资性房地产被处置、或者永久退出使用且预计不能从其处置中取得经济利益时，终</w:t>
      </w:r>
      <w:r>
        <w:rPr>
          <w:spacing w:val="1"/>
        </w:rPr>
        <w:t> </w:t>
      </w:r>
      <w:r>
        <w:rPr/>
        <w:t>止确认该项投资性房地产。投资性房地产出售、转让、报废或毁损的处置收入扣除其账面价</w:t>
      </w:r>
      <w:r>
        <w:rPr>
          <w:spacing w:val="-83"/>
        </w:rPr>
        <w:t> </w:t>
      </w:r>
      <w:r>
        <w:rPr>
          <w:spacing w:val="-83"/>
        </w:rPr>
      </w:r>
      <w:r>
        <w:rPr/>
        <w:t>值和相关税费后计入当期损益。</w:t>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0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104"/>
        <w:jc w:val="left"/>
      </w:pPr>
      <w:r>
        <w:rPr/>
        <w:t>固定资产是指为生产商品、提供劳务、出租或经营管理而持有的，使用寿命超过一个会计年度的有形资产。</w:t>
      </w:r>
    </w:p>
    <w:p>
      <w:pPr>
        <w:spacing w:line="240" w:lineRule="auto" w:before="10"/>
        <w:rPr>
          <w:rFonts w:ascii="宋体" w:hAnsi="宋体" w:cs="宋体" w:eastAsia="宋体" w:hint="default"/>
          <w:sz w:val="26"/>
          <w:szCs w:val="26"/>
        </w:rPr>
      </w:pPr>
    </w:p>
    <w:p>
      <w:pPr>
        <w:pStyle w:val="Heading5"/>
        <w:spacing w:line="240" w:lineRule="auto"/>
        <w:ind w:right="10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231" w:firstLine="630"/>
        <w:jc w:val="both"/>
      </w:pPr>
      <w:r>
        <w:rPr/>
        <w:t>融资租赁为实质上转移了与资产所有权有关的全部风险和报酬的租赁，其所有权最终可能转移，也可能不转移。以 </w:t>
      </w:r>
      <w:r>
        <w:rPr>
          <w:spacing w:val="-2"/>
        </w:rPr>
        <w:t>融资租赁方式租入的固定资产采用与自有固定资产一致的政策计提租赁资产折旧。能够合理确定租赁期届满时取得租赁资产</w:t>
      </w:r>
      <w:r>
        <w:rPr>
          <w:spacing w:val="-64"/>
        </w:rPr>
        <w:t> </w:t>
      </w:r>
      <w:r>
        <w:rPr>
          <w:spacing w:val="-64"/>
        </w:rPr>
      </w:r>
      <w:r>
        <w:rPr>
          <w:spacing w:val="-2"/>
        </w:rPr>
        <w:t>所有权的在租赁资产使用寿命内计提折旧，无法合理确定租赁期届满能够取得租赁资产所有权的，在租赁期与租赁资产使用</w:t>
      </w:r>
      <w:r>
        <w:rPr>
          <w:spacing w:val="-64"/>
        </w:rPr>
        <w:t> </w:t>
      </w:r>
      <w:r>
        <w:rPr>
          <w:spacing w:val="-64"/>
        </w:rPr>
      </w:r>
      <w:r>
        <w:rPr/>
        <w:t>寿命两者中较短的期间内计提折旧。</w:t>
      </w:r>
    </w:p>
    <w:p>
      <w:pPr>
        <w:spacing w:line="240" w:lineRule="auto" w:before="4"/>
        <w:rPr>
          <w:rFonts w:ascii="宋体" w:hAnsi="宋体" w:cs="宋体" w:eastAsia="宋体" w:hint="default"/>
          <w:sz w:val="22"/>
          <w:szCs w:val="22"/>
        </w:rPr>
      </w:pPr>
    </w:p>
    <w:p>
      <w:pPr>
        <w:pStyle w:val="Heading5"/>
        <w:spacing w:line="240" w:lineRule="auto"/>
        <w:ind w:right="104"/>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68" w:firstLine="480"/>
        <w:jc w:val="both"/>
      </w:pPr>
      <w:r>
        <w:rPr/>
        <w:t>固定资产按成本并考虑预计弃置费用因素的影响进行初始计量。固定资产从达到预定可 使用状态的次月起，采用年限平均法在使用寿命内计提折旧。各类固定资产的使用寿命、预 计净残值和年折旧率如下：</w:t>
      </w: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11"/>
        <w:rPr>
          <w:rFonts w:ascii="宋体" w:hAnsi="宋体" w:cs="宋体" w:eastAsia="宋体" w:hint="default"/>
          <w:sz w:val="19"/>
          <w:szCs w:val="19"/>
        </w:rPr>
      </w:pPr>
    </w:p>
    <w:p>
      <w:pPr>
        <w:pStyle w:val="Heading5"/>
        <w:spacing w:line="240" w:lineRule="auto" w:before="35"/>
        <w:ind w:right="10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right="230" w:firstLine="480"/>
        <w:jc w:val="both"/>
      </w:pPr>
      <w:r>
        <w:rPr/>
        <w:t>本公司于资产负债表日判断固定资产是否存在减值迹象。如存在减值迹象的，则估计其</w:t>
      </w:r>
      <w:r>
        <w:rPr>
          <w:spacing w:val="1"/>
        </w:rPr>
        <w:t> </w:t>
      </w:r>
      <w:r>
        <w:rPr/>
        <w:t>可收回金额，进行减值测试。</w:t>
      </w:r>
    </w:p>
    <w:p>
      <w:pPr>
        <w:pStyle w:val="Heading4"/>
        <w:spacing w:line="312" w:lineRule="exact"/>
        <w:ind w:right="228" w:firstLine="480"/>
        <w:jc w:val="both"/>
      </w:pPr>
      <w:r>
        <w:rPr/>
        <w:t>减值测试结果表明资产的可收回金额低于其账面价值的，按其差额计提减值准备并计入</w:t>
      </w:r>
      <w:r>
        <w:rPr>
          <w:spacing w:val="1"/>
        </w:rPr>
        <w:t> </w:t>
      </w:r>
      <w:r>
        <w:rPr/>
        <w:t>减值损失。可收回金额为资产的公允价值减去处置费用后的净额与资产预计未来现金流量的</w:t>
      </w:r>
      <w:r>
        <w:rPr>
          <w:spacing w:val="-83"/>
        </w:rPr>
        <w:t> </w:t>
      </w:r>
      <w:r>
        <w:rPr>
          <w:spacing w:val="-83"/>
        </w:rPr>
      </w:r>
      <w:r>
        <w:rPr/>
        <w:t>现值两者之间的较高者。资产的公允价值根据公平交易中销售协议价格确定；不存在销售协</w:t>
      </w:r>
      <w:r>
        <w:rPr>
          <w:spacing w:val="-83"/>
        </w:rPr>
        <w:t> </w:t>
      </w:r>
      <w:r>
        <w:rPr>
          <w:spacing w:val="-83"/>
        </w:rPr>
      </w:r>
      <w:r>
        <w:rPr/>
        <w:t>议但存在资产活跃市场的，公允价值按照该资产的买方出价确定；不存在销售协议和资产活</w:t>
      </w:r>
      <w:r>
        <w:rPr>
          <w:spacing w:val="-83"/>
        </w:rPr>
        <w:t> </w:t>
      </w:r>
      <w:r>
        <w:rPr>
          <w:spacing w:val="-83"/>
        </w:rPr>
      </w:r>
      <w:r>
        <w:rPr/>
        <w:t>跃市场的，则以可获取的最佳信息为基础估计资产的公允价值。处置费用包括与资产处置有</w:t>
      </w:r>
      <w:r>
        <w:rPr>
          <w:spacing w:val="-83"/>
        </w:rPr>
        <w:t> </w:t>
      </w:r>
      <w:r>
        <w:rPr>
          <w:spacing w:val="-83"/>
        </w:rPr>
      </w:r>
      <w:r>
        <w:rPr/>
        <w:t>关的法律费用、相关税费、搬运费以及为使资产达到可销售状态所发生的直接费用。资产预</w:t>
      </w:r>
      <w:r>
        <w:rPr>
          <w:spacing w:val="-83"/>
        </w:rPr>
        <w:t> </w:t>
      </w:r>
      <w:r>
        <w:rPr>
          <w:spacing w:val="-83"/>
        </w:rPr>
      </w:r>
      <w:r>
        <w:rPr/>
        <w:t>计未来现金流量的现值，按照资产在持续使用过程中和最终处置时所产生的预计未来现金流</w:t>
      </w:r>
      <w:r>
        <w:rPr>
          <w:spacing w:val="-83"/>
        </w:rPr>
        <w:t> </w:t>
      </w:r>
      <w:r>
        <w:rPr>
          <w:spacing w:val="-83"/>
        </w:rPr>
      </w:r>
      <w:r>
        <w:rPr/>
        <w:t>量，选择恰当的折现率对其进行折现后的金额加以确定。资产减值准备按单项资产为基础计</w:t>
      </w:r>
    </w:p>
    <w:p>
      <w:pPr>
        <w:spacing w:after="0" w:line="312" w:lineRule="exact"/>
        <w:jc w:val="both"/>
        <w:sectPr>
          <w:footerReference w:type="default" r:id="rId22"/>
          <w:pgSz w:w="11910" w:h="16840"/>
          <w:pgMar w:footer="982" w:header="747" w:top="1060" w:bottom="1180" w:left="980" w:right="900"/>
          <w:pgNumType w:start="101"/>
        </w:sectPr>
      </w:pPr>
    </w:p>
    <w:p>
      <w:pPr>
        <w:spacing w:line="240" w:lineRule="auto" w:before="7"/>
        <w:rPr>
          <w:rFonts w:ascii="宋体" w:hAnsi="宋体" w:cs="宋体" w:eastAsia="宋体" w:hint="default"/>
          <w:sz w:val="23"/>
          <w:szCs w:val="23"/>
        </w:rPr>
      </w:pPr>
    </w:p>
    <w:p>
      <w:pPr>
        <w:pStyle w:val="Heading4"/>
        <w:spacing w:line="312" w:lineRule="exact" w:before="56"/>
        <w:ind w:right="0"/>
        <w:jc w:val="left"/>
      </w:pPr>
      <w:r>
        <w:rPr/>
        <w:t>算并确认，如果难以对单项资产的可收回金额进行估计的，以该资产所属的资产组确定资产</w:t>
      </w:r>
      <w:r>
        <w:rPr>
          <w:spacing w:val="-83"/>
        </w:rPr>
        <w:t> </w:t>
      </w:r>
      <w:r>
        <w:rPr>
          <w:spacing w:val="-83"/>
        </w:rPr>
      </w:r>
      <w:r>
        <w:rPr/>
        <w:t>组的可收回金额。资产组是能够独立产生现金流入的最小资产组合。</w:t>
      </w:r>
    </w:p>
    <w:p>
      <w:pPr>
        <w:pStyle w:val="Heading4"/>
        <w:spacing w:line="283" w:lineRule="exact"/>
        <w:ind w:left="825" w:right="0"/>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188" w:firstLine="480"/>
        <w:jc w:val="both"/>
      </w:pPr>
      <w:r>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Heading4"/>
        <w:spacing w:line="312" w:lineRule="exact"/>
        <w:ind w:right="188" w:firstLine="480"/>
        <w:jc w:val="both"/>
      </w:pPr>
      <w:r>
        <w:rPr/>
        <w:t>固定资产出售、转让、报废或毁损的处置收入扣除其账面价值和相关税费后的差额计入 当期损益。</w:t>
      </w:r>
    </w:p>
    <w:p>
      <w:pPr>
        <w:pStyle w:val="Heading4"/>
        <w:spacing w:line="312" w:lineRule="exact"/>
        <w:ind w:right="151" w:firstLine="576"/>
        <w:jc w:val="both"/>
      </w:pPr>
      <w:r>
        <w:rPr>
          <w:spacing w:val="-2"/>
        </w:rPr>
        <w:t>本公司至少于年度终了对固定资产的使用寿命、预计净残值和折旧方法进行复核，如发</w:t>
      </w:r>
      <w:r>
        <w:rPr/>
        <w:t> 生改变则作为会计估计变更处理。</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0"/>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在建工程在达到预定可使用状态后结转为固定资产。</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right="148" w:firstLine="480"/>
        <w:jc w:val="both"/>
      </w:pPr>
      <w:r>
        <w:rPr/>
        <w:t>对于固定资产、在建工程、使用寿命有限的无形资产、以成本模式计量的投资性房地产</w:t>
      </w:r>
      <w:r>
        <w:rPr>
          <w:spacing w:val="1"/>
        </w:rPr>
        <w:t> </w:t>
      </w:r>
      <w:r>
        <w:rPr/>
        <w:t>及对子公司、合营企业、联营企业的长期股权投资等非流动非金融资产，本公司于资产负债</w:t>
      </w:r>
      <w:r>
        <w:rPr>
          <w:spacing w:val="-83"/>
        </w:rPr>
        <w:t> </w:t>
      </w:r>
      <w:r>
        <w:rPr>
          <w:spacing w:val="-83"/>
        </w:rPr>
      </w:r>
      <w:r>
        <w:rPr/>
        <w:t>表日判断是否存在减值迹象。如存在减值迹象的，则估计其可收回金额，进行减值测试。</w:t>
      </w:r>
    </w:p>
    <w:p>
      <w:pPr>
        <w:pStyle w:val="Heading4"/>
        <w:spacing w:line="312" w:lineRule="exact"/>
        <w:ind w:left="154" w:right="148" w:firstLine="480"/>
        <w:jc w:val="both"/>
      </w:pPr>
      <w:r>
        <w:rPr/>
        <w:t>减值测试结果表明资产的可收回金额低于其账面价值的，按其差额计提减值准备并计入</w:t>
      </w:r>
      <w:r>
        <w:rPr>
          <w:spacing w:val="1"/>
        </w:rPr>
        <w:t> </w:t>
      </w:r>
      <w:r>
        <w:rPr/>
        <w:t>减值损失。可收回金额为资产的公允价值减去处置费用后的净额与资产预计未来现金流量的</w:t>
      </w:r>
      <w:r>
        <w:rPr>
          <w:spacing w:val="-83"/>
        </w:rPr>
        <w:t> </w:t>
      </w:r>
      <w:r>
        <w:rPr>
          <w:spacing w:val="-83"/>
        </w:rPr>
      </w:r>
      <w:r>
        <w:rPr/>
        <w:t>现值两者之间的较高者。资产的公允价值根据公平交易中销售协议价格确定；不存在销售协</w:t>
      </w:r>
      <w:r>
        <w:rPr>
          <w:spacing w:val="-83"/>
        </w:rPr>
        <w:t> </w:t>
      </w:r>
      <w:r>
        <w:rPr>
          <w:spacing w:val="-83"/>
        </w:rPr>
      </w:r>
      <w:r>
        <w:rPr/>
        <w:t>议但存在资产活跃市场的，公允价值按照该资产的买方出价确定；不存在销售协议和资产活</w:t>
      </w:r>
      <w:r>
        <w:rPr>
          <w:spacing w:val="-83"/>
        </w:rPr>
        <w:t> </w:t>
      </w:r>
      <w:r>
        <w:rPr>
          <w:spacing w:val="-83"/>
        </w:rPr>
      </w:r>
      <w:r>
        <w:rPr/>
        <w:t>跃市场的，则以可获取的最佳信息为基础估计资产的公允价值。处置费用包括与资产处置有</w:t>
      </w:r>
      <w:r>
        <w:rPr>
          <w:spacing w:val="-83"/>
        </w:rPr>
        <w:t> </w:t>
      </w:r>
      <w:r>
        <w:rPr>
          <w:spacing w:val="-83"/>
        </w:rPr>
      </w:r>
      <w:r>
        <w:rPr/>
        <w:t>关的法律费用、相关税费、搬运费以及为使资产达到可销售状态所发生的直接费用。资产预</w:t>
      </w:r>
      <w:r>
        <w:rPr>
          <w:spacing w:val="-83"/>
        </w:rPr>
        <w:t> </w:t>
      </w:r>
      <w:r>
        <w:rPr>
          <w:spacing w:val="-83"/>
        </w:rPr>
      </w:r>
      <w:r>
        <w:rPr/>
        <w:t>计未来现金流量的现值，按照资产在持续使用过程中和最终处置时所产生的预计未来现金流</w:t>
      </w:r>
      <w:r>
        <w:rPr>
          <w:spacing w:val="-83"/>
        </w:rPr>
        <w:t> </w:t>
      </w:r>
      <w:r>
        <w:rPr>
          <w:spacing w:val="-83"/>
        </w:rPr>
      </w:r>
      <w:r>
        <w:rPr/>
        <w:t>量，选择恰当的折现率对其进行折现后的金额加以确定。资产减值准备按单项资产为基础计</w:t>
      </w:r>
      <w:r>
        <w:rPr>
          <w:spacing w:val="-83"/>
        </w:rPr>
        <w:t> </w:t>
      </w:r>
      <w:r>
        <w:rPr>
          <w:spacing w:val="-83"/>
        </w:rPr>
      </w:r>
      <w:r>
        <w:rPr/>
        <w:t>算并确认，如果难以对单项资产的可收回金额进行估计的，以该资产所属的资产组确定资产</w:t>
      </w:r>
      <w:r>
        <w:rPr>
          <w:spacing w:val="-83"/>
        </w:rPr>
        <w:t> </w:t>
      </w:r>
      <w:r>
        <w:rPr>
          <w:spacing w:val="-83"/>
        </w:rPr>
      </w:r>
      <w:r>
        <w:rPr/>
        <w:t>组的可收回金额。资产组是能够独立产生现金流入的最小资产组合。</w:t>
      </w:r>
    </w:p>
    <w:p>
      <w:pPr>
        <w:pStyle w:val="Heading4"/>
        <w:spacing w:line="283" w:lineRule="exact"/>
        <w:ind w:left="634" w:right="0"/>
        <w:jc w:val="left"/>
      </w:pPr>
      <w:r>
        <w:rPr/>
        <w:t>上述资产减值损失一经确认，以后期间不予转回价值得以恢复的部分。</w:t>
      </w:r>
    </w:p>
    <w:p>
      <w:pPr>
        <w:spacing w:after="0" w:line="283" w:lineRule="exact"/>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188"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188" w:firstLine="480"/>
        <w:jc w:val="both"/>
      </w:pPr>
      <w:r>
        <w:rPr/>
        <w:t>资本化期间内，外币专门借款的汇兑差额全部予以资本化；外币一般借款的汇兑差额计 入当期损益。</w:t>
      </w:r>
    </w:p>
    <w:p>
      <w:pPr>
        <w:pStyle w:val="Heading4"/>
        <w:spacing w:line="312" w:lineRule="exact"/>
        <w:ind w:right="188" w:firstLine="480"/>
        <w:jc w:val="both"/>
      </w:pPr>
      <w:r>
        <w:rPr/>
        <w:t>符合资本化条件的资产指需要经过相当长时间的购建或者生产活动才能达到预定可使用 或可销售状态的固定资产、投资性房地产和存货等资产。</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18" w:firstLine="672"/>
        <w:jc w:val="left"/>
      </w:pPr>
      <w:r>
        <w:rPr/>
        <w:t>如果符合资本化条件的资产在购建或生产过程中发生非正常中断、并且中断时间连续 超过</w:t>
      </w:r>
      <w:r>
        <w:rPr>
          <w:rFonts w:ascii="Times New Roman" w:hAnsi="Times New Roman" w:cs="Times New Roman" w:eastAsia="Times New Roman" w:hint="default"/>
        </w:rPr>
        <w:t>3</w:t>
      </w:r>
      <w:r>
        <w:rPr/>
        <w:t>个月的，暂停借款费用的资本化，直至资产的购建或生产活动重新开始。</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188"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633" w:right="171"/>
        <w:jc w:val="left"/>
      </w:pPr>
      <w:r>
        <w:rPr/>
        <w:t>无形资产是指本公司拥有或者控制的没有实物形态的可辨认非货币性资产。 无形资产按成本进行初始计量。与无形资产有关的支出，如果相关的经济利益很可能流</w:t>
      </w:r>
    </w:p>
    <w:p>
      <w:pPr>
        <w:pStyle w:val="Heading4"/>
        <w:spacing w:line="312" w:lineRule="exact"/>
        <w:ind w:right="171"/>
        <w:jc w:val="left"/>
      </w:pPr>
      <w:r>
        <w:rPr/>
        <w:t>入本公司且其成本能可靠地计量，则计入无形资产成本。除此以外的其他项目的支出，在发 生时计入当期损益。</w:t>
      </w:r>
    </w:p>
    <w:p>
      <w:pPr>
        <w:spacing w:after="0" w:line="312" w:lineRule="exact"/>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04"/>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right="131" w:firstLine="480"/>
        <w:jc w:val="left"/>
      </w:pPr>
      <w:r>
        <w:rPr/>
        <w:t>使用寿命有限的无形资产自可供使用时起，对其原值减去预计净残值和已计提的减值准</w:t>
      </w:r>
      <w:r>
        <w:rPr>
          <w:spacing w:val="1"/>
        </w:rPr>
        <w:t> </w:t>
      </w:r>
      <w:r>
        <w:rPr/>
        <w:t>备累计金额在其预计使用寿命内采用直线法分期平均摊销。本公司无形资产摊销年限为</w:t>
      </w:r>
      <w:r>
        <w:rPr>
          <w:rFonts w:ascii="Times New Roman" w:hAnsi="Times New Roman" w:cs="Times New Roman" w:eastAsia="Times New Roman" w:hint="default"/>
        </w:rPr>
        <w:t>5</w:t>
      </w:r>
      <w:r>
        <w:rPr/>
        <w:t>年。</w:t>
      </w:r>
    </w:p>
    <w:p>
      <w:pPr>
        <w:pStyle w:val="Heading4"/>
        <w:spacing w:line="312" w:lineRule="exact"/>
        <w:ind w:left="154" w:right="226" w:firstLine="504"/>
        <w:jc w:val="left"/>
      </w:pPr>
      <w:r>
        <w:rPr/>
        <w:t>期末，对使用寿命有限的无形资产的使用寿命和摊销方法进行复核，如发生变更则作为 会计估计变更处理。</w:t>
      </w: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11"/>
        <w:rPr>
          <w:rFonts w:ascii="宋体" w:hAnsi="宋体" w:cs="宋体" w:eastAsia="宋体" w:hint="default"/>
          <w:sz w:val="19"/>
          <w:szCs w:val="19"/>
        </w:rPr>
      </w:pPr>
    </w:p>
    <w:p>
      <w:pPr>
        <w:pStyle w:val="Heading5"/>
        <w:spacing w:line="240" w:lineRule="auto" w:before="35"/>
        <w:ind w:right="104"/>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68" w:firstLine="672"/>
        <w:jc w:val="both"/>
      </w:pPr>
      <w:r>
        <w:rPr/>
        <w:t>使用寿命不确定的无形资产不予摊销。此外，还对使用寿命不确定的无形资产的使用 寿命进行复核，如果有证据表明该无形资产为企业带来经济利益的期限是可预见的，则估计 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5"/>
          <w:szCs w:val="25"/>
        </w:rPr>
      </w:pPr>
    </w:p>
    <w:p>
      <w:pPr>
        <w:pStyle w:val="Heading4"/>
        <w:spacing w:line="312" w:lineRule="exact"/>
        <w:ind w:right="93" w:firstLine="480"/>
        <w:jc w:val="left"/>
      </w:pPr>
      <w:r>
        <w:rPr/>
        <w:t>对于固定资产、在建工程、使用寿命有限的无形资产、以成本模式计量的投资性房地产</w:t>
      </w:r>
      <w:r>
        <w:rPr>
          <w:spacing w:val="1"/>
        </w:rPr>
        <w:t> </w:t>
      </w:r>
      <w:r>
        <w:rPr/>
        <w:t>及对子公司、合营企业、联营企业的长期股权投资等非流动非金融资产，本公司于资产负债</w:t>
      </w:r>
      <w:r>
        <w:rPr>
          <w:spacing w:val="-83"/>
        </w:rPr>
        <w:t> </w:t>
      </w:r>
      <w:r>
        <w:rPr>
          <w:spacing w:val="-83"/>
        </w:rPr>
      </w:r>
      <w:r>
        <w:rPr/>
        <w:t>表日判断是否存在减值迹象。如存在减值迹象的，则估计其可收回金额，进行减值测试。商</w:t>
      </w:r>
      <w:r>
        <w:rPr>
          <w:spacing w:val="-83"/>
        </w:rPr>
        <w:t> </w:t>
      </w:r>
      <w:r>
        <w:rPr>
          <w:spacing w:val="-83"/>
        </w:rPr>
      </w:r>
      <w:r>
        <w:rPr>
          <w:spacing w:val="-2"/>
        </w:rPr>
        <w:t>誉、使用寿命不确定的无形资产和尚未达到可使用状态的无形资产，无论是否存在减值迹象，</w:t>
      </w:r>
      <w:r>
        <w:rPr/>
        <w:t> 每年均进行减值测试。</w:t>
      </w:r>
    </w:p>
    <w:p>
      <w:pPr>
        <w:pStyle w:val="Heading4"/>
        <w:spacing w:line="312" w:lineRule="exact"/>
        <w:ind w:right="228" w:firstLine="480"/>
        <w:jc w:val="both"/>
      </w:pPr>
      <w:r>
        <w:rPr/>
        <w:t>减值测试结果表明资产的可收回金额低于其账面价值的，按其差额计提减值准备并计入</w:t>
      </w:r>
      <w:r>
        <w:rPr>
          <w:spacing w:val="1"/>
        </w:rPr>
        <w:t> </w:t>
      </w:r>
      <w:r>
        <w:rPr/>
        <w:t>减值损失。可收回金额为资产的公允价值减去处置费用后的净额与资产预计未来现金流量的</w:t>
      </w:r>
      <w:r>
        <w:rPr>
          <w:spacing w:val="-83"/>
        </w:rPr>
        <w:t> </w:t>
      </w:r>
      <w:r>
        <w:rPr>
          <w:spacing w:val="-83"/>
        </w:rPr>
      </w:r>
      <w:r>
        <w:rPr/>
        <w:t>现值两者之间的较高者。资产的公允价值根据公平交易中销售协议价格确定；不存在销售协</w:t>
      </w:r>
      <w:r>
        <w:rPr>
          <w:spacing w:val="-83"/>
        </w:rPr>
        <w:t> </w:t>
      </w:r>
      <w:r>
        <w:rPr>
          <w:spacing w:val="-83"/>
        </w:rPr>
      </w:r>
      <w:r>
        <w:rPr/>
        <w:t>议但存在资产活跃市场的，公允价值按照该资产的买方出价确定；不存在销售协议和资产活</w:t>
      </w:r>
      <w:r>
        <w:rPr>
          <w:spacing w:val="-83"/>
        </w:rPr>
        <w:t> </w:t>
      </w:r>
      <w:r>
        <w:rPr>
          <w:spacing w:val="-83"/>
        </w:rPr>
      </w:r>
      <w:r>
        <w:rPr/>
        <w:t>跃市场的，则以可获取的最佳信息为基础估计资产的公允价值。处置费用包括与资产处置有</w:t>
      </w:r>
      <w:r>
        <w:rPr>
          <w:spacing w:val="-83"/>
        </w:rPr>
        <w:t> </w:t>
      </w:r>
      <w:r>
        <w:rPr>
          <w:spacing w:val="-83"/>
        </w:rPr>
      </w:r>
      <w:r>
        <w:rPr/>
        <w:t>关的法律费用、相关税费、搬运费以及为使资产达到可销售状态所发生的直接费用。资产预</w:t>
      </w:r>
      <w:r>
        <w:rPr>
          <w:spacing w:val="-83"/>
        </w:rPr>
        <w:t> </w:t>
      </w:r>
      <w:r>
        <w:rPr>
          <w:spacing w:val="-83"/>
        </w:rPr>
      </w:r>
      <w:r>
        <w:rPr/>
        <w:t>计未来现金流量的现值，按照资产在持续使用过程中和最终处置时所产生的预计未来现金流</w:t>
      </w:r>
      <w:r>
        <w:rPr>
          <w:spacing w:val="-83"/>
        </w:rPr>
        <w:t> </w:t>
      </w:r>
      <w:r>
        <w:rPr>
          <w:spacing w:val="-83"/>
        </w:rPr>
      </w:r>
      <w:r>
        <w:rPr/>
        <w:t>量，选择恰当的折现率对其进行折现后的金额加以确定。资产减值准备按单项资产为基础计</w:t>
      </w:r>
      <w:r>
        <w:rPr>
          <w:spacing w:val="-83"/>
        </w:rPr>
        <w:t> </w:t>
      </w:r>
      <w:r>
        <w:rPr>
          <w:spacing w:val="-83"/>
        </w:rPr>
      </w:r>
      <w:r>
        <w:rPr/>
        <w:t>算并确认，如果难以对单项资产的可收回金额进行估计的，以该资产所属的资产组确定资产</w:t>
      </w:r>
      <w:r>
        <w:rPr>
          <w:spacing w:val="-83"/>
        </w:rPr>
        <w:t> </w:t>
      </w:r>
      <w:r>
        <w:rPr>
          <w:spacing w:val="-83"/>
        </w:rPr>
      </w:r>
      <w:r>
        <w:rPr/>
        <w:t>组的可收回金额。资产组是能够独立产生现金流入的最小资产组合。</w:t>
      </w:r>
    </w:p>
    <w:p>
      <w:pPr>
        <w:pStyle w:val="Heading4"/>
        <w:spacing w:line="283" w:lineRule="exact"/>
        <w:ind w:left="633" w:right="104"/>
        <w:jc w:val="left"/>
      </w:pPr>
      <w:r>
        <w:rPr/>
        <w:t>上述资产减值损失一经确认，以后期间不予转回价值得以恢复的部分。</w:t>
      </w:r>
    </w:p>
    <w:p>
      <w:pPr>
        <w:spacing w:line="240" w:lineRule="auto" w:before="9"/>
        <w:rPr>
          <w:rFonts w:ascii="宋体" w:hAnsi="宋体" w:cs="宋体" w:eastAsia="宋体" w:hint="default"/>
          <w:sz w:val="24"/>
          <w:szCs w:val="24"/>
        </w:rPr>
      </w:pPr>
    </w:p>
    <w:p>
      <w:pPr>
        <w:pStyle w:val="Heading5"/>
        <w:spacing w:line="240" w:lineRule="auto"/>
        <w:ind w:right="104"/>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633" w:right="251"/>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Heading4"/>
        <w:spacing w:line="282" w:lineRule="exact"/>
        <w:ind w:right="104"/>
        <w:jc w:val="left"/>
      </w:pPr>
      <w:r>
        <w:rPr/>
        <w:t>的支出计入当期损益：</w:t>
      </w:r>
    </w:p>
    <w:p>
      <w:pPr>
        <w:pStyle w:val="Heading4"/>
        <w:spacing w:line="312" w:lineRule="exact" w:before="29"/>
        <w:ind w:left="1019" w:right="216"/>
        <w:jc w:val="left"/>
      </w:pP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w:t>
      </w:r>
    </w:p>
    <w:p>
      <w:pPr>
        <w:pStyle w:val="Heading4"/>
        <w:spacing w:line="282" w:lineRule="exact"/>
        <w:ind w:right="104"/>
        <w:jc w:val="left"/>
      </w:pPr>
      <w:r>
        <w:rPr/>
        <w:t>或无形资产自身存在市场，无形资产将在内部使用的，能够证明其有用性；</w:t>
      </w:r>
    </w:p>
    <w:p>
      <w:pPr>
        <w:pStyle w:val="Heading4"/>
        <w:spacing w:line="331" w:lineRule="exact"/>
        <w:ind w:left="634" w:right="104"/>
        <w:jc w:val="left"/>
      </w:pPr>
      <w:r>
        <w:rPr>
          <w:rFonts w:ascii="Times New Roman" w:hAnsi="Times New Roman" w:cs="Times New Roman" w:eastAsia="Times New Roman" w:hint="default"/>
        </w:rPr>
        <w:t>d.</w:t>
      </w:r>
      <w:r>
        <w:rPr/>
        <w:t>有足够的技术、财务资源和其他资源支持，以完成该无形资产的开发，并有能力使用</w:t>
      </w:r>
    </w:p>
    <w:p>
      <w:pPr>
        <w:spacing w:after="0" w:line="331" w:lineRule="exact"/>
        <w:jc w:val="left"/>
        <w:sectPr>
          <w:pgSz w:w="11910" w:h="16840"/>
          <w:pgMar w:header="747" w:footer="982" w:top="1060" w:bottom="1180" w:left="980" w:right="900"/>
        </w:sectPr>
      </w:pPr>
    </w:p>
    <w:p>
      <w:pPr>
        <w:spacing w:line="240" w:lineRule="auto" w:before="7"/>
        <w:rPr>
          <w:rFonts w:ascii="宋体" w:hAnsi="宋体" w:cs="宋体" w:eastAsia="宋体" w:hint="default"/>
          <w:sz w:val="23"/>
          <w:szCs w:val="23"/>
        </w:rPr>
      </w:pPr>
    </w:p>
    <w:p>
      <w:pPr>
        <w:pStyle w:val="Heading4"/>
        <w:spacing w:line="313" w:lineRule="exact" w:before="26"/>
        <w:ind w:left="154" w:right="104"/>
        <w:jc w:val="left"/>
      </w:pPr>
      <w:r>
        <w:rPr/>
        <w:t>或出售该无形资产；</w:t>
      </w:r>
    </w:p>
    <w:p>
      <w:pPr>
        <w:pStyle w:val="Heading4"/>
        <w:spacing w:line="312" w:lineRule="exact" w:before="29"/>
        <w:ind w:left="634" w:right="730"/>
        <w:jc w:val="left"/>
      </w:pPr>
      <w:r>
        <w:rPr>
          <w:rFonts w:ascii="Times New Roman" w:hAnsi="Times New Roman" w:cs="Times New Roman" w:eastAsia="Times New Roman" w:hint="default"/>
        </w:rPr>
        <w:t>e.</w:t>
      </w:r>
      <w:r>
        <w:rPr/>
        <w:t>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50" w:firstLine="480"/>
        <w:jc w:val="left"/>
      </w:pPr>
      <w:r>
        <w:rPr/>
        <w:t>①研究阶段的时点为取得经批准的研究计划书时，结束时点为取得经批准的项目可行性 验证报告时。</w:t>
      </w:r>
    </w:p>
    <w:p>
      <w:pPr>
        <w:pStyle w:val="Heading4"/>
        <w:spacing w:line="312" w:lineRule="exact"/>
        <w:ind w:right="104" w:firstLine="480"/>
        <w:jc w:val="left"/>
      </w:pPr>
      <w:r>
        <w:rPr>
          <w:spacing w:val="-2"/>
        </w:rPr>
        <w:t>②开发阶段的时点为取得经批准的</w:t>
      </w:r>
      <w:r>
        <w:rPr>
          <w:rFonts w:ascii="Times New Roman" w:hAnsi="Times New Roman" w:cs="Times New Roman" w:eastAsia="Times New Roman" w:hint="default"/>
          <w:spacing w:val="-2"/>
        </w:rPr>
        <w:t>“</w:t>
      </w:r>
      <w:r>
        <w:rPr>
          <w:spacing w:val="-2"/>
        </w:rPr>
        <w:t>项目立项报告</w:t>
      </w:r>
      <w:r>
        <w:rPr>
          <w:rFonts w:ascii="Times New Roman" w:hAnsi="Times New Roman" w:cs="Times New Roman" w:eastAsia="Times New Roman" w:hint="default"/>
          <w:spacing w:val="-2"/>
        </w:rPr>
        <w:t>”</w:t>
      </w:r>
      <w:r>
        <w:rPr>
          <w:spacing w:val="-2"/>
        </w:rPr>
        <w:t>时，结束时点为取得经批准的</w:t>
      </w:r>
      <w:r>
        <w:rPr>
          <w:rFonts w:ascii="Times New Roman" w:hAnsi="Times New Roman" w:cs="Times New Roman" w:eastAsia="Times New Roman" w:hint="default"/>
          <w:spacing w:val="-2"/>
        </w:rPr>
        <w:t>“</w:t>
      </w:r>
      <w:r>
        <w:rPr>
          <w:spacing w:val="-2"/>
        </w:rPr>
        <w:t>项目结</w:t>
      </w:r>
      <w:r>
        <w:rPr/>
        <w:t> 项报告</w:t>
      </w:r>
      <w:r>
        <w:rPr>
          <w:rFonts w:ascii="Times New Roman" w:hAnsi="Times New Roman" w:cs="Times New Roman" w:eastAsia="Times New Roman" w:hint="default"/>
        </w:rPr>
        <w:t>”</w:t>
      </w:r>
      <w:r>
        <w:rPr/>
        <w:t>时。</w:t>
      </w:r>
    </w:p>
    <w:p>
      <w:pPr>
        <w:pStyle w:val="Heading4"/>
        <w:spacing w:line="302" w:lineRule="exact"/>
        <w:ind w:left="633" w:right="104"/>
        <w:jc w:val="left"/>
      </w:pPr>
      <w:r>
        <w:rPr/>
        <w:t>③结转无形资产的具体条件和时点为取得经批准的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w:t>
      </w:r>
    </w:p>
    <w:p>
      <w:pPr>
        <w:spacing w:line="240" w:lineRule="auto" w:before="4"/>
        <w:rPr>
          <w:rFonts w:ascii="宋体" w:hAnsi="宋体" w:cs="宋体" w:eastAsia="宋体" w:hint="default"/>
          <w:sz w:val="23"/>
          <w:szCs w:val="23"/>
        </w:rPr>
      </w:pPr>
    </w:p>
    <w:p>
      <w:pPr>
        <w:pStyle w:val="Heading5"/>
        <w:spacing w:line="240" w:lineRule="auto"/>
        <w:ind w:right="104"/>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50" w:firstLine="480"/>
        <w:jc w:val="left"/>
      </w:pPr>
      <w:r>
        <w:rPr/>
        <w:t>长期待摊费用为已经发生但应由报告期和以后各期负担的分摊期限在一年以上的各项费 用。长期待摊费用在预计受益期间按直线法摊销。</w:t>
      </w:r>
    </w:p>
    <w:p>
      <w:pPr>
        <w:pStyle w:val="Heading4"/>
        <w:spacing w:line="302" w:lineRule="exact"/>
        <w:ind w:left="633" w:right="104"/>
        <w:jc w:val="left"/>
      </w:pPr>
      <w:r>
        <w:rPr/>
        <w:t>本公司取得的高尔夫会员资格证按</w:t>
      </w:r>
      <w:r>
        <w:rPr>
          <w:rFonts w:ascii="Times New Roman" w:hAnsi="Times New Roman" w:cs="Times New Roman" w:eastAsia="Times New Roman" w:hint="default"/>
        </w:rPr>
        <w:t>20</w:t>
      </w:r>
      <w:r>
        <w:rPr/>
        <w:t>年摊销；装修费按受益年限摊销。</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5"/>
        <w:spacing w:line="240" w:lineRule="auto"/>
        <w:ind w:right="104"/>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104"/>
        <w:jc w:val="left"/>
      </w:pPr>
      <w:r>
        <w:rPr/>
        <w:t>无</w:t>
      </w:r>
    </w:p>
    <w:p>
      <w:pPr>
        <w:spacing w:line="240" w:lineRule="auto" w:before="12"/>
        <w:rPr>
          <w:rFonts w:ascii="宋体" w:hAnsi="宋体" w:cs="宋体" w:eastAsia="宋体" w:hint="default"/>
          <w:sz w:val="26"/>
          <w:szCs w:val="26"/>
        </w:rPr>
      </w:pPr>
    </w:p>
    <w:p>
      <w:pPr>
        <w:pStyle w:val="Heading5"/>
        <w:spacing w:line="240" w:lineRule="auto"/>
        <w:ind w:right="104"/>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04"/>
        <w:jc w:val="left"/>
      </w:pPr>
      <w:r>
        <w:rPr>
          <w:spacing w:val="-2"/>
        </w:rPr>
        <w:t>是企业根据或有事项等相关准则确认的各项预计负债，包括对外提供担保、未决诉讼、产品质量保证、重组义务以及固定资</w:t>
      </w:r>
      <w:r>
        <w:rPr>
          <w:spacing w:val="-66"/>
        </w:rPr>
        <w:t> </w:t>
      </w:r>
      <w:r>
        <w:rPr>
          <w:spacing w:val="-66"/>
        </w:rPr>
      </w:r>
      <w:r>
        <w:rPr/>
        <w:t>产和矿区权益弃置义务等产生的预计负债。</w:t>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right="104"/>
        <w:jc w:val="left"/>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）该义务是本公司承担的</w:t>
      </w:r>
      <w:r>
        <w:rPr>
          <w:spacing w:val="-80"/>
        </w:rPr>
        <w:t> </w:t>
      </w:r>
      <w:r>
        <w:rPr>
          <w:spacing w:val="-80"/>
        </w:rPr>
      </w:r>
      <w:r>
        <w:rPr>
          <w:spacing w:val="-3"/>
        </w:rPr>
        <w:t>现时义务；（</w:t>
      </w:r>
      <w:r>
        <w:rPr>
          <w:rFonts w:ascii="Times New Roman" w:hAnsi="Times New Roman" w:cs="Times New Roman" w:eastAsia="Times New Roman" w:hint="default"/>
          <w:spacing w:val="-3"/>
        </w:rPr>
        <w:t>2</w:t>
      </w:r>
      <w:r>
        <w:rPr>
          <w:spacing w:val="-3"/>
        </w:rPr>
        <w:t>）履行该义务很可能导致经济利益流出；（</w:t>
      </w:r>
      <w:r>
        <w:rPr>
          <w:rFonts w:ascii="Times New Roman" w:hAnsi="Times New Roman" w:cs="Times New Roman" w:eastAsia="Times New Roman" w:hint="default"/>
          <w:spacing w:val="-3"/>
        </w:rPr>
        <w:t>3</w:t>
      </w:r>
      <w:r>
        <w:rPr>
          <w:spacing w:val="-3"/>
        </w:rPr>
        <w:t>）该义务的金额能够可靠地计量。</w:t>
      </w:r>
      <w:r>
        <w:rPr/>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50" w:firstLine="480"/>
        <w:jc w:val="left"/>
      </w:pPr>
      <w:r>
        <w:rPr/>
        <w:t>在资产负债表日，考虑与或有事项有关的风险、不确定性和货币时间价值等因素，按照 履行相关现时义务所需支出的最佳估计数对预计负债进行计量。</w:t>
      </w:r>
    </w:p>
    <w:p>
      <w:pPr>
        <w:pStyle w:val="Heading4"/>
        <w:spacing w:line="312" w:lineRule="exact"/>
        <w:ind w:right="251" w:firstLine="480"/>
        <w:jc w:val="left"/>
      </w:pPr>
      <w:r>
        <w:rPr/>
        <w:t>如果清偿预计负债所需支出全部或部分预期由第三方补偿的，补偿金额在基本确定能够 收到时，作为资产单独确认，且确认的补偿金额不超过预计负债的账面价值。</w:t>
      </w:r>
    </w:p>
    <w:p>
      <w:pPr>
        <w:pStyle w:val="Heading4"/>
        <w:spacing w:line="312" w:lineRule="exact"/>
        <w:ind w:right="268" w:firstLine="480"/>
        <w:jc w:val="both"/>
      </w:pPr>
      <w:r>
        <w:rPr/>
        <w:t>亏损合同是履行合同义务不可避免会发生的成本超过预期经济利益的合同。待执行合同 变成亏损合同，且该亏损合同产生的义务满足上述预计负债的确认条件的，将合同预计损失 超过合同标的资产已确认的减值损失（如有）的部分，确认为预计负债。</w:t>
      </w:r>
    </w:p>
    <w:p>
      <w:pPr>
        <w:spacing w:after="0" w:line="312" w:lineRule="exact"/>
        <w:jc w:val="both"/>
        <w:sectPr>
          <w:pgSz w:w="11910" w:h="16840"/>
          <w:pgMar w:header="747" w:footer="982" w:top="1060" w:bottom="1180" w:left="980" w:right="900"/>
        </w:sectPr>
      </w:pPr>
    </w:p>
    <w:p>
      <w:pPr>
        <w:spacing w:line="240" w:lineRule="auto" w:before="10"/>
        <w:rPr>
          <w:rFonts w:ascii="宋体" w:hAnsi="宋体" w:cs="宋体" w:eastAsia="宋体" w:hint="default"/>
          <w:sz w:val="24"/>
          <w:szCs w:val="24"/>
        </w:rPr>
      </w:pPr>
    </w:p>
    <w:p>
      <w:pPr>
        <w:pStyle w:val="Heading5"/>
        <w:spacing w:line="240" w:lineRule="auto" w:before="35"/>
        <w:ind w:right="9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6"/>
          <w:szCs w:val="26"/>
        </w:rPr>
      </w:pPr>
    </w:p>
    <w:p>
      <w:pPr>
        <w:pStyle w:val="BodyText"/>
        <w:tabs>
          <w:tab w:pos="2633" w:val="left" w:leader="none"/>
          <w:tab w:pos="4563" w:val="left" w:leader="none"/>
          <w:tab w:pos="6903" w:val="left" w:leader="none"/>
          <w:tab w:pos="7263" w:val="left" w:leader="none"/>
          <w:tab w:pos="9603" w:val="left" w:leader="none"/>
        </w:tabs>
        <w:spacing w:line="319" w:lineRule="auto" w:before="0"/>
        <w:ind w:right="108"/>
        <w:jc w:val="left"/>
      </w:pP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tab/>
        <w:t>① 以权益结算的股份支付</w:t>
        <w:tab/>
        <w:tab/>
        <w:t>用以换取职工提供的服务的权益 </w:t>
      </w:r>
      <w:r>
        <w:rPr>
          <w:spacing w:val="-2"/>
        </w:rPr>
        <w:t>结算的股份支付，以授予职工权益工具在授予日的公允价值计量。该公允价值的金额在完成等待期内的服务或达到规定业绩</w:t>
      </w:r>
      <w:r>
        <w:rPr>
          <w:spacing w:val="-64"/>
        </w:rPr>
        <w:t> </w:t>
      </w:r>
      <w:r>
        <w:rPr>
          <w:spacing w:val="-64"/>
        </w:rPr>
      </w:r>
      <w:r>
        <w:rPr>
          <w:spacing w:val="-2"/>
        </w:rPr>
        <w:t>条件才可行权的情况下，在等待期内以对可行权权益工具数量的最佳估计为基础，按直线法计算计入相关成本或费用，相应</w:t>
      </w:r>
      <w:r>
        <w:rPr>
          <w:spacing w:val="-66"/>
        </w:rPr>
        <w:t> </w:t>
      </w:r>
      <w:r>
        <w:rPr>
          <w:spacing w:val="-66"/>
        </w:rPr>
      </w:r>
      <w:r>
        <w:rPr>
          <w:spacing w:val="-2"/>
        </w:rPr>
        <w:t>增加资本公积。用以换取其他方服务的权益结算的股份支付，如果其他方服务的公允价值能够可靠计量，按照其他方服务在</w:t>
      </w:r>
      <w:r>
        <w:rPr>
          <w:spacing w:val="-66"/>
        </w:rPr>
        <w:t> </w:t>
      </w:r>
      <w:r>
        <w:rPr>
          <w:spacing w:val="-66"/>
        </w:rPr>
      </w:r>
      <w:r>
        <w:rPr>
          <w:spacing w:val="-2"/>
        </w:rPr>
        <w:t>取得日的公允价值计量，如果其他方服务的公允价值不能可靠计量，但权益工具的公允价值能够可靠计量的，按照权益工具</w:t>
      </w:r>
      <w:r>
        <w:rPr>
          <w:spacing w:val="-66"/>
        </w:rPr>
        <w:t> </w:t>
      </w:r>
      <w:r>
        <w:rPr>
          <w:spacing w:val="-66"/>
        </w:rPr>
      </w:r>
      <w:r>
        <w:rPr/>
        <w:t>在服务取得日的公允价值计量，计入相关成本或费用，相应增加所有者权益。</w:t>
        <w:tab/>
        <w:t>② 以现金结算的股份支付</w:t>
        <w:tab/>
        <w:t>以 现金结算的股份支付，按照本公司承担的以股份或其他权益工具为基础确定的负债的公允价值计量。如授予后立即可行权， </w:t>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spacing w:val="-3"/>
        </w:rPr>
        <w:t>费用，相应增加负债。</w:t>
        <w:tab/>
      </w:r>
      <w:r>
        <w:rPr/>
        <w:t>在相关负债结算前的每个资产负债表日以及结算日，对负债的公允价值重新计量，其变动计</w:t>
      </w:r>
      <w:r>
        <w:rPr/>
        <w:t> 入当期损益。</w:t>
      </w:r>
    </w:p>
    <w:p>
      <w:pPr>
        <w:spacing w:line="240" w:lineRule="auto" w:before="3"/>
        <w:rPr>
          <w:rFonts w:ascii="宋体" w:hAnsi="宋体" w:cs="宋体" w:eastAsia="宋体" w:hint="default"/>
          <w:sz w:val="22"/>
          <w:szCs w:val="22"/>
        </w:rPr>
      </w:pPr>
    </w:p>
    <w:p>
      <w:pPr>
        <w:pStyle w:val="Heading5"/>
        <w:spacing w:line="240" w:lineRule="auto"/>
        <w:ind w:right="9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2"/>
          <w:szCs w:val="22"/>
        </w:rPr>
      </w:pPr>
    </w:p>
    <w:p>
      <w:pPr>
        <w:pStyle w:val="Heading6"/>
        <w:spacing w:line="254" w:lineRule="auto"/>
        <w:ind w:left="154" w:right="190" w:firstLine="672"/>
        <w:jc w:val="both"/>
      </w:pPr>
      <w:r>
        <w:rPr>
          <w:sz w:val="24"/>
          <w:szCs w:val="24"/>
        </w:rPr>
        <w:t>本公司授予的股份期权采用</w:t>
      </w:r>
      <w:r>
        <w:rPr>
          <w:rFonts w:ascii="Times New Roman" w:hAnsi="Times New Roman" w:cs="Times New Roman" w:eastAsia="Times New Roman" w:hint="default"/>
          <w:sz w:val="24"/>
          <w:szCs w:val="24"/>
        </w:rPr>
        <w:t>Black-Scholes</w:t>
      </w:r>
      <w:r>
        <w:rPr>
          <w:sz w:val="24"/>
          <w:szCs w:val="24"/>
        </w:rPr>
        <w:t>期权定价模型定价。</w:t>
      </w:r>
      <w:r>
        <w:rPr/>
        <w:t>授予日权益工具公允价值的</w:t>
      </w:r>
      <w:r>
        <w:rPr/>
        <w:t> 确定方法：限制性股票的授予价格为</w:t>
      </w:r>
      <w:r>
        <w:rPr>
          <w:rFonts w:ascii="Times New Roman" w:hAnsi="Times New Roman" w:cs="Times New Roman" w:eastAsia="Times New Roman" w:hint="default"/>
        </w:rPr>
        <w:t>13.42</w:t>
      </w:r>
      <w:r>
        <w:rPr/>
        <w:t>元</w:t>
      </w:r>
      <w:r>
        <w:rPr>
          <w:rFonts w:ascii="Times New Roman" w:hAnsi="Times New Roman" w:cs="Times New Roman" w:eastAsia="Times New Roman" w:hint="default"/>
        </w:rPr>
        <w:t>/</w:t>
      </w:r>
      <w:r>
        <w:rPr/>
        <w:t>股，确定方法是本次授予的股票期权的行权价格取下列两个 价格中的较高者：①股票期权激励计划草案摘要公布前</w:t>
      </w:r>
      <w:r>
        <w:rPr>
          <w:rFonts w:ascii="Times New Roman" w:hAnsi="Times New Roman" w:cs="Times New Roman" w:eastAsia="Times New Roman" w:hint="default"/>
        </w:rPr>
        <w:t>1</w:t>
      </w:r>
      <w:r>
        <w:rPr/>
        <w:t>个交易日的公司标的股票收盘价</w:t>
      </w:r>
      <w:r>
        <w:rPr>
          <w:rFonts w:ascii="Times New Roman" w:hAnsi="Times New Roman" w:cs="Times New Roman" w:eastAsia="Times New Roman" w:hint="default"/>
        </w:rPr>
        <w:t>13.72</w:t>
      </w:r>
      <w:r>
        <w:rPr/>
        <w:t>元；②股票 </w:t>
      </w:r>
      <w:r>
        <w:rPr>
          <w:spacing w:val="-2"/>
        </w:rPr>
        <w:t>期权激励计划草案摘要公布前</w:t>
      </w:r>
      <w:r>
        <w:rPr>
          <w:rFonts w:ascii="Times New Roman" w:hAnsi="Times New Roman" w:cs="Times New Roman" w:eastAsia="Times New Roman" w:hint="default"/>
          <w:spacing w:val="-2"/>
        </w:rPr>
        <w:t>30</w:t>
      </w:r>
      <w:r>
        <w:rPr>
          <w:spacing w:val="-2"/>
        </w:rPr>
        <w:t>个交易日内的公司标的股票平均收盘价</w:t>
      </w:r>
      <w:r>
        <w:rPr>
          <w:rFonts w:ascii="Times New Roman" w:hAnsi="Times New Roman" w:cs="Times New Roman" w:eastAsia="Times New Roman" w:hint="default"/>
          <w:spacing w:val="-2"/>
        </w:rPr>
        <w:t>13.27</w:t>
      </w:r>
      <w:r>
        <w:rPr>
          <w:spacing w:val="-2"/>
        </w:rPr>
        <w:t>元。若在行权前有派息、资本</w:t>
      </w:r>
      <w:r>
        <w:rPr>
          <w:spacing w:val="-85"/>
        </w:rPr>
        <w:t> </w:t>
      </w:r>
      <w:r>
        <w:rPr>
          <w:spacing w:val="-85"/>
        </w:rPr>
      </w:r>
      <w:r>
        <w:rPr/>
        <w:t>公积转增股本、派送股票红利、股票拆细、配股或缩股等事项，应对行权价格进行相应的调整。</w:t>
      </w:r>
    </w:p>
    <w:p>
      <w:pPr>
        <w:spacing w:line="240" w:lineRule="auto" w:before="12"/>
        <w:rPr>
          <w:rFonts w:ascii="宋体" w:hAnsi="宋体" w:cs="宋体" w:eastAsia="宋体" w:hint="default"/>
          <w:sz w:val="24"/>
          <w:szCs w:val="24"/>
        </w:rPr>
      </w:pPr>
    </w:p>
    <w:p>
      <w:pPr>
        <w:pStyle w:val="Heading5"/>
        <w:spacing w:line="240" w:lineRule="auto"/>
        <w:ind w:right="9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90"/>
        <w:jc w:val="left"/>
      </w:pPr>
      <w:r>
        <w:rPr>
          <w:spacing w:val="-2"/>
        </w:rPr>
        <w:t>在等待期内的每个资产负债表日，根据最新取得的可行权职工人数变动等后续信息做出最佳估计，修正预计可行权的权益工</w:t>
      </w:r>
      <w:r>
        <w:rPr>
          <w:spacing w:val="-64"/>
        </w:rPr>
        <w:t> </w:t>
      </w:r>
      <w:r>
        <w:rPr>
          <w:spacing w:val="-64"/>
        </w:rPr>
      </w:r>
      <w:r>
        <w:rPr/>
        <w:t>具数量。</w:t>
      </w:r>
    </w:p>
    <w:p>
      <w:pPr>
        <w:spacing w:line="240" w:lineRule="auto" w:before="4"/>
        <w:rPr>
          <w:rFonts w:ascii="宋体" w:hAnsi="宋体" w:cs="宋体" w:eastAsia="宋体" w:hint="default"/>
          <w:sz w:val="22"/>
          <w:szCs w:val="22"/>
        </w:rPr>
      </w:pPr>
    </w:p>
    <w:p>
      <w:pPr>
        <w:pStyle w:val="Heading5"/>
        <w:spacing w:line="240" w:lineRule="auto"/>
        <w:ind w:right="9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90" w:firstLine="360"/>
        <w:jc w:val="both"/>
      </w:pPr>
      <w:r>
        <w:rPr>
          <w:spacing w:val="-2"/>
        </w:rPr>
        <w:t>本公司对股份支付计划进行修改时，若修改增加了所授予权益工具的公允价值，按照权益工具公允价值的增加相应确认</w:t>
      </w:r>
      <w:r>
        <w:rPr/>
        <w:t> </w:t>
      </w: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right="191"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9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90"/>
        <w:jc w:val="left"/>
      </w:pPr>
      <w:r>
        <w:rPr/>
        <w:t>无</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5"/>
        <w:spacing w:line="240" w:lineRule="auto" w:before="35"/>
        <w:ind w:right="9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9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tabs>
          <w:tab w:pos="3123" w:val="left" w:leader="none"/>
        </w:tabs>
        <w:spacing w:line="319" w:lineRule="auto" w:before="0"/>
        <w:ind w:left="154" w:right="108" w:firstLine="630"/>
        <w:jc w:val="left"/>
      </w:pPr>
      <w:r>
        <w:rPr/>
        <w:t>系统集成收入：是指公司为客户实施系统集成项目时，应客户要求代其外购硬件系统并安装集成所获得的收入。 其收入确认的原则及方法为：</w:t>
        <w:tab/>
        <w:t>系统集成项目软硬件系统所有权上的主要风险和报酬转移给买方，公司不再对其实施 继续管理权和实际控制权，相关的收入已经收到或取得了收款的证据，与销售该软硬件系统有关的成本能够可靠地计量时， 确认销售收入。</w:t>
      </w:r>
    </w:p>
    <w:p>
      <w:pPr>
        <w:spacing w:line="240" w:lineRule="auto" w:before="3"/>
        <w:rPr>
          <w:rFonts w:ascii="宋体" w:hAnsi="宋体" w:cs="宋体" w:eastAsia="宋体" w:hint="default"/>
          <w:sz w:val="22"/>
          <w:szCs w:val="22"/>
        </w:rPr>
      </w:pPr>
    </w:p>
    <w:p>
      <w:pPr>
        <w:pStyle w:val="Heading5"/>
        <w:spacing w:line="240" w:lineRule="auto"/>
        <w:ind w:right="9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0"/>
        <w:rPr>
          <w:rFonts w:ascii="宋体" w:hAnsi="宋体" w:cs="宋体" w:eastAsia="宋体" w:hint="default"/>
          <w:b/>
          <w:bCs/>
          <w:sz w:val="22"/>
          <w:szCs w:val="22"/>
        </w:rPr>
      </w:pPr>
    </w:p>
    <w:p>
      <w:pPr>
        <w:pStyle w:val="Heading4"/>
        <w:spacing w:line="313" w:lineRule="exact"/>
        <w:ind w:left="634" w:right="90"/>
        <w:jc w:val="left"/>
      </w:pPr>
      <w:r>
        <w:rPr/>
        <w:t>让渡资产使用权收入包括利息收入、使用费收入。</w:t>
      </w:r>
    </w:p>
    <w:p>
      <w:pPr>
        <w:pStyle w:val="Heading4"/>
        <w:spacing w:line="312" w:lineRule="exact"/>
        <w:ind w:left="633" w:right="90"/>
        <w:jc w:val="left"/>
      </w:pPr>
      <w:r>
        <w:rPr/>
        <w:t>①利息收入金额，按照他人使用本企业货币资金的时间和实际利率计算确定；</w:t>
      </w:r>
    </w:p>
    <w:p>
      <w:pPr>
        <w:pStyle w:val="Heading4"/>
        <w:spacing w:line="313" w:lineRule="exact"/>
        <w:ind w:left="633" w:right="90"/>
        <w:jc w:val="left"/>
      </w:pPr>
      <w:r>
        <w:rPr/>
        <w:t>②使用费收入金额，按照有关合同或协议约定的收费时间和方法计算确定。</w:t>
      </w:r>
    </w:p>
    <w:p>
      <w:pPr>
        <w:spacing w:line="240" w:lineRule="auto" w:before="9"/>
        <w:rPr>
          <w:rFonts w:ascii="宋体" w:hAnsi="宋体" w:cs="宋体" w:eastAsia="宋体" w:hint="default"/>
          <w:sz w:val="24"/>
          <w:szCs w:val="24"/>
        </w:rPr>
      </w:pPr>
    </w:p>
    <w:p>
      <w:pPr>
        <w:pStyle w:val="Heading5"/>
        <w:spacing w:line="240" w:lineRule="auto"/>
        <w:ind w:right="9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80" w:right="204"/>
        <w:jc w:val="left"/>
      </w:pPr>
      <w:r>
        <w:rPr/>
        <w:t>应用软件收入的确认原则及方法： 软件开发收入是指接受客户委托，根据客户的本地化需要，对应用软件技术进行研究开发所获得的收入。由此开发出</w:t>
      </w:r>
    </w:p>
    <w:p>
      <w:pPr>
        <w:pStyle w:val="BodyText"/>
        <w:spacing w:line="240" w:lineRule="auto" w:before="19"/>
        <w:ind w:right="90"/>
        <w:jc w:val="left"/>
      </w:pPr>
      <w:r>
        <w:rPr/>
        <w:t>来的软件为定制软件、不具有通用性。其收入确认的原则及方法为：</w:t>
      </w:r>
    </w:p>
    <w:p>
      <w:pPr>
        <w:pStyle w:val="BodyText"/>
        <w:spacing w:line="300" w:lineRule="auto" w:before="76"/>
        <w:ind w:right="227" w:firstLine="426"/>
        <w:jc w:val="both"/>
      </w:pPr>
      <w:r>
        <w:rPr>
          <w:rFonts w:ascii="Times New Roman" w:hAnsi="Times New Roman" w:cs="Times New Roman" w:eastAsia="Times New Roman" w:hint="default"/>
        </w:rPr>
        <w:t>A.</w:t>
      </w:r>
      <w:r>
        <w:rPr/>
        <w:t>在资产负债表日提供劳务交易的结果能够可靠估计的软件开发项目，采用完工百分比法（项目完工进度）确认软件 开发收入。</w:t>
      </w:r>
    </w:p>
    <w:p>
      <w:pPr>
        <w:pStyle w:val="BodyText"/>
        <w:spacing w:line="316" w:lineRule="auto" w:before="31"/>
        <w:ind w:right="222" w:firstLine="426"/>
        <w:jc w:val="both"/>
      </w:pPr>
      <w:r>
        <w:rPr/>
        <w:t>完工百分比的确定方法：按己经提供的工作量占应提供的工作总量的比例确定。由于本公司计算的已提供的工作量需 要委托方认可，故本公司实际采用委托方认可的完工进度证明（初步验收报告）作为完工百分比的确定依据。</w:t>
      </w:r>
    </w:p>
    <w:p>
      <w:pPr>
        <w:pStyle w:val="BodyText"/>
        <w:spacing w:line="312" w:lineRule="auto" w:before="19"/>
        <w:ind w:left="154" w:right="188" w:firstLine="426"/>
        <w:jc w:val="both"/>
      </w:pPr>
      <w:r>
        <w:rPr>
          <w:rFonts w:ascii="Times New Roman" w:hAnsi="Times New Roman" w:cs="Times New Roman" w:eastAsia="Times New Roman" w:hint="default"/>
        </w:rPr>
        <w:t>B.</w:t>
      </w:r>
      <w:r>
        <w:rPr/>
        <w:t>对在资产负债表日提供劳务交易结果不能可靠估计的软件开发项目，如果已经发生的成本预计能够得到补偿，按能 </w:t>
      </w:r>
      <w:r>
        <w:rPr>
          <w:spacing w:val="-2"/>
        </w:rPr>
        <w:t>够得到补偿的金额确认收入，并按相同的金额结转成本；如果已经发生的成本预计不能全部得到补偿，按能够得到补偿的开</w:t>
      </w:r>
      <w:r>
        <w:rPr>
          <w:spacing w:val="-66"/>
        </w:rPr>
        <w:t> </w:t>
      </w:r>
      <w:r>
        <w:rPr>
          <w:spacing w:val="-66"/>
        </w:rPr>
      </w:r>
      <w:r>
        <w:rPr>
          <w:spacing w:val="-2"/>
        </w:rPr>
        <w:t>发成本金额确认收入，并按已发生的成本结转成本，确认的收入金额小于已经发生的成本的差额，确认为损失；如果已发生</w:t>
      </w:r>
      <w:r>
        <w:rPr>
          <w:spacing w:val="-66"/>
        </w:rPr>
        <w:t> </w:t>
      </w:r>
      <w:r>
        <w:rPr>
          <w:spacing w:val="-66"/>
        </w:rPr>
      </w:r>
      <w:r>
        <w:rPr/>
        <w:t>的成本全部不能得到补偿，则不确认收入，但将已发生的成本确认为费用。</w:t>
      </w:r>
    </w:p>
    <w:p>
      <w:pPr>
        <w:pStyle w:val="BodyText"/>
        <w:spacing w:line="316" w:lineRule="auto" w:before="22"/>
        <w:ind w:left="580" w:right="204"/>
        <w:jc w:val="left"/>
      </w:pPr>
      <w:r>
        <w:rPr/>
        <w:t>技术服务收入的确认原则及方法： 本公司技术服务特点是在服务期间内及时解决客户提出的问题，满足服务要求。服务合同期限过后，合同自动终止。</w:t>
      </w:r>
    </w:p>
    <w:p>
      <w:pPr>
        <w:pStyle w:val="BodyText"/>
        <w:spacing w:line="316" w:lineRule="auto" w:before="19"/>
        <w:ind w:left="580" w:right="3804" w:hanging="426"/>
        <w:jc w:val="left"/>
      </w:pPr>
      <w:r>
        <w:rPr/>
        <w:t>其收入确认的原则及方法为： 在劳务已经提供，收到价款或取得收取款项的证据时，确认劳务收入。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5"/>
        <w:spacing w:line="240" w:lineRule="auto"/>
        <w:ind w:right="9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228" w:firstLine="480"/>
        <w:jc w:val="both"/>
      </w:pPr>
      <w:r>
        <w:rPr/>
        <w:t>完工百分比的确定方法：按己经提供的工作量占应提供的工作总量的比例确定。由于本 公司计算的已提供的工作量需要委托方认可，故本公司实际采用委托方认可的完工进度证明 作为完工百分比的确定依据。</w:t>
      </w:r>
    </w:p>
    <w:p>
      <w:pPr>
        <w:spacing w:after="0" w:line="312" w:lineRule="exact"/>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220" w:firstLine="630"/>
        <w:jc w:val="left"/>
      </w:pPr>
      <w:r>
        <w:rPr/>
        <w:t>政府补助是指本公司从政府无偿取得货币性资产和非货币性资产，不包括政府作为所有者投入的资本。政府补助分 为与资产相关的政府补助和与收益相关的政府补助。</w:t>
      </w:r>
    </w:p>
    <w:p>
      <w:pPr>
        <w:spacing w:line="240" w:lineRule="auto" w:before="3"/>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2"/>
        <w:rPr>
          <w:rFonts w:ascii="宋体" w:hAnsi="宋体" w:cs="宋体" w:eastAsia="宋体" w:hint="default"/>
          <w:b/>
          <w:bCs/>
          <w:sz w:val="25"/>
          <w:szCs w:val="25"/>
        </w:rPr>
      </w:pPr>
    </w:p>
    <w:p>
      <w:pPr>
        <w:pStyle w:val="Heading4"/>
        <w:spacing w:line="312" w:lineRule="exact"/>
        <w:ind w:left="154" w:right="268" w:firstLine="480"/>
        <w:jc w:val="both"/>
      </w:pPr>
      <w:r>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Heading4"/>
        <w:spacing w:line="312" w:lineRule="exact"/>
        <w:ind w:right="104" w:firstLine="480"/>
        <w:jc w:val="left"/>
      </w:pPr>
      <w:r>
        <w:rPr/>
        <w:t>与资产相关的政府补助，确认为递延收益，并在相关资产的使用寿命内平均分配计入当 </w:t>
      </w:r>
      <w:r>
        <w:rPr>
          <w:spacing w:val="-3"/>
        </w:rPr>
        <w:t>期损益。与收益相关的政府补助，用于补偿以后期间的相关费用和损失的，确认为递延收益，</w:t>
      </w:r>
      <w:r>
        <w:rPr>
          <w:spacing w:val="-81"/>
        </w:rPr>
        <w:t> </w:t>
      </w:r>
      <w:r>
        <w:rPr>
          <w:spacing w:val="-81"/>
        </w:rPr>
      </w:r>
      <w:r>
        <w:rPr/>
        <w:t>并在确认相关费用的期间计入当期损益；用于补偿已经发生的相关费用和损失的，直接计入 当期损益。</w:t>
      </w:r>
    </w:p>
    <w:p>
      <w:pPr>
        <w:pStyle w:val="Heading4"/>
        <w:spacing w:line="312" w:lineRule="exact"/>
        <w:ind w:right="104"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229"/>
        <w:jc w:val="both"/>
      </w:pP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 对于能够结转以后年度的可抵扣亏损和税款抵减，以很可 能获得用来抵扣可抵扣亏损和税款抵减的未来应纳税所得额为限，确认相应的递延所得税资产。</w:t>
      </w:r>
    </w:p>
    <w:p>
      <w:pPr>
        <w:spacing w:line="240" w:lineRule="auto" w:before="4"/>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229"/>
        <w:jc w:val="both"/>
      </w:pP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6"/>
        </w:rPr>
        <w:t> </w:t>
      </w:r>
      <w:r>
        <w:rPr>
          <w:spacing w:val="-66"/>
        </w:rPr>
      </w:r>
      <w:r>
        <w:rPr/>
        <w:t>负债。</w:t>
      </w:r>
    </w:p>
    <w:p>
      <w:pPr>
        <w:spacing w:line="240" w:lineRule="auto" w:before="4"/>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634" w:right="250"/>
        <w:jc w:val="left"/>
      </w:pPr>
      <w:r>
        <w:rPr>
          <w:rFonts w:ascii="Times New Roman" w:hAnsi="Times New Roman" w:cs="Times New Roman" w:eastAsia="Times New Roman" w:hint="default"/>
        </w:rPr>
        <w:t>a.</w:t>
      </w:r>
      <w:r>
        <w:rPr/>
        <w:t>本公司作为承租人记录经营租赁业务 经营租赁的租金支出在租赁期内的各个期间按直线法计入相关资产成本或当期损益。初</w:t>
      </w:r>
    </w:p>
    <w:p>
      <w:pPr>
        <w:spacing w:after="0" w:line="312" w:lineRule="exact"/>
        <w:jc w:val="left"/>
        <w:sectPr>
          <w:pgSz w:w="11910" w:h="16840"/>
          <w:pgMar w:header="747" w:footer="982" w:top="1060" w:bottom="1180" w:left="980" w:right="900"/>
        </w:sectPr>
      </w:pPr>
    </w:p>
    <w:p>
      <w:pPr>
        <w:spacing w:line="240" w:lineRule="auto" w:before="7"/>
        <w:rPr>
          <w:rFonts w:ascii="宋体" w:hAnsi="宋体" w:cs="宋体" w:eastAsia="宋体" w:hint="default"/>
          <w:sz w:val="23"/>
          <w:szCs w:val="23"/>
        </w:rPr>
      </w:pPr>
    </w:p>
    <w:p>
      <w:pPr>
        <w:pStyle w:val="Heading4"/>
        <w:spacing w:line="313" w:lineRule="exact" w:before="26"/>
        <w:ind w:left="154" w:right="0"/>
        <w:jc w:val="both"/>
      </w:pPr>
      <w:r>
        <w:rPr/>
        <w:t>始直接费用计入当期损益。或有租金于实际发生时计入当期损益。</w:t>
      </w:r>
    </w:p>
    <w:p>
      <w:pPr>
        <w:pStyle w:val="Heading4"/>
        <w:spacing w:line="312" w:lineRule="exact" w:before="29"/>
        <w:ind w:right="0" w:firstLine="480"/>
        <w:jc w:val="left"/>
      </w:pPr>
      <w:r>
        <w:rPr>
          <w:rFonts w:ascii="Times New Roman" w:hAnsi="Times New Roman" w:cs="Times New Roman" w:eastAsia="Times New Roman" w:hint="default"/>
        </w:rPr>
        <w:t>b.</w:t>
      </w:r>
      <w:r>
        <w:rPr/>
        <w:t>本公司作为出租人记录经营租赁业务 经营租赁的租金收入在租赁期内的各个期间按直线法确认为当期损益。对金额较大的初始直</w:t>
      </w:r>
      <w:r>
        <w:rPr>
          <w:spacing w:val="-83"/>
        </w:rPr>
        <w:t> </w:t>
      </w:r>
      <w:r>
        <w:rPr>
          <w:spacing w:val="-83"/>
        </w:rPr>
      </w:r>
      <w:r>
        <w:rPr/>
        <w:t>接费用于发生时予以资本化，在整个租赁期间内按照与确认租金收入相同的基础分期计入当</w:t>
      </w:r>
      <w:r>
        <w:rPr>
          <w:spacing w:val="-83"/>
        </w:rPr>
        <w:t> </w:t>
      </w:r>
      <w:r>
        <w:rPr>
          <w:spacing w:val="-83"/>
        </w:rPr>
      </w:r>
      <w:r>
        <w:rPr/>
        <w:t>期损益；其他金额较小的初始直接费用于发生时计入当期损益。或有租金于实际发生时计入</w:t>
      </w:r>
      <w:r>
        <w:rPr>
          <w:spacing w:val="-83"/>
        </w:rPr>
        <w:t> </w:t>
      </w:r>
      <w:r>
        <w:rPr>
          <w:spacing w:val="-83"/>
        </w:rPr>
      </w:r>
      <w:r>
        <w:rPr/>
        <w:t>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634" w:right="170"/>
        <w:jc w:val="left"/>
      </w:pPr>
      <w:r>
        <w:rPr>
          <w:rFonts w:ascii="Times New Roman" w:hAnsi="Times New Roman" w:cs="Times New Roman" w:eastAsia="Times New Roman" w:hint="default"/>
        </w:rPr>
        <w:t>a.</w:t>
      </w:r>
      <w:r>
        <w:rPr/>
        <w:t>本公司作为承租人记录融资租赁业务 于租赁期开始日，将租赁开始日租赁资产的公允价值与最低租赁付款额现值两者中较低</w:t>
      </w:r>
    </w:p>
    <w:p>
      <w:pPr>
        <w:pStyle w:val="Heading4"/>
        <w:spacing w:line="312" w:lineRule="exact"/>
        <w:ind w:left="154" w:right="188"/>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Heading4"/>
        <w:spacing w:line="312" w:lineRule="exact"/>
        <w:ind w:left="154" w:right="170" w:firstLine="480"/>
        <w:jc w:val="left"/>
      </w:pPr>
      <w:r>
        <w:rPr/>
        <w:t>未确认融资费用在租赁期内采用实际利率法计算确认当期的融资费用。或有租金于实际 发生时计入当期损益。</w:t>
      </w:r>
    </w:p>
    <w:p>
      <w:pPr>
        <w:pStyle w:val="Heading4"/>
        <w:spacing w:line="312" w:lineRule="exact"/>
        <w:ind w:left="634" w:right="170"/>
        <w:jc w:val="left"/>
      </w:pPr>
      <w:r>
        <w:rPr>
          <w:rFonts w:ascii="Times New Roman" w:hAnsi="Times New Roman" w:cs="Times New Roman" w:eastAsia="Times New Roman" w:hint="default"/>
        </w:rPr>
        <w:t>b.</w:t>
      </w:r>
      <w:r>
        <w:rPr/>
        <w:t>本公司作为出租人记录融资租赁业务 于租赁期开始日，将租赁开始日最低租赁收款额与初始直接费用之和作为应收融资租赁</w:t>
      </w:r>
    </w:p>
    <w:p>
      <w:pPr>
        <w:pStyle w:val="Heading4"/>
        <w:spacing w:line="312" w:lineRule="exact"/>
        <w:ind w:left="154" w:right="188"/>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Heading4"/>
        <w:spacing w:line="312" w:lineRule="exact"/>
        <w:ind w:left="154" w:right="170" w:firstLine="480"/>
        <w:jc w:val="left"/>
      </w:pPr>
      <w:r>
        <w:rPr/>
        <w:t>未实现融资收益在租赁期内采用实际利率法计算确认当期的融资收入。或有租金于实际 发生时计入当期损益。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both"/>
      </w:pPr>
      <w:r>
        <w:rPr/>
        <w:t>无</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both"/>
      </w:pPr>
      <w:r>
        <w:rPr/>
        <w:t>无</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both"/>
      </w:pPr>
      <w:r>
        <w:rPr/>
        <w:t>无</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both"/>
      </w:pPr>
      <w:r>
        <w:rPr/>
        <w:t>无</w:t>
      </w:r>
    </w:p>
    <w:p>
      <w:pPr>
        <w:spacing w:after="0" w:line="240"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本报告期主要会计政策、会计估计是否变更</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本报告期主要会计政策是否变更</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本报告期主要会计估计是否变更</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本报告期是否发现前期会计差错</w:t>
      </w:r>
    </w:p>
    <w:p>
      <w:pPr>
        <w:pStyle w:val="BodyText"/>
        <w:spacing w:line="338" w:lineRule="auto" w:before="117"/>
        <w:ind w:left="154" w:right="88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本报告期是否发现采用追溯重述法的前期会计差错</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本报告期是否发现采用未来适用法的前期会计差错</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before="0"/>
        <w:ind w:right="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
              <w:jc w:val="center"/>
              <w:rPr>
                <w:rFonts w:ascii="宋体" w:hAnsi="宋体" w:cs="宋体" w:eastAsia="宋体" w:hint="default"/>
                <w:sz w:val="18"/>
                <w:szCs w:val="18"/>
              </w:rPr>
            </w:pPr>
            <w:r>
              <w:rPr>
                <w:rFonts w:ascii="宋体" w:hAnsi="宋体" w:cs="宋体" w:eastAsia="宋体" w:hint="default"/>
                <w:sz w:val="18"/>
                <w:szCs w:val="18"/>
              </w:rPr>
              <w:t>一般纳税人按应税收入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1298"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both"/>
              <w:rPr>
                <w:rFonts w:ascii="宋体" w:hAnsi="宋体" w:cs="宋体" w:eastAsia="宋体" w:hint="default"/>
                <w:sz w:val="18"/>
                <w:szCs w:val="18"/>
              </w:rPr>
            </w:pPr>
            <w:r>
              <w:rPr>
                <w:rFonts w:ascii="宋体" w:hAnsi="宋体" w:cs="宋体" w:eastAsia="宋体" w:hint="default"/>
                <w:spacing w:val="-6"/>
                <w:sz w:val="18"/>
                <w:szCs w:val="18"/>
              </w:rPr>
              <w:t>率计算销项税，并按扣除当期允许抵扣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的进项税额后的差额计缴增值税；小规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模纳税人按应税收入</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的税率计缴增 值税。</w:t>
            </w:r>
          </w:p>
        </w:tc>
        <w:tc>
          <w:tcPr>
            <w:tcW w:w="3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对销售的软件开发收入、技术服务收入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及电信增值业务收入按</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计缴营</w:t>
            </w:r>
            <w:r>
              <w:rPr>
                <w:rFonts w:ascii="宋体" w:hAnsi="宋体" w:cs="宋体" w:eastAsia="宋体" w:hint="default"/>
                <w:sz w:val="18"/>
                <w:szCs w:val="18"/>
              </w:rPr>
              <w:t> 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02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left="-15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p>
        </w:tc>
      </w:tr>
      <w:tr>
        <w:trPr>
          <w:trHeight w:val="714"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计</w:t>
            </w:r>
            <w:r>
              <w:rPr>
                <w:rFonts w:ascii="宋体" w:hAnsi="宋体" w:cs="宋体" w:eastAsia="宋体" w:hint="default"/>
                <w:sz w:val="18"/>
                <w:szCs w:val="18"/>
              </w:rPr>
              <w:t> 缴。</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154" w:right="0"/>
        <w:jc w:val="both"/>
      </w:pPr>
      <w:r>
        <w:rPr/>
        <w:t>各分公司、分厂执行的所得税税率</w:t>
      </w:r>
    </w:p>
    <w:p>
      <w:pPr>
        <w:pStyle w:val="BodyText"/>
        <w:spacing w:line="307" w:lineRule="auto" w:before="116"/>
        <w:ind w:right="191" w:firstLine="73"/>
        <w:jc w:val="both"/>
      </w:pPr>
      <w:r>
        <w:rPr/>
        <w:t>本公司被认定为</w:t>
      </w:r>
      <w:r>
        <w:rPr>
          <w:rFonts w:ascii="Times New Roman" w:hAnsi="Times New Roman" w:cs="Times New Roman" w:eastAsia="Times New Roman" w:hint="default"/>
        </w:rPr>
        <w:t>2012</w:t>
      </w:r>
      <w:r>
        <w:rPr/>
        <w:t>年度国家规划布局内的重点软件生产企业，故</w:t>
      </w:r>
      <w:r>
        <w:rPr>
          <w:rFonts w:ascii="Times New Roman" w:hAnsi="Times New Roman" w:cs="Times New Roman" w:eastAsia="Times New Roman" w:hint="default"/>
        </w:rPr>
        <w:t>2012</w:t>
      </w:r>
      <w:r>
        <w:rPr/>
        <w:t>年度减按</w:t>
      </w:r>
      <w:r>
        <w:rPr>
          <w:rFonts w:ascii="Times New Roman" w:hAnsi="Times New Roman" w:cs="Times New Roman" w:eastAsia="Times New Roman" w:hint="default"/>
        </w:rPr>
        <w:t>10%</w:t>
      </w:r>
      <w:r>
        <w:rPr/>
        <w:t>的税率征收企业所得税。本公司之子 </w:t>
      </w:r>
      <w:r>
        <w:rPr>
          <w:spacing w:val="-2"/>
        </w:rPr>
        <w:t>公司广州市易杰数码科技有限公司、深圳市金华威数码科技有限公司为高新技术企业，</w:t>
      </w:r>
      <w:r>
        <w:rPr>
          <w:rFonts w:ascii="Times New Roman" w:hAnsi="Times New Roman" w:cs="Times New Roman" w:eastAsia="Times New Roman" w:hint="default"/>
          <w:spacing w:val="-2"/>
        </w:rPr>
        <w:t>2012</w:t>
      </w:r>
      <w:r>
        <w:rPr>
          <w:spacing w:val="-2"/>
        </w:rPr>
        <w:t>年度企业所得税税率为</w:t>
      </w:r>
      <w:r>
        <w:rPr>
          <w:rFonts w:ascii="Times New Roman" w:hAnsi="Times New Roman" w:cs="Times New Roman" w:eastAsia="Times New Roman" w:hint="default"/>
          <w:spacing w:val="-2"/>
        </w:rPr>
        <w:t>15%</w:t>
      </w:r>
      <w:r>
        <w:rPr>
          <w:spacing w:val="-2"/>
        </w:rPr>
        <w:t>。本</w:t>
      </w:r>
      <w:r>
        <w:rPr>
          <w:spacing w:val="-44"/>
        </w:rPr>
        <w:t> </w:t>
      </w:r>
      <w:r>
        <w:rPr>
          <w:spacing w:val="-2"/>
        </w:rPr>
        <w:t>公司之子公司上海天缘迪柯信息技术有限公司、合肥天源迪科信息技术有限公司、北京天源迪科信息技术有限公司、广州易</w:t>
      </w:r>
      <w:r>
        <w:rPr>
          <w:spacing w:val="-66"/>
        </w:rPr>
        <w:t> </w:t>
      </w:r>
      <w:r>
        <w:rPr>
          <w:spacing w:val="-66"/>
        </w:rPr>
      </w:r>
      <w:r>
        <w:rPr/>
        <w:t>星信息科技有限公司、合肥英泽信息科技有限公司、广西驿途信息科技有限公司企业所得税税率均为</w:t>
      </w:r>
      <w:r>
        <w:rPr>
          <w:rFonts w:ascii="Times New Roman" w:hAnsi="Times New Roman" w:cs="Times New Roman" w:eastAsia="Times New Roman" w:hint="default"/>
        </w:rPr>
        <w:t>25%</w:t>
      </w:r>
      <w:r>
        <w:rPr/>
        <w:t>。</w:t>
      </w:r>
    </w:p>
    <w:p>
      <w:pPr>
        <w:spacing w:line="240" w:lineRule="auto" w:before="8"/>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80" w:right="90"/>
        <w:jc w:val="left"/>
      </w:pPr>
      <w:r>
        <w:rPr/>
        <w:t>（</w:t>
      </w:r>
      <w:r>
        <w:rPr>
          <w:rFonts w:ascii="Times New Roman" w:hAnsi="Times New Roman" w:cs="Times New Roman" w:eastAsia="Times New Roman" w:hint="default"/>
        </w:rPr>
        <w:t>1</w:t>
      </w:r>
      <w:r>
        <w:rPr/>
        <w:t>）企业所得税</w:t>
      </w:r>
    </w:p>
    <w:p>
      <w:pPr>
        <w:pStyle w:val="BodyText"/>
        <w:spacing w:line="240" w:lineRule="auto" w:before="63"/>
        <w:ind w:left="580" w:right="90"/>
        <w:jc w:val="left"/>
      </w:pPr>
      <w:r>
        <w:rPr/>
        <w:t>①国家高新技术企业税收优惠政策</w:t>
      </w:r>
    </w:p>
    <w:p>
      <w:pPr>
        <w:pStyle w:val="BodyText"/>
        <w:spacing w:line="300" w:lineRule="auto" w:before="76"/>
        <w:ind w:left="154" w:right="90" w:firstLine="426"/>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月，本公司通过复审再次被认定为国家高新技术企业</w:t>
      </w:r>
      <w:r>
        <w:rPr>
          <w:rFonts w:ascii="Times New Roman" w:hAnsi="Times New Roman" w:cs="Times New Roman" w:eastAsia="Times New Roman" w:hint="default"/>
        </w:rPr>
        <w:t>(</w:t>
      </w:r>
      <w:r>
        <w:rPr/>
        <w:t>高新技术企业证书编号为</w:t>
      </w:r>
      <w:r>
        <w:rPr>
          <w:rFonts w:ascii="Times New Roman" w:hAnsi="Times New Roman" w:cs="Times New Roman" w:eastAsia="Times New Roman" w:hint="default"/>
        </w:rPr>
        <w:t>GF201144200072)</w:t>
      </w:r>
      <w:r>
        <w:rPr/>
        <w:t>，认定有效</w:t>
      </w:r>
      <w:r>
        <w:rPr>
          <w:spacing w:val="1"/>
        </w:rPr>
        <w:t> </w:t>
      </w:r>
      <w:r>
        <w:rPr/>
        <w:t>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2011</w:t>
      </w:r>
      <w:r>
        <w:rPr/>
        <w:t>年起至</w:t>
      </w:r>
      <w:r>
        <w:rPr>
          <w:rFonts w:ascii="Times New Roman" w:hAnsi="Times New Roman" w:cs="Times New Roman" w:eastAsia="Times New Roman" w:hint="default"/>
        </w:rPr>
        <w:t>2013</w:t>
      </w:r>
      <w:r>
        <w:rPr/>
        <w:t>年减按</w:t>
      </w:r>
      <w:r>
        <w:rPr>
          <w:rFonts w:ascii="Times New Roman" w:hAnsi="Times New Roman" w:cs="Times New Roman" w:eastAsia="Times New Roman" w:hint="default"/>
        </w:rPr>
        <w:t>15%</w:t>
      </w:r>
      <w:r>
        <w:rPr/>
        <w:t>税率征收企业所得税。</w:t>
      </w:r>
    </w:p>
    <w:p>
      <w:pPr>
        <w:pStyle w:val="BodyText"/>
        <w:spacing w:line="300" w:lineRule="auto" w:before="13"/>
        <w:ind w:right="90" w:firstLine="426"/>
        <w:jc w:val="left"/>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月，本公司之子公司广州市易杰数码科技有限公司通过复审再次被认定为国家高新技术企业</w:t>
      </w:r>
      <w:r>
        <w:rPr>
          <w:rFonts w:ascii="Times New Roman" w:hAnsi="Times New Roman" w:cs="Times New Roman" w:eastAsia="Times New Roman" w:hint="default"/>
          <w:spacing w:val="-1"/>
        </w:rPr>
        <w:t>(</w:t>
      </w:r>
      <w:r>
        <w:rPr>
          <w:spacing w:val="-1"/>
        </w:rPr>
        <w:t>高新技术企业证</w:t>
      </w:r>
      <w:r>
        <w:rPr/>
        <w:t> 书编号为</w:t>
      </w:r>
      <w:r>
        <w:rPr>
          <w:rFonts w:ascii="Times New Roman" w:hAnsi="Times New Roman" w:cs="Times New Roman" w:eastAsia="Times New Roman" w:hint="default"/>
        </w:rPr>
        <w:t>GF201144000782)</w:t>
      </w:r>
      <w:r>
        <w:rPr/>
        <w:t>，认定有效期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2011</w:t>
      </w:r>
      <w:r>
        <w:rPr/>
        <w:t>年起至</w:t>
      </w:r>
      <w:r>
        <w:rPr>
          <w:rFonts w:ascii="Times New Roman" w:hAnsi="Times New Roman" w:cs="Times New Roman" w:eastAsia="Times New Roman" w:hint="default"/>
        </w:rPr>
        <w:t>2013</w:t>
      </w:r>
      <w:r>
        <w:rPr/>
        <w:t>年减按</w:t>
      </w:r>
      <w:r>
        <w:rPr>
          <w:rFonts w:ascii="Times New Roman" w:hAnsi="Times New Roman" w:cs="Times New Roman" w:eastAsia="Times New Roman" w:hint="default"/>
        </w:rPr>
        <w:t>15%</w:t>
      </w:r>
      <w:r>
        <w:rPr/>
        <w:t>税率征收企业所得税。</w:t>
      </w:r>
    </w:p>
    <w:p>
      <w:pPr>
        <w:pStyle w:val="BodyText"/>
        <w:spacing w:line="300" w:lineRule="auto" w:before="13"/>
        <w:ind w:right="190" w:firstLine="426"/>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月，本公司之子公司深圳市金华威数码科技有限公司被认定为高新技术企业，根据深圳市福田区国家税务局深</w:t>
      </w:r>
      <w:r>
        <w:rPr/>
        <w:t> </w:t>
      </w:r>
      <w:r>
        <w:rPr>
          <w:spacing w:val="-2"/>
        </w:rPr>
        <w:t>国税福减免备案</w:t>
      </w:r>
      <w:r>
        <w:rPr>
          <w:rFonts w:ascii="Times New Roman" w:hAnsi="Times New Roman" w:cs="Times New Roman" w:eastAsia="Times New Roman" w:hint="default"/>
          <w:spacing w:val="-2"/>
        </w:rPr>
        <w:t>[2011]101</w:t>
      </w:r>
      <w:r>
        <w:rPr>
          <w:spacing w:val="-2"/>
        </w:rPr>
        <w:t>号《深圳市国家税务局税收优惠登记备案通知书》文件规定，自</w:t>
      </w:r>
      <w:r>
        <w:rPr>
          <w:rFonts w:ascii="Times New Roman" w:hAnsi="Times New Roman" w:cs="Times New Roman" w:eastAsia="Times New Roman" w:hint="default"/>
          <w:spacing w:val="-2"/>
        </w:rPr>
        <w:t>2010</w:t>
      </w:r>
      <w:r>
        <w:rPr>
          <w:spacing w:val="-2"/>
        </w:rPr>
        <w:t>年起至</w:t>
      </w:r>
      <w:r>
        <w:rPr>
          <w:rFonts w:ascii="Times New Roman" w:hAnsi="Times New Roman" w:cs="Times New Roman" w:eastAsia="Times New Roman" w:hint="default"/>
          <w:spacing w:val="-2"/>
        </w:rPr>
        <w:t>2012</w:t>
      </w:r>
      <w:r>
        <w:rPr>
          <w:spacing w:val="-2"/>
        </w:rPr>
        <w:t>年减按</w:t>
      </w:r>
      <w:r>
        <w:rPr>
          <w:rFonts w:ascii="Times New Roman" w:hAnsi="Times New Roman" w:cs="Times New Roman" w:eastAsia="Times New Roman" w:hint="default"/>
          <w:spacing w:val="-2"/>
        </w:rPr>
        <w:t>15%</w:t>
      </w:r>
      <w:r>
        <w:rPr>
          <w:spacing w:val="-2"/>
        </w:rPr>
        <w:t>税率征</w:t>
      </w:r>
      <w:r>
        <w:rPr>
          <w:spacing w:val="-47"/>
        </w:rPr>
        <w:t> </w:t>
      </w:r>
      <w:r>
        <w:rPr/>
        <w:t>收企业所得税。</w:t>
      </w:r>
    </w:p>
    <w:p>
      <w:pPr>
        <w:pStyle w:val="BodyText"/>
        <w:spacing w:line="240" w:lineRule="auto" w:before="31"/>
        <w:ind w:left="579" w:right="90"/>
        <w:jc w:val="left"/>
      </w:pPr>
      <w:r>
        <w:rPr/>
        <w:t>②国家规划布局内重点软件企业税收优惠政策</w:t>
      </w:r>
    </w:p>
    <w:p>
      <w:pPr>
        <w:pStyle w:val="BodyText"/>
        <w:spacing w:line="240" w:lineRule="auto" w:before="76"/>
        <w:ind w:left="579" w:right="9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月，根据国家发展和改革委员会、工业和信息化部、财政部、商务部、国家税务总局联合下发的《关于认定</w:t>
      </w:r>
    </w:p>
    <w:p>
      <w:pPr>
        <w:pStyle w:val="BodyText"/>
        <w:spacing w:line="300" w:lineRule="auto" w:before="63"/>
        <w:ind w:right="188"/>
        <w:jc w:val="both"/>
      </w:pPr>
      <w:r>
        <w:rPr>
          <w:rFonts w:ascii="Times New Roman" w:hAnsi="Times New Roman" w:cs="Times New Roman" w:eastAsia="Times New Roman" w:hint="default"/>
        </w:rPr>
        <w:t>2011-2012</w:t>
      </w:r>
      <w:r>
        <w:rPr/>
        <w:t>年度国家规划布局内重点软件企业和集成电路设计企业的通知》，本公司被认定为</w:t>
      </w:r>
      <w:r>
        <w:rPr>
          <w:rFonts w:ascii="Times New Roman" w:hAnsi="Times New Roman" w:cs="Times New Roman" w:eastAsia="Times New Roman" w:hint="default"/>
        </w:rPr>
        <w:t>“2011-2012</w:t>
      </w:r>
      <w:r>
        <w:rPr/>
        <w:t>年度国家规划布局</w:t>
      </w:r>
      <w:r>
        <w:rPr>
          <w:spacing w:val="-33"/>
        </w:rPr>
        <w:t> </w:t>
      </w:r>
      <w:r>
        <w:rPr>
          <w:spacing w:val="-33"/>
        </w:rPr>
      </w:r>
      <w:r>
        <w:rPr>
          <w:spacing w:val="-1"/>
        </w:rPr>
        <w:t>内重点软件企业</w:t>
      </w:r>
      <w:r>
        <w:rPr>
          <w:rFonts w:ascii="Times New Roman" w:hAnsi="Times New Roman" w:cs="Times New Roman" w:eastAsia="Times New Roman" w:hint="default"/>
          <w:spacing w:val="-1"/>
        </w:rPr>
        <w:t>”</w:t>
      </w:r>
      <w:r>
        <w:rPr>
          <w:spacing w:val="-1"/>
        </w:rPr>
        <w:t>。根据财税</w:t>
      </w:r>
      <w:r>
        <w:rPr>
          <w:rFonts w:ascii="Times New Roman" w:hAnsi="Times New Roman" w:cs="Times New Roman" w:eastAsia="Times New Roman" w:hint="default"/>
          <w:spacing w:val="-1"/>
        </w:rPr>
        <w:t>[2008]1</w:t>
      </w:r>
      <w:r>
        <w:rPr>
          <w:spacing w:val="-1"/>
        </w:rPr>
        <w:t>号《财政部、国家税务总局关于企业所得税若干优惠政策的通知》的规定，国家规划布</w:t>
      </w:r>
      <w:r>
        <w:rPr>
          <w:spacing w:val="-49"/>
        </w:rPr>
        <w:t> </w:t>
      </w:r>
      <w:r>
        <w:rPr>
          <w:spacing w:val="-49"/>
        </w:rPr>
      </w:r>
      <w:r>
        <w:rPr>
          <w:spacing w:val="-1"/>
        </w:rPr>
        <w:t>局内的重点软件生产企业，如当年未享受免税优惠的，减按</w:t>
      </w:r>
      <w:r>
        <w:rPr>
          <w:rFonts w:ascii="Times New Roman" w:hAnsi="Times New Roman" w:cs="Times New Roman" w:eastAsia="Times New Roman" w:hint="default"/>
          <w:spacing w:val="-1"/>
        </w:rPr>
        <w:t>10</w:t>
      </w:r>
      <w:r>
        <w:rPr>
          <w:spacing w:val="-1"/>
        </w:rPr>
        <w:t>％的税率征收企业所得税。故本公司</w:t>
      </w:r>
      <w:r>
        <w:rPr>
          <w:rFonts w:ascii="Times New Roman" w:hAnsi="Times New Roman" w:cs="Times New Roman" w:eastAsia="Times New Roman" w:hint="default"/>
          <w:spacing w:val="-1"/>
        </w:rPr>
        <w:t>2012</w:t>
      </w:r>
      <w:r>
        <w:rPr>
          <w:spacing w:val="-1"/>
        </w:rPr>
        <w:t>年度减按</w:t>
      </w:r>
      <w:r>
        <w:rPr>
          <w:rFonts w:ascii="Times New Roman" w:hAnsi="Times New Roman" w:cs="Times New Roman" w:eastAsia="Times New Roman" w:hint="default"/>
          <w:spacing w:val="-1"/>
        </w:rPr>
        <w:t>10%</w:t>
      </w:r>
      <w:r>
        <w:rPr>
          <w:spacing w:val="-1"/>
        </w:rPr>
        <w:t>的税率</w:t>
      </w:r>
      <w:r>
        <w:rPr>
          <w:spacing w:val="-83"/>
        </w:rPr>
        <w:t> </w:t>
      </w:r>
      <w:r>
        <w:rPr/>
        <w:t>征收企业所得税。</w:t>
      </w:r>
    </w:p>
    <w:p>
      <w:pPr>
        <w:pStyle w:val="BodyText"/>
        <w:spacing w:line="300" w:lineRule="auto" w:before="31"/>
        <w:ind w:left="579" w:right="90"/>
        <w:jc w:val="left"/>
      </w:pPr>
      <w:r>
        <w:rPr/>
        <w:t>（</w:t>
      </w:r>
      <w:r>
        <w:rPr>
          <w:rFonts w:ascii="Times New Roman" w:hAnsi="Times New Roman" w:cs="Times New Roman" w:eastAsia="Times New Roman" w:hint="default"/>
        </w:rPr>
        <w:t>2</w:t>
      </w:r>
      <w:r>
        <w:rPr/>
        <w:t>）营业税 </w:t>
      </w:r>
      <w:r>
        <w:rPr>
          <w:spacing w:val="-1"/>
        </w:rPr>
        <w:t>根据财政部、国家税务总局财税字</w:t>
      </w:r>
      <w:r>
        <w:rPr>
          <w:rFonts w:ascii="Times New Roman" w:hAnsi="Times New Roman" w:cs="Times New Roman" w:eastAsia="Times New Roman" w:hint="default"/>
          <w:spacing w:val="-1"/>
        </w:rPr>
        <w:t>[1999]</w:t>
      </w:r>
      <w:r>
        <w:rPr>
          <w:spacing w:val="-1"/>
        </w:rPr>
        <w:t>第</w:t>
      </w:r>
      <w:r>
        <w:rPr>
          <w:rFonts w:ascii="Times New Roman" w:hAnsi="Times New Roman" w:cs="Times New Roman" w:eastAsia="Times New Roman" w:hint="default"/>
          <w:spacing w:val="-1"/>
        </w:rPr>
        <w:t>273</w:t>
      </w:r>
      <w:r>
        <w:rPr>
          <w:spacing w:val="-1"/>
        </w:rPr>
        <w:t>号文《关于贯彻落实</w:t>
      </w:r>
      <w:r>
        <w:rPr>
          <w:rFonts w:ascii="Times New Roman" w:hAnsi="Times New Roman" w:cs="Times New Roman" w:eastAsia="Times New Roman" w:hint="default"/>
          <w:spacing w:val="-1"/>
        </w:rPr>
        <w:t>&lt;</w:t>
      </w:r>
      <w:r>
        <w:rPr>
          <w:spacing w:val="-1"/>
        </w:rPr>
        <w:t>中共中央国务院关于加强技术创新，发展高科技，</w:t>
      </w:r>
    </w:p>
    <w:p>
      <w:pPr>
        <w:pStyle w:val="BodyText"/>
        <w:spacing w:line="309" w:lineRule="auto" w:before="13"/>
        <w:ind w:right="188"/>
        <w:jc w:val="both"/>
      </w:pPr>
      <w:r>
        <w:rPr>
          <w:spacing w:val="-1"/>
        </w:rPr>
        <w:t>实现产业化的决定</w:t>
      </w:r>
      <w:r>
        <w:rPr>
          <w:rFonts w:ascii="Times New Roman" w:hAnsi="Times New Roman" w:cs="Times New Roman" w:eastAsia="Times New Roman" w:hint="default"/>
          <w:spacing w:val="-1"/>
        </w:rPr>
        <w:t>&gt;</w:t>
      </w:r>
      <w:r>
        <w:rPr>
          <w:spacing w:val="-1"/>
        </w:rPr>
        <w:t>有关税收问题的通知》及深圳市地方税务局（深地税发</w:t>
      </w:r>
      <w:r>
        <w:rPr>
          <w:rFonts w:ascii="Times New Roman" w:hAnsi="Times New Roman" w:cs="Times New Roman" w:eastAsia="Times New Roman" w:hint="default"/>
          <w:spacing w:val="-1"/>
        </w:rPr>
        <w:t>[1999]542</w:t>
      </w:r>
      <w:r>
        <w:rPr>
          <w:spacing w:val="-1"/>
        </w:rPr>
        <w:t>号文）《转发财政部国家税务总局关于</w:t>
      </w:r>
      <w:r>
        <w:rPr>
          <w:spacing w:val="-67"/>
        </w:rPr>
        <w:t> </w:t>
      </w:r>
      <w:r>
        <w:rPr>
          <w:spacing w:val="-67"/>
        </w:rPr>
      </w:r>
      <w:r>
        <w:rPr/>
        <w:t>贯彻落实</w:t>
      </w:r>
      <w:r>
        <w:rPr>
          <w:rFonts w:ascii="Times New Roman" w:hAnsi="Times New Roman" w:cs="Times New Roman" w:eastAsia="Times New Roman" w:hint="default"/>
        </w:rPr>
        <w:t>&lt;</w:t>
      </w:r>
      <w:r>
        <w:rPr/>
        <w:t>中共中央国务院关于加强技术创新，发展高科技，实现产业化的决定</w:t>
      </w:r>
      <w:r>
        <w:rPr>
          <w:rFonts w:ascii="Times New Roman" w:hAnsi="Times New Roman" w:cs="Times New Roman" w:eastAsia="Times New Roman" w:hint="default"/>
        </w:rPr>
        <w:t>&gt;</w:t>
      </w:r>
      <w:r>
        <w:rPr/>
        <w:t>有关税收问题的通知》规定：从事技术转</w:t>
      </w:r>
      <w:r>
        <w:rPr>
          <w:spacing w:val="-29"/>
        </w:rPr>
        <w:t> </w:t>
      </w:r>
      <w:r>
        <w:rPr>
          <w:spacing w:val="-29"/>
        </w:rPr>
      </w:r>
      <w:r>
        <w:rPr>
          <w:spacing w:val="-2"/>
        </w:rPr>
        <w:t>让、技术开发业务和与之相关的技术咨询、技术服务业务取得的收入，免征营业税。根据深圳市地方税务局的要求，本公司</w:t>
      </w:r>
      <w:r>
        <w:rPr>
          <w:spacing w:val="-66"/>
        </w:rPr>
        <w:t> </w:t>
      </w:r>
      <w:r>
        <w:rPr>
          <w:spacing w:val="-66"/>
        </w:rPr>
      </w:r>
      <w:r>
        <w:rPr>
          <w:spacing w:val="-2"/>
        </w:rPr>
        <w:t>从事技术转让、开发业务申请免征营业税时，须持技术转让、开发的书面合同，到深圳市科技和信息局进行认定，再持相关</w:t>
      </w:r>
      <w:r>
        <w:rPr>
          <w:spacing w:val="-66"/>
        </w:rPr>
        <w:t> </w:t>
      </w:r>
      <w:r>
        <w:rPr>
          <w:spacing w:val="-66"/>
        </w:rPr>
      </w:r>
      <w:r>
        <w:rPr>
          <w:spacing w:val="-2"/>
        </w:rPr>
        <w:t>的书面合同和深圳市科技和信息局开具的《深圳市技术转让、技术开发及相关服务性收入认定登记证明》至深圳市地方税务</w:t>
      </w:r>
      <w:r>
        <w:rPr>
          <w:spacing w:val="-66"/>
        </w:rPr>
        <w:t> </w:t>
      </w:r>
      <w:r>
        <w:rPr>
          <w:spacing w:val="-66"/>
        </w:rPr>
      </w:r>
      <w:r>
        <w:rPr>
          <w:spacing w:val="-2"/>
        </w:rPr>
        <w:t>局审核备案。在科技和税务部门审核备案以前，本公司先按有关规定缴纳营业税，待科技和税务部门审核备案后，再从以后</w:t>
      </w:r>
      <w:r>
        <w:rPr>
          <w:spacing w:val="-66"/>
        </w:rPr>
        <w:t> </w:t>
      </w:r>
      <w:r>
        <w:rPr>
          <w:spacing w:val="-66"/>
        </w:rPr>
      </w:r>
      <w:r>
        <w:rPr/>
        <w:t>应缴的营业税款中抵交，如以后</w:t>
      </w:r>
      <w:r>
        <w:rPr>
          <w:rFonts w:ascii="Times New Roman" w:hAnsi="Times New Roman" w:cs="Times New Roman" w:eastAsia="Times New Roman" w:hint="default"/>
        </w:rPr>
        <w:t>1</w:t>
      </w:r>
      <w:r>
        <w:rPr/>
        <w:t>年内未发生应缴营业税的行为，或其应缴税款不足以抵顶免税额的，本公司可向税务机关</w:t>
      </w:r>
      <w:r>
        <w:rPr>
          <w:spacing w:val="-83"/>
        </w:rPr>
        <w:t> </w:t>
      </w:r>
      <w:r>
        <w:rPr>
          <w:spacing w:val="-83"/>
        </w:rPr>
      </w:r>
      <w:r>
        <w:rPr/>
        <w:t>申请办理退税。营改增后，本公司不再享受免征营业税税收优惠。</w:t>
      </w:r>
    </w:p>
    <w:p>
      <w:pPr>
        <w:spacing w:after="0" w:line="30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ind w:left="580" w:right="214"/>
        <w:jc w:val="left"/>
      </w:pPr>
      <w:r>
        <w:rPr/>
        <w:t>（</w:t>
      </w:r>
      <w:r>
        <w:rPr>
          <w:rFonts w:ascii="Times New Roman" w:hAnsi="Times New Roman" w:cs="Times New Roman" w:eastAsia="Times New Roman" w:hint="default"/>
        </w:rPr>
        <w:t>3</w:t>
      </w:r>
      <w:r>
        <w:rPr/>
        <w:t>）增值税 根据《国务院关于印发进一步鼓励软件产业和集成电路产业发展若干政策的通知》（国发</w:t>
      </w:r>
      <w:r>
        <w:rPr>
          <w:rFonts w:ascii="Times New Roman" w:hAnsi="Times New Roman" w:cs="Times New Roman" w:eastAsia="Times New Roman" w:hint="default"/>
        </w:rPr>
        <w:t>[2011]4</w:t>
      </w:r>
      <w:r>
        <w:rPr/>
        <w:t>号），以及财政部、</w:t>
      </w:r>
    </w:p>
    <w:p>
      <w:pPr>
        <w:pStyle w:val="BodyText"/>
        <w:spacing w:line="300" w:lineRule="auto" w:before="13"/>
        <w:ind w:left="154" w:right="104"/>
        <w:jc w:val="left"/>
      </w:pPr>
      <w:r>
        <w:rPr/>
        <w:t>国家税务总局财税财税</w:t>
      </w:r>
      <w:r>
        <w:rPr>
          <w:rFonts w:ascii="Times New Roman" w:hAnsi="Times New Roman" w:cs="Times New Roman" w:eastAsia="Times New Roman" w:hint="default"/>
        </w:rPr>
        <w:t>[2011]100</w:t>
      </w:r>
      <w:r>
        <w:rPr/>
        <w:t>号《关于软件产品增值税政策的通知》的规定，自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日起执行，增值税一般纳税</w:t>
      </w:r>
      <w:r>
        <w:rPr>
          <w:spacing w:val="-33"/>
        </w:rPr>
        <w:t> </w:t>
      </w:r>
      <w:r>
        <w:rPr>
          <w:spacing w:val="-33"/>
        </w:rPr>
      </w:r>
      <w:r>
        <w:rPr/>
        <w:t>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16" w:lineRule="auto" w:before="13"/>
        <w:ind w:left="154" w:right="130" w:firstLine="426"/>
        <w:jc w:val="left"/>
      </w:pPr>
      <w:r>
        <w:rPr>
          <w:spacing w:val="-5"/>
        </w:rPr>
        <w:t>根据《财政部、国家税务总局关于在北京等8省市开展交通运输业和部分现代服务业营业税改征增值税试点的通知》（财</w:t>
      </w:r>
      <w:r>
        <w:rPr/>
        <w:t> 税[2012]71号）和《财政部、国家税务总局关于在上海市开展交通运输业和部分现代服务业营业税改征增值税试点的通知》</w:t>
      </w:r>
    </w:p>
    <w:p>
      <w:pPr>
        <w:pStyle w:val="BodyText"/>
        <w:spacing w:line="316" w:lineRule="auto" w:before="19"/>
        <w:ind w:left="154" w:right="220"/>
        <w:jc w:val="left"/>
      </w:pPr>
      <w:r>
        <w:rPr/>
        <w:t>（财税[2011]111号）等相关规定，报告期内本公司涉及营业税改征增值税的公司，原享受的营业税优惠政策，继续享受免</w:t>
      </w:r>
      <w:r>
        <w:rPr>
          <w:spacing w:val="-84"/>
        </w:rPr>
        <w:t> </w:t>
      </w:r>
      <w:r>
        <w:rPr>
          <w:spacing w:val="-84"/>
        </w:rPr>
      </w:r>
      <w:r>
        <w:rPr/>
        <w:t>征增值税优惠政策，执行零税率。</w:t>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633" w:right="104"/>
        <w:jc w:val="left"/>
      </w:pPr>
      <w:r>
        <w:rPr/>
        <w:t>报告期内，本公司涉及营业税改征增值税的情况： 本公司及子公司深圳市金华威数码科技有限公司从事技术转让、技术开发业务和与之相</w:t>
      </w:r>
    </w:p>
    <w:p>
      <w:pPr>
        <w:pStyle w:val="Heading4"/>
        <w:spacing w:line="312" w:lineRule="exact"/>
        <w:ind w:right="104"/>
        <w:jc w:val="left"/>
      </w:pPr>
      <w:r>
        <w:rPr/>
        <w:t>关的技术咨询、技术服务业务及其他服务业取得的收入，根据财政部、国家税务总局《关于</w:t>
      </w:r>
      <w:r>
        <w:rPr>
          <w:spacing w:val="-83"/>
        </w:rPr>
        <w:t> </w:t>
      </w:r>
      <w:r>
        <w:rPr>
          <w:spacing w:val="-83"/>
        </w:rPr>
      </w:r>
      <w:r>
        <w:rPr>
          <w:spacing w:val="9"/>
        </w:rPr>
        <w:t>在北京等</w:t>
      </w:r>
      <w:r>
        <w:rPr>
          <w:rFonts w:ascii="Times New Roman" w:hAnsi="Times New Roman" w:cs="Times New Roman" w:eastAsia="Times New Roman" w:hint="default"/>
          <w:spacing w:val="9"/>
        </w:rPr>
        <w:t>8</w:t>
      </w:r>
      <w:r>
        <w:rPr>
          <w:spacing w:val="9"/>
        </w:rPr>
        <w:t>省市开展交通运输业和部分现代服务业营业税改征增值税试点的通知》（财税</w:t>
      </w:r>
      <w:r>
        <w:rPr/>
      </w:r>
    </w:p>
    <w:p>
      <w:pPr>
        <w:pStyle w:val="Heading4"/>
        <w:spacing w:line="312" w:lineRule="exact"/>
        <w:ind w:right="228"/>
        <w:jc w:val="both"/>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71</w:t>
      </w:r>
      <w:r>
        <w:rPr/>
        <w:t>号）及深圳市国家税务局、深圳市地方税务局《关于深圳市营业税改征增值税试</w:t>
      </w:r>
      <w:r>
        <w:rPr>
          <w:spacing w:val="-85"/>
        </w:rPr>
        <w:t> </w:t>
      </w:r>
      <w:r>
        <w:rPr>
          <w:spacing w:val="-85"/>
        </w:rPr>
      </w:r>
      <w:r>
        <w:rPr>
          <w:spacing w:val="-3"/>
        </w:rPr>
        <w:t>点纳税人办理税收业务的通告》（深国税告〔</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11</w:t>
      </w:r>
      <w:r>
        <w:rPr>
          <w:spacing w:val="-3"/>
        </w:rPr>
        <w:t>号）等相关规定，自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日起</w:t>
      </w:r>
      <w:r>
        <w:rPr>
          <w:spacing w:val="-79"/>
        </w:rPr>
        <w:t> </w:t>
      </w:r>
      <w:r>
        <w:rPr>
          <w:spacing w:val="-3"/>
        </w:rPr>
        <w:t>改为征收增值税，税率为</w:t>
      </w:r>
      <w:r>
        <w:rPr>
          <w:rFonts w:ascii="Times New Roman" w:hAnsi="Times New Roman" w:cs="Times New Roman" w:eastAsia="Times New Roman" w:hint="default"/>
          <w:spacing w:val="-3"/>
        </w:rPr>
        <w:t>6</w:t>
      </w:r>
      <w:r>
        <w:rPr>
          <w:spacing w:val="-3"/>
        </w:rPr>
        <w:t>％，本公司原享受的营业税优惠政策，继续享受免征增值税优惠政</w:t>
      </w:r>
      <w:r>
        <w:rPr>
          <w:spacing w:val="-81"/>
        </w:rPr>
        <w:t> </w:t>
      </w:r>
      <w:r>
        <w:rPr>
          <w:spacing w:val="-81"/>
        </w:rPr>
      </w:r>
      <w:r>
        <w:rPr/>
        <w:t>策，执行零税率。</w:t>
      </w:r>
    </w:p>
    <w:p>
      <w:pPr>
        <w:pStyle w:val="Heading4"/>
        <w:spacing w:line="312" w:lineRule="exact"/>
        <w:ind w:right="223" w:firstLine="480"/>
        <w:jc w:val="right"/>
      </w:pPr>
      <w:r>
        <w:rPr/>
        <w:t>本公司位于上海市的子公司上海天缘迪柯信息技术有限公司从事应用软件开发和技术服</w:t>
      </w:r>
      <w:r>
        <w:rPr>
          <w:spacing w:val="1"/>
        </w:rPr>
        <w:t> </w:t>
      </w:r>
      <w:r>
        <w:rPr/>
        <w:t>务业务的收入，根据《财政部、国家税务总局关于在上海市开展交通运输业和部分现代服务</w:t>
      </w:r>
      <w:r>
        <w:rPr>
          <w:spacing w:val="-99"/>
        </w:rPr>
        <w:t> </w:t>
      </w:r>
      <w:r>
        <w:rPr>
          <w:spacing w:val="-99"/>
        </w:rPr>
      </w:r>
      <w:r>
        <w:rPr>
          <w:spacing w:val="-1"/>
        </w:rPr>
        <w:t>业营业税改征增值税试点的通知》（财税</w:t>
      </w:r>
      <w:r>
        <w:rPr>
          <w:rFonts w:ascii="Times New Roman" w:hAnsi="Times New Roman" w:cs="Times New Roman" w:eastAsia="Times New Roman" w:hint="default"/>
          <w:spacing w:val="-1"/>
        </w:rPr>
        <w:t>[2011]111</w:t>
      </w:r>
      <w:r>
        <w:rPr>
          <w:spacing w:val="-1"/>
        </w:rPr>
        <w:t>号）等相关规定，自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日起改为</w:t>
      </w:r>
      <w:r>
        <w:rPr>
          <w:spacing w:val="-105"/>
        </w:rPr>
        <w:t> </w:t>
      </w:r>
      <w:r>
        <w:rPr>
          <w:spacing w:val="-3"/>
        </w:rPr>
        <w:t>征收增值税，税率为</w:t>
      </w:r>
      <w:r>
        <w:rPr>
          <w:rFonts w:ascii="Times New Roman" w:hAnsi="Times New Roman" w:cs="Times New Roman" w:eastAsia="Times New Roman" w:hint="default"/>
          <w:spacing w:val="-3"/>
        </w:rPr>
        <w:t>6</w:t>
      </w:r>
      <w:r>
        <w:rPr>
          <w:spacing w:val="-3"/>
        </w:rPr>
        <w:t>％，其中从事技术转让、技术开发业务和与之相关的技术咨询、技术服</w:t>
      </w:r>
      <w:r>
        <w:rPr>
          <w:spacing w:val="-99"/>
        </w:rPr>
        <w:t> </w:t>
      </w:r>
      <w:r>
        <w:rPr>
          <w:spacing w:val="-99"/>
        </w:rPr>
      </w:r>
      <w:r>
        <w:rPr/>
        <w:t>务业务取得的收入原享受的营业税优惠政策，继续享受免征增值税优惠政策，执行零税率。 本公司位于北京市的子公司北京天源迪科信息技术有限公司从事技术转让、技术开发业</w:t>
      </w:r>
      <w:r>
        <w:rPr>
          <w:spacing w:val="1"/>
        </w:rPr>
        <w:t> </w:t>
      </w:r>
      <w:r>
        <w:rPr/>
        <w:t>务和与之相关的技术咨询、技术服务业务取得的收入，根据《财政部、国家税务总局关于在</w:t>
      </w:r>
      <w:r>
        <w:rPr>
          <w:spacing w:val="-99"/>
        </w:rPr>
        <w:t> </w:t>
      </w:r>
      <w:r>
        <w:rPr>
          <w:spacing w:val="-99"/>
        </w:rPr>
      </w:r>
      <w:r>
        <w:rPr>
          <w:spacing w:val="16"/>
        </w:rPr>
        <w:t>北京等</w:t>
      </w:r>
      <w:r>
        <w:rPr>
          <w:rFonts w:ascii="Times New Roman" w:hAnsi="Times New Roman" w:cs="Times New Roman" w:eastAsia="Times New Roman" w:hint="default"/>
          <w:spacing w:val="16"/>
        </w:rPr>
        <w:t>8</w:t>
      </w:r>
      <w:r>
        <w:rPr>
          <w:spacing w:val="16"/>
        </w:rPr>
        <w:t>省市开展交通运输业和部分现代服务业营业税改征增值税试点的通知》（财税</w:t>
      </w:r>
      <w:r>
        <w:rPr/>
        <w:t> </w:t>
      </w:r>
      <w:r>
        <w:rPr>
          <w:rFonts w:ascii="Times New Roman" w:hAnsi="Times New Roman" w:cs="Times New Roman" w:eastAsia="Times New Roman" w:hint="default"/>
          <w:spacing w:val="2"/>
        </w:rPr>
        <w:t>[2012]71</w:t>
      </w:r>
      <w:r>
        <w:rPr>
          <w:spacing w:val="2"/>
        </w:rPr>
        <w:t>号）等相关规定，自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日起改为征收增值税，原享受的营业税优惠政策，</w:t>
      </w:r>
      <w:r>
        <w:rPr/>
      </w:r>
    </w:p>
    <w:p>
      <w:pPr>
        <w:pStyle w:val="Heading4"/>
        <w:spacing w:line="312" w:lineRule="exact"/>
        <w:ind w:left="634" w:right="104" w:hanging="480"/>
        <w:jc w:val="left"/>
      </w:pPr>
      <w:r>
        <w:rPr/>
        <w:t>继续享受免征增值税优惠政策，执行零税率。 本公司位于广东省广州市的子公司广州市易杰数码科技有限公司、广州易星信息科技有</w:t>
      </w:r>
    </w:p>
    <w:p>
      <w:pPr>
        <w:pStyle w:val="Heading4"/>
        <w:spacing w:line="312" w:lineRule="exact"/>
        <w:ind w:right="109"/>
        <w:jc w:val="left"/>
      </w:pPr>
      <w:r>
        <w:rPr/>
        <w:t>限公司从事应用软件开发和技术服务业务的收入，根据《财政部、国家税务总局关于在北京</w:t>
      </w:r>
      <w:r>
        <w:rPr>
          <w:spacing w:val="-83"/>
        </w:rPr>
        <w:t> </w:t>
      </w:r>
      <w:r>
        <w:rPr>
          <w:spacing w:val="-83"/>
        </w:rPr>
      </w:r>
      <w:r>
        <w:rPr>
          <w:spacing w:val="-3"/>
        </w:rPr>
        <w:t>等</w:t>
      </w:r>
      <w:r>
        <w:rPr>
          <w:rFonts w:ascii="Times New Roman" w:hAnsi="Times New Roman" w:cs="Times New Roman" w:eastAsia="Times New Roman" w:hint="default"/>
          <w:spacing w:val="-3"/>
        </w:rPr>
        <w:t>8</w:t>
      </w:r>
      <w:r>
        <w:rPr>
          <w:spacing w:val="-3"/>
        </w:rPr>
        <w:t>省市开展交通运输业和部分现代服务业营业税改征增值税试点的通知》（财税</w:t>
      </w:r>
      <w:r>
        <w:rPr>
          <w:rFonts w:ascii="Times New Roman" w:hAnsi="Times New Roman" w:cs="Times New Roman" w:eastAsia="Times New Roman" w:hint="default"/>
          <w:spacing w:val="-3"/>
        </w:rPr>
        <w:t>[2012]71</w:t>
      </w:r>
      <w:r>
        <w:rPr>
          <w:spacing w:val="-3"/>
        </w:rPr>
        <w:t>号）</w:t>
      </w:r>
      <w:r>
        <w:rPr>
          <w:spacing w:val="-111"/>
        </w:rPr>
        <w:t> </w:t>
      </w:r>
      <w:r>
        <w:rPr/>
        <w:t>等相关规定，自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日起改为征收增值税，广州市易杰数码科技有限公司执行税率为 </w:t>
      </w:r>
      <w:r>
        <w:rPr>
          <w:rFonts w:ascii="Times New Roman" w:hAnsi="Times New Roman" w:cs="Times New Roman" w:eastAsia="Times New Roman" w:hint="default"/>
        </w:rPr>
        <w:t>6</w:t>
      </w:r>
      <w:r>
        <w:rPr/>
        <w:t>％，广州易星信息科技有限公司为小规模纳税人，执行税率为</w:t>
      </w:r>
      <w:r>
        <w:rPr>
          <w:rFonts w:ascii="Times New Roman" w:hAnsi="Times New Roman" w:cs="Times New Roman" w:eastAsia="Times New Roman" w:hint="default"/>
        </w:rPr>
        <w:t>3%</w:t>
      </w:r>
      <w:r>
        <w:rPr/>
        <w:t>；其中从事技术转让、技</w:t>
      </w:r>
      <w:r>
        <w:rPr>
          <w:spacing w:val="-70"/>
        </w:rPr>
        <w:t> </w:t>
      </w:r>
      <w:r>
        <w:rPr/>
        <w:t>术开发业务和与之相关的技术咨询、技术服务业务取得的收入原享受的营业税优惠政策，继</w:t>
      </w:r>
      <w:r>
        <w:rPr>
          <w:spacing w:val="-83"/>
        </w:rPr>
        <w:t> </w:t>
      </w:r>
      <w:r>
        <w:rPr>
          <w:spacing w:val="-83"/>
        </w:rPr>
      </w:r>
      <w:r>
        <w:rPr/>
        <w:t>续享受免征增值税优惠政策，执行零税率。</w:t>
      </w:r>
    </w:p>
    <w:p>
      <w:pPr>
        <w:spacing w:line="240" w:lineRule="auto" w:before="10"/>
        <w:rPr>
          <w:rFonts w:ascii="宋体" w:hAnsi="宋体" w:cs="宋体" w:eastAsia="宋体" w:hint="default"/>
          <w:sz w:val="20"/>
          <w:szCs w:val="20"/>
        </w:rPr>
      </w:pPr>
    </w:p>
    <w:p>
      <w:pPr>
        <w:pStyle w:val="Heading3"/>
        <w:spacing w:line="240" w:lineRule="auto" w:before="0"/>
        <w:ind w:left="153" w:right="104"/>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4"/>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4"/>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230"/>
        <w:jc w:val="right"/>
      </w:pPr>
      <w:r>
        <w:rPr/>
        <w:t>单位： 元</w:t>
      </w:r>
    </w:p>
    <w:p>
      <w:pPr>
        <w:spacing w:after="0" w:line="240" w:lineRule="auto"/>
        <w:jc w:val="right"/>
        <w:sectPr>
          <w:pgSz w:w="11910" w:h="16840"/>
          <w:pgMar w:header="747"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缘迪柯 信息技 术有限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①</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源迪科 信息技 术有限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源迪科 信息技 术有限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③</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泽信息 科技有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服务外 包</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1,714,0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39.37</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1"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90"/>
        <w:jc w:val="left"/>
      </w:pPr>
      <w:r>
        <w:rPr/>
        <w:t>通过设立或投资等方式取得的子公司的其他说明</w:t>
      </w:r>
    </w:p>
    <w:p>
      <w:pPr>
        <w:pStyle w:val="BodyText"/>
        <w:spacing w:line="300" w:lineRule="auto" w:before="116"/>
        <w:ind w:right="91" w:firstLine="426"/>
        <w:jc w:val="left"/>
      </w:pPr>
      <w:r>
        <w:rPr/>
        <w:t>①</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月，本公司通过收购上海天缘迪柯信息技术有限公司其他股东持有</w:t>
      </w:r>
      <w:r>
        <w:rPr>
          <w:rFonts w:ascii="Times New Roman" w:hAnsi="Times New Roman" w:cs="Times New Roman" w:eastAsia="Times New Roman" w:hint="default"/>
        </w:rPr>
        <w:t>20%</w:t>
      </w:r>
      <w:r>
        <w:rPr/>
        <w:t>股权后该公司成为本公司之全资子公 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月，本公司对该公司增资</w:t>
      </w:r>
      <w:r>
        <w:rPr>
          <w:rFonts w:ascii="Times New Roman" w:hAnsi="Times New Roman" w:cs="Times New Roman" w:eastAsia="Times New Roman" w:hint="default"/>
        </w:rPr>
        <w:t>1,200</w:t>
      </w:r>
      <w:r>
        <w:rPr/>
        <w:t>万元，增资完成后该公司注册资本变更为</w:t>
      </w:r>
      <w:r>
        <w:rPr>
          <w:rFonts w:ascii="Times New Roman" w:hAnsi="Times New Roman" w:cs="Times New Roman" w:eastAsia="Times New Roman" w:hint="default"/>
        </w:rPr>
        <w:t>2400</w:t>
      </w:r>
      <w:r>
        <w:rPr/>
        <w:t>万元，本公司累计出资</w:t>
      </w:r>
      <w:r>
        <w:rPr>
          <w:rFonts w:ascii="Times New Roman" w:hAnsi="Times New Roman" w:cs="Times New Roman" w:eastAsia="Times New Roman" w:hint="default"/>
        </w:rPr>
        <w:t>2,400</w:t>
      </w:r>
      <w:r>
        <w:rPr/>
        <w:t>万元， 占注册资本</w:t>
      </w:r>
      <w:r>
        <w:rPr>
          <w:rFonts w:ascii="Times New Roman" w:hAnsi="Times New Roman" w:cs="Times New Roman" w:eastAsia="Times New Roman" w:hint="default"/>
        </w:rPr>
        <w:t>100%</w:t>
      </w:r>
      <w:r>
        <w:rPr/>
        <w:t>。</w:t>
      </w:r>
    </w:p>
    <w:p>
      <w:pPr>
        <w:pStyle w:val="BodyText"/>
        <w:spacing w:line="316" w:lineRule="auto" w:before="13"/>
        <w:ind w:left="154" w:right="90" w:firstLine="426"/>
        <w:jc w:val="left"/>
      </w:pPr>
      <w:r>
        <w:rPr/>
        <w:t>公司经营范围：计算机软件、硬件产品的生产和销售（除计算机信息系统安全专用产品）；计算机和网络系统设计， </w:t>
      </w:r>
      <w:r>
        <w:rPr>
          <w:spacing w:val="-2"/>
        </w:rPr>
        <w:t>软件开发，系统集成；信息系统技术咨询和技术服务，电子商务（除增值电信、金融业务）【企业经营涉及行政许可的，凭</w:t>
      </w:r>
    </w:p>
    <w:p>
      <w:pPr>
        <w:spacing w:after="0" w:line="316" w:lineRule="auto"/>
        <w:jc w:val="left"/>
        <w:sectPr>
          <w:footerReference w:type="default" r:id="rId23"/>
          <w:pgSz w:w="11910" w:h="16840"/>
          <w:pgMar w:footer="982" w:header="747" w:top="1060" w:bottom="1180" w:left="980" w:right="940"/>
          <w:pgNumType w:start="113"/>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许可证件经营】。</w:t>
      </w:r>
    </w:p>
    <w:p>
      <w:pPr>
        <w:pStyle w:val="BodyText"/>
        <w:spacing w:line="300" w:lineRule="auto" w:before="76"/>
        <w:ind w:right="0" w:firstLine="426"/>
        <w:jc w:val="left"/>
      </w:pPr>
      <w:r>
        <w:rPr/>
        <w:t>②合肥天源迪科信息技术有限公司于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月成立，取得合肥市工商行政管理局颁发的注册号为</w:t>
      </w:r>
      <w:r>
        <w:rPr>
          <w:rFonts w:ascii="Times New Roman" w:hAnsi="Times New Roman" w:cs="Times New Roman" w:eastAsia="Times New Roman" w:hint="default"/>
        </w:rPr>
        <w:t>340106000042474 </w:t>
      </w:r>
      <w:r>
        <w:rPr/>
        <w:t>企业法人营业执照，注册资本人民币</w:t>
      </w:r>
      <w:r>
        <w:rPr>
          <w:rFonts w:ascii="Times New Roman" w:hAnsi="Times New Roman" w:cs="Times New Roman" w:eastAsia="Times New Roman" w:hint="default"/>
        </w:rPr>
        <w:t>12,000</w:t>
      </w:r>
      <w:r>
        <w:rPr/>
        <w:t>万元，本公司实际出资人民币</w:t>
      </w:r>
      <w:r>
        <w:rPr>
          <w:rFonts w:ascii="Times New Roman" w:hAnsi="Times New Roman" w:cs="Times New Roman" w:eastAsia="Times New Roman" w:hint="default"/>
        </w:rPr>
        <w:t>12,000</w:t>
      </w:r>
      <w:r>
        <w:rPr/>
        <w:t>万元，占注册资本</w:t>
      </w:r>
      <w:r>
        <w:rPr>
          <w:rFonts w:ascii="Times New Roman" w:hAnsi="Times New Roman" w:cs="Times New Roman" w:eastAsia="Times New Roman" w:hint="default"/>
        </w:rPr>
        <w:t>100%</w:t>
      </w:r>
      <w:r>
        <w:rPr/>
        <w:t>。</w:t>
      </w:r>
    </w:p>
    <w:p>
      <w:pPr>
        <w:pStyle w:val="BodyText"/>
        <w:spacing w:line="316" w:lineRule="auto" w:before="13"/>
        <w:ind w:right="0" w:firstLine="426"/>
        <w:jc w:val="left"/>
      </w:pPr>
      <w:r>
        <w:rPr/>
        <w:t>公司经营范围：计算机软、硬件产品的生产和销售及售后服务；计算机和网络系统设计、软件开发、系统集成；信息 系统咨询和技术服务；培训服务。</w:t>
      </w:r>
    </w:p>
    <w:p>
      <w:pPr>
        <w:pStyle w:val="BodyText"/>
        <w:spacing w:line="240" w:lineRule="auto" w:before="19"/>
        <w:ind w:left="579" w:right="0"/>
        <w:jc w:val="left"/>
      </w:pPr>
      <w:r>
        <w:rPr>
          <w:spacing w:val="17"/>
        </w:rPr>
        <w:t>③北京天源迪科信息技术有限公司于</w:t>
      </w:r>
      <w:r>
        <w:rPr>
          <w:spacing w:val="-6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14"/>
        </w:rPr>
        <w:t>月成立，</w:t>
      </w:r>
      <w:r>
        <w:rPr>
          <w:spacing w:val="-67"/>
        </w:rPr>
        <w:t> </w:t>
      </w:r>
      <w:r>
        <w:rPr>
          <w:spacing w:val="17"/>
        </w:rPr>
        <w:t>取得北京市工商行政管理局海淀分局颁发的注册号为</w:t>
      </w:r>
    </w:p>
    <w:p>
      <w:pPr>
        <w:pStyle w:val="BodyText"/>
        <w:spacing w:line="300" w:lineRule="auto" w:before="63"/>
        <w:ind w:left="579" w:right="351" w:hanging="426"/>
        <w:jc w:val="left"/>
      </w:pPr>
      <w:r>
        <w:rPr>
          <w:rFonts w:ascii="Times New Roman" w:hAnsi="Times New Roman" w:cs="Times New Roman" w:eastAsia="Times New Roman" w:hint="default"/>
        </w:rPr>
        <w:t>110108013649906</w:t>
      </w:r>
      <w:r>
        <w:rPr/>
        <w:t>企业法人营业执照，注册资本人民币</w:t>
      </w:r>
      <w:r>
        <w:rPr>
          <w:rFonts w:ascii="Times New Roman" w:hAnsi="Times New Roman" w:cs="Times New Roman" w:eastAsia="Times New Roman" w:hint="default"/>
        </w:rPr>
        <w:t>2,000</w:t>
      </w:r>
      <w:r>
        <w:rPr/>
        <w:t>万元，本公司实际出资人民币</w:t>
      </w:r>
      <w:r>
        <w:rPr>
          <w:rFonts w:ascii="Times New Roman" w:hAnsi="Times New Roman" w:cs="Times New Roman" w:eastAsia="Times New Roman" w:hint="default"/>
        </w:rPr>
        <w:t>2,000</w:t>
      </w:r>
      <w:r>
        <w:rPr/>
        <w:t>万元，占注册资本</w:t>
      </w:r>
      <w:r>
        <w:rPr>
          <w:rFonts w:ascii="Times New Roman" w:hAnsi="Times New Roman" w:cs="Times New Roman" w:eastAsia="Times New Roman" w:hint="default"/>
        </w:rPr>
        <w:t>100%</w:t>
      </w:r>
      <w:r>
        <w:rPr/>
        <w:t>。 公司经营范围：计算机软硬件产品的研发；技术咨询、技术服务；销售自主研发的产品；计算机系统集成。</w:t>
      </w:r>
    </w:p>
    <w:p>
      <w:pPr>
        <w:pStyle w:val="BodyText"/>
        <w:spacing w:line="300" w:lineRule="auto" w:before="31"/>
        <w:ind w:right="137" w:firstLine="426"/>
        <w:jc w:val="left"/>
      </w:pPr>
      <w:r>
        <w:rPr>
          <w:spacing w:val="-1"/>
        </w:rPr>
        <w:t>④合肥英泽信息技术有限公司于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月成立，取得合肥市工商行政管理局颁发的注册号为</w:t>
      </w:r>
      <w:r>
        <w:rPr>
          <w:rFonts w:ascii="Times New Roman" w:hAnsi="Times New Roman" w:cs="Times New Roman" w:eastAsia="Times New Roman" w:hint="default"/>
          <w:spacing w:val="-1"/>
        </w:rPr>
        <w:t>340191000015530</w:t>
      </w:r>
      <w:r>
        <w:rPr>
          <w:spacing w:val="-1"/>
        </w:rPr>
        <w:t>企业法</w:t>
      </w:r>
      <w:r>
        <w:rPr/>
        <w:t> 人营业执照，注册资本人民币</w:t>
      </w:r>
      <w:r>
        <w:rPr>
          <w:rFonts w:ascii="Times New Roman" w:hAnsi="Times New Roman" w:cs="Times New Roman" w:eastAsia="Times New Roman" w:hint="default"/>
        </w:rPr>
        <w:t>3,000</w:t>
      </w:r>
      <w:r>
        <w:rPr/>
        <w:t>万元，实收资本</w:t>
      </w:r>
      <w:r>
        <w:rPr>
          <w:rFonts w:ascii="Times New Roman" w:hAnsi="Times New Roman" w:cs="Times New Roman" w:eastAsia="Times New Roman" w:hint="default"/>
        </w:rPr>
        <w:t>1,000</w:t>
      </w:r>
      <w:r>
        <w:rPr/>
        <w:t>万元，本公司实际出资人民币</w:t>
      </w:r>
      <w:r>
        <w:rPr>
          <w:rFonts w:ascii="Times New Roman" w:hAnsi="Times New Roman" w:cs="Times New Roman" w:eastAsia="Times New Roman" w:hint="default"/>
        </w:rPr>
        <w:t>800</w:t>
      </w:r>
      <w:r>
        <w:rPr/>
        <w:t>万元，占注册资本</w:t>
      </w:r>
      <w:r>
        <w:rPr>
          <w:rFonts w:ascii="Times New Roman" w:hAnsi="Times New Roman" w:cs="Times New Roman" w:eastAsia="Times New Roman" w:hint="default"/>
        </w:rPr>
        <w:t>80%</w:t>
      </w:r>
      <w:r>
        <w:rPr/>
        <w:t>。</w:t>
      </w:r>
    </w:p>
    <w:p>
      <w:pPr>
        <w:pStyle w:val="BodyText"/>
        <w:spacing w:line="316" w:lineRule="auto" w:before="13"/>
        <w:ind w:right="0" w:firstLine="426"/>
        <w:jc w:val="left"/>
      </w:pPr>
      <w:r>
        <w:rPr/>
        <w:t>公司经营范围：信息技术咨询及相关方案设计制定、计算机系统集成、计算机软硬件开发及维护、软件产品工程、信 息处理及数据库技术服务、提供计算机技术服务、计算机产品开发与销售、计算机网络技术服务、计算机服务外包。</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pStyle w:val="BodyText"/>
        <w:spacing w:line="357" w:lineRule="auto" w:before="52"/>
        <w:ind w:right="5811"/>
        <w:jc w:val="left"/>
      </w:pPr>
      <w:r>
        <w:rPr/>
        <w:t>通过同一控制下企业合并取得的子公司的其他说明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026"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5" w:right="65"/>
              <w:jc w:val="both"/>
              <w:rPr>
                <w:rFonts w:ascii="宋体" w:hAnsi="宋体" w:cs="宋体" w:eastAsia="宋体" w:hint="default"/>
                <w:sz w:val="18"/>
                <w:szCs w:val="18"/>
              </w:rPr>
            </w:pPr>
            <w:r>
              <w:rPr>
                <w:rFonts w:ascii="宋体" w:hAnsi="宋体" w:cs="宋体" w:eastAsia="宋体" w:hint="default"/>
                <w:sz w:val="18"/>
                <w:szCs w:val="18"/>
              </w:rPr>
              <w:t>实质上 构成对 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51"/>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6" w:right="65"/>
              <w:jc w:val="both"/>
              <w:rPr>
                <w:rFonts w:ascii="宋体" w:hAnsi="宋体" w:cs="宋体" w:eastAsia="宋体" w:hint="default"/>
                <w:sz w:val="18"/>
                <w:szCs w:val="18"/>
              </w:rPr>
            </w:pPr>
            <w:r>
              <w:rPr>
                <w:rFonts w:ascii="宋体" w:hAnsi="宋体" w:cs="宋体" w:eastAsia="宋体" w:hint="default"/>
                <w:sz w:val="18"/>
                <w:szCs w:val="18"/>
              </w:rPr>
              <w:t>从母公 司所有 者权益</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冲减少</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r>
        <w:trPr>
          <w:trHeight w:val="311"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易杰数 码科技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电信增 值业务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①</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星信息 科技有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2,467,0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22.95</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金华威 数码科 技有限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华为设 备代理</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③</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14,149,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145.41</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途信息 科技有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电信增 值业务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5,610,0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5,610,0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1,348,7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35.65</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4"/>
        <w:jc w:val="left"/>
      </w:pPr>
      <w:r>
        <w:rPr/>
        <w:t>通过非同一控制下企业合并取得的子公司的其他说明</w:t>
      </w:r>
    </w:p>
    <w:p>
      <w:pPr>
        <w:pStyle w:val="Heading4"/>
        <w:spacing w:line="312" w:lineRule="exact" w:before="97"/>
        <w:ind w:right="231" w:firstLine="480"/>
        <w:jc w:val="both"/>
      </w:pPr>
      <w:r>
        <w:rPr>
          <w:spacing w:val="-2"/>
        </w:rPr>
        <w:t>①广州市易杰数码科技有限公司：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月，本公司受让原股东梁强昭持有的广州市易</w:t>
      </w:r>
      <w:r>
        <w:rPr/>
        <w:t> 杰数码科技有限公司</w:t>
      </w:r>
      <w:r>
        <w:rPr>
          <w:rFonts w:ascii="Times New Roman" w:hAnsi="Times New Roman" w:cs="Times New Roman" w:eastAsia="Times New Roman" w:hint="default"/>
        </w:rPr>
        <w:t>30%</w:t>
      </w:r>
      <w:r>
        <w:rPr/>
        <w:t>股权，本次受让完成后合计持有广州市易杰数码科技有限公司</w:t>
      </w:r>
      <w:r>
        <w:rPr>
          <w:rFonts w:ascii="Times New Roman" w:hAnsi="Times New Roman" w:cs="Times New Roman" w:eastAsia="Times New Roman" w:hint="default"/>
        </w:rPr>
        <w:t>100% </w:t>
      </w:r>
      <w:r>
        <w:rPr/>
        <w:t>的股权。</w:t>
      </w:r>
    </w:p>
    <w:p>
      <w:pPr>
        <w:pStyle w:val="Heading4"/>
        <w:spacing w:line="312" w:lineRule="exact"/>
        <w:ind w:right="111" w:firstLine="480"/>
        <w:jc w:val="both"/>
      </w:pPr>
      <w:r>
        <w:rPr/>
        <w:t>公司经营范围：计算机网络、计算机软硬件产品、电子通信产品的开发、咨询和技术服</w:t>
      </w:r>
      <w:r>
        <w:rPr>
          <w:spacing w:val="1"/>
        </w:rPr>
        <w:t> </w:t>
      </w:r>
      <w:r>
        <w:rPr/>
        <w:t>务；销售：计算机软硬件、电子通信产品、家用电器、文化办公设备（国家专营专控商品除</w:t>
      </w:r>
      <w:r>
        <w:rPr>
          <w:spacing w:val="-83"/>
        </w:rPr>
        <w:t> </w:t>
      </w:r>
      <w:r>
        <w:rPr>
          <w:spacing w:val="-83"/>
        </w:rPr>
      </w:r>
      <w:r>
        <w:rPr>
          <w:spacing w:val="-3"/>
        </w:rPr>
        <w:t>外）；第二类增值电信业务中的信息服务业务（不含固定网电话信息服务和互联网信息服务）</w:t>
      </w:r>
    </w:p>
    <w:p>
      <w:pPr>
        <w:pStyle w:val="Heading4"/>
        <w:spacing w:line="291" w:lineRule="exact"/>
        <w:ind w:right="104"/>
        <w:jc w:val="left"/>
      </w:pPr>
      <w:r>
        <w:rPr/>
        <w:t>（持有效许可证经营，有效期至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w:t>
      </w:r>
    </w:p>
    <w:p>
      <w:pPr>
        <w:pStyle w:val="Heading4"/>
        <w:spacing w:line="312" w:lineRule="exact" w:before="20"/>
        <w:ind w:right="231" w:firstLine="480"/>
        <w:jc w:val="both"/>
      </w:pPr>
      <w:r>
        <w:rPr>
          <w:spacing w:val="-2"/>
        </w:rPr>
        <w:t>②广州易星信息科技有限公司：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月，本公司受让陶小敏等四位股东共持有的广州</w:t>
      </w:r>
      <w:r>
        <w:rPr/>
        <w:t> 易星信息科技有限公司</w:t>
      </w:r>
      <w:r>
        <w:rPr>
          <w:rFonts w:ascii="Times New Roman" w:hAnsi="Times New Roman" w:cs="Times New Roman" w:eastAsia="Times New Roman" w:hint="default"/>
        </w:rPr>
        <w:t>6.7%</w:t>
      </w:r>
      <w:r>
        <w:rPr/>
        <w:t>股权，受让股权完成后，本公司合计持有广州易星信息科技有限</w:t>
      </w:r>
    </w:p>
    <w:p>
      <w:pPr>
        <w:spacing w:after="0" w:line="312" w:lineRule="exact"/>
        <w:jc w:val="both"/>
        <w:sectPr>
          <w:pgSz w:w="11910" w:h="16840"/>
          <w:pgMar w:header="747" w:footer="982" w:top="1060" w:bottom="1180" w:left="980" w:right="900"/>
        </w:sectPr>
      </w:pPr>
    </w:p>
    <w:p>
      <w:pPr>
        <w:spacing w:line="240" w:lineRule="auto" w:before="7"/>
        <w:rPr>
          <w:rFonts w:ascii="宋体" w:hAnsi="宋体" w:cs="宋体" w:eastAsia="宋体" w:hint="default"/>
          <w:sz w:val="23"/>
          <w:szCs w:val="23"/>
        </w:rPr>
      </w:pPr>
    </w:p>
    <w:p>
      <w:pPr>
        <w:pStyle w:val="Heading4"/>
        <w:spacing w:line="312" w:lineRule="exact" w:before="56"/>
        <w:ind w:left="634" w:right="250" w:hanging="480"/>
        <w:jc w:val="left"/>
      </w:pPr>
      <w:r>
        <w:rPr/>
        <w:t>公司</w:t>
      </w:r>
      <w:r>
        <w:rPr>
          <w:rFonts w:ascii="Times New Roman" w:hAnsi="Times New Roman" w:cs="Times New Roman" w:eastAsia="Times New Roman" w:hint="default"/>
        </w:rPr>
        <w:t>57.7%</w:t>
      </w:r>
      <w:r>
        <w:rPr/>
        <w:t>的股权。 公司经营范围：计算机软件开发、系统集成及信息服务。电子设备的研究开发和销售。</w:t>
      </w:r>
    </w:p>
    <w:p>
      <w:pPr>
        <w:pStyle w:val="Heading4"/>
        <w:spacing w:line="312" w:lineRule="exact"/>
        <w:ind w:left="154" w:right="214" w:firstLine="480"/>
        <w:jc w:val="both"/>
      </w:pPr>
      <w:r>
        <w:rPr>
          <w:spacing w:val="-2"/>
        </w:rPr>
        <w:t>③深圳市金华威数码科技有限公司：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月，本公司受让深圳齐普生信息科技有限公</w:t>
      </w:r>
      <w:r>
        <w:rPr/>
        <w:t> 司持有的深圳市金华威数码科技有限公司（以下简称</w:t>
      </w:r>
      <w:r>
        <w:rPr>
          <w:rFonts w:ascii="Times New Roman" w:hAnsi="Times New Roman" w:cs="Times New Roman" w:eastAsia="Times New Roman" w:hint="default"/>
        </w:rPr>
        <w:t>“</w:t>
      </w:r>
      <w:r>
        <w:rPr/>
        <w:t>金华威公司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45%</w:t>
      </w:r>
      <w:r>
        <w:rPr/>
        <w:t>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 </w:t>
      </w:r>
      <w:r>
        <w:rPr>
          <w:spacing w:val="2"/>
        </w:rPr>
        <w:t>本公司受让王磊持有的金华威公司</w:t>
      </w:r>
      <w:r>
        <w:rPr>
          <w:rFonts w:ascii="Times New Roman" w:hAnsi="Times New Roman" w:cs="Times New Roman" w:eastAsia="Times New Roman" w:hint="default"/>
          <w:spacing w:val="2"/>
        </w:rPr>
        <w:t>10%</w:t>
      </w:r>
      <w:r>
        <w:rPr>
          <w:spacing w:val="2"/>
        </w:rPr>
        <w:t>股权，本次受让完成后合计持有金华威公司</w:t>
      </w:r>
      <w:r>
        <w:rPr>
          <w:rFonts w:ascii="Times New Roman" w:hAnsi="Times New Roman" w:cs="Times New Roman" w:eastAsia="Times New Roman" w:hint="default"/>
          <w:spacing w:val="2"/>
        </w:rPr>
        <w:t>55%</w:t>
      </w:r>
      <w:r>
        <w:rPr>
          <w:spacing w:val="2"/>
        </w:rPr>
        <w:t>的股</w:t>
      </w:r>
      <w:r>
        <w:rPr>
          <w:spacing w:val="-87"/>
        </w:rPr>
        <w:t> </w:t>
      </w:r>
      <w:r>
        <w:rPr/>
        <w:t>权，并取得实际控制，本期纳入合并范围。</w:t>
      </w:r>
    </w:p>
    <w:p>
      <w:pPr>
        <w:pStyle w:val="Heading4"/>
        <w:spacing w:line="312" w:lineRule="exact"/>
        <w:ind w:left="154" w:right="228" w:firstLine="480"/>
        <w:jc w:val="both"/>
      </w:pPr>
      <w:r>
        <w:rPr/>
        <w:t>公司经营范围：计算机软硬件产品、楼宇智能化产品、通讯产品及其配套的技术开发和</w:t>
      </w:r>
      <w:r>
        <w:rPr>
          <w:spacing w:val="1"/>
        </w:rPr>
        <w:t> </w:t>
      </w:r>
      <w:r>
        <w:rPr/>
        <w:t>销售；电子产品、通讯器材、机械设备的购销及其他国内商业、物资供销业（不含专营、专</w:t>
      </w:r>
      <w:r>
        <w:rPr>
          <w:spacing w:val="-83"/>
        </w:rPr>
        <w:t> </w:t>
      </w:r>
      <w:r>
        <w:rPr>
          <w:spacing w:val="-83"/>
        </w:rPr>
      </w:r>
      <w:r>
        <w:rPr/>
        <w:t>控和专卖商品）；信息咨询（不含限制项目）。</w:t>
      </w:r>
    </w:p>
    <w:p>
      <w:pPr>
        <w:pStyle w:val="Heading4"/>
        <w:spacing w:line="312" w:lineRule="exact"/>
        <w:ind w:right="227" w:firstLine="480"/>
        <w:jc w:val="both"/>
      </w:pPr>
      <w:r>
        <w:rPr/>
        <w:t>④广西驿途信息科技有限公司：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月，本公司受让覃杰持有的广西驿途信息科技</w:t>
      </w:r>
      <w:r>
        <w:rPr>
          <w:spacing w:val="1"/>
        </w:rPr>
        <w:t> </w:t>
      </w:r>
      <w:r>
        <w:rPr/>
        <w:t>有限公司（以下简称</w:t>
      </w:r>
      <w:r>
        <w:rPr>
          <w:rFonts w:ascii="Times New Roman" w:hAnsi="Times New Roman" w:cs="Times New Roman" w:eastAsia="Times New Roman" w:hint="default"/>
        </w:rPr>
        <w:t>“</w:t>
      </w:r>
      <w:r>
        <w:rPr/>
        <w:t>驿途公司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45.02%</w:t>
      </w:r>
      <w:r>
        <w:rPr/>
        <w:t>股权，并同时向驿途公司增资</w:t>
      </w:r>
      <w:r>
        <w:rPr>
          <w:rFonts w:ascii="Times New Roman" w:hAnsi="Times New Roman" w:cs="Times New Roman" w:eastAsia="Times New Roman" w:hint="default"/>
        </w:rPr>
        <w:t>61</w:t>
      </w:r>
      <w:r>
        <w:rPr/>
        <w:t>万元，受让股权及</w:t>
      </w:r>
      <w:r>
        <w:rPr>
          <w:spacing w:val="-82"/>
        </w:rPr>
        <w:t> </w:t>
      </w:r>
      <w:r>
        <w:rPr/>
        <w:t>增资完成后，本公司合计持有驿途公司</w:t>
      </w:r>
      <w:r>
        <w:rPr>
          <w:rFonts w:ascii="Times New Roman" w:hAnsi="Times New Roman" w:cs="Times New Roman" w:eastAsia="Times New Roman" w:hint="default"/>
        </w:rPr>
        <w:t>51%</w:t>
      </w:r>
      <w:r>
        <w:rPr/>
        <w:t>的股权。</w:t>
      </w:r>
    </w:p>
    <w:p>
      <w:pPr>
        <w:pStyle w:val="Heading4"/>
        <w:spacing w:line="312" w:lineRule="exact"/>
        <w:ind w:right="104" w:firstLine="480"/>
        <w:jc w:val="left"/>
      </w:pPr>
      <w:r>
        <w:rPr>
          <w:spacing w:val="-3"/>
        </w:rPr>
        <w:t>公司经营范围：计算机及网络技术专业领域内、电子科技领域内的技术开发、技术咨询、</w:t>
      </w:r>
      <w:r>
        <w:rPr/>
        <w:t> 技术服务、技术转让；安防技术开发；计算机及配件、通信设备、通信产品、电子产品的购</w:t>
      </w:r>
      <w:r>
        <w:rPr>
          <w:spacing w:val="-83"/>
        </w:rPr>
        <w:t> </w:t>
      </w:r>
      <w:r>
        <w:rPr>
          <w:spacing w:val="-83"/>
        </w:rPr>
      </w:r>
      <w:r>
        <w:rPr/>
        <w:t>销代理；计算机信息系统集成（凭资质证经营）；在线数据处理与交易处理业务，信息服务</w:t>
      </w:r>
      <w:r>
        <w:rPr>
          <w:spacing w:val="-83"/>
        </w:rPr>
        <w:t> </w:t>
      </w:r>
      <w:r>
        <w:rPr>
          <w:spacing w:val="-83"/>
        </w:rPr>
      </w:r>
      <w:r>
        <w:rPr/>
        <w:t>业务（不含电话信息服务</w:t>
      </w:r>
      <w:r>
        <w:rPr>
          <w:rFonts w:ascii="Times New Roman" w:hAnsi="Times New Roman" w:cs="Times New Roman" w:eastAsia="Times New Roman" w:hint="default"/>
        </w:rPr>
        <w:t>/ICP</w:t>
      </w:r>
      <w:r>
        <w:rPr/>
        <w:t>）（凭许可证经营，有效期至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w:t>
      </w:r>
    </w:p>
    <w:p>
      <w:pPr>
        <w:spacing w:line="240" w:lineRule="auto" w:before="7"/>
        <w:rPr>
          <w:rFonts w:ascii="宋体" w:hAnsi="宋体" w:cs="宋体" w:eastAsia="宋体" w:hint="default"/>
          <w:sz w:val="22"/>
          <w:szCs w:val="22"/>
        </w:rPr>
      </w:pPr>
    </w:p>
    <w:p>
      <w:pPr>
        <w:pStyle w:val="Heading5"/>
        <w:spacing w:line="240" w:lineRule="auto"/>
        <w:ind w:right="104"/>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2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357" w:lineRule="auto" w:before="52"/>
        <w:ind w:right="3731"/>
        <w:jc w:val="left"/>
      </w:pPr>
      <w:r>
        <w:rPr/>
        <w:t>特殊目的主体或通过受托经营或承租等方式形成控制权的经营实体的其他说明 无</w:t>
      </w:r>
    </w:p>
    <w:p>
      <w:pPr>
        <w:spacing w:line="240" w:lineRule="auto" w:before="2"/>
        <w:rPr>
          <w:rFonts w:ascii="宋体" w:hAnsi="宋体" w:cs="宋体" w:eastAsia="宋体" w:hint="default"/>
          <w:sz w:val="20"/>
          <w:szCs w:val="20"/>
        </w:rPr>
      </w:pPr>
    </w:p>
    <w:p>
      <w:pPr>
        <w:pStyle w:val="Heading5"/>
        <w:spacing w:line="240" w:lineRule="auto"/>
        <w:ind w:right="104"/>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104"/>
        <w:jc w:val="left"/>
      </w:pPr>
      <w:r>
        <w:rPr/>
        <w:t>合并报表范围发生变更说明</w:t>
      </w:r>
    </w:p>
    <w:p>
      <w:pPr>
        <w:pStyle w:val="Heading3"/>
        <w:spacing w:line="240" w:lineRule="auto" w:before="66"/>
        <w:ind w:left="561" w:right="104"/>
        <w:jc w:val="left"/>
        <w:rPr>
          <w:b w:val="0"/>
          <w:bCs w:val="0"/>
        </w:rPr>
      </w:pPr>
      <w:r>
        <w:rPr/>
        <w:t>报告期发生的非同一控制下企业合并</w:t>
      </w:r>
      <w:r>
        <w:rPr>
          <w:b w:val="0"/>
          <w:bCs w:val="0"/>
        </w:rPr>
      </w:r>
    </w:p>
    <w:p>
      <w:pPr>
        <w:spacing w:line="240" w:lineRule="auto" w:before="11"/>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2381"/>
        <w:gridCol w:w="1547"/>
        <w:gridCol w:w="3142"/>
        <w:gridCol w:w="2144"/>
      </w:tblGrid>
      <w:tr>
        <w:trPr>
          <w:trHeight w:val="355" w:hRule="exact"/>
        </w:trPr>
        <w:tc>
          <w:tcPr>
            <w:tcW w:w="238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63" w:right="0"/>
              <w:jc w:val="left"/>
              <w:rPr>
                <w:rFonts w:ascii="宋体" w:hAnsi="宋体" w:cs="宋体" w:eastAsia="宋体" w:hint="default"/>
                <w:sz w:val="21"/>
                <w:szCs w:val="21"/>
              </w:rPr>
            </w:pPr>
            <w:r>
              <w:rPr>
                <w:rFonts w:ascii="宋体" w:hAnsi="宋体" w:cs="宋体" w:eastAsia="宋体" w:hint="default"/>
                <w:sz w:val="21"/>
                <w:szCs w:val="21"/>
              </w:rPr>
              <w:t>被购买方</w:t>
            </w:r>
          </w:p>
        </w:tc>
        <w:tc>
          <w:tcPr>
            <w:tcW w:w="154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46" w:right="0"/>
              <w:jc w:val="left"/>
              <w:rPr>
                <w:rFonts w:ascii="宋体" w:hAnsi="宋体" w:cs="宋体" w:eastAsia="宋体" w:hint="default"/>
                <w:sz w:val="21"/>
                <w:szCs w:val="21"/>
              </w:rPr>
            </w:pPr>
            <w:r>
              <w:rPr>
                <w:rFonts w:ascii="宋体" w:hAnsi="宋体" w:cs="宋体" w:eastAsia="宋体" w:hint="default"/>
                <w:sz w:val="21"/>
                <w:szCs w:val="21"/>
              </w:rPr>
              <w:t>商誉金额</w:t>
            </w:r>
          </w:p>
        </w:tc>
        <w:tc>
          <w:tcPr>
            <w:tcW w:w="314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933" w:right="0"/>
              <w:jc w:val="left"/>
              <w:rPr>
                <w:rFonts w:ascii="宋体" w:hAnsi="宋体" w:cs="宋体" w:eastAsia="宋体" w:hint="default"/>
                <w:sz w:val="21"/>
                <w:szCs w:val="21"/>
              </w:rPr>
            </w:pPr>
            <w:r>
              <w:rPr>
                <w:rFonts w:ascii="宋体" w:hAnsi="宋体" w:cs="宋体" w:eastAsia="宋体" w:hint="default"/>
                <w:sz w:val="21"/>
                <w:szCs w:val="21"/>
              </w:rPr>
              <w:t>商誉计算方法</w:t>
            </w:r>
          </w:p>
        </w:tc>
        <w:tc>
          <w:tcPr>
            <w:tcW w:w="214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购买日</w:t>
            </w:r>
          </w:p>
        </w:tc>
      </w:tr>
      <w:tr>
        <w:trPr>
          <w:trHeight w:val="664" w:hRule="exact"/>
        </w:trPr>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深圳市金华威数码科技有</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5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2,764,044.72</w:t>
            </w:r>
          </w:p>
        </w:tc>
        <w:tc>
          <w:tcPr>
            <w:tcW w:w="3142" w:type="dxa"/>
            <w:vMerge w:val="restart"/>
            <w:tcBorders>
              <w:top w:val="single" w:sz="12" w:space="0" w:color="000000"/>
              <w:left w:val="single" w:sz="6"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合并成本减去合并中取得的被购</w:t>
            </w:r>
          </w:p>
          <w:p>
            <w:pPr>
              <w:pStyle w:val="TableParagraph"/>
              <w:spacing w:line="273"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买方于购买日可辨认净资产公允 </w:t>
            </w:r>
            <w:r>
              <w:rPr>
                <w:rFonts w:ascii="宋体" w:hAnsi="宋体" w:cs="宋体" w:eastAsia="宋体" w:hint="default"/>
                <w:spacing w:val="-2"/>
                <w:sz w:val="21"/>
                <w:szCs w:val="21"/>
              </w:rPr>
              <w:t>价值份额的差额确认为商誉，具体</w:t>
            </w:r>
            <w:r>
              <w:rPr>
                <w:rFonts w:ascii="宋体" w:hAnsi="宋体" w:cs="宋体" w:eastAsia="宋体" w:hint="default"/>
                <w:sz w:val="21"/>
                <w:szCs w:val="21"/>
              </w:rPr>
              <w:t> 计算如后附表所述。</w:t>
            </w:r>
          </w:p>
        </w:tc>
        <w:tc>
          <w:tcPr>
            <w:tcW w:w="2144"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44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w:t>
            </w:r>
          </w:p>
        </w:tc>
      </w:tr>
      <w:tr>
        <w:trPr>
          <w:trHeight w:val="665" w:hRule="exact"/>
        </w:trPr>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广西驿途信息科技有限公</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5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4,274,008.29</w:t>
            </w:r>
          </w:p>
        </w:tc>
        <w:tc>
          <w:tcPr>
            <w:tcW w:w="3142" w:type="dxa"/>
            <w:vMerge/>
            <w:tcBorders>
              <w:left w:val="single" w:sz="6" w:space="0" w:color="000000"/>
              <w:bottom w:val="single" w:sz="12" w:space="0" w:color="000000"/>
              <w:right w:val="single" w:sz="6" w:space="0" w:color="000000"/>
            </w:tcBorders>
          </w:tcPr>
          <w:p>
            <w:pPr/>
          </w:p>
        </w:tc>
        <w:tc>
          <w:tcPr>
            <w:tcW w:w="2144"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38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w:t>
            </w:r>
          </w:p>
        </w:tc>
      </w:tr>
    </w:tbl>
    <w:p>
      <w:pPr>
        <w:pStyle w:val="Heading4"/>
        <w:spacing w:line="283" w:lineRule="exact"/>
        <w:ind w:left="514" w:right="104"/>
        <w:jc w:val="left"/>
      </w:pPr>
      <w:r>
        <w:rPr/>
        <w:t>（</w:t>
      </w:r>
      <w:r>
        <w:rPr>
          <w:rFonts w:ascii="Times New Roman" w:hAnsi="Times New Roman" w:cs="Times New Roman" w:eastAsia="Times New Roman" w:hint="default"/>
        </w:rPr>
        <w:t>1</w:t>
      </w:r>
      <w:r>
        <w:rPr/>
        <w:t>）深圳市金华威数码科技有限公司</w:t>
      </w:r>
    </w:p>
    <w:p>
      <w:pPr>
        <w:pStyle w:val="Heading4"/>
        <w:spacing w:line="312" w:lineRule="exact" w:before="20"/>
        <w:ind w:right="225" w:firstLine="480"/>
        <w:jc w:val="both"/>
      </w:pPr>
      <w:r>
        <w:rPr>
          <w:spacing w:val="-2"/>
        </w:rPr>
        <w:t>本公司原持有金华威公司</w:t>
      </w:r>
      <w:r>
        <w:rPr>
          <w:rFonts w:ascii="Times New Roman" w:hAnsi="Times New Roman" w:cs="Times New Roman" w:eastAsia="Times New Roman" w:hint="default"/>
          <w:spacing w:val="-2"/>
        </w:rPr>
        <w:t>45%</w:t>
      </w:r>
      <w:r>
        <w:rPr>
          <w:spacing w:val="-2"/>
        </w:rPr>
        <w:t>的股权，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日，本公司向自然人股东王磊收购其</w:t>
      </w:r>
      <w:r>
        <w:rPr/>
        <w:t> 持有的金华威公司</w:t>
      </w:r>
      <w:r>
        <w:rPr>
          <w:rFonts w:ascii="Times New Roman" w:hAnsi="Times New Roman" w:cs="Times New Roman" w:eastAsia="Times New Roman" w:hint="default"/>
        </w:rPr>
        <w:t>10%</w:t>
      </w:r>
      <w:r>
        <w:rPr/>
        <w:t>股权。截止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日，上述两次股权转让的全部价款均已支付完</w:t>
      </w:r>
      <w:r>
        <w:rPr>
          <w:spacing w:val="-48"/>
        </w:rPr>
        <w:t> </w:t>
      </w:r>
      <w:r>
        <w:rPr/>
        <w:t>毕，股权转让的工商变更登记手续均已办理完毕，本公司合计持有金华威公司</w:t>
      </w:r>
      <w:r>
        <w:rPr>
          <w:rFonts w:ascii="Times New Roman" w:hAnsi="Times New Roman" w:cs="Times New Roman" w:eastAsia="Times New Roman" w:hint="default"/>
        </w:rPr>
        <w:t>55%</w:t>
      </w:r>
      <w:r>
        <w:rPr/>
        <w:t>股权。故</w:t>
      </w:r>
      <w:r>
        <w:rPr>
          <w:spacing w:val="-51"/>
        </w:rPr>
        <w:t> </w:t>
      </w:r>
      <w:r>
        <w:rPr/>
        <w:t>本次交易的购买日为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日，系本公司取得对金华威公司的控制权的日期。</w:t>
      </w:r>
    </w:p>
    <w:p>
      <w:pPr>
        <w:pStyle w:val="Heading4"/>
        <w:spacing w:line="282" w:lineRule="exact"/>
        <w:ind w:left="634" w:right="104"/>
        <w:jc w:val="left"/>
      </w:pPr>
      <w:r>
        <w:rPr/>
        <w:t>购买日的确定：</w:t>
      </w:r>
    </w:p>
    <w:p>
      <w:pPr>
        <w:pStyle w:val="Heading4"/>
        <w:spacing w:line="312" w:lineRule="exact" w:before="29"/>
        <w:ind w:right="228" w:firstLine="48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日，经本公司第二届董事会第十七次会议审议通过以人民币</w:t>
      </w:r>
      <w:r>
        <w:rPr>
          <w:rFonts w:ascii="Times New Roman" w:hAnsi="Times New Roman" w:cs="Times New Roman" w:eastAsia="Times New Roman" w:hint="default"/>
        </w:rPr>
        <w:t>290</w:t>
      </w:r>
      <w:r>
        <w:rPr/>
        <w:t>万元收购金</w:t>
      </w:r>
      <w:r>
        <w:rPr>
          <w:spacing w:val="2"/>
        </w:rPr>
        <w:t> </w:t>
      </w:r>
      <w:r>
        <w:rPr>
          <w:spacing w:val="-1"/>
        </w:rPr>
        <w:t>华威公司</w:t>
      </w:r>
      <w:r>
        <w:rPr>
          <w:rFonts w:ascii="Times New Roman" w:hAnsi="Times New Roman" w:cs="Times New Roman" w:eastAsia="Times New Roman" w:hint="default"/>
          <w:spacing w:val="-1"/>
        </w:rPr>
        <w:t>10%</w:t>
      </w:r>
      <w:r>
        <w:rPr>
          <w:spacing w:val="-1"/>
        </w:rPr>
        <w:t>股权。</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日，本次股权转让的工商变更登记手续已办理完毕，并取得</w:t>
      </w:r>
      <w:r>
        <w:rPr/>
        <w:t> 新的企业法人营业执照。截止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日，本次股权转让的全部价款已支付完毕，本公司</w:t>
      </w:r>
      <w:r>
        <w:rPr>
          <w:spacing w:val="-82"/>
        </w:rPr>
        <w:t> </w:t>
      </w:r>
      <w:r>
        <w:rPr/>
        <w:t>合计持有金华威公司</w:t>
      </w:r>
      <w:r>
        <w:rPr>
          <w:rFonts w:ascii="Times New Roman" w:hAnsi="Times New Roman" w:cs="Times New Roman" w:eastAsia="Times New Roman" w:hint="default"/>
        </w:rPr>
        <w:t>55%</w:t>
      </w:r>
      <w:r>
        <w:rPr/>
        <w:t>股权。基于重要性原则，本公司以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日作为购买日。</w:t>
      </w:r>
    </w:p>
    <w:p>
      <w:pPr>
        <w:spacing w:after="0" w:line="312" w:lineRule="exact"/>
        <w:jc w:val="both"/>
        <w:sectPr>
          <w:pgSz w:w="11910" w:h="16840"/>
          <w:pgMar w:header="747" w:footer="982" w:top="1060" w:bottom="1180" w:left="980" w:right="900"/>
        </w:sectPr>
      </w:pPr>
    </w:p>
    <w:p>
      <w:pPr>
        <w:spacing w:line="240" w:lineRule="auto" w:before="7"/>
        <w:rPr>
          <w:rFonts w:ascii="宋体" w:hAnsi="宋体" w:cs="宋体" w:eastAsia="宋体" w:hint="default"/>
          <w:sz w:val="23"/>
          <w:szCs w:val="23"/>
        </w:rPr>
      </w:pPr>
    </w:p>
    <w:p>
      <w:pPr>
        <w:pStyle w:val="Heading4"/>
        <w:spacing w:line="312" w:lineRule="exact" w:before="56"/>
        <w:ind w:right="0" w:firstLine="480"/>
        <w:jc w:val="left"/>
      </w:pPr>
      <w:r>
        <w:rPr/>
        <w:t>①合并成本以及商誉（或可辨认净资产公允价值份额超出合并成本计入损益的金额）的</w:t>
      </w:r>
      <w:r>
        <w:rPr>
          <w:spacing w:val="1"/>
        </w:rPr>
        <w:t> </w:t>
      </w:r>
      <w:r>
        <w:rPr/>
        <w:t>确认情况如下：</w:t>
      </w:r>
    </w:p>
    <w:tbl>
      <w:tblPr>
        <w:tblW w:w="0" w:type="auto"/>
        <w:jc w:val="left"/>
        <w:tblInd w:w="146" w:type="dxa"/>
        <w:tblLayout w:type="fixed"/>
        <w:tblCellMar>
          <w:top w:w="0" w:type="dxa"/>
          <w:left w:w="0" w:type="dxa"/>
          <w:bottom w:w="0" w:type="dxa"/>
          <w:right w:w="0" w:type="dxa"/>
        </w:tblCellMar>
        <w:tblLook w:val="01E0"/>
      </w:tblPr>
      <w:tblGrid>
        <w:gridCol w:w="7212"/>
        <w:gridCol w:w="2062"/>
      </w:tblGrid>
      <w:tr>
        <w:trPr>
          <w:trHeight w:val="355" w:hRule="exact"/>
        </w:trPr>
        <w:tc>
          <w:tcPr>
            <w:tcW w:w="721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2"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06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 w:right="0"/>
              <w:jc w:val="left"/>
              <w:rPr>
                <w:rFonts w:ascii="宋体" w:hAnsi="宋体" w:cs="宋体" w:eastAsia="宋体" w:hint="default"/>
                <w:sz w:val="21"/>
                <w:szCs w:val="21"/>
              </w:rPr>
            </w:pPr>
            <w:r>
              <w:rPr>
                <w:rFonts w:ascii="宋体" w:hAnsi="宋体" w:cs="宋体" w:eastAsia="宋体" w:hint="default"/>
                <w:sz w:val="21"/>
                <w:szCs w:val="21"/>
              </w:rPr>
              <w:t>购买日之前所持被购买方的股权投资的公允价值（账面价值：</w:t>
            </w:r>
            <w:r>
              <w:rPr>
                <w:rFonts w:ascii="Times New Roman" w:hAnsi="Times New Roman" w:cs="Times New Roman" w:eastAsia="Times New Roman" w:hint="default"/>
                <w:sz w:val="21"/>
                <w:szCs w:val="21"/>
              </w:rPr>
              <w:t>13,876,560.64</w:t>
            </w:r>
            <w:r>
              <w:rPr>
                <w:rFonts w:ascii="宋体" w:hAnsi="宋体" w:cs="宋体" w:eastAsia="宋体" w:hint="default"/>
                <w:sz w:val="21"/>
                <w:szCs w:val="21"/>
              </w:rPr>
              <w:t>元</w:t>
            </w:r>
          </w:p>
        </w:tc>
        <w:tc>
          <w:tcPr>
            <w:tcW w:w="2062" w:type="dxa"/>
            <w:tcBorders>
              <w:top w:val="single" w:sz="12" w:space="0" w:color="000000"/>
              <w:left w:val="single" w:sz="6" w:space="0" w:color="000000"/>
              <w:bottom w:val="single" w:sz="12" w:space="0" w:color="000000"/>
              <w:right w:val="nil" w:sz="6" w:space="0" w:color="auto"/>
            </w:tcBorders>
          </w:tcPr>
          <w:p>
            <w:pPr>
              <w:pStyle w:val="TableParagraph"/>
              <w:tabs>
                <w:tab w:pos="837" w:val="left" w:leader="none"/>
              </w:tabs>
              <w:spacing w:line="276" w:lineRule="exact"/>
              <w:ind w:left="-122" w:right="6"/>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13,876,560.64</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购买日新增的投资成本</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2,900,000.00</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其中：支付的现金</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2,900,000.00</w:t>
            </w:r>
          </w:p>
        </w:tc>
      </w:tr>
      <w:tr>
        <w:trPr>
          <w:trHeight w:val="353"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98" w:right="0"/>
              <w:jc w:val="left"/>
              <w:rPr>
                <w:rFonts w:ascii="宋体" w:hAnsi="宋体" w:cs="宋体" w:eastAsia="宋体" w:hint="default"/>
                <w:sz w:val="21"/>
                <w:szCs w:val="21"/>
              </w:rPr>
            </w:pPr>
            <w:r>
              <w:rPr>
                <w:rFonts w:ascii="宋体" w:hAnsi="宋体" w:cs="宋体" w:eastAsia="宋体" w:hint="default"/>
                <w:sz w:val="21"/>
                <w:szCs w:val="21"/>
              </w:rPr>
              <w:t>转移非现金资产的公允价值</w:t>
            </w:r>
          </w:p>
        </w:tc>
        <w:tc>
          <w:tcPr>
            <w:tcW w:w="206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98" w:right="0"/>
              <w:jc w:val="left"/>
              <w:rPr>
                <w:rFonts w:ascii="宋体" w:hAnsi="宋体" w:cs="宋体" w:eastAsia="宋体" w:hint="default"/>
                <w:sz w:val="21"/>
                <w:szCs w:val="21"/>
              </w:rPr>
            </w:pPr>
            <w:r>
              <w:rPr>
                <w:rFonts w:ascii="宋体" w:hAnsi="宋体" w:cs="宋体" w:eastAsia="宋体" w:hint="default"/>
                <w:sz w:val="21"/>
                <w:szCs w:val="21"/>
              </w:rPr>
              <w:t>发生或承担负债的公允价值</w:t>
            </w:r>
          </w:p>
        </w:tc>
        <w:tc>
          <w:tcPr>
            <w:tcW w:w="206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98" w:right="0"/>
              <w:jc w:val="left"/>
              <w:rPr>
                <w:rFonts w:ascii="宋体" w:hAnsi="宋体" w:cs="宋体" w:eastAsia="宋体" w:hint="default"/>
                <w:sz w:val="21"/>
                <w:szCs w:val="21"/>
              </w:rPr>
            </w:pPr>
            <w:r>
              <w:rPr>
                <w:rFonts w:ascii="宋体" w:hAnsi="宋体" w:cs="宋体" w:eastAsia="宋体" w:hint="default"/>
                <w:sz w:val="21"/>
                <w:szCs w:val="21"/>
              </w:rPr>
              <w:t>发行权益性证券的公允价值</w:t>
            </w:r>
          </w:p>
        </w:tc>
        <w:tc>
          <w:tcPr>
            <w:tcW w:w="206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16,776,560.64</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减：取得的可辨认净资产的公允价值</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14,012,515.92</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商誉（或可辨认净资产公允价值份额超出合并成本计入损益的金额）</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b/>
                <w:spacing w:val="-1"/>
                <w:sz w:val="21"/>
              </w:rPr>
              <w:t>2,764,044.72</w:t>
            </w:r>
            <w:r>
              <w:rPr>
                <w:rFonts w:ascii="Times New Roman"/>
                <w:spacing w:val="-1"/>
                <w:sz w:val="21"/>
              </w:rPr>
            </w:r>
          </w:p>
        </w:tc>
      </w:tr>
    </w:tbl>
    <w:p>
      <w:pPr>
        <w:spacing w:line="240" w:lineRule="auto" w:before="7"/>
        <w:rPr>
          <w:rFonts w:ascii="宋体" w:hAnsi="宋体" w:cs="宋体" w:eastAsia="宋体" w:hint="default"/>
          <w:sz w:val="19"/>
          <w:szCs w:val="19"/>
        </w:rPr>
      </w:pPr>
    </w:p>
    <w:p>
      <w:pPr>
        <w:pStyle w:val="Heading4"/>
        <w:spacing w:line="240" w:lineRule="auto" w:before="26"/>
        <w:ind w:left="634" w:right="0"/>
        <w:jc w:val="left"/>
      </w:pPr>
      <w:r>
        <w:rPr/>
        <w:t>②金华威公司于购买日的资产、负债及与收购相关的现金流量情况列示如下：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784"/>
        <w:gridCol w:w="1876"/>
        <w:gridCol w:w="2248"/>
        <w:gridCol w:w="2306"/>
      </w:tblGrid>
      <w:tr>
        <w:trPr>
          <w:trHeight w:val="356" w:hRule="exact"/>
        </w:trPr>
        <w:tc>
          <w:tcPr>
            <w:tcW w:w="278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9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24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2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230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410" w:right="0"/>
              <w:jc w:val="left"/>
              <w:rPr>
                <w:rFonts w:ascii="宋体" w:hAnsi="宋体" w:cs="宋体" w:eastAsia="宋体" w:hint="default"/>
                <w:sz w:val="21"/>
                <w:szCs w:val="21"/>
              </w:rPr>
            </w:pPr>
            <w:r>
              <w:rPr>
                <w:rFonts w:ascii="宋体" w:hAnsi="宋体" w:cs="宋体" w:eastAsia="宋体" w:hint="default"/>
                <w:sz w:val="21"/>
                <w:szCs w:val="21"/>
              </w:rPr>
              <w:t>上年末账面价值</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2,465,119.10</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2,465,119.10</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2,875,234.90</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43,205,575.96</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43,205,575.96</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33,354,796.72</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36,991,760.62</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36,991,760.62</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44,612,744.77</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339,374.16</w:t>
            </w:r>
            <w:r>
              <w:rPr>
                <w:rFonts w:ascii="Times New Roman"/>
                <w:sz w:val="21"/>
              </w:rPr>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339,374.16</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375,033.21</w:t>
            </w:r>
            <w:r>
              <w:rPr>
                <w:rFonts w:ascii="Times New Roman"/>
                <w:sz w:val="21"/>
              </w:rPr>
            </w: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32,763.52</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32,763.52</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37,132.00</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23,170.08</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23,170.08</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23,170.08</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减：借款</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35,000,000.00</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35,000,000.00</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40,000,000.00</w:t>
            </w: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22,212,500.51</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22,212,500.51</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16,000,833.58</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367,961.25</w:t>
            </w:r>
            <w:r>
              <w:rPr>
                <w:rFonts w:ascii="Times New Roman"/>
                <w:sz w:val="21"/>
              </w:rPr>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367,961.25</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391,010.92</w:t>
            </w:r>
            <w:r>
              <w:rPr>
                <w:rFonts w:ascii="Times New Roman"/>
                <w:sz w:val="21"/>
              </w:rPr>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25,477,301.68</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25,477,301.68</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24,886,267.18</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11,464,785.76</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11,464,785.76</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13,687,446.95</w:t>
            </w: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14,012,515.92</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14,012,515.92</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11,198,820.23</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以现金支付的对价</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2,900,000.00</w:t>
            </w: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08" w:right="0"/>
              <w:jc w:val="left"/>
              <w:rPr>
                <w:rFonts w:ascii="宋体" w:hAnsi="宋体" w:cs="宋体" w:eastAsia="宋体" w:hint="default"/>
                <w:sz w:val="21"/>
                <w:szCs w:val="21"/>
              </w:rPr>
            </w:pPr>
            <w:r>
              <w:rPr>
                <w:rFonts w:ascii="宋体" w:hAnsi="宋体" w:cs="宋体" w:eastAsia="宋体" w:hint="default"/>
                <w:spacing w:val="-5"/>
                <w:sz w:val="21"/>
                <w:szCs w:val="21"/>
              </w:rPr>
              <w:t>减：取得的被收购子公司</w:t>
            </w:r>
          </w:p>
          <w:p>
            <w:pPr>
              <w:pStyle w:val="TableParagraph"/>
              <w:spacing w:line="240" w:lineRule="auto" w:before="37"/>
              <w:ind w:left="508" w:right="0"/>
              <w:jc w:val="left"/>
              <w:rPr>
                <w:rFonts w:ascii="宋体" w:hAnsi="宋体" w:cs="宋体" w:eastAsia="宋体" w:hint="default"/>
                <w:sz w:val="21"/>
                <w:szCs w:val="21"/>
              </w:rPr>
            </w:pPr>
            <w:r>
              <w:rPr>
                <w:rFonts w:ascii="宋体" w:hAnsi="宋体" w:cs="宋体" w:eastAsia="宋体" w:hint="default"/>
                <w:sz w:val="21"/>
                <w:szCs w:val="21"/>
              </w:rPr>
              <w:t>的现金及现金等价物</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2,465,119.10</w:t>
            </w: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434,880.90</w:t>
            </w:r>
            <w:r>
              <w:rPr>
                <w:rFonts w:ascii="Times New Roman"/>
                <w:sz w:val="21"/>
              </w:rPr>
            </w: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bl>
    <w:p>
      <w:pPr>
        <w:pStyle w:val="Heading4"/>
        <w:spacing w:line="275" w:lineRule="exact"/>
        <w:ind w:left="634" w:right="0"/>
        <w:jc w:val="left"/>
      </w:pPr>
      <w:r>
        <w:rPr/>
        <w:t>③金华威公司自购买日至当年末止期间的收入、净利润和现金流量列示</w:t>
      </w:r>
    </w:p>
    <w:p>
      <w:pPr>
        <w:spacing w:line="240" w:lineRule="auto" w:before="4"/>
        <w:rPr>
          <w:rFonts w:ascii="宋体" w:hAnsi="宋体" w:cs="宋体" w:eastAsia="宋体" w:hint="default"/>
          <w:sz w:val="2"/>
          <w:szCs w:val="2"/>
        </w:rPr>
      </w:pPr>
    </w:p>
    <w:p>
      <w:pPr>
        <w:spacing w:line="384" w:lineRule="exact"/>
        <w:ind w:left="13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2.55pt;height:19.2pt;mso-position-horizontal-relative:char;mso-position-vertical-relative:line" coordorigin="0,0" coordsize="9251,384">
            <v:group style="position:absolute;left:15;top:14;width:6324;height:2" coordorigin="15,14" coordsize="6324,2">
              <v:shape style="position:absolute;left:15;top:14;width:6324;height:2" coordorigin="15,14" coordsize="6324,0" path="m15,14l6339,14e" filled="false" stroked="true" strokeweight=".72pt" strokecolor="#000000">
                <v:path arrowok="t"/>
              </v:shape>
            </v:group>
            <v:group style="position:absolute;left:6353;top:14;width:2883;height:2" coordorigin="6353,14" coordsize="2883,2">
              <v:shape style="position:absolute;left:6353;top:14;width:2883;height:2" coordorigin="6353,14" coordsize="2883,0" path="m6353,14l9236,14e" filled="false" stroked="true" strokeweight=".72pt" strokecolor="#000000">
                <v:path arrowok="t"/>
              </v:shape>
            </v:group>
            <v:group style="position:absolute;left:22;top:7;width:2;height:347" coordorigin="22,7" coordsize="2,347">
              <v:shape style="position:absolute;left:22;top:7;width:2;height:347" coordorigin="22,7" coordsize="0,347" path="m22,7l22,354e" filled="false" stroked="true" strokeweight=".72pt" strokecolor="#000000">
                <v:path arrowok="t"/>
              </v:shape>
            </v:group>
            <v:group style="position:absolute;left:15;top:369;width:6324;height:2" coordorigin="15,369" coordsize="6324,2">
              <v:shape style="position:absolute;left:15;top:369;width:6324;height:2" coordorigin="15,369" coordsize="6324,0" path="m15,369l6339,369e" filled="false" stroked="true" strokeweight="1.5pt" strokecolor="#000000">
                <v:path arrowok="t"/>
              </v:shape>
            </v:group>
            <v:group style="position:absolute;left:6346;top:7;width:2;height:347" coordorigin="6346,7" coordsize="2,347">
              <v:shape style="position:absolute;left:6346;top:7;width:2;height:347" coordorigin="6346,7" coordsize="0,347" path="m6346,7l6346,354e" filled="false" stroked="true" strokeweight=".72pt" strokecolor="#000000">
                <v:path arrowok="t"/>
              </v:shape>
            </v:group>
            <v:group style="position:absolute;left:6339;top:369;width:2897;height:2" coordorigin="6339,369" coordsize="2897,2">
              <v:shape style="position:absolute;left:6339;top:369;width:2897;height:2" coordorigin="6339,369" coordsize="2897,0" path="m6339,369l9236,369e" filled="false" stroked="true" strokeweight="1.5pt" strokecolor="#000000">
                <v:path arrowok="t"/>
              </v:shape>
              <v:shape style="position:absolute;left:2973;top:81;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7581;top:81;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7"/>
          <w:sz w:val="20"/>
          <w:szCs w:val="20"/>
        </w:rPr>
      </w:r>
    </w:p>
    <w:p>
      <w:pPr>
        <w:spacing w:after="0" w:line="384"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324"/>
        <w:gridCol w:w="2890"/>
      </w:tblGrid>
      <w:tr>
        <w:trPr>
          <w:trHeight w:val="355" w:hRule="exact"/>
        </w:trPr>
        <w:tc>
          <w:tcPr>
            <w:tcW w:w="632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194,448,485.96</w:t>
            </w:r>
          </w:p>
        </w:tc>
      </w:tr>
      <w:tr>
        <w:trPr>
          <w:trHeight w:val="352" w:hRule="exact"/>
        </w:trPr>
        <w:tc>
          <w:tcPr>
            <w:tcW w:w="63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5,965,243.67</w:t>
            </w:r>
          </w:p>
        </w:tc>
      </w:tr>
      <w:tr>
        <w:trPr>
          <w:trHeight w:val="353" w:hRule="exact"/>
        </w:trPr>
        <w:tc>
          <w:tcPr>
            <w:tcW w:w="63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c>
          <w:tcPr>
            <w:tcW w:w="2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-29,121,862.12</w:t>
            </w:r>
            <w:r>
              <w:rPr>
                <w:rFonts w:ascii="Times New Roman"/>
                <w:sz w:val="21"/>
              </w:rPr>
            </w:r>
          </w:p>
        </w:tc>
      </w:tr>
      <w:tr>
        <w:trPr>
          <w:trHeight w:val="352" w:hRule="exact"/>
        </w:trPr>
        <w:tc>
          <w:tcPr>
            <w:tcW w:w="63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-1,632,160.95</w:t>
            </w:r>
          </w:p>
        </w:tc>
      </w:tr>
    </w:tbl>
    <w:p>
      <w:pPr>
        <w:pStyle w:val="Heading4"/>
        <w:spacing w:line="293" w:lineRule="exact"/>
        <w:ind w:left="634" w:right="0"/>
        <w:jc w:val="left"/>
      </w:pPr>
      <w:r>
        <w:rPr/>
        <w:t>（</w:t>
      </w:r>
      <w:r>
        <w:rPr>
          <w:rFonts w:ascii="Times New Roman" w:hAnsi="Times New Roman" w:cs="Times New Roman" w:eastAsia="Times New Roman" w:hint="default"/>
        </w:rPr>
        <w:t>2</w:t>
      </w:r>
      <w:r>
        <w:rPr/>
        <w:t>）广西驿途信息科技有限公司</w:t>
      </w:r>
    </w:p>
    <w:p>
      <w:pPr>
        <w:pStyle w:val="BodyText"/>
        <w:spacing w:line="300" w:lineRule="auto" w:before="29"/>
        <w:ind w:right="147" w:firstLine="426"/>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日，本公司向自然人股东覃杰等收购其持有的驿途公司</w:t>
      </w:r>
      <w:r>
        <w:rPr>
          <w:rFonts w:ascii="Times New Roman" w:hAnsi="Times New Roman" w:cs="Times New Roman" w:eastAsia="Times New Roman" w:hint="default"/>
        </w:rPr>
        <w:t>45.02%</w:t>
      </w:r>
      <w:r>
        <w:rPr/>
        <w:t>股权，并同时对其增资</w:t>
      </w:r>
      <w:r>
        <w:rPr>
          <w:rFonts w:ascii="Times New Roman" w:hAnsi="Times New Roman" w:cs="Times New Roman" w:eastAsia="Times New Roman" w:hint="default"/>
        </w:rPr>
        <w:t>200</w:t>
      </w:r>
      <w:r>
        <w:rPr/>
        <w:t>万元，收购股权 并增资完成后本公司合计持有驿途公司</w:t>
      </w:r>
      <w:r>
        <w:rPr>
          <w:rFonts w:ascii="Times New Roman" w:hAnsi="Times New Roman" w:cs="Times New Roman" w:eastAsia="Times New Roman" w:hint="default"/>
        </w:rPr>
        <w:t>51%</w:t>
      </w:r>
      <w:r>
        <w:rPr/>
        <w:t>股权。故本次交易的购买日为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日，系本公司取得对驿途公司的控制</w:t>
      </w:r>
      <w:r>
        <w:rPr>
          <w:spacing w:val="-58"/>
        </w:rPr>
        <w:t> </w:t>
      </w:r>
      <w:r>
        <w:rPr>
          <w:spacing w:val="-58"/>
        </w:rPr>
      </w:r>
      <w:r>
        <w:rPr/>
        <w:t>权的日期。</w:t>
      </w:r>
    </w:p>
    <w:p>
      <w:pPr>
        <w:pStyle w:val="BodyText"/>
        <w:spacing w:line="240" w:lineRule="auto" w:before="31"/>
        <w:ind w:left="580" w:right="0"/>
        <w:jc w:val="left"/>
      </w:pPr>
      <w:r>
        <w:rPr/>
        <w:t>购买日的确定：</w:t>
      </w:r>
    </w:p>
    <w:p>
      <w:pPr>
        <w:pStyle w:val="BodyText"/>
        <w:spacing w:line="300" w:lineRule="auto" w:before="76"/>
        <w:ind w:left="154" w:right="0" w:firstLine="425"/>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日，经本公司总经理办公会会议决议通过以人民币</w:t>
      </w:r>
      <w:r>
        <w:rPr>
          <w:rFonts w:ascii="Times New Roman" w:hAnsi="Times New Roman" w:cs="Times New Roman" w:eastAsia="Times New Roman" w:hint="default"/>
        </w:rPr>
        <w:t>350</w:t>
      </w:r>
      <w:r>
        <w:rPr/>
        <w:t>万元收购广西驿途公司</w:t>
      </w:r>
      <w:r>
        <w:rPr>
          <w:rFonts w:ascii="Times New Roman" w:hAnsi="Times New Roman" w:cs="Times New Roman" w:eastAsia="Times New Roman" w:hint="default"/>
        </w:rPr>
        <w:t>45.02%</w:t>
      </w:r>
      <w:r>
        <w:rPr/>
        <w:t>股权，并同时对其增 资</w:t>
      </w:r>
      <w:r>
        <w:rPr>
          <w:rFonts w:ascii="Times New Roman" w:hAnsi="Times New Roman" w:cs="Times New Roman" w:eastAsia="Times New Roman" w:hint="default"/>
        </w:rPr>
        <w:t>200</w:t>
      </w:r>
      <w:r>
        <w:rPr/>
        <w:t>万元。</w:t>
      </w:r>
    </w:p>
    <w:p>
      <w:pPr>
        <w:pStyle w:val="BodyText"/>
        <w:spacing w:line="300" w:lineRule="auto" w:before="53"/>
        <w:ind w:left="154" w:right="149"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日，驿途公司临时股东会通过并成立新的董事会，董事成员</w:t>
      </w:r>
      <w:r>
        <w:rPr>
          <w:rFonts w:ascii="Times New Roman" w:hAnsi="Times New Roman" w:cs="Times New Roman" w:eastAsia="Times New Roman" w:hint="default"/>
          <w:spacing w:val="-2"/>
        </w:rPr>
        <w:t>5</w:t>
      </w:r>
      <w:r>
        <w:rPr>
          <w:spacing w:val="-2"/>
        </w:rPr>
        <w:t>人，其中本公司委派管四新、陈秀琴担任广西</w:t>
      </w:r>
      <w:r>
        <w:rPr/>
        <w:t> 驿途公司董事，股东林宇佳、侯燕馨经本公司推荐，委派林容担任广西驿途公司董事，即本公司拥有董事会多数席位。</w:t>
      </w:r>
    </w:p>
    <w:p>
      <w:pPr>
        <w:pStyle w:val="BodyText"/>
        <w:spacing w:line="300" w:lineRule="auto" w:before="71"/>
        <w:ind w:left="580"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日，本次股权转让的工商变更登记手续已办理完毕，并取得新的企业法人营业执照。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日，本次股权转让并增资的价款合计支付</w:t>
      </w:r>
      <w:r>
        <w:rPr>
          <w:rFonts w:ascii="Times New Roman" w:hAnsi="Times New Roman" w:cs="Times New Roman" w:eastAsia="Times New Roman" w:hint="default"/>
        </w:rPr>
        <w:t>270</w:t>
      </w:r>
      <w:r>
        <w:rPr/>
        <w:t>万元，占股权转让并增资全部价款的</w:t>
      </w:r>
      <w:r>
        <w:rPr>
          <w:rFonts w:ascii="Times New Roman" w:hAnsi="Times New Roman" w:cs="Times New Roman" w:eastAsia="Times New Roman" w:hint="default"/>
        </w:rPr>
        <w:t>49%</w:t>
      </w:r>
      <w:r>
        <w:rPr/>
        <w:t>，本次股权收</w:t>
      </w:r>
    </w:p>
    <w:p>
      <w:pPr>
        <w:pStyle w:val="BodyText"/>
        <w:spacing w:line="300" w:lineRule="auto" w:before="13"/>
        <w:ind w:left="154" w:right="135"/>
        <w:jc w:val="left"/>
      </w:pPr>
      <w:r>
        <w:rPr>
          <w:spacing w:val="-1"/>
        </w:rPr>
        <w:t>购并增资完成后本公司合计持有广西驿途公司</w:t>
      </w:r>
      <w:r>
        <w:rPr>
          <w:rFonts w:ascii="Times New Roman" w:hAnsi="Times New Roman" w:cs="Times New Roman" w:eastAsia="Times New Roman" w:hint="default"/>
          <w:spacing w:val="-1"/>
        </w:rPr>
        <w:t>51%</w:t>
      </w:r>
      <w:r>
        <w:rPr>
          <w:spacing w:val="-1"/>
        </w:rPr>
        <w:t>股权。至此，本公司能够对广西驿途公司的重大经营决策和财务决策实施</w:t>
      </w:r>
      <w:r>
        <w:rPr/>
        <w:t> 控制，从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日开始纳入本公司财务报表合并范围。基于重要性原则，本公司以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日作为购买日。</w:t>
      </w:r>
    </w:p>
    <w:p>
      <w:pPr>
        <w:pStyle w:val="Heading4"/>
        <w:spacing w:line="276" w:lineRule="exact"/>
        <w:ind w:left="634" w:right="0"/>
        <w:jc w:val="left"/>
      </w:pPr>
      <w:r>
        <w:rPr/>
        <w:t>①合并成本以及商誉（或可辨认净资产公允价值份额超出合并成本计入损益的金额）的</w:t>
      </w:r>
    </w:p>
    <w:p>
      <w:pPr>
        <w:pStyle w:val="Heading4"/>
        <w:spacing w:line="313" w:lineRule="exact"/>
        <w:ind w:right="0"/>
        <w:jc w:val="left"/>
      </w:pPr>
      <w:r>
        <w:rPr/>
        <w:t>确认情况如下：</w:t>
      </w:r>
    </w:p>
    <w:p>
      <w:pPr>
        <w:spacing w:line="240" w:lineRule="auto" w:before="11"/>
        <w:rPr>
          <w:rFonts w:ascii="宋体" w:hAnsi="宋体" w:cs="宋体" w:eastAsia="宋体" w:hint="default"/>
          <w:sz w:val="2"/>
          <w:szCs w:val="2"/>
        </w:rPr>
      </w:pPr>
    </w:p>
    <w:tbl>
      <w:tblPr>
        <w:tblW w:w="0" w:type="auto"/>
        <w:jc w:val="left"/>
        <w:tblInd w:w="462" w:type="dxa"/>
        <w:tblLayout w:type="fixed"/>
        <w:tblCellMar>
          <w:top w:w="0" w:type="dxa"/>
          <w:left w:w="0" w:type="dxa"/>
          <w:bottom w:w="0" w:type="dxa"/>
          <w:right w:w="0" w:type="dxa"/>
        </w:tblCellMar>
        <w:tblLook w:val="01E0"/>
      </w:tblPr>
      <w:tblGrid>
        <w:gridCol w:w="7212"/>
        <w:gridCol w:w="2062"/>
      </w:tblGrid>
      <w:tr>
        <w:trPr>
          <w:trHeight w:val="355" w:hRule="exact"/>
        </w:trPr>
        <w:tc>
          <w:tcPr>
            <w:tcW w:w="721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2"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06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2,700,000.00</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转移非现金资产的公允价值</w:t>
            </w:r>
          </w:p>
        </w:tc>
        <w:tc>
          <w:tcPr>
            <w:tcW w:w="206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发生或承担负债的公允价值</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2,800,000.00</w:t>
            </w:r>
          </w:p>
        </w:tc>
      </w:tr>
      <w:tr>
        <w:trPr>
          <w:trHeight w:val="353"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发行权益性证券的公允价值</w:t>
            </w:r>
          </w:p>
        </w:tc>
        <w:tc>
          <w:tcPr>
            <w:tcW w:w="206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5,500,000.00</w:t>
            </w:r>
          </w:p>
        </w:tc>
      </w:tr>
      <w:tr>
        <w:trPr>
          <w:trHeight w:val="352"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减：取得的可辨认净资产的公允价值</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1,225,991.71</w:t>
            </w:r>
          </w:p>
        </w:tc>
      </w:tr>
      <w:tr>
        <w:trPr>
          <w:trHeight w:val="353" w:hRule="exact"/>
        </w:trPr>
        <w:tc>
          <w:tcPr>
            <w:tcW w:w="72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商誉（或可辨认净资产公允价值份额超出合并成本计入损益的金额）</w:t>
            </w:r>
          </w:p>
        </w:tc>
        <w:tc>
          <w:tcPr>
            <w:tcW w:w="2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b/>
                <w:spacing w:val="-1"/>
                <w:sz w:val="21"/>
              </w:rPr>
              <w:t>4,274,008.29</w:t>
            </w:r>
            <w:r>
              <w:rPr>
                <w:rFonts w:ascii="Times New Roman"/>
                <w:spacing w:val="-1"/>
                <w:sz w:val="21"/>
              </w:rPr>
            </w:r>
          </w:p>
        </w:tc>
      </w:tr>
    </w:tbl>
    <w:p>
      <w:pPr>
        <w:pStyle w:val="Heading4"/>
        <w:spacing w:line="275" w:lineRule="exact"/>
        <w:ind w:left="634" w:right="0"/>
        <w:jc w:val="left"/>
      </w:pPr>
      <w:r>
        <w:rPr/>
        <w:t>②驿途公司于购买日的资产、负债及与收购相关的现金流量情况列示如下：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784"/>
        <w:gridCol w:w="1876"/>
        <w:gridCol w:w="2248"/>
        <w:gridCol w:w="2306"/>
      </w:tblGrid>
      <w:tr>
        <w:trPr>
          <w:trHeight w:val="355" w:hRule="exact"/>
        </w:trPr>
        <w:tc>
          <w:tcPr>
            <w:tcW w:w="278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19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24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2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230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410" w:right="0"/>
              <w:jc w:val="left"/>
              <w:rPr>
                <w:rFonts w:ascii="宋体" w:hAnsi="宋体" w:cs="宋体" w:eastAsia="宋体" w:hint="default"/>
                <w:sz w:val="21"/>
                <w:szCs w:val="21"/>
              </w:rPr>
            </w:pPr>
            <w:r>
              <w:rPr>
                <w:rFonts w:ascii="宋体" w:hAnsi="宋体" w:cs="宋体" w:eastAsia="宋体" w:hint="default"/>
                <w:sz w:val="21"/>
                <w:szCs w:val="21"/>
              </w:rPr>
              <w:t>上年末账面价值</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2,011,303.97</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2,011,303.97</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183,263.80</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576,673.29</w:t>
            </w:r>
            <w:r>
              <w:rPr>
                <w:rFonts w:ascii="Times New Roman"/>
                <w:sz w:val="21"/>
              </w:rPr>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576,673.29</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193,708.47</w:t>
            </w:r>
            <w:r>
              <w:rPr>
                <w:rFonts w:ascii="Times New Roman"/>
                <w:sz w:val="21"/>
              </w:rPr>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96,071.78</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96,071.78</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80,392.28</w:t>
            </w: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4,458.82</w:t>
            </w:r>
            <w:r>
              <w:rPr>
                <w:rFonts w:ascii="Times New Roman"/>
                <w:sz w:val="21"/>
              </w:rPr>
            </w: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1,497.75</w:t>
            </w:r>
            <w:r>
              <w:rPr>
                <w:rFonts w:ascii="Times New Roman"/>
                <w:sz w:val="21"/>
              </w:rPr>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减：借款</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784"/>
        <w:gridCol w:w="1876"/>
        <w:gridCol w:w="2248"/>
        <w:gridCol w:w="2306"/>
      </w:tblGrid>
      <w:tr>
        <w:trPr>
          <w:trHeight w:val="355" w:hRule="exact"/>
        </w:trPr>
        <w:tc>
          <w:tcPr>
            <w:tcW w:w="278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8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284,602.54</w:t>
            </w:r>
            <w:r>
              <w:rPr>
                <w:rFonts w:ascii="Times New Roman"/>
                <w:sz w:val="21"/>
              </w:rPr>
            </w:r>
          </w:p>
        </w:tc>
        <w:tc>
          <w:tcPr>
            <w:tcW w:w="22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284,602.54</w:t>
            </w:r>
            <w:r>
              <w:rPr>
                <w:rFonts w:ascii="Times New Roman"/>
                <w:sz w:val="21"/>
              </w:rPr>
            </w:r>
          </w:p>
        </w:tc>
        <w:tc>
          <w:tcPr>
            <w:tcW w:w="2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134,802.01</w:t>
            </w:r>
            <w:r>
              <w:rPr>
                <w:rFonts w:ascii="Times New Roman"/>
                <w:sz w:val="21"/>
              </w:rPr>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876" w:type="dxa"/>
            <w:tcBorders>
              <w:top w:val="single" w:sz="12" w:space="0" w:color="000000"/>
              <w:left w:val="single" w:sz="6" w:space="0" w:color="000000"/>
              <w:bottom w:val="single" w:sz="12" w:space="0" w:color="000000"/>
              <w:right w:val="single" w:sz="6" w:space="0" w:color="000000"/>
            </w:tcBorders>
          </w:tcPr>
          <w:p>
            <w:pP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2,403,905.32</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2,403,905.32</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324,060.29</w:t>
            </w:r>
          </w:p>
        </w:tc>
      </w:tr>
      <w:tr>
        <w:trPr>
          <w:trHeight w:val="353"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1,177,913.61</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1,177,913.61</w:t>
            </w: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1,225,991.71</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1,225,991.71</w:t>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324,060.29</w:t>
            </w: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以现金支付的对价</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2,700,000.00</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2,700,000.00</w:t>
            </w: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08" w:right="0"/>
              <w:jc w:val="left"/>
              <w:rPr>
                <w:rFonts w:ascii="宋体" w:hAnsi="宋体" w:cs="宋体" w:eastAsia="宋体" w:hint="default"/>
                <w:sz w:val="21"/>
                <w:szCs w:val="21"/>
              </w:rPr>
            </w:pPr>
            <w:r>
              <w:rPr>
                <w:rFonts w:ascii="宋体" w:hAnsi="宋体" w:cs="宋体" w:eastAsia="宋体" w:hint="default"/>
                <w:spacing w:val="-5"/>
                <w:sz w:val="21"/>
                <w:szCs w:val="21"/>
              </w:rPr>
              <w:t>减：取得的被收购子公司</w:t>
            </w:r>
          </w:p>
          <w:p>
            <w:pPr>
              <w:pStyle w:val="TableParagraph"/>
              <w:spacing w:line="240" w:lineRule="auto" w:before="37"/>
              <w:ind w:left="508" w:right="0"/>
              <w:jc w:val="left"/>
              <w:rPr>
                <w:rFonts w:ascii="宋体" w:hAnsi="宋体" w:cs="宋体" w:eastAsia="宋体" w:hint="default"/>
                <w:sz w:val="21"/>
                <w:szCs w:val="21"/>
              </w:rPr>
            </w:pPr>
            <w:r>
              <w:rPr>
                <w:rFonts w:ascii="宋体" w:hAnsi="宋体" w:cs="宋体" w:eastAsia="宋体" w:hint="default"/>
                <w:sz w:val="21"/>
                <w:szCs w:val="21"/>
              </w:rPr>
              <w:t>的现金及现金等价物</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2,011,303.97</w:t>
            </w:r>
          </w:p>
        </w:tc>
        <w:tc>
          <w:tcPr>
            <w:tcW w:w="2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2,011,303.97</w:t>
            </w: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1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688,696.03</w:t>
            </w:r>
            <w:r>
              <w:rPr>
                <w:rFonts w:ascii="Times New Roman"/>
                <w:sz w:val="21"/>
              </w:rPr>
            </w:r>
          </w:p>
        </w:tc>
        <w:tc>
          <w:tcPr>
            <w:tcW w:w="2248"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bl>
    <w:p>
      <w:pPr>
        <w:pStyle w:val="Heading4"/>
        <w:spacing w:line="275" w:lineRule="exact"/>
        <w:ind w:left="634" w:right="0"/>
        <w:jc w:val="left"/>
      </w:pPr>
      <w:r>
        <w:rPr/>
        <w:t>③广西驿途公司自购买日至当年末止期间的收入、净利润和现金流量列示</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6324"/>
        <w:gridCol w:w="2890"/>
      </w:tblGrid>
      <w:tr>
        <w:trPr>
          <w:trHeight w:val="355" w:hRule="exact"/>
        </w:trPr>
        <w:tc>
          <w:tcPr>
            <w:tcW w:w="632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53" w:hRule="exact"/>
        </w:trPr>
        <w:tc>
          <w:tcPr>
            <w:tcW w:w="63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303,544.85</w:t>
            </w:r>
            <w:r>
              <w:rPr>
                <w:rFonts w:ascii="Times New Roman"/>
                <w:sz w:val="21"/>
              </w:rPr>
            </w:r>
          </w:p>
        </w:tc>
      </w:tr>
      <w:tr>
        <w:trPr>
          <w:trHeight w:val="352" w:hRule="exact"/>
        </w:trPr>
        <w:tc>
          <w:tcPr>
            <w:tcW w:w="63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-209,281.92</w:t>
            </w:r>
          </w:p>
        </w:tc>
      </w:tr>
      <w:tr>
        <w:trPr>
          <w:trHeight w:val="352" w:hRule="exact"/>
        </w:trPr>
        <w:tc>
          <w:tcPr>
            <w:tcW w:w="63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c>
          <w:tcPr>
            <w:tcW w:w="2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-140,658.50</w:t>
            </w:r>
          </w:p>
        </w:tc>
      </w:tr>
      <w:tr>
        <w:trPr>
          <w:trHeight w:val="353" w:hRule="exact"/>
        </w:trPr>
        <w:tc>
          <w:tcPr>
            <w:tcW w:w="63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51,567.61</w:t>
            </w:r>
          </w:p>
        </w:tc>
      </w:tr>
    </w:tbl>
    <w:p>
      <w:pPr>
        <w:spacing w:line="240" w:lineRule="auto" w:before="5"/>
        <w:rPr>
          <w:rFonts w:ascii="宋体" w:hAnsi="宋体" w:cs="宋体" w:eastAsia="宋体" w:hint="default"/>
          <w:sz w:val="24"/>
          <w:szCs w:val="24"/>
        </w:rPr>
      </w:pPr>
    </w:p>
    <w:p>
      <w:pPr>
        <w:pStyle w:val="BodyText"/>
        <w:spacing w:line="338" w:lineRule="auto"/>
        <w:ind w:left="154"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与上年相比本年（期）新增合并单位</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家，原因为</w:t>
      </w:r>
    </w:p>
    <w:p>
      <w:pPr>
        <w:pStyle w:val="BodyText"/>
        <w:spacing w:line="360" w:lineRule="auto" w:before="20"/>
        <w:ind w:left="154" w:right="5450"/>
        <w:jc w:val="left"/>
      </w:pPr>
      <w:r>
        <w:rPr/>
        <w:t>增加持股比例，并取得实际控制，本期纳入合并范围。 与上年相比本年（期）减少合并单位</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家，原因为</w:t>
      </w:r>
    </w:p>
    <w:p>
      <w:pPr>
        <w:pStyle w:val="BodyText"/>
        <w:spacing w:line="240" w:lineRule="auto" w:before="1"/>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本期新纳入合并范围的子公司、特殊目的主体、通过受托经营或承租等方式形成控制权的经营实体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8,570,196.85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-1,429,803.15</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31,442,545.36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6,556,278.18</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2,467,993.58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143,933.29</w:t>
            </w:r>
          </w:p>
        </w:tc>
      </w:tr>
    </w:tbl>
    <w:p>
      <w:pPr>
        <w:pStyle w:val="BodyText"/>
        <w:spacing w:line="240" w:lineRule="auto" w:before="51"/>
        <w:ind w:left="154" w:right="0"/>
        <w:jc w:val="left"/>
      </w:pPr>
      <w:r>
        <w:rPr/>
        <w:t>本期不再纳入合并范围的子公司、特殊目的主体、通过受托经营或承租等方式形成控制权的经营实体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357" w:lineRule="auto" w:before="52"/>
        <w:ind w:right="4911"/>
        <w:jc w:val="left"/>
      </w:pPr>
      <w:r>
        <w:rPr/>
        <w:t>新纳入合并范围的主体和不再纳入合并范围的主体的其他说明 无</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4"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357" w:lineRule="auto" w:before="52"/>
        <w:ind w:right="7251"/>
        <w:jc w:val="left"/>
      </w:pPr>
      <w:r>
        <w:rPr/>
        <w:t>同一控制下企业合并的其他说明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026"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2,764,044.72</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合并成本减去合并中取得的被购买方于购买日可 辨认净资产公允价值份额的差额确认为商誉，具 体计算如后附表所述。</w:t>
            </w:r>
          </w:p>
        </w:tc>
      </w:tr>
      <w:tr>
        <w:trPr>
          <w:trHeight w:val="357" w:hRule="exact"/>
        </w:trPr>
        <w:tc>
          <w:tcPr>
            <w:tcW w:w="2677" w:type="dxa"/>
            <w:tcBorders>
              <w:top w:val="single" w:sz="4" w:space="0" w:color="000000"/>
              <w:left w:val="single" w:sz="4" w:space="0" w:color="000000"/>
              <w:bottom w:val="nil" w:sz="6" w:space="0" w:color="auto"/>
              <w:right w:val="single" w:sz="4" w:space="0" w:color="000000"/>
            </w:tcBorders>
          </w:tcPr>
          <w:p>
            <w:pPr/>
          </w:p>
        </w:tc>
        <w:tc>
          <w:tcPr>
            <w:tcW w:w="3031" w:type="dxa"/>
            <w:tcBorders>
              <w:top w:val="single" w:sz="4" w:space="0" w:color="000000"/>
              <w:left w:val="single" w:sz="4" w:space="0" w:color="000000"/>
              <w:bottom w:val="nil" w:sz="6" w:space="0" w:color="auto"/>
              <w:right w:val="single" w:sz="4" w:space="0" w:color="000000"/>
            </w:tcBorders>
          </w:tcPr>
          <w:p>
            <w:pPr/>
          </w:p>
        </w:tc>
        <w:tc>
          <w:tcPr>
            <w:tcW w:w="3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合并成本减去合并中取得的被购买方于购买日可</w:t>
            </w:r>
          </w:p>
        </w:tc>
      </w:tr>
      <w:tr>
        <w:trPr>
          <w:trHeight w:val="318" w:hRule="exact"/>
        </w:trPr>
        <w:tc>
          <w:tcPr>
            <w:tcW w:w="2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广西驿途信息科技有限公司（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3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4,274,008.29</w:t>
            </w: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辨认净资产公允价值份额的差额确认为商誉，具</w:t>
            </w:r>
          </w:p>
        </w:tc>
      </w:tr>
      <w:tr>
        <w:trPr>
          <w:trHeight w:val="351" w:hRule="exact"/>
        </w:trPr>
        <w:tc>
          <w:tcPr>
            <w:tcW w:w="2677" w:type="dxa"/>
            <w:tcBorders>
              <w:top w:val="nil" w:sz="6" w:space="0" w:color="auto"/>
              <w:left w:val="single" w:sz="4" w:space="0" w:color="000000"/>
              <w:bottom w:val="single" w:sz="4" w:space="0" w:color="000000"/>
              <w:right w:val="single" w:sz="4" w:space="0" w:color="000000"/>
            </w:tcBorders>
          </w:tcPr>
          <w:p>
            <w:pPr/>
          </w:p>
        </w:tc>
        <w:tc>
          <w:tcPr>
            <w:tcW w:w="3031" w:type="dxa"/>
            <w:tcBorders>
              <w:top w:val="nil" w:sz="6" w:space="0" w:color="auto"/>
              <w:left w:val="single" w:sz="4" w:space="0" w:color="000000"/>
              <w:bottom w:val="single" w:sz="4" w:space="0" w:color="000000"/>
              <w:right w:val="single" w:sz="4" w:space="0" w:color="000000"/>
            </w:tcBorders>
          </w:tcPr>
          <w:p>
            <w:pPr/>
          </w:p>
        </w:tc>
        <w:tc>
          <w:tcPr>
            <w:tcW w:w="3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体计算如后附表所述。</w:t>
            </w:r>
          </w:p>
        </w:tc>
      </w:tr>
    </w:tbl>
    <w:p>
      <w:pPr>
        <w:pStyle w:val="BodyText"/>
        <w:spacing w:line="357" w:lineRule="auto" w:before="51"/>
        <w:ind w:right="7071"/>
        <w:jc w:val="left"/>
      </w:pPr>
      <w:r>
        <w:rPr/>
        <w:t>非同一控制下企业合并的其他说明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95"/>
      </w:tblGrid>
      <w:tr>
        <w:trPr>
          <w:trHeight w:val="402"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1"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357" w:lineRule="auto" w:before="51"/>
        <w:ind w:right="5811"/>
        <w:jc w:val="left"/>
      </w:pPr>
      <w:r>
        <w:rPr/>
        <w:t>出售丧失控制权的股权而减少的子公司的其他说明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357" w:lineRule="auto" w:before="51"/>
        <w:ind w:right="8151"/>
        <w:jc w:val="left"/>
      </w:pPr>
      <w:r>
        <w:rPr/>
        <w:t>反向购买的其他说明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5"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ind w:right="8151"/>
        <w:jc w:val="left"/>
      </w:pPr>
      <w:r>
        <w:rPr/>
        <w:t>吸收合并的其他说明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2"/>
        <w:rPr>
          <w:rFonts w:ascii="宋体" w:hAnsi="宋体" w:cs="宋体" w:eastAsia="宋体" w:hint="default"/>
          <w:sz w:val="25"/>
          <w:szCs w:val="25"/>
        </w:rPr>
      </w:pPr>
    </w:p>
    <w:p>
      <w:pPr>
        <w:pStyle w:val="Heading3"/>
        <w:spacing w:line="240" w:lineRule="auto" w:before="0"/>
        <w:ind w:right="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166,797.25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196,037.94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166,797.25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196,037.94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240,650,510.33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450,954,939.37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240,650,510.33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450,954,939.37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3,506,526.95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513,619.83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3,506,526.95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513,619.83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244,323,834.53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451,664,597.14</w:t>
            </w:r>
          </w:p>
        </w:tc>
      </w:tr>
    </w:tbl>
    <w:p>
      <w:pPr>
        <w:pStyle w:val="BodyText"/>
        <w:spacing w:line="240" w:lineRule="auto" w:before="51"/>
        <w:ind w:left="154" w:right="0"/>
        <w:jc w:val="left"/>
      </w:pPr>
      <w:r>
        <w:rPr/>
        <w:t>如有因抵押、质押或冻结等对使用有限制、存放在境外、有潜在回收风险的款项应单独说明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6"/>
        <w:gridCol w:w="2656"/>
        <w:gridCol w:w="2656"/>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76"/>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3,452,065.40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2,473,856.00</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4,970,773.09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8,422,838.49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3,913,856.00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154" w:right="0"/>
        <w:jc w:val="left"/>
      </w:pPr>
      <w:r>
        <w:rPr/>
        <w:t>因出票人无力履约而将票据转为应收账款的票据</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pStyle w:val="BodyText"/>
        <w:spacing w:line="357" w:lineRule="auto" w:before="52"/>
        <w:ind w:left="154" w:right="2860"/>
        <w:jc w:val="left"/>
      </w:pPr>
      <w:r>
        <w:rPr/>
        <w:t>说明 无</w:t>
      </w:r>
    </w:p>
    <w:p>
      <w:pPr>
        <w:pStyle w:val="BodyText"/>
        <w:spacing w:line="240" w:lineRule="auto" w:before="29"/>
        <w:ind w:left="154" w:right="-20"/>
        <w:jc w:val="left"/>
      </w:pPr>
      <w:r>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80" w:left="980" w:right="980"/>
          <w:cols w:num="2" w:equalWidth="0">
            <w:col w:w="3395" w:space="54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2"/>
        <w:ind w:left="154" w:right="9410"/>
        <w:jc w:val="left"/>
      </w:pPr>
      <w:r>
        <w:rPr/>
        <w:t>说明 无</w:t>
      </w:r>
    </w:p>
    <w:p>
      <w:pPr>
        <w:pStyle w:val="BodyText"/>
        <w:spacing w:line="357" w:lineRule="auto" w:before="29"/>
        <w:ind w:right="6891"/>
        <w:jc w:val="left"/>
      </w:pPr>
      <w:r>
        <w:rPr/>
        <w:t>已贴现或质押的商业承兑票据的说明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37"/>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left="154" w:right="9410"/>
        <w:jc w:val="left"/>
      </w:pPr>
      <w:r>
        <w:rPr/>
        <w:t>说明 无</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募集资金专户存款利息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7,545,069.65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5,113,645.03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7,528,390.23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5,130,324.45</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一般定期存款利息</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989,137.09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509,137.09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480,000.00</w:t>
            </w: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7,545,069.65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6,102,782.12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8,037,527.32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5,610,324.45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spacing w:line="487" w:lineRule="auto" w:before="35"/>
        <w:ind w:left="154" w:right="593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spacing w:val="1"/>
          <w:w w:val="99"/>
          <w:sz w:val="21"/>
          <w:szCs w:val="21"/>
        </w:rPr>
        <w:t> </w:t>
      </w:r>
      <w:r>
        <w:rPr>
          <w:rFonts w:ascii="宋体" w:hAnsi="宋体" w:cs="宋体" w:eastAsia="宋体" w:hint="default"/>
          <w:sz w:val="24"/>
          <w:szCs w:val="24"/>
        </w:rPr>
        <w:t>截止本报告期末本公司无逾期利息。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3"/>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375,195,28</w:t>
            </w:r>
          </w:p>
          <w:p>
            <w:pPr>
              <w:pStyle w:val="TableParagraph"/>
              <w:spacing w:line="240" w:lineRule="auto" w:before="106"/>
              <w:ind w:left="581" w:right="0"/>
              <w:jc w:val="left"/>
              <w:rPr>
                <w:rFonts w:ascii="Times New Roman" w:hAnsi="Times New Roman" w:cs="Times New Roman" w:eastAsia="Times New Roman" w:hint="default"/>
                <w:sz w:val="18"/>
                <w:szCs w:val="18"/>
              </w:rPr>
            </w:pPr>
            <w:r>
              <w:rPr>
                <w:rFonts w:ascii="Times New Roman"/>
                <w:sz w:val="18"/>
              </w:rPr>
              <w:t>7.26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14,331,591.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276,932,5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24.81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10,441,028.3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375,195,28</w:t>
            </w:r>
          </w:p>
          <w:p>
            <w:pPr>
              <w:pStyle w:val="TableParagraph"/>
              <w:spacing w:line="240" w:lineRule="auto" w:before="106"/>
              <w:ind w:left="581" w:right="0"/>
              <w:jc w:val="left"/>
              <w:rPr>
                <w:rFonts w:ascii="Times New Roman" w:hAnsi="Times New Roman" w:cs="Times New Roman" w:eastAsia="Times New Roman" w:hint="default"/>
                <w:sz w:val="18"/>
                <w:szCs w:val="18"/>
              </w:rPr>
            </w:pPr>
            <w:r>
              <w:rPr>
                <w:rFonts w:ascii="Times New Roman"/>
                <w:sz w:val="18"/>
              </w:rPr>
              <w:t>7.26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14,331,591.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276,932,5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24.81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10,441,028.3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375,195,28</w:t>
            </w:r>
          </w:p>
          <w:p>
            <w:pPr>
              <w:pStyle w:val="TableParagraph"/>
              <w:spacing w:line="240" w:lineRule="auto" w:before="106"/>
              <w:ind w:left="581" w:right="0"/>
              <w:jc w:val="left"/>
              <w:rPr>
                <w:rFonts w:ascii="Times New Roman" w:hAnsi="Times New Roman" w:cs="Times New Roman" w:eastAsia="Times New Roman" w:hint="default"/>
                <w:sz w:val="18"/>
                <w:szCs w:val="18"/>
              </w:rPr>
            </w:pPr>
            <w:r>
              <w:rPr>
                <w:rFonts w:ascii="Times New Roman"/>
                <w:sz w:val="18"/>
              </w:rPr>
              <w:t>7.26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14,331,591.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276,932,5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24.81</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10,441,028.3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151"/>
        <w:jc w:val="left"/>
      </w:pPr>
      <w:r>
        <w:rPr/>
        <w:t>应收账款种类的说明 无</w:t>
      </w:r>
    </w:p>
    <w:p>
      <w:pPr>
        <w:pStyle w:val="BodyText"/>
        <w:spacing w:line="240" w:lineRule="auto" w:before="29"/>
        <w:ind w:right="0"/>
        <w:jc w:val="left"/>
      </w:pPr>
      <w:r>
        <w:rPr/>
        <w:t>期末单项金额重大并单项计提坏账准备的应收账款</w:t>
      </w:r>
    </w:p>
    <w:p>
      <w:pPr>
        <w:pStyle w:val="BodyText"/>
        <w:spacing w:line="338" w:lineRule="auto" w:before="117"/>
        <w:ind w:left="154"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24"/>
          <w:pgSz w:w="11910" w:h="16840"/>
          <w:pgMar w:footer="982" w:header="747" w:top="1060" w:bottom="1180" w:left="980" w:right="980"/>
          <w:pgNumType w:start="123"/>
        </w:sectPr>
      </w:pPr>
    </w:p>
    <w:p>
      <w:pPr>
        <w:spacing w:line="240" w:lineRule="auto" w:before="13"/>
        <w:rPr>
          <w:rFonts w:ascii="宋体" w:hAnsi="宋体" w:cs="宋体" w:eastAsia="宋体" w:hint="default"/>
          <w:sz w:val="25"/>
          <w:szCs w:val="25"/>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341,163,047.69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10,164,251.66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254,002,696.05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7,620,080.88</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28,857,362.78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2,891,996.68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20,363,291.69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2,036,329.17</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4,684,436.29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1,001,266.63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1,903,675.01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380,735.00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432,728.00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216,364.00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517,957.56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258,978.78</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57,712.50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57,712.50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144,904.50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144,904.50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375,195,287.26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14,331,591.47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276,932,524.81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10,441,028.33</w:t>
            </w:r>
          </w:p>
        </w:tc>
      </w:tr>
    </w:tbl>
    <w:p>
      <w:pPr>
        <w:pStyle w:val="BodyText"/>
        <w:spacing w:line="240" w:lineRule="auto" w:before="51"/>
        <w:ind w:left="154" w:right="0"/>
        <w:jc w:val="left"/>
      </w:pPr>
      <w:r>
        <w:rPr/>
        <w:t>组合中，采用余额百分比法计提坏账准备的应收账款</w:t>
      </w:r>
    </w:p>
    <w:p>
      <w:pPr>
        <w:pStyle w:val="BodyText"/>
        <w:spacing w:line="340" w:lineRule="auto" w:before="116"/>
        <w:ind w:left="154"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0"/>
        <w:ind w:left="154"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left="154" w:right="0"/>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57" w:lineRule="auto" w:before="52"/>
        <w:ind w:right="3651"/>
        <w:jc w:val="left"/>
      </w:pPr>
      <w:r>
        <w:rPr/>
        <w:t>单项金额不重大但按信用风险特征组合后该组合的风险较大的应收账款的说明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广西驿途信息科技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77,055.58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77,055.58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应收账款核销说明</w:t>
      </w:r>
    </w:p>
    <w:p>
      <w:pPr>
        <w:pStyle w:val="Heading4"/>
        <w:spacing w:line="312" w:lineRule="exact" w:before="96"/>
        <w:ind w:left="154" w:right="170"/>
        <w:jc w:val="left"/>
      </w:pPr>
      <w:r>
        <w:rPr/>
        <w:t>本报告期实际核销的应收账款：报告期内本公司之子公司广西驿途信息科技有限公司发生无 法收回的应收账款金额</w:t>
      </w:r>
      <w:r>
        <w:rPr>
          <w:rFonts w:ascii="Times New Roman" w:hAnsi="Times New Roman" w:cs="Times New Roman" w:eastAsia="Times New Roman" w:hint="default"/>
        </w:rPr>
        <w:t>77,055.58</w:t>
      </w:r>
      <w:r>
        <w:rPr/>
        <w:t>元。</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66,227,735.72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中国电信股份有限公司 安徽分公司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61,593,635.15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公司广西分公司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27,333,923.83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中国电信股份有限公司 四川分公司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21,586,636.24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公司河南省分公司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20,987,292.08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197,729,223.02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0.02%</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深圳市汇巨信息技术有限公 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213,133.00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293,133.00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3838;top:16;width:23;height:392" coordorigin="3838,16" coordsize="23,392">
              <v:shape style="position:absolute;left:3838;top:16;width:23;height:392" coordorigin="3838,16" coordsize="23,392" path="m3838,407l3860,407,3860,16,3838,16,3838,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801;height:392" coordorigin="37,16" coordsize="3801,392">
              <v:shape style="position:absolute;left:37;top:16;width:3801;height:392" coordorigin="37,16" coordsize="3801,392" path="m37,407l3838,407,3838,16,37,16,37,407xe" filled="true" fillcolor="#d3d3d3" stroked="false">
                <v:path arrowok="t"/>
                <v:fill type="solid"/>
              </v:shape>
            </v:group>
            <v:group style="position:absolute;left:3871;top:16;width:23;height:392" coordorigin="3871,16" coordsize="23,392">
              <v:shape style="position:absolute;left:3871;top:16;width:23;height:392" coordorigin="3871,16" coordsize="23,392" path="m3871,407l3894,407,3894,16,3871,16,3871,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3894;top:16;width:5656;height:392" coordorigin="3894,16" coordsize="5656,392">
              <v:shape style="position:absolute;left:3894;top:16;width:5656;height:392" coordorigin="3894,16" coordsize="5656,392" path="m3894,407l9550,407,9550,16,3894,16,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9550;top:418;width:23;height:392" coordorigin="9550,418" coordsize="23,392">
              <v:shape style="position:absolute;left:9550;top:418;width:23;height:392" coordorigin="9550,418" coordsize="23,392" path="m9550,809l9572,809,9572,418,9550,418,9550,809xe" filled="true" fillcolor="#d3d3d3" stroked="false">
                <v:path arrowok="t"/>
                <v:fill type="solid"/>
              </v:shape>
            </v:group>
            <v:group style="position:absolute;left:14;top:418;width:23;height:392" coordorigin="14,418" coordsize="23,392">
              <v:shape style="position:absolute;left:14;top:418;width:23;height:392" coordorigin="14,418" coordsize="23,392" path="m14,809l37,809,37,418,14,418,14,809xe" filled="true" fillcolor="#d3d3d3" stroked="false">
                <v:path arrowok="t"/>
                <v:fill type="solid"/>
              </v:shape>
            </v:group>
            <v:group style="position:absolute;left:37;top:418;width:9513;height:392" coordorigin="37,418" coordsize="9513,392">
              <v:shape style="position:absolute;left:37;top:418;width:9513;height:392" coordorigin="37,418" coordsize="9513,392" path="m37,809l9550,809,9550,418,37,418,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9550;top:820;width:23;height:392" coordorigin="9550,820" coordsize="23,392">
              <v:shape style="position:absolute;left:9550;top:820;width:23;height:392" coordorigin="9550,820" coordsize="23,392" path="m9550,1211l9572,1211,9572,820,9550,820,9550,1211xe" filled="true" fillcolor="#d3d3d3" stroked="false">
                <v:path arrowok="t"/>
                <v:fill type="solid"/>
              </v:shape>
            </v:group>
            <v:group style="position:absolute;left:14;top:820;width:23;height:392" coordorigin="14,820" coordsize="23,392">
              <v:shape style="position:absolute;left:14;top:820;width:23;height:392" coordorigin="14,820" coordsize="23,392" path="m14,1211l37,1211,37,820,14,820,14,1211xe" filled="true" fillcolor="#d3d3d3" stroked="false">
                <v:path arrowok="t"/>
                <v:fill type="solid"/>
              </v:shape>
            </v:group>
            <v:group style="position:absolute;left:37;top:820;width:9513;height:392" coordorigin="37,820" coordsize="9513,392">
              <v:shape style="position:absolute;left:37;top:820;width:9513;height:392" coordorigin="37,820" coordsize="9513,392" path="m37,1211l9550,1211,9550,820,37,820,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5;width:2;height:1217" coordorigin="10,5" coordsize="2,1217">
              <v:shape style="position:absolute;left:10;top:5;width:2;height:1217" coordorigin="10,5" coordsize="0,1217" path="m10,5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004pt" strokecolor="#000000">
                <v:path arrowok="t"/>
              </v:shape>
            </v:group>
            <v:group style="position:absolute;left:9577;top:5;width:2;height:1217" coordorigin="9577,5" coordsize="2,1217">
              <v:shape style="position:absolute;left:9577;top:5;width:2;height:1217" coordorigin="9577,5" coordsize="0,1217" path="m9577,5l9577,1222e" filled="false" stroked="true" strokeweight=".47998pt" strokecolor="#000000">
                <v:path arrowok="t"/>
              </v:shape>
              <v:shape style="position:absolute;left:1757;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17,268,246.9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1,041,405.21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12,244,252.4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702,713.45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17,268,246.9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1,041,405.21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12,244,252.4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702,713.45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w:t>
            </w: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100,000.00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17,368,246.9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1,141,405.21</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12,344,252.4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802,713.45</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57" w:lineRule="auto" w:before="51"/>
        <w:ind w:right="2321"/>
        <w:jc w:val="left"/>
      </w:pPr>
      <w:r>
        <w:rPr/>
        <w:t>其他应收款种类的说明 无</w:t>
      </w:r>
    </w:p>
    <w:p>
      <w:pPr>
        <w:pStyle w:val="BodyText"/>
        <w:spacing w:line="240" w:lineRule="auto" w:before="29"/>
        <w:ind w:right="-19"/>
        <w:jc w:val="left"/>
      </w:pPr>
      <w:r>
        <w:rPr/>
        <w:t>期末单项金额重大并单项计提坏账准备的其他应收款</w:t>
      </w:r>
    </w:p>
    <w:p>
      <w:pPr>
        <w:pStyle w:val="BodyText"/>
        <w:spacing w:line="338"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3"/>
        <w:ind w:left="154" w:right="23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15,280,263.31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461,330.22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10,406,490.45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312,194.71</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948,527.10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91,930.39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1,006,096.54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100,609.65</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477,695.50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95,539.10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422,995.47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84,599.09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338,311.00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169,155.50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406,720.00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203,360.00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223,450.00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17,268,246.91</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1,041,405.21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12,244,252.46</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702,713.45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left="154" w:right="-20"/>
        <w:jc w:val="left"/>
      </w:pPr>
      <w:r>
        <w:rPr/>
        <w:t>组合中，采用余额百分比法计提坏账准备的其他应收款</w:t>
      </w:r>
    </w:p>
    <w:p>
      <w:pPr>
        <w:pStyle w:val="BodyText"/>
        <w:spacing w:line="338" w:lineRule="auto" w:before="117"/>
        <w:ind w:left="154"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深圳首华财经信息有限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研发项目保证金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5" w:right="0"/>
              <w:jc w:val="lef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回收风险较大</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left="154"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3"/>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left="154" w:right="0"/>
        <w:jc w:val="left"/>
      </w:pPr>
      <w:r>
        <w:rPr/>
        <w:t>单项金额不重大但按信用风险特征组合后该组合的风险较大的其他应收款的说明</w:t>
      </w:r>
    </w:p>
    <w:p>
      <w:pPr>
        <w:pStyle w:val="Heading4"/>
        <w:spacing w:line="312" w:lineRule="exact" w:before="97"/>
        <w:ind w:left="154" w:right="170" w:firstLine="480"/>
        <w:jc w:val="left"/>
      </w:pPr>
      <w:r>
        <w:rPr/>
        <w:t>年末单项金额虽不重大但单项计提坏账准备的其他应收款的说明：本公司子公司广州易 星信息科技有限公司应收深圳首华财经信息有限公司的款项</w:t>
      </w:r>
      <w:r>
        <w:rPr>
          <w:rFonts w:ascii="Times New Roman" w:hAnsi="Times New Roman" w:cs="Times New Roman" w:eastAsia="Times New Roman" w:hint="default"/>
        </w:rPr>
        <w:t>10</w:t>
      </w:r>
      <w:r>
        <w:rPr/>
        <w:t>万元，单项金额未超过</w:t>
      </w:r>
      <w:r>
        <w:rPr>
          <w:rFonts w:ascii="Times New Roman" w:hAnsi="Times New Roman" w:cs="Times New Roman" w:eastAsia="Times New Roman" w:hint="default"/>
        </w:rPr>
        <w:t>100</w:t>
      </w:r>
      <w:r>
        <w:rPr/>
        <w:t>万 元，但由于与该单位的合同未能执行完成即告终止，目前正处诉讼程序中，本公司认为该应 收款回收风险较大，按</w:t>
      </w:r>
      <w:r>
        <w:rPr>
          <w:rFonts w:ascii="Times New Roman" w:hAnsi="Times New Roman" w:cs="Times New Roman" w:eastAsia="Times New Roman" w:hint="default"/>
        </w:rPr>
        <w:t>100</w:t>
      </w:r>
      <w:r>
        <w:rPr/>
        <w:t>％计提坏账准备。</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覃杰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借支款项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4" w:right="0"/>
              <w:jc w:val="left"/>
              <w:rPr>
                <w:rFonts w:ascii="Times New Roman" w:hAnsi="Times New Roman" w:cs="Times New Roman" w:eastAsia="Times New Roman" w:hint="default"/>
                <w:sz w:val="18"/>
                <w:szCs w:val="18"/>
              </w:rPr>
            </w:pPr>
            <w:r>
              <w:rPr>
                <w:rFonts w:ascii="Times New Roman"/>
                <w:sz w:val="18"/>
              </w:rPr>
              <w:t>3,464,627.23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其他应收款核销说明</w:t>
      </w:r>
    </w:p>
    <w:p>
      <w:pPr>
        <w:spacing w:after="0" w:line="240" w:lineRule="auto"/>
        <w:jc w:val="left"/>
        <w:sectPr>
          <w:type w:val="continuous"/>
          <w:pgSz w:w="11910" w:h="16840"/>
          <w:pgMar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ind w:right="141" w:firstLine="270"/>
        <w:jc w:val="left"/>
      </w:pPr>
      <w:r>
        <w:rPr/>
        <w:t>本报告期实际核销的大额其他应收款：报告期内本公司之子公司广西驿途信息科技有限公司（本年新增的非同一控制下 合并取得子公司）核销无法收回的其他应收款金额共计</w:t>
      </w:r>
      <w:r>
        <w:rPr>
          <w:rFonts w:ascii="Times New Roman" w:hAnsi="Times New Roman" w:cs="Times New Roman" w:eastAsia="Times New Roman" w:hint="default"/>
        </w:rPr>
        <w:t>3,464,627.23</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94"/>
      </w:tblGrid>
      <w:tr>
        <w:trPr>
          <w:trHeight w:val="401"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合肥高新技术产业开发 区财政国库支付中心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安全生产风险保证金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1,717,182.32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上海市公安局交通警察 总队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西南成都社保及公积金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615,932.48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联通事业部社保及公积 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594,469.94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7,055,584.74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3703;top:16;width:24;height:392" coordorigin="3703,16" coordsize="24,392">
              <v:shape style="position:absolute;left:3703;top:16;width:24;height:392" coordorigin="3703,16" coordsize="24,392" path="m3703,407l3727,407,3727,16,3703,16,3703,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666;height:392" coordorigin="37,16" coordsize="3666,392">
              <v:shape style="position:absolute;left:37;top:16;width:3666;height:392" coordorigin="37,16" coordsize="3666,392" path="m37,407l3703,407,3703,16,37,16,37,407xe" filled="true" fillcolor="#d3d3d3" stroked="false">
                <v:path arrowok="t"/>
                <v:fill type="solid"/>
              </v:shape>
            </v:group>
            <v:group style="position:absolute;left:3737;top:16;width:23;height:392" coordorigin="3737,16" coordsize="23,392">
              <v:shape style="position:absolute;left:3737;top:16;width:23;height:392" coordorigin="3737,16" coordsize="23,392" path="m3737,407l3760,407,3760,16,3737,16,3737,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3760;top:16;width:5790;height:392" coordorigin="3760,16" coordsize="5790,392">
              <v:shape style="position:absolute;left:3760;top:16;width:5790;height:392" coordorigin="3760,16" coordsize="5790,392" path="m3760,407l9550,407,9550,16,3760,16,376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001pt" strokecolor="#000000">
                <v:path arrowok="t"/>
              </v:shape>
            </v:group>
            <v:group style="position:absolute;left:9550;top:418;width:23;height:392" coordorigin="9550,418" coordsize="23,392">
              <v:shape style="position:absolute;left:9550;top:418;width:23;height:392" coordorigin="9550,418" coordsize="23,392" path="m9550,809l9572,809,9572,418,9550,418,9550,809xe" filled="true" fillcolor="#d3d3d3" stroked="false">
                <v:path arrowok="t"/>
                <v:fill type="solid"/>
              </v:shape>
            </v:group>
            <v:group style="position:absolute;left:14;top:418;width:23;height:392" coordorigin="14,418" coordsize="23,392">
              <v:shape style="position:absolute;left:14;top:418;width:23;height:392" coordorigin="14,418" coordsize="23,392" path="m14,809l37,809,37,418,14,418,14,809xe" filled="true" fillcolor="#d3d3d3" stroked="false">
                <v:path arrowok="t"/>
                <v:fill type="solid"/>
              </v:shape>
            </v:group>
            <v:group style="position:absolute;left:37;top:418;width:9513;height:392" coordorigin="37,418" coordsize="9513,392">
              <v:shape style="position:absolute;left:37;top:418;width:9513;height:392" coordorigin="37,418" coordsize="9513,392" path="m37,809l9550,809,9550,418,37,418,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9550;top:820;width:23;height:392" coordorigin="9550,820" coordsize="23,392">
              <v:shape style="position:absolute;left:9550;top:820;width:23;height:392" coordorigin="9550,820" coordsize="23,392" path="m9550,1211l9572,1211,9572,820,9550,820,9550,1211xe" filled="true" fillcolor="#d3d3d3" stroked="false">
                <v:path arrowok="t"/>
                <v:fill type="solid"/>
              </v:shape>
            </v:group>
            <v:group style="position:absolute;left:14;top:820;width:23;height:392" coordorigin="14,820" coordsize="23,392">
              <v:shape style="position:absolute;left:14;top:820;width:23;height:392" coordorigin="14,820" coordsize="23,392" path="m14,1211l37,1211,37,820,14,820,14,1211xe" filled="true" fillcolor="#d3d3d3" stroked="false">
                <v:path arrowok="t"/>
                <v:fill type="solid"/>
              </v:shape>
            </v:group>
            <v:group style="position:absolute;left:37;top:820;width:9513;height:392" coordorigin="37,820" coordsize="9513,392">
              <v:shape style="position:absolute;left:37;top:820;width:9513;height:392" coordorigin="37,820" coordsize="9513,392" path="m37,1211l9550,1211,9550,820,37,820,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5;width:2;height:1217" coordorigin="10,5" coordsize="2,1217">
              <v:shape style="position:absolute;left:10;top:5;width:2;height:1217" coordorigin="10,5" coordsize="0,1217" path="m10,5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004pt" strokecolor="#000000">
                <v:path arrowok="t"/>
              </v:shape>
            </v:group>
            <v:group style="position:absolute;left:9577;top:5;width:2;height:1217" coordorigin="9577,5" coordsize="2,1217">
              <v:shape style="position:absolute;left:9577;top:5;width:2;height:1217" coordorigin="9577,5" coordsize="0,1217" path="m9577,5l9577,1222e" filled="false" stroked="true" strokeweight=".47998pt" strokecolor="#000000">
                <v:path arrowok="t"/>
              </v:shape>
              <v:shape style="position:absolute;left:1690;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17,020,301.57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1,812,782.37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86.07%</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1,461,733.68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293,329.78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13.93%</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18,482,035.25</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2,106,112.15</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151"/>
        <w:jc w:val="left"/>
      </w:pPr>
      <w:r>
        <w:rPr/>
        <w:t>预付款项账龄的说明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北京华为数字技术有限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8,124,598.91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3,195,973.85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杭州华为企业通信技术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1,388,842.43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南京朗拓环境设计工程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794,420.66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14,489,628.85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7791"/>
        <w:jc w:val="left"/>
      </w:pPr>
      <w:r>
        <w:rPr/>
        <w:t>预付款项主要单位的说明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27"/>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12,361,346.37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12,361,346.37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2,127,044.00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2,127,044.00</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38,137,453.09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38,137,453.09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52,963,462.92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52,963,462.92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103,462,262.38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103,462,262.38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2,127,044.00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2,127,044.00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402"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357" w:lineRule="auto" w:before="51"/>
        <w:ind w:left="154" w:right="8870"/>
        <w:jc w:val="left"/>
      </w:pPr>
      <w:r>
        <w:rPr/>
        <w:t>存货的说明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57" w:lineRule="auto" w:before="52"/>
        <w:ind w:right="8331"/>
        <w:jc w:val="left"/>
      </w:pPr>
      <w:r>
        <w:rPr/>
        <w:t>其他流动资产说明 无</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9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52"/>
        <w:ind w:left="154" w:right="90"/>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pStyle w:val="BodyText"/>
        <w:spacing w:line="240" w:lineRule="auto" w:before="28"/>
        <w:ind w:left="154" w:right="90"/>
        <w:jc w:val="left"/>
      </w:pPr>
      <w:r>
        <w:rPr/>
        <w:t>无</w:t>
      </w:r>
    </w:p>
    <w:p>
      <w:pPr>
        <w:spacing w:line="240" w:lineRule="auto" w:before="12"/>
        <w:rPr>
          <w:rFonts w:ascii="宋体" w:hAnsi="宋体" w:cs="宋体" w:eastAsia="宋体" w:hint="default"/>
          <w:sz w:val="26"/>
          <w:szCs w:val="26"/>
        </w:rPr>
      </w:pPr>
    </w:p>
    <w:p>
      <w:pPr>
        <w:pStyle w:val="Heading5"/>
        <w:spacing w:line="240" w:lineRule="auto"/>
        <w:ind w:right="9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571"/>
        <w:jc w:val="left"/>
      </w:pPr>
      <w:r>
        <w:rPr/>
        <w:t>可供出售金融资产的长期债权投资的说明 无</w:t>
      </w:r>
    </w:p>
    <w:p>
      <w:pPr>
        <w:spacing w:line="240" w:lineRule="auto" w:before="2"/>
        <w:rPr>
          <w:rFonts w:ascii="宋体" w:hAnsi="宋体" w:cs="宋体" w:eastAsia="宋体" w:hint="default"/>
          <w:sz w:val="20"/>
          <w:szCs w:val="20"/>
        </w:rPr>
      </w:pPr>
    </w:p>
    <w:p>
      <w:pPr>
        <w:pStyle w:val="Heading5"/>
        <w:spacing w:line="240" w:lineRule="auto"/>
        <w:ind w:right="9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4"/>
        <w:gridCol w:w="3187"/>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357" w:lineRule="auto" w:before="51"/>
        <w:ind w:right="8011"/>
        <w:jc w:val="left"/>
      </w:pPr>
      <w:r>
        <w:rPr/>
        <w:t>持有至到期投资的说明 无</w:t>
      </w:r>
    </w:p>
    <w:p>
      <w:pPr>
        <w:spacing w:line="240" w:lineRule="auto" w:before="2"/>
        <w:rPr>
          <w:rFonts w:ascii="宋体" w:hAnsi="宋体" w:cs="宋体" w:eastAsia="宋体" w:hint="default"/>
          <w:sz w:val="20"/>
          <w:szCs w:val="20"/>
        </w:rPr>
      </w:pPr>
    </w:p>
    <w:p>
      <w:pPr>
        <w:pStyle w:val="Heading5"/>
        <w:spacing w:line="240" w:lineRule="auto"/>
        <w:ind w:right="9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7"/>
        <w:gridCol w:w="2790"/>
        <w:gridCol w:w="3980"/>
      </w:tblGrid>
      <w:tr>
        <w:trPr>
          <w:trHeight w:val="402" w:hRule="exact"/>
        </w:trPr>
        <w:tc>
          <w:tcPr>
            <w:tcW w:w="2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357" w:lineRule="auto" w:before="51"/>
        <w:ind w:right="5491"/>
        <w:jc w:val="left"/>
      </w:pPr>
      <w:r>
        <w:rPr/>
        <w:t>本报告期内出售但尚未到期的持有至到期投资情况说明 无</w:t>
      </w:r>
    </w:p>
    <w:p>
      <w:pPr>
        <w:spacing w:line="240" w:lineRule="auto" w:before="2"/>
        <w:rPr>
          <w:rFonts w:ascii="宋体" w:hAnsi="宋体" w:cs="宋体" w:eastAsia="宋体" w:hint="default"/>
          <w:sz w:val="20"/>
          <w:szCs w:val="20"/>
        </w:rPr>
      </w:pPr>
    </w:p>
    <w:p>
      <w:pPr>
        <w:pStyle w:val="Heading5"/>
        <w:spacing w:line="240" w:lineRule="auto"/>
        <w:ind w:right="9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3322"/>
        <w:gridCol w:w="3454"/>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sz w:val="24"/>
          <w:szCs w:val="24"/>
        </w:rPr>
      </w:pPr>
      <w:r>
        <w:rPr/>
        <w:pict>
          <v:shape style="position:absolute;margin-left:72.480003pt;margin-top:439.980011pt;width:63.55pt;height:66.45pt;mso-position-horizontal-relative:page;mso-position-vertical-relative:page;z-index:-1151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0" w:right="0"/>
                    <w:jc w:val="left"/>
                  </w:pPr>
                  <w:r>
                    <w:rPr/>
                    <w:t>（注）</w:t>
                  </w:r>
                </w:p>
              </w:txbxContent>
            </v:textbox>
            <w10:wrap type="none"/>
          </v:shape>
        </w:pict>
      </w:r>
      <w:r>
        <w:rPr/>
        <w:pict>
          <v:group style="position:absolute;margin-left:96.660004pt;margin-top:439.980011pt;width:39.4pt;height:66.45pt;mso-position-horizontal-relative:page;mso-position-vertical-relative:page;z-index:-1151272" coordorigin="1933,8800" coordsize="788,1329">
            <v:group style="position:absolute;left:1933;top:8800;width:788;height:1329" coordorigin="1933,8800" coordsize="788,1329">
              <v:shape style="position:absolute;left:1933;top:8800;width:788;height:1329" coordorigin="1933,8800" coordsize="788,1329" path="m1933,10128l2720,10128,2720,8800,1933,8800,1933,10128xe" filled="true" fillcolor="#ffffff" stroked="false">
                <v:path arrowok="t"/>
                <v:fill type="solid"/>
              </v:shape>
            </v:group>
            <v:group style="position:absolute;left:1956;top:8956;width:742;height:353" coordorigin="1956,8956" coordsize="742,353">
              <v:shape style="position:absolute;left:1956;top:8956;width:742;height:353" coordorigin="1956,8956" coordsize="742,353" path="m1956,9308l2698,9308,2698,8956,1956,8956,1956,9308xe" filled="true" fillcolor="#ffffff" stroked="false">
                <v:path arrowok="t"/>
                <v:fill type="solid"/>
              </v:shape>
            </v:group>
            <v:group style="position:absolute;left:1956;top:9308;width:742;height:312" coordorigin="1956,9308" coordsize="742,312">
              <v:shape style="position:absolute;left:1956;top:9308;width:742;height:312" coordorigin="1956,9308" coordsize="742,312" path="m1956,9620l2698,9620,2698,9308,1956,9308,1956,9620xe" filled="true" fillcolor="#ffffff" stroked="false">
                <v:path arrowok="t"/>
                <v:fill type="solid"/>
              </v:shape>
            </v:group>
            <v:group style="position:absolute;left:1956;top:9620;width:742;height:352" coordorigin="1956,9620" coordsize="742,352">
              <v:shape style="position:absolute;left:1956;top:9620;width:742;height:352" coordorigin="1956,9620" coordsize="742,352" path="m1956,9972l2698,9972,2698,9620,1956,9620,1956,9972xe" filled="true" fillcolor="#ffffff" stroked="false">
                <v:path arrowok="t"/>
                <v:fill type="solid"/>
              </v:shape>
            </v:group>
            <w10:wrap type="none"/>
          </v:group>
        </w:pict>
      </w:r>
    </w:p>
    <w:p>
      <w:pPr>
        <w:pStyle w:val="Heading5"/>
        <w:spacing w:line="240" w:lineRule="auto" w:before="35"/>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357" w:lineRule="auto" w:before="52"/>
        <w:ind w:right="2031"/>
        <w:jc w:val="left"/>
      </w:pPr>
      <w:r>
        <w:rPr/>
        <w:t>合营企业、联营企业的重要会计政策、会计估计与公司的会计政策、会计估计存在重大差异的说明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47"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4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41"/>
              <w:jc w:val="both"/>
              <w:rPr>
                <w:rFonts w:ascii="宋体" w:hAnsi="宋体" w:cs="宋体" w:eastAsia="宋体" w:hint="default"/>
                <w:sz w:val="18"/>
                <w:szCs w:val="18"/>
              </w:rPr>
            </w:pPr>
            <w:r>
              <w:rPr>
                <w:rFonts w:ascii="宋体" w:hAnsi="宋体" w:cs="宋体" w:eastAsia="宋体" w:hint="default"/>
                <w:sz w:val="18"/>
                <w:szCs w:val="18"/>
              </w:rPr>
              <w:t>深圳市金 华威数码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权益法转 换为成本 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13,610,59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-13,610,5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深州市汇</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巨信息技 术有限公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38,400,00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30,124,06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8,524,179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38,648,24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5.35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3,191,700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2,655,860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17,621.36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2,673,481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广州正道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71,091,70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46,390,52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9,831,205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56,221,72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357" w:lineRule="auto" w:before="52"/>
        <w:ind w:right="8083"/>
        <w:jc w:val="left"/>
      </w:pPr>
      <w:r>
        <w:rPr/>
        <w:t>长期股权投资的说明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0"/>
        <w:gridCol w:w="1860"/>
        <w:gridCol w:w="2126"/>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51"/>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340;top:14;width:24;height:393" coordorigin="5340,14" coordsize="24,393">
              <v:shape style="position:absolute;left:5340;top:14;width:24;height:393" coordorigin="5340,14" coordsize="24,393" path="m5340,407l5364,407,5364,14,5340,14,534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5303;height:393" coordorigin="37,14" coordsize="5303,393">
              <v:shape style="position:absolute;left:37;top:14;width:5303;height:393" coordorigin="37,14" coordsize="5303,393" path="m37,407l5340,407,5340,14,37,14,37,407xe" filled="true" fillcolor="#d3d3d3" stroked="false">
                <v:path arrowok="t"/>
                <v:fill type="solid"/>
              </v:shape>
            </v:group>
            <v:group style="position:absolute;left:5374;top:14;width:23;height:393" coordorigin="5374,14" coordsize="23,393">
              <v:shape style="position:absolute;left:5374;top:14;width:23;height:393" coordorigin="5374,14" coordsize="23,393" path="m5374,407l5396,407,5396,14,5374,14,537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396;top:14;width:4154;height:393" coordorigin="5396,14" coordsize="4154,393">
              <v:shape style="position:absolute;left:5396;top:14;width:4154;height:393" coordorigin="5396,14" coordsize="4154,393" path="m5396,407l9550,407,9550,14,5396,14,53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360;height:2" coordorigin="5,412" coordsize="5360,2">
              <v:shape style="position:absolute;left:5;top:412;width:5360;height:2" coordorigin="5,412" coordsize="5360,0" path="m5,412l5364,412e" filled="false" stroked="true" strokeweight=".48001pt" strokecolor="#000000">
                <v:path arrowok="t"/>
              </v:shape>
            </v:group>
            <v:group style="position:absolute;left:5369;top:14;width:2;height:402" coordorigin="5369,14" coordsize="2,402">
              <v:shape style="position:absolute;left:5369;top:14;width:2;height:402" coordorigin="5369,14" coordsize="0,402" path="m5369,14l5369,416e" filled="false" stroked="true" strokeweight=".47998pt" strokecolor="#000000">
                <v:path arrowok="t"/>
              </v:shape>
            </v:group>
            <v:group style="position:absolute;left:5374;top:412;width:4199;height:2" coordorigin="5374,412" coordsize="4199,2">
              <v:shape style="position:absolute;left:5374;top:412;width:4199;height:2" coordorigin="5374,412" coordsize="4199,0" path="m5374,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729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402" w:hRule="exact"/>
        </w:trPr>
        <w:tc>
          <w:tcPr>
            <w:tcW w:w="2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09" w:right="49"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 w:right="49"/>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316" w:lineRule="auto" w:before="51"/>
        <w:ind w:right="0"/>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pStyle w:val="BodyText"/>
        <w:spacing w:line="240" w:lineRule="auto" w:before="58"/>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100,789,587.87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5,343,747.65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5,207,309.17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100,926,026.35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59,768,632.10</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59,768,632.10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59,768,632.10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2,299,649.27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951,241.45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2,845,764.72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2,845,764.72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7,628,809.92</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7,372,285.92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7,372,285.92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31,092,496.58</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4,392,506.20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4,545,659.17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30,939,343.61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23,938,485.37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104,311.55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8,306,422.31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4,590,173.50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27,759,045.73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4,668,558.70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1,534,114.68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1,411,749.57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4,790,923.81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1,180,621.10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76,090.23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249,354.33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372,387.00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1,133,678.66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3,263,807.72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663,508.92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230,871.60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3,696,445.04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14,825,497.85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28,221.32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5,859,444.38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2,575,165.33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18,137,998.22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76,851,102.50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73,166,980.62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55,100,073.40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54,977,708.29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1,119,028.17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1,712,086.06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4,365,002.20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3,675,840.88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16,266,998.73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12,801,345.39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76,851,102.50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73,166,980.62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55,100,073.40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54,977,708.29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1,119,028.17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1,712,086.06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4,365,002.20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3,675,840.88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16,266,998.73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12,801,345.39</w:t>
            </w:r>
          </w:p>
        </w:tc>
      </w:tr>
    </w:tbl>
    <w:p>
      <w:pPr>
        <w:pStyle w:val="BodyText"/>
        <w:spacing w:line="240" w:lineRule="auto" w:before="51"/>
        <w:ind w:left="154" w:right="0"/>
        <w:jc w:val="left"/>
      </w:pPr>
      <w:r>
        <w:rPr/>
        <w:t>本期折旧额</w:t>
      </w:r>
      <w:r>
        <w:rPr>
          <w:spacing w:val="-47"/>
        </w:rPr>
        <w:t> </w:t>
      </w:r>
      <w:r>
        <w:rPr>
          <w:rFonts w:ascii="Times New Roman" w:hAnsi="Times New Roman" w:cs="Times New Roman" w:eastAsia="Times New Roman" w:hint="default"/>
        </w:rPr>
        <w:t>8,410,733.86</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6;top:14;width:23;height:393" coordorigin="4766,14" coordsize="23,393">
              <v:shape style="position:absolute;left:4766;top:14;width:23;height:393" coordorigin="4766,14" coordsize="23,393" path="m4766,407l4789,407,4789,14,4766,14,4766,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30;height:393" coordorigin="37,14" coordsize="4730,393">
              <v:shape style="position:absolute;left:37;top:14;width:4730;height:393" coordorigin="37,14" coordsize="4730,393" path="m37,407l4766,407,4766,14,37,14,37,407xe" filled="true" fillcolor="#d3d3d3" stroked="false">
                <v:path arrowok="t"/>
                <v:fill type="solid"/>
              </v:shape>
            </v:group>
            <v:group style="position:absolute;left:4800;top:14;width:23;height:393" coordorigin="4800,14" coordsize="23,393">
              <v:shape style="position:absolute;left:4800;top:14;width:23;height:393" coordorigin="4800,14" coordsize="23,393" path="m4800,407l4823,407,4823,14,4800,14,4800,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3;top:14;width:4727;height:393" coordorigin="4823,14" coordsize="4727,393">
              <v:shape style="position:absolute;left:4823;top:14;width:4727;height:393" coordorigin="4823,14" coordsize="4727,393" path="m4823,407l9550,407,9550,14,4823,14,4823,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8001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0"/>
        <w:gridCol w:w="1876"/>
        <w:gridCol w:w="1874"/>
        <w:gridCol w:w="1875"/>
      </w:tblGrid>
      <w:tr>
        <w:trPr>
          <w:trHeight w:val="402"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357" w:lineRule="auto" w:before="51"/>
        <w:ind w:left="154" w:right="8690"/>
        <w:jc w:val="left"/>
      </w:pPr>
      <w:r>
        <w:rPr/>
        <w:t>固定资产说明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合肥研发中心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102,769,924.49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102,769,924.49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22,936,749.90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22,936,749.90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102,769,924.49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102,769,924.49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22,936,749.90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22,936,749.90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7"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合肥研 发中心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243,370,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22,936,7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79,833,1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42.23%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42.23%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18"/>
                <w:szCs w:val="18"/>
              </w:rPr>
            </w:pPr>
            <w:r>
              <w:rPr>
                <w:rFonts w:ascii="Times New Roman"/>
                <w:sz w:val="18"/>
              </w:rPr>
              <w:t>102,769,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924.49</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243,370,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22,936,7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79,833,1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18"/>
                <w:szCs w:val="18"/>
              </w:rPr>
            </w:pPr>
            <w:r>
              <w:rPr>
                <w:rFonts w:ascii="Times New Roman"/>
                <w:sz w:val="18"/>
              </w:rPr>
              <w:t>102,769,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924.49</w:t>
            </w:r>
          </w:p>
        </w:tc>
      </w:tr>
    </w:tbl>
    <w:p>
      <w:pPr>
        <w:pStyle w:val="BodyText"/>
        <w:spacing w:line="357" w:lineRule="auto" w:before="51"/>
        <w:ind w:right="7431"/>
        <w:jc w:val="left"/>
      </w:pPr>
      <w:r>
        <w:rPr/>
        <w:t>在建工程项目变动情况的说明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合肥研发基地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楼已封顶，</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楼已部分装 修，</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6-8#</w:t>
            </w:r>
            <w:r>
              <w:rPr>
                <w:rFonts w:ascii="宋体" w:hAnsi="宋体" w:cs="宋体" w:eastAsia="宋体" w:hint="default"/>
                <w:sz w:val="18"/>
                <w:szCs w:val="18"/>
              </w:rPr>
              <w:t>楼完成部分结构施工</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right="0" w:firstLine="300"/>
        <w:jc w:val="left"/>
      </w:pPr>
      <w:r>
        <w:rPr/>
        <w:t>本期不存在长期停建并计划在</w:t>
      </w:r>
      <w:r>
        <w:rPr>
          <w:rFonts w:ascii="Times New Roman" w:hAnsi="Times New Roman" w:cs="Times New Roman" w:eastAsia="Times New Roman" w:hint="default"/>
        </w:rPr>
        <w:t>3</w:t>
      </w:r>
      <w:r>
        <w:rPr/>
        <w:t>年内不会重新开工等预计可收回金额低于账面价值的在建</w:t>
      </w:r>
      <w:r>
        <w:rPr>
          <w:spacing w:val="2"/>
        </w:rPr>
        <w:t> </w:t>
      </w:r>
      <w:r>
        <w:rPr/>
        <w:t>工程，故无需计提在建工程减值准备。</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357" w:lineRule="auto" w:before="52"/>
        <w:ind w:left="154" w:right="8510"/>
        <w:jc w:val="left"/>
      </w:pPr>
      <w:r>
        <w:rPr/>
        <w:t>工程物资的说明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pStyle w:val="BodyText"/>
        <w:spacing w:line="338" w:lineRule="auto" w:before="51"/>
        <w:ind w:right="4372"/>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 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51"/>
        <w:ind w:left="154" w:right="0"/>
        <w:jc w:val="left"/>
      </w:pPr>
      <w:r>
        <w:rPr/>
        <w:t>生产性生物资产的说明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357" w:lineRule="auto" w:before="52"/>
        <w:ind w:left="154" w:right="8510"/>
        <w:jc w:val="left"/>
      </w:pPr>
      <w:r>
        <w:rPr/>
        <w:t>油气资产的说明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136,857,810.58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98,301,192.85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235,159,003.43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101,656,161.01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91,241,036.05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192,897,197.06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24,416,051.01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2,068,763.52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26,484,814.53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10,785,598.56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4,991,393.28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15,776,991.84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40,181,560.56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33,024,407.31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73,205,967.87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31,745,433.29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27,721,690.20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59,467,123.49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8,364,223.28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5,028,704.22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13,464,927.50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71,903.99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274,012.89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345,916.88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96,676,250.02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65,276,785.54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161,953,035.56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69,910,727.72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63,519,345.85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133,430,073.57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16,051,827.73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-2,959,940.70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13,091,887.03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10,713,694.57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4,717,380.39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15,431,074.96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其中：非专利技术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96,676,250.02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65,276,785.54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161,953,035.56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69,910,727.72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133,430,073.57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16,051,827.73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13,091,887.03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10,713,694.57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15,431,074.96</w:t>
            </w:r>
          </w:p>
        </w:tc>
      </w:tr>
    </w:tbl>
    <w:p>
      <w:pPr>
        <w:pStyle w:val="BodyText"/>
        <w:spacing w:line="240" w:lineRule="auto" w:before="51"/>
        <w:ind w:left="154" w:right="0"/>
        <w:jc w:val="left"/>
      </w:pPr>
      <w:r>
        <w:rPr/>
        <w:t>本期摊销额</w:t>
      </w:r>
      <w:r>
        <w:rPr>
          <w:spacing w:val="-46"/>
        </w:rPr>
        <w:t> </w:t>
      </w:r>
      <w:r>
        <w:rPr>
          <w:rFonts w:ascii="Times New Roman" w:hAnsi="Times New Roman" w:cs="Times New Roman" w:eastAsia="Times New Roman" w:hint="default"/>
        </w:rPr>
        <w:t>33,024,407.31</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客户关系管理系统 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17,938,278.10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2,379,655.75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1,386,924.86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18,931,008.99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企业智能决策支持 平台项目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13,504,690.48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4,086,175.62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1,500,889.39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16,089,976.71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融合计费系统项目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11,223,708.09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4,637,394.25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2,025,442.02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13,835,660.32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情报线索分析系统 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14,199,315.92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6,538,033.85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2,407,972.70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18,329,377.07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新一代电信运营支 撑系统项目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19,437,398.38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2,766,551.05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2,053,794.52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20,150,154.91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both"/>
              <w:rPr>
                <w:rFonts w:ascii="宋体" w:hAnsi="宋体" w:cs="宋体" w:eastAsia="宋体" w:hint="default"/>
                <w:sz w:val="18"/>
                <w:szCs w:val="18"/>
              </w:rPr>
            </w:pPr>
            <w:r>
              <w:rPr>
                <w:rFonts w:ascii="宋体" w:hAnsi="宋体" w:cs="宋体" w:eastAsia="宋体" w:hint="default"/>
                <w:sz w:val="18"/>
                <w:szCs w:val="18"/>
              </w:rPr>
              <w:t>基于架构和构件库 的电信业务中间件 平台项目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1,983,053.65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2,881,418.94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959,614.54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3,904,858.05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经营决策分析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7,209,508.59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2,829,819.37</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4,379,689.22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公安大情报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3,616,895.53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2,329,213.76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1,287,681.77</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18,473,952.22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4,428,305.95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14,045,646.27</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客户关系管理</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18,376,172.67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3,315,695.54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15,060,477.13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咨询运营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7,806,996.41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3,609,183.08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4,197,813.33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6,139,842.31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1,874,116.62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4,265,725.69</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13,633,149.26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1,358,387.43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12,274,761.83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NGBSS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16,672,789.33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16,672,789.33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融合消息系统项目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10,917,450.53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10,917,450.53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移动查勘系统项目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991,802.17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991,802.17</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公安综合应用类</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4,242,561.20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4,242,561.20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金华威智真智能终 端控制软件</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2,314,780.71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2,314,780.71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78,286,444.62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133,685,130.39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65,218,743.72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91,241,036.05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55,511,795.24</w:t>
            </w:r>
          </w:p>
        </w:tc>
      </w:tr>
    </w:tbl>
    <w:p>
      <w:pPr>
        <w:pStyle w:val="BodyText"/>
        <w:spacing w:line="338" w:lineRule="auto" w:before="51"/>
        <w:ind w:left="154" w:right="138"/>
        <w:jc w:val="left"/>
      </w:pPr>
      <w:r>
        <w:rPr/>
        <w:t>本期开发支出占本期研究开发项目支出总额的比例</w:t>
      </w:r>
      <w:r>
        <w:rPr>
          <w:spacing w:val="-46"/>
        </w:rPr>
        <w:t> </w:t>
      </w:r>
      <w:r>
        <w:rPr>
          <w:rFonts w:ascii="Times New Roman" w:hAnsi="Times New Roman" w:cs="Times New Roman" w:eastAsia="Times New Roman" w:hint="default"/>
        </w:rPr>
        <w:t>51.21%</w:t>
      </w:r>
      <w:r>
        <w:rPr/>
        <w:t>。 通过公司内部研发形成的无形资产占无形资产期末账面价值的比例</w:t>
      </w:r>
      <w:r>
        <w:rPr>
          <w:spacing w:val="-46"/>
        </w:rPr>
        <w:t> </w:t>
      </w:r>
      <w:r>
        <w:rPr>
          <w:rFonts w:ascii="Times New Roman" w:hAnsi="Times New Roman" w:cs="Times New Roman" w:eastAsia="Times New Roman" w:hint="default"/>
        </w:rPr>
        <w:t>82.43%</w:t>
      </w:r>
      <w:r>
        <w:rPr/>
        <w:t>。 </w:t>
      </w:r>
      <w:r>
        <w:rPr>
          <w:spacing w:val="-2"/>
        </w:rPr>
        <w:t>公司开发项目的说明，包括本期发生的单项价值在</w:t>
      </w:r>
      <w:r>
        <w:rPr>
          <w:spacing w:val="-38"/>
        </w:rPr>
        <w:t> </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t>无</w:t>
      </w:r>
    </w:p>
    <w:p>
      <w:pPr>
        <w:spacing w:after="0" w:line="338"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27,673,109.50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27,673,109.50</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1,478,319.78</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1,478,319.78</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5"/>
              <w:jc w:val="left"/>
              <w:rPr>
                <w:rFonts w:ascii="宋体" w:hAnsi="宋体" w:cs="宋体" w:eastAsia="宋体" w:hint="default"/>
                <w:sz w:val="18"/>
                <w:szCs w:val="18"/>
              </w:rPr>
            </w:pPr>
            <w:r>
              <w:rPr>
                <w:rFonts w:ascii="宋体" w:hAnsi="宋体" w:cs="宋体" w:eastAsia="宋体" w:hint="default"/>
                <w:sz w:val="18"/>
                <w:szCs w:val="18"/>
              </w:rPr>
              <w:t>深圳市金华威数码科技有限公 司</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2,764,044.72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2,764,044.72</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4,274,008.29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4,274,008.29</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29,151,429.28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7,038,053.01</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36,189,482.29</w:t>
            </w:r>
          </w:p>
        </w:tc>
        <w:tc>
          <w:tcPr>
            <w:tcW w:w="11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3" w:right="0" w:hanging="360"/>
        <w:jc w:val="left"/>
      </w:pPr>
      <w:r>
        <w:rPr/>
        <w:t>说明商誉的减值测试方法和减值准备计提方法 </w:t>
      </w:r>
      <w:r>
        <w:rPr>
          <w:spacing w:val="-2"/>
        </w:rPr>
        <w:t>本公司以被收购公司整体作为资产组组合进行资产减值测试，资产组组合的可收回金额依据其预计未来现金流量的现值</w:t>
      </w:r>
    </w:p>
    <w:p>
      <w:pPr>
        <w:pStyle w:val="BodyText"/>
        <w:spacing w:line="224" w:lineRule="exact" w:before="0"/>
        <w:ind w:right="0"/>
        <w:jc w:val="left"/>
      </w:pPr>
      <w:r>
        <w:rPr/>
        <w:t>估计，折现率采用能够反映资产组组合的当前市场货币时间价值和特定风险的税前利率。经进行减值测试，商誉的公允价值</w:t>
      </w:r>
    </w:p>
    <w:p>
      <w:pPr>
        <w:pStyle w:val="BodyText"/>
        <w:spacing w:line="240" w:lineRule="auto" w:before="76"/>
        <w:ind w:right="0"/>
        <w:jc w:val="left"/>
      </w:pPr>
      <w:r>
        <w:rPr/>
        <w:t>高于其账面价值，故无需提取商誉减值准备。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高尔夫会员资格 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1,051,499.88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72,041.71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979,458.17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1,310,805.07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920,562.08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874,860.24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1,356,506.91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2,362,304.95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920,562.08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946,901.95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2,335,965.08</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151"/>
        <w:jc w:val="left"/>
      </w:pPr>
      <w:r>
        <w:rPr/>
        <w:t>长期待摊费用的说明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已确认的递延所得税资产和递延所得税负债</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1,573,891.63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1,624,673.62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2,996,736.31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2,392,557.25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4,570,627.94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4,182,380.87</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1"/>
        <w:ind w:left="154" w:right="0"/>
        <w:jc w:val="left"/>
      </w:pPr>
      <w:r>
        <w:rPr/>
        <w:t>未确认递延所得税资产明细</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45,440,359.81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28,296,219.24</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45,440,359.81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28,296,219.24</w:t>
            </w:r>
          </w:p>
        </w:tc>
      </w:tr>
    </w:tbl>
    <w:p>
      <w:pPr>
        <w:pStyle w:val="BodyText"/>
        <w:spacing w:line="240" w:lineRule="auto" w:before="51"/>
        <w:ind w:left="154" w:right="0"/>
        <w:jc w:val="left"/>
      </w:pPr>
      <w:r>
        <w:rPr/>
        <w:t>未确认递延所得税资产的可抵扣亏损将于以下年度到期</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54" w:right="0"/>
        <w:jc w:val="left"/>
      </w:pPr>
      <w:r>
        <w:rPr/>
        <w:t>应纳税差异和可抵扣差异项目明细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8"/>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互抵后的递延所得税资产及负债的组成项目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4,570,627.94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45,440,359.81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4,182,380.87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28,296,219.24</w:t>
            </w:r>
          </w:p>
        </w:tc>
      </w:tr>
    </w:tbl>
    <w:p>
      <w:pPr>
        <w:pStyle w:val="BodyText"/>
        <w:spacing w:line="240" w:lineRule="auto" w:before="51"/>
        <w:ind w:left="154" w:right="0"/>
        <w:jc w:val="left"/>
      </w:pPr>
      <w:r>
        <w:rPr/>
        <w:t>递延所得税资产和递延所得税负债互抵明细</w:t>
      </w:r>
    </w:p>
    <w:p>
      <w:pPr>
        <w:pStyle w:val="BodyText"/>
        <w:spacing w:line="240" w:lineRule="auto" w:before="117"/>
        <w:ind w:left="0" w:right="151"/>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3838;top:16;width:23;height:392" coordorigin="3838,16" coordsize="23,392">
              <v:shape style="position:absolute;left:3838;top:16;width:23;height:392" coordorigin="3838,16" coordsize="23,392" path="m3838,407l3860,407,3860,16,3838,16,3838,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801;height:392" coordorigin="37,16" coordsize="3801,392">
              <v:shape style="position:absolute;left:37;top:16;width:3801;height:392" coordorigin="37,16" coordsize="3801,392" path="m37,407l3838,407,3838,16,37,16,37,407xe" filled="true" fillcolor="#d3d3d3" stroked="false">
                <v:path arrowok="t"/>
                <v:fill type="solid"/>
              </v:shape>
            </v:group>
            <v:group style="position:absolute;left:3871;top:16;width:23;height:392" coordorigin="3871,16" coordsize="23,392">
              <v:shape style="position:absolute;left:3871;top:16;width:23;height:392" coordorigin="3871,16" coordsize="23,392" path="m3871,407l3894,407,3894,16,3871,16,3871,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3894;top:16;width:5656;height:392" coordorigin="3894,16" coordsize="5656,392">
              <v:shape style="position:absolute;left:3894;top:16;width:5656;height:392" coordorigin="3894,16" coordsize="5656,392" path="m3894,407l9550,407,9550,16,3894,16,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3856;height:2" coordorigin="5,413" coordsize="3856,2">
              <v:shape style="position:absolute;left:5;top:413;width:3856;height:2" coordorigin="5,413" coordsize="3856,0" path="m5,413l3860,413e" filled="false" stroked="true" strokeweight=".48pt" strokecolor="#000000">
                <v:path arrowok="t"/>
              </v:shape>
            </v:group>
            <v:group style="position:absolute;left:3865;top:14;width:2;height:404" coordorigin="3865,14" coordsize="2,404">
              <v:shape style="position:absolute;left:3865;top:14;width:2;height:404" coordorigin="3865,14" coordsize="0,404" path="m3865,14l3865,418e" filled="false" stroked="true" strokeweight=".48pt" strokecolor="#000000">
                <v:path arrowok="t"/>
              </v:shape>
            </v:group>
            <v:group style="position:absolute;left:3870;top:413;width:5703;height:2" coordorigin="3870,413" coordsize="5703,2">
              <v:shape style="position:absolute;left:3870;top:413;width:5703;height:2" coordorigin="3870,413" coordsize="5703,0" path="m3870,413l9572,413e" filled="false" stroked="true" strokeweight=".4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757;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12;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递延所得税资产和递延所得税负债的说明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11,243,741.78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7,770,937.71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3,541,682.81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15,472,996.68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11,243,741.78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7,770,937.71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3,541,682.81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15,472,996.68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ind w:left="513" w:right="186" w:hanging="360"/>
        <w:jc w:val="left"/>
      </w:pPr>
      <w:r>
        <w:rPr/>
        <w:t>资产减值明细情况的说明 注：本年计提中包括本年新增非同一控制下合并驿途公司、金华威公司合并日前计提的坏账准备合计</w:t>
      </w:r>
      <w:r>
        <w:rPr>
          <w:rFonts w:ascii="Times New Roman" w:hAnsi="Times New Roman" w:cs="Times New Roman" w:eastAsia="Times New Roman" w:hint="default"/>
        </w:rPr>
        <w:t>4,449,214.58</w:t>
      </w:r>
      <w:r>
        <w:rPr/>
        <w:t>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57" w:lineRule="auto" w:before="51"/>
        <w:ind w:right="7971"/>
        <w:jc w:val="left"/>
      </w:pPr>
      <w:r>
        <w:rPr/>
        <w:t>其他非流动资产的说明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42,568,000.00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82,568,000.00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151"/>
        <w:jc w:val="left"/>
      </w:pPr>
      <w:r>
        <w:rPr/>
        <w:t>短期借款分类的说明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51"/>
        <w:ind w:right="3651"/>
        <w:jc w:val="left"/>
      </w:pPr>
      <w:r>
        <w:rPr/>
        <w:t>资产负债表日后已偿还金额元。 短期借款的说明，包括已到期短期借款获展期的，说明展期条件、新的到期日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2"/>
        <w:gridCol w:w="2922"/>
        <w:gridCol w:w="3053"/>
      </w:tblGrid>
      <w:tr>
        <w:trPr>
          <w:trHeight w:val="402"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52"/>
        <w:ind w:right="7971"/>
        <w:jc w:val="left"/>
      </w:pPr>
      <w:r>
        <w:rPr/>
        <w:t>交易性金融负债的说明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37,027,782.00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37,027,782.00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51"/>
        <w:ind w:right="6130"/>
        <w:jc w:val="left"/>
      </w:pPr>
      <w:r>
        <w:rPr/>
        <w:t>下一会计期间将到期的金额</w:t>
      </w:r>
      <w:r>
        <w:rPr>
          <w:spacing w:val="-47"/>
        </w:rPr>
        <w:t> </w:t>
      </w:r>
      <w:r>
        <w:rPr>
          <w:rFonts w:ascii="Times New Roman" w:hAnsi="Times New Roman" w:cs="Times New Roman" w:eastAsia="Times New Roman" w:hint="default"/>
        </w:rPr>
        <w:t>37,027,782.00</w:t>
      </w:r>
      <w:r>
        <w:rPr>
          <w:rFonts w:ascii="Times New Roman" w:hAnsi="Times New Roman" w:cs="Times New Roman" w:eastAsia="Times New Roman" w:hint="default"/>
          <w:spacing w:val="-2"/>
        </w:rPr>
        <w:t> </w:t>
      </w:r>
      <w:r>
        <w:rPr/>
        <w:t>元。 应付票据的说明</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27,115,186.57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18,945,197.26</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27,115,186.57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18,945,197.26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15,687,619.75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3,693,347.17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15,687,619.75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3,693,347.17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1"/>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1"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8,651,868.89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208,002,439.87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209,551,108.58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7,103,200.18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3,421,186.88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3,421,186.88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93,176.01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18,941,377.48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18,927,677.72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106,875.76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医疗保险费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29,057.70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6,492,760.99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6,518,292.91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3,525.78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57,213.40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10,881,212.07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10,845,852.78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92,572.69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3,810.60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807,679.21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805,577.30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5,912.51</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1,300.80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315,196.19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314,398.50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2,098.49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1,793.50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444,529.02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443,556.23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2,766.29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16,672.00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13,394,637.18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13,431,873.53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-20,564.35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815,864.96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303,633.36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512,231.60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9"/>
                <w:sz w:val="18"/>
                <w:szCs w:val="18"/>
              </w:rPr>
              <w:t>其中：工会经费和职</w:t>
            </w:r>
            <w:r>
              <w:rPr>
                <w:rFonts w:ascii="宋体" w:hAnsi="宋体" w:cs="宋体" w:eastAsia="宋体" w:hint="default"/>
                <w:sz w:val="18"/>
                <w:szCs w:val="18"/>
              </w:rPr>
              <w:t> 工教育经费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815,864.96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303,633.36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512,231.60</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8,761,716.89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244,575,506.37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245,635,480.07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7,701,743.19</w:t>
            </w:r>
          </w:p>
        </w:tc>
      </w:tr>
    </w:tbl>
    <w:p>
      <w:pPr>
        <w:pStyle w:val="BodyText"/>
        <w:spacing w:line="240" w:lineRule="auto" w:before="51"/>
        <w:ind w:left="154"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2"/>
        <w:ind w:left="154" w:right="1226"/>
        <w:jc w:val="left"/>
      </w:pPr>
      <w:r>
        <w:rPr/>
        <w:t>工会经费和职工教育经费金额</w:t>
      </w:r>
      <w:r>
        <w:rPr>
          <w:spacing w:val="-46"/>
        </w:rPr>
        <w:t> </w:t>
      </w:r>
      <w:r>
        <w:rPr>
          <w:rFonts w:ascii="Times New Roman" w:hAnsi="Times New Roman" w:cs="Times New Roman" w:eastAsia="Times New Roman" w:hint="default"/>
        </w:rPr>
        <w:t>512,231.60</w:t>
      </w:r>
      <w:r>
        <w:rPr>
          <w:rFonts w:ascii="Times New Roman" w:hAnsi="Times New Roman" w:cs="Times New Roman" w:eastAsia="Times New Roman" w:hint="default"/>
          <w:spacing w:val="-1"/>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pStyle w:val="Heading4"/>
        <w:spacing w:line="322" w:lineRule="exact"/>
        <w:ind w:left="154" w:right="0"/>
        <w:jc w:val="left"/>
      </w:pPr>
      <w:r>
        <w:rPr/>
        <w:t>本期末应付职工薪酬余额预计在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月发放完毕。</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-7,437,130.63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-6,016,975.11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58,949.43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988,252.04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3,548,079.97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9,159,978.81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781,666.49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543,363.25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9,294.29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328,258.11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22,870.33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242,878.56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43,954.49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53,532.25</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-2,972,315.63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5,299,287.91</w:t>
            </w:r>
          </w:p>
        </w:tc>
      </w:tr>
    </w:tbl>
    <w:p>
      <w:pPr>
        <w:pStyle w:val="BodyText"/>
        <w:spacing w:line="357" w:lineRule="auto" w:before="51"/>
        <w:ind w:right="1491"/>
        <w:jc w:val="left"/>
      </w:pPr>
      <w:r>
        <w:rPr/>
        <w:t>应交税费说明，所在地税务机关同意各分公司、分厂之间应纳税所得额相互调剂的，应说明税款计算过程 无</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57" w:lineRule="auto" w:before="52"/>
        <w:ind w:left="154" w:right="8690"/>
        <w:jc w:val="left"/>
      </w:pPr>
      <w:r>
        <w:rPr/>
        <w:t>应付利息说明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357" w:lineRule="auto" w:before="51"/>
        <w:ind w:left="154" w:right="8510"/>
        <w:jc w:val="left"/>
      </w:pPr>
      <w:r>
        <w:rPr/>
        <w:t>应付股利的说明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11,204,681.54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2,533,170.39</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11,204,681.54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2,533,170.39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860"/>
        <w:gridCol w:w="1861"/>
        <w:gridCol w:w="1860"/>
        <w:gridCol w:w="1993"/>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51"/>
        <w:ind w:left="154" w:right="0"/>
        <w:jc w:val="left"/>
      </w:pPr>
      <w:r>
        <w:rPr/>
        <w:t>预计负债说明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一年内到期的长期借款</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pStyle w:val="BodyText"/>
        <w:spacing w:line="360" w:lineRule="auto" w:before="51"/>
        <w:ind w:right="-19"/>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80" w:left="980" w:right="980"/>
          <w:cols w:num="2" w:equalWidth="0">
            <w:col w:w="4835" w:space="399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2"/>
        <w:ind w:left="154" w:right="0"/>
        <w:jc w:val="left"/>
      </w:pPr>
      <w:r>
        <w:rPr/>
        <w:t>一年内到期的长期借款中的逾期借款</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60" w:lineRule="auto" w:before="51"/>
        <w:ind w:right="7071"/>
        <w:jc w:val="left"/>
      </w:pPr>
      <w:r>
        <w:rPr/>
        <w:t>资产负债表日后已偿还的金额元。 一年内到期的长期借款说明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7611"/>
        <w:jc w:val="left"/>
      </w:pPr>
      <w:r>
        <w:rPr/>
        <w:t>一年内到期的应付债券说明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357" w:lineRule="auto" w:before="51"/>
        <w:ind w:right="7251"/>
        <w:jc w:val="left"/>
      </w:pPr>
      <w:r>
        <w:rPr/>
        <w:t>一年内到期的长期应付款的说明 无</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357" w:lineRule="auto" w:before="52"/>
        <w:ind w:right="8331"/>
        <w:jc w:val="left"/>
      </w:pPr>
      <w:r>
        <w:rPr/>
        <w:t>其他流动负债说明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57" w:lineRule="auto" w:before="51"/>
        <w:ind w:right="8151"/>
        <w:jc w:val="left"/>
      </w:pPr>
      <w:r>
        <w:rPr/>
        <w:t>长期借款分类的说明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1"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357" w:lineRule="auto" w:before="52"/>
        <w:ind w:right="1131"/>
        <w:jc w:val="left"/>
      </w:pPr>
      <w:r>
        <w:rPr/>
        <w:t>长期借款说明，因逾期借款获得展期形成的长期借款，应说明获得展期的条件、本金、利息、预计还款安排等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5091"/>
        <w:jc w:val="left"/>
      </w:pPr>
      <w:r>
        <w:rPr/>
        <w:t>应付债券说明，包括可转换公司债券的转股条件、转股时间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6091"/>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4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94"/>
      </w:tblGrid>
      <w:tr>
        <w:trPr>
          <w:trHeight w:val="401"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57" w:lineRule="auto" w:before="52"/>
        <w:ind w:right="6091"/>
        <w:jc w:val="left"/>
      </w:pPr>
      <w:r>
        <w:rPr/>
        <w:t>由独立第三方为公司融资租赁提供担保的金额元。 长期应付款的说明</w:t>
      </w:r>
    </w:p>
    <w:p>
      <w:pPr>
        <w:pStyle w:val="BodyText"/>
        <w:spacing w:line="240" w:lineRule="auto" w:before="28"/>
        <w:ind w:right="6091"/>
        <w:jc w:val="left"/>
      </w:pPr>
      <w:r>
        <w:rPr/>
        <w:t>无</w:t>
      </w:r>
    </w:p>
    <w:p>
      <w:pPr>
        <w:spacing w:line="240" w:lineRule="auto" w:before="12"/>
        <w:rPr>
          <w:rFonts w:ascii="宋体" w:hAnsi="宋体" w:cs="宋体" w:eastAsia="宋体" w:hint="default"/>
          <w:sz w:val="26"/>
          <w:szCs w:val="26"/>
        </w:rPr>
      </w:pPr>
    </w:p>
    <w:p>
      <w:pPr>
        <w:pStyle w:val="Heading5"/>
        <w:spacing w:line="240" w:lineRule="auto"/>
        <w:ind w:right="6091"/>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4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357" w:lineRule="auto" w:before="51"/>
        <w:ind w:left="154" w:right="8790"/>
        <w:jc w:val="left"/>
      </w:pPr>
      <w:r>
        <w:rPr/>
        <w:t>专项应付款说明 无</w:t>
      </w:r>
    </w:p>
    <w:p>
      <w:pPr>
        <w:spacing w:line="240" w:lineRule="auto" w:before="2"/>
        <w:rPr>
          <w:rFonts w:ascii="宋体" w:hAnsi="宋体" w:cs="宋体" w:eastAsia="宋体" w:hint="default"/>
          <w:sz w:val="20"/>
          <w:szCs w:val="20"/>
        </w:rPr>
      </w:pPr>
    </w:p>
    <w:p>
      <w:pPr>
        <w:pStyle w:val="Heading5"/>
        <w:spacing w:line="240" w:lineRule="auto"/>
        <w:ind w:right="6091"/>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4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科技研发资助</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科技发展专项</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r>
    </w:tbl>
    <w:p>
      <w:pPr>
        <w:pStyle w:val="BodyText"/>
        <w:spacing w:line="240" w:lineRule="auto" w:before="51"/>
        <w:ind w:left="154" w:right="691"/>
        <w:jc w:val="left"/>
      </w:pPr>
      <w:r>
        <w:rPr/>
        <w:t>其他非流动负债说明，包括本报告期取得的各类与资产相关、与收益相关的政府补助及其期末金额</w:t>
      </w:r>
    </w:p>
    <w:p>
      <w:pPr>
        <w:pStyle w:val="Heading4"/>
        <w:spacing w:line="240" w:lineRule="auto" w:before="66"/>
        <w:ind w:left="634" w:right="6091"/>
        <w:jc w:val="left"/>
      </w:pPr>
      <w:r>
        <w:rPr/>
        <w:t>其中，递延收益明细如下：</w:t>
      </w:r>
    </w:p>
    <w:p>
      <w:pPr>
        <w:spacing w:line="240" w:lineRule="auto" w:before="11"/>
        <w:rPr>
          <w:rFonts w:ascii="宋体" w:hAnsi="宋体" w:cs="宋体" w:eastAsia="宋体" w:hint="default"/>
          <w:sz w:val="2"/>
          <w:szCs w:val="2"/>
        </w:rPr>
      </w:pPr>
    </w:p>
    <w:tbl>
      <w:tblPr>
        <w:tblW w:w="0" w:type="auto"/>
        <w:jc w:val="left"/>
        <w:tblInd w:w="816" w:type="dxa"/>
        <w:tblLayout w:type="fixed"/>
        <w:tblCellMar>
          <w:top w:w="0" w:type="dxa"/>
          <w:left w:w="0" w:type="dxa"/>
          <w:bottom w:w="0" w:type="dxa"/>
          <w:right w:w="0" w:type="dxa"/>
        </w:tblCellMar>
        <w:tblLook w:val="01E0"/>
      </w:tblPr>
      <w:tblGrid>
        <w:gridCol w:w="3504"/>
        <w:gridCol w:w="3126"/>
        <w:gridCol w:w="2627"/>
      </w:tblGrid>
      <w:tr>
        <w:trPr>
          <w:trHeight w:val="355" w:hRule="exact"/>
        </w:trPr>
        <w:tc>
          <w:tcPr>
            <w:tcW w:w="350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627"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2"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与资产相关的政府补助</w:t>
            </w:r>
            <w:r>
              <w:rPr>
                <w:rFonts w:ascii="宋体" w:hAnsi="宋体" w:cs="宋体" w:eastAsia="宋体" w:hint="default"/>
                <w:sz w:val="21"/>
                <w:szCs w:val="21"/>
              </w:rPr>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pacing w:val="-1"/>
                <w:sz w:val="21"/>
              </w:rPr>
              <w:t>3,000,000.00</w:t>
            </w:r>
            <w:r>
              <w:rPr>
                <w:rFonts w:ascii="Times New Roman"/>
                <w:spacing w:val="-1"/>
                <w:sz w:val="21"/>
              </w:rPr>
            </w:r>
          </w:p>
        </w:tc>
        <w:tc>
          <w:tcPr>
            <w:tcW w:w="26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b/>
                <w:spacing w:val="-1"/>
                <w:sz w:val="21"/>
              </w:rPr>
              <w:t>3,000,000.00</w:t>
            </w:r>
            <w:r>
              <w:rPr>
                <w:rFonts w:ascii="Times New Roman"/>
                <w:spacing w:val="-1"/>
                <w:sz w:val="21"/>
              </w:rPr>
            </w:r>
          </w:p>
        </w:tc>
      </w:tr>
      <w:tr>
        <w:trPr>
          <w:trHeight w:val="664"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其中：研究开发中心（技术中心类）建</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设资助资金</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3,000,000.00</w:t>
            </w:r>
          </w:p>
        </w:tc>
        <w:tc>
          <w:tcPr>
            <w:tcW w:w="26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353"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与收益相关的政府补助</w:t>
            </w:r>
            <w:r>
              <w:rPr>
                <w:rFonts w:ascii="宋体" w:hAnsi="宋体" w:cs="宋体" w:eastAsia="宋体" w:hint="default"/>
                <w:sz w:val="21"/>
                <w:szCs w:val="21"/>
              </w:rPr>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pacing w:val="-1"/>
                <w:sz w:val="21"/>
              </w:rPr>
              <w:t>3,800,000.00</w:t>
            </w:r>
            <w:r>
              <w:rPr>
                <w:rFonts w:ascii="Times New Roman"/>
                <w:spacing w:val="-1"/>
                <w:sz w:val="21"/>
              </w:rPr>
            </w:r>
          </w:p>
        </w:tc>
        <w:tc>
          <w:tcPr>
            <w:tcW w:w="26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b/>
                <w:spacing w:val="-1"/>
                <w:sz w:val="21"/>
              </w:rPr>
              <w:t>600,000.00</w:t>
            </w:r>
            <w:r>
              <w:rPr>
                <w:rFonts w:ascii="Times New Roman"/>
                <w:spacing w:val="-1"/>
                <w:sz w:val="21"/>
              </w:rPr>
            </w:r>
          </w:p>
        </w:tc>
      </w:tr>
      <w:tr>
        <w:trPr>
          <w:trHeight w:val="664"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云计算环境下数据访问性能加速</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器</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26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r>
      <w:tr>
        <w:trPr>
          <w:trHeight w:val="664"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科技研发分项资金资助项目计</w:t>
            </w:r>
            <w:r>
              <w:rPr>
                <w:rFonts w:ascii="宋体" w:hAnsi="宋体" w:cs="宋体" w:eastAsia="宋体" w:hint="default"/>
                <w:spacing w:val="-86"/>
                <w:sz w:val="21"/>
                <w:szCs w:val="21"/>
              </w:rPr>
              <w:t>划</w:t>
            </w:r>
            <w:r>
              <w:rPr>
                <w:rFonts w:ascii="宋体" w:hAnsi="宋体" w:cs="宋体" w:eastAsia="宋体" w:hint="default"/>
                <w:sz w:val="21"/>
                <w:szCs w:val="21"/>
              </w:rPr>
              <w:t>（第一</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批）</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6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r>
      <w:tr>
        <w:trPr>
          <w:trHeight w:val="353"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海量信息推送智能管控平台</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62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新一代数据仓库构架</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2627"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8"/>
              <w:jc w:val="left"/>
              <w:rPr>
                <w:rFonts w:ascii="宋体" w:hAnsi="宋体" w:cs="宋体" w:eastAsia="宋体" w:hint="default"/>
                <w:sz w:val="21"/>
                <w:szCs w:val="21"/>
              </w:rPr>
            </w:pPr>
            <w:r>
              <w:rPr>
                <w:rFonts w:ascii="宋体" w:hAnsi="宋体" w:cs="宋体" w:eastAsia="宋体" w:hint="default"/>
                <w:spacing w:val="8"/>
                <w:sz w:val="21"/>
                <w:szCs w:val="21"/>
              </w:rPr>
              <w:t>三网融合时代下开发的在线计费云服</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务平台</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262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基于移动互联网的融合通信业务系统</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350,000.00</w:t>
            </w:r>
            <w:r>
              <w:rPr>
                <w:rFonts w:ascii="Times New Roman"/>
                <w:sz w:val="21"/>
              </w:rPr>
            </w:r>
          </w:p>
        </w:tc>
        <w:tc>
          <w:tcPr>
            <w:tcW w:w="262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基于移动互联网的融合通信</w:t>
            </w:r>
            <w:r>
              <w:rPr>
                <w:rFonts w:ascii="宋体" w:hAnsi="宋体" w:cs="宋体" w:eastAsia="宋体" w:hint="default"/>
                <w:spacing w:val="-86"/>
                <w:sz w:val="21"/>
                <w:szCs w:val="21"/>
              </w:rPr>
              <w:t>、</w:t>
            </w:r>
            <w:r>
              <w:rPr>
                <w:rFonts w:ascii="宋体" w:hAnsi="宋体" w:cs="宋体" w:eastAsia="宋体" w:hint="default"/>
                <w:sz w:val="21"/>
                <w:szCs w:val="21"/>
              </w:rPr>
              <w:t>社交及云</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3,000,000.00</w:t>
            </w:r>
          </w:p>
        </w:tc>
        <w:tc>
          <w:tcPr>
            <w:tcW w:w="2627"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82" w:top="1060" w:bottom="1180" w:left="980" w:right="700"/>
        </w:sectPr>
      </w:pPr>
    </w:p>
    <w:p>
      <w:pPr>
        <w:spacing w:line="240" w:lineRule="auto" w:before="6"/>
        <w:rPr>
          <w:rFonts w:ascii="宋体" w:hAnsi="宋体" w:cs="宋体" w:eastAsia="宋体" w:hint="default"/>
          <w:sz w:val="28"/>
          <w:szCs w:val="28"/>
        </w:rPr>
      </w:pPr>
    </w:p>
    <w:tbl>
      <w:tblPr>
        <w:tblW w:w="0" w:type="auto"/>
        <w:jc w:val="left"/>
        <w:tblInd w:w="816" w:type="dxa"/>
        <w:tblLayout w:type="fixed"/>
        <w:tblCellMar>
          <w:top w:w="0" w:type="dxa"/>
          <w:left w:w="0" w:type="dxa"/>
          <w:bottom w:w="0" w:type="dxa"/>
          <w:right w:w="0" w:type="dxa"/>
        </w:tblCellMar>
        <w:tblLook w:val="01E0"/>
      </w:tblPr>
      <w:tblGrid>
        <w:gridCol w:w="3504"/>
        <w:gridCol w:w="3126"/>
        <w:gridCol w:w="2627"/>
      </w:tblGrid>
      <w:tr>
        <w:trPr>
          <w:trHeight w:val="355" w:hRule="exact"/>
        </w:trPr>
        <w:tc>
          <w:tcPr>
            <w:tcW w:w="350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储业务系统</w:t>
            </w:r>
          </w:p>
        </w:tc>
        <w:tc>
          <w:tcPr>
            <w:tcW w:w="3126" w:type="dxa"/>
            <w:tcBorders>
              <w:top w:val="single" w:sz="6" w:space="0" w:color="000000"/>
              <w:left w:val="single" w:sz="6" w:space="0" w:color="000000"/>
              <w:bottom w:val="single" w:sz="12" w:space="0" w:color="000000"/>
              <w:right w:val="single" w:sz="6" w:space="0" w:color="000000"/>
            </w:tcBorders>
          </w:tcPr>
          <w:p>
            <w:pPr/>
          </w:p>
        </w:tc>
        <w:tc>
          <w:tcPr>
            <w:tcW w:w="2627"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35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1902" w:right="0"/>
              <w:jc w:val="left"/>
              <w:rPr>
                <w:rFonts w:ascii="Times New Roman" w:hAnsi="Times New Roman" w:cs="Times New Roman" w:eastAsia="Times New Roman" w:hint="default"/>
                <w:sz w:val="21"/>
                <w:szCs w:val="21"/>
              </w:rPr>
            </w:pPr>
            <w:r>
              <w:rPr>
                <w:rFonts w:ascii="Times New Roman"/>
                <w:b/>
                <w:sz w:val="21"/>
              </w:rPr>
              <w:t>10,150,000.00</w:t>
            </w:r>
            <w:r>
              <w:rPr>
                <w:rFonts w:ascii="Times New Roman"/>
                <w:sz w:val="21"/>
              </w:rPr>
            </w:r>
          </w:p>
        </w:tc>
        <w:tc>
          <w:tcPr>
            <w:tcW w:w="26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left="1507" w:right="0"/>
              <w:jc w:val="left"/>
              <w:rPr>
                <w:rFonts w:ascii="Times New Roman" w:hAnsi="Times New Roman" w:cs="Times New Roman" w:eastAsia="Times New Roman" w:hint="default"/>
                <w:sz w:val="21"/>
                <w:szCs w:val="21"/>
              </w:rPr>
            </w:pPr>
            <w:r>
              <w:rPr>
                <w:rFonts w:ascii="Times New Roman"/>
                <w:b/>
                <w:sz w:val="21"/>
              </w:rPr>
              <w:t>3,600,000.00</w:t>
            </w:r>
            <w:r>
              <w:rPr>
                <w:rFonts w:ascii="Times New Roman"/>
                <w:sz w:val="21"/>
              </w:rPr>
            </w:r>
          </w:p>
        </w:tc>
      </w:tr>
    </w:tbl>
    <w:p>
      <w:pPr>
        <w:pStyle w:val="Heading4"/>
        <w:spacing w:line="274" w:lineRule="exact"/>
        <w:ind w:left="634" w:right="6091"/>
        <w:jc w:val="left"/>
      </w:pPr>
      <w:r>
        <w:rPr/>
        <w:t>注：</w:t>
      </w:r>
    </w:p>
    <w:p>
      <w:pPr>
        <w:pStyle w:val="Heading4"/>
        <w:spacing w:line="321" w:lineRule="exact"/>
        <w:ind w:left="634" w:right="691"/>
        <w:jc w:val="left"/>
      </w:pPr>
      <w:r>
        <w:rPr>
          <w:spacing w:val="2"/>
        </w:rPr>
        <w:t>①根据深科工贸信计财字</w:t>
      </w:r>
      <w:r>
        <w:rPr>
          <w:rFonts w:ascii="Times New Roman" w:hAnsi="Times New Roman" w:cs="Times New Roman" w:eastAsia="Times New Roman" w:hint="default"/>
          <w:spacing w:val="2"/>
        </w:rPr>
        <w:t>[2011]223</w:t>
      </w:r>
      <w:r>
        <w:rPr>
          <w:spacing w:val="2"/>
        </w:rPr>
        <w:t>号《关于下达</w:t>
      </w:r>
      <w:r>
        <w:rPr>
          <w:rFonts w:ascii="Times New Roman" w:hAnsi="Times New Roman" w:cs="Times New Roman" w:eastAsia="Times New Roman" w:hint="default"/>
          <w:spacing w:val="2"/>
        </w:rPr>
        <w:t>2011</w:t>
      </w:r>
      <w:r>
        <w:rPr>
          <w:spacing w:val="2"/>
        </w:rPr>
        <w:t>年度深圳市市级研究开发中心</w:t>
      </w:r>
      <w:r>
        <w:rPr/>
      </w:r>
    </w:p>
    <w:p>
      <w:pPr>
        <w:pStyle w:val="Heading4"/>
        <w:spacing w:line="312" w:lineRule="exact" w:before="20"/>
        <w:ind w:left="154" w:right="791"/>
        <w:jc w:val="both"/>
      </w:pPr>
      <w:r>
        <w:rPr>
          <w:spacing w:val="-2"/>
        </w:rPr>
        <w:t>（技术中心类）建设资助资金计划的通知》，本公司于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日收深圳市财政委员</w:t>
      </w:r>
      <w:r>
        <w:rPr>
          <w:spacing w:val="-117"/>
        </w:rPr>
        <w:t> </w:t>
      </w:r>
      <w:r>
        <w:rPr>
          <w:spacing w:val="-1"/>
        </w:rPr>
        <w:t>会拨付的购置</w:t>
      </w:r>
      <w:r>
        <w:rPr>
          <w:rFonts w:ascii="Times New Roman" w:hAnsi="Times New Roman" w:cs="Times New Roman" w:eastAsia="Times New Roman" w:hint="default"/>
          <w:spacing w:val="-1"/>
        </w:rPr>
        <w:t>IBM</w:t>
      </w:r>
      <w:r>
        <w:rPr>
          <w:spacing w:val="-1"/>
        </w:rPr>
        <w:t>服务器、</w:t>
      </w:r>
      <w:r>
        <w:rPr>
          <w:rFonts w:ascii="Times New Roman" w:hAnsi="Times New Roman" w:cs="Times New Roman" w:eastAsia="Times New Roman" w:hint="default"/>
          <w:spacing w:val="-1"/>
        </w:rPr>
        <w:t>IBM</w:t>
      </w:r>
      <w:r>
        <w:rPr>
          <w:spacing w:val="-1"/>
        </w:rPr>
        <w:t>磁盘存储、</w:t>
      </w:r>
      <w:r>
        <w:rPr>
          <w:rFonts w:ascii="Times New Roman" w:hAnsi="Times New Roman" w:cs="Times New Roman" w:eastAsia="Times New Roman" w:hint="default"/>
          <w:spacing w:val="-1"/>
        </w:rPr>
        <w:t>IBM</w:t>
      </w:r>
      <w:r>
        <w:rPr>
          <w:spacing w:val="-1"/>
        </w:rPr>
        <w:t>中间件、数据库</w:t>
      </w:r>
      <w:r>
        <w:rPr>
          <w:rFonts w:ascii="Times New Roman" w:hAnsi="Times New Roman" w:cs="Times New Roman" w:eastAsia="Times New Roman" w:hint="default"/>
          <w:spacing w:val="-1"/>
        </w:rPr>
        <w:t>ORACLE</w:t>
      </w:r>
      <w:r>
        <w:rPr>
          <w:spacing w:val="-1"/>
        </w:rPr>
        <w:t>等科技研发资助</w:t>
      </w:r>
      <w:r>
        <w:rPr>
          <w:spacing w:val="-94"/>
        </w:rPr>
        <w:t> </w:t>
      </w:r>
      <w:r>
        <w:rPr/>
        <w:t>资金</w:t>
      </w:r>
      <w:r>
        <w:rPr>
          <w:rFonts w:ascii="Times New Roman" w:hAnsi="Times New Roman" w:cs="Times New Roman" w:eastAsia="Times New Roman" w:hint="default"/>
        </w:rPr>
        <w:t>300</w:t>
      </w:r>
      <w:r>
        <w:rPr/>
        <w:t>万元，该项目资金使用需要报告市科工贸信委技术改造发展处和市财政委科技工</w:t>
      </w:r>
      <w:r>
        <w:rPr>
          <w:spacing w:val="-104"/>
        </w:rPr>
        <w:t> </w:t>
      </w:r>
      <w:r>
        <w:rPr>
          <w:spacing w:val="-104"/>
        </w:rPr>
      </w:r>
      <w:r>
        <w:rPr>
          <w:spacing w:val="-3"/>
        </w:rPr>
        <w:t>贸和金融处批准，资金使用完毕须及时完成审计。截止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日，该项目尚在进行</w:t>
      </w:r>
      <w:r>
        <w:rPr>
          <w:spacing w:val="-82"/>
        </w:rPr>
        <w:t> </w:t>
      </w:r>
      <w:r>
        <w:rPr>
          <w:spacing w:val="-82"/>
        </w:rPr>
      </w:r>
      <w:r>
        <w:rPr/>
        <w:t>中，且未验收。</w:t>
      </w:r>
    </w:p>
    <w:p>
      <w:pPr>
        <w:pStyle w:val="Heading4"/>
        <w:spacing w:line="312" w:lineRule="exact"/>
        <w:ind w:left="154" w:right="789" w:firstLine="480"/>
        <w:jc w:val="both"/>
      </w:pPr>
      <w:r>
        <w:rPr>
          <w:spacing w:val="-3"/>
        </w:rPr>
        <w:t>②根据本公司与深圳市南山区科技创新局签订的《深圳市南山区科技发展专项资金重</w:t>
      </w:r>
      <w:r>
        <w:rPr>
          <w:spacing w:val="-1"/>
        </w:rPr>
        <w:t> </w:t>
      </w:r>
      <w:r>
        <w:rPr>
          <w:spacing w:val="-3"/>
        </w:rPr>
        <w:t>点产业及战略性新兴产业技术研发资助合同书》（项目名称：云计算环境下数据访问性能</w:t>
      </w:r>
      <w:r>
        <w:rPr>
          <w:spacing w:val="-86"/>
        </w:rPr>
        <w:t> </w:t>
      </w:r>
      <w:r>
        <w:rPr>
          <w:spacing w:val="-86"/>
        </w:rPr>
      </w:r>
      <w:r>
        <w:rPr>
          <w:spacing w:val="-2"/>
        </w:rPr>
        <w:t>加速器）之规定，本公司于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日收到深圳市南山区财政局科研资助</w:t>
      </w:r>
      <w:r>
        <w:rPr>
          <w:rFonts w:ascii="Times New Roman" w:hAnsi="Times New Roman" w:cs="Times New Roman" w:eastAsia="Times New Roman" w:hint="default"/>
          <w:spacing w:val="-2"/>
        </w:rPr>
        <w:t>40</w:t>
      </w:r>
      <w:r>
        <w:rPr>
          <w:spacing w:val="-2"/>
        </w:rPr>
        <w:t>万元，该</w:t>
      </w:r>
      <w:r>
        <w:rPr>
          <w:spacing w:val="-115"/>
        </w:rPr>
        <w:t> </w:t>
      </w:r>
      <w:r>
        <w:rPr>
          <w:spacing w:val="-115"/>
        </w:rPr>
      </w:r>
      <w:r>
        <w:rPr>
          <w:spacing w:val="-2"/>
        </w:rPr>
        <w:t>项目需要深圳市南山区科技创新局验收合格后才能转销。截止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w:t>
      </w:r>
      <w:r>
        <w:rPr>
          <w:spacing w:val="-116"/>
        </w:rPr>
        <w:t> </w:t>
      </w:r>
      <w:r>
        <w:rPr>
          <w:spacing w:val="-116"/>
        </w:rPr>
      </w:r>
      <w:r>
        <w:rPr/>
        <w:t>在进行中，且未验收。</w:t>
      </w:r>
    </w:p>
    <w:p>
      <w:pPr>
        <w:pStyle w:val="Heading4"/>
        <w:spacing w:line="291" w:lineRule="exact"/>
        <w:ind w:left="634" w:right="691"/>
        <w:jc w:val="left"/>
      </w:pPr>
      <w:r>
        <w:rPr/>
        <w:t>③根据深圳市南山区科学技术局、深圳市南山区财政局深南科</w:t>
      </w:r>
      <w:r>
        <w:rPr>
          <w:rFonts w:ascii="Times New Roman" w:hAnsi="Times New Roman" w:cs="Times New Roman" w:eastAsia="Times New Roman" w:hint="default"/>
        </w:rPr>
        <w:t>[2009]39</w:t>
      </w:r>
      <w:r>
        <w:rPr/>
        <w:t>号《关于下达</w:t>
      </w:r>
    </w:p>
    <w:p>
      <w:pPr>
        <w:pStyle w:val="Heading4"/>
        <w:spacing w:line="312" w:lineRule="exact"/>
        <w:ind w:left="154" w:right="0"/>
        <w:jc w:val="both"/>
      </w:pPr>
      <w:r>
        <w:rPr>
          <w:rFonts w:ascii="Times New Roman" w:hAnsi="Times New Roman" w:cs="Times New Roman" w:eastAsia="Times New Roman" w:hint="default"/>
          <w:spacing w:val="-11"/>
        </w:rPr>
        <w:t>2009</w:t>
      </w:r>
      <w:r>
        <w:rPr>
          <w:spacing w:val="-11"/>
        </w:rPr>
        <w:t>年度南山区科技发展专项资金（科技研发分项资金）资助项目计划（第一批）的通知》、</w:t>
      </w:r>
    </w:p>
    <w:p>
      <w:pPr>
        <w:pStyle w:val="Heading4"/>
        <w:spacing w:line="312" w:lineRule="exact" w:before="20"/>
        <w:ind w:left="154" w:right="789"/>
        <w:jc w:val="both"/>
      </w:pPr>
      <w:r>
        <w:rPr/>
        <w:t>《深圳市南山区科技研发资金资助项目合同书》之规定，本公司于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日收到深</w:t>
      </w:r>
      <w:r>
        <w:rPr>
          <w:spacing w:val="-90"/>
        </w:rPr>
        <w:t> </w:t>
      </w:r>
      <w:r>
        <w:rPr>
          <w:spacing w:val="-3"/>
        </w:rPr>
        <w:t>圳市南山区财政局科研资助</w:t>
      </w:r>
      <w:r>
        <w:rPr>
          <w:rFonts w:ascii="Times New Roman" w:hAnsi="Times New Roman" w:cs="Times New Roman" w:eastAsia="Times New Roman" w:hint="default"/>
          <w:spacing w:val="-3"/>
        </w:rPr>
        <w:t>20</w:t>
      </w:r>
      <w:r>
        <w:rPr>
          <w:spacing w:val="-3"/>
        </w:rPr>
        <w:t>万元，该项目需要深圳市南山区科学技术局验收合格后才能</w:t>
      </w:r>
      <w:r>
        <w:rPr>
          <w:spacing w:val="-104"/>
        </w:rPr>
        <w:t> </w:t>
      </w:r>
      <w:r>
        <w:rPr>
          <w:spacing w:val="-104"/>
        </w:rPr>
      </w:r>
      <w:r>
        <w:rPr/>
        <w:t>转销。截止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4"/>
        <w:spacing w:line="312" w:lineRule="exact"/>
        <w:ind w:left="154" w:right="790" w:firstLine="480"/>
        <w:jc w:val="both"/>
      </w:pPr>
      <w:r>
        <w:rPr>
          <w:spacing w:val="-3"/>
        </w:rPr>
        <w:t>④根据本公司与深圳市科技创新委员会签订的《深圳市战略新兴产业发展专项资金项</w:t>
      </w:r>
      <w:r>
        <w:rPr>
          <w:spacing w:val="-1"/>
        </w:rPr>
        <w:t> </w:t>
      </w:r>
      <w:r>
        <w:rPr>
          <w:spacing w:val="-3"/>
        </w:rPr>
        <w:t>目合同书》（项目名称：三网融合时代下开发的在线计费云服务平台）之规定，本公司于</w:t>
      </w:r>
      <w:r>
        <w:rPr>
          <w:spacing w:val="-87"/>
        </w:rPr>
        <w:t> </w:t>
      </w:r>
      <w:r>
        <w:rPr>
          <w:spacing w:val="-87"/>
        </w:rPr>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4</w:t>
      </w:r>
      <w:r>
        <w:rPr>
          <w:spacing w:val="-3"/>
        </w:rPr>
        <w:t>日收到深圳市财政委员会科研资助</w:t>
      </w:r>
      <w:r>
        <w:rPr>
          <w:rFonts w:ascii="Times New Roman" w:hAnsi="Times New Roman" w:cs="Times New Roman" w:eastAsia="Times New Roman" w:hint="default"/>
          <w:spacing w:val="-3"/>
        </w:rPr>
        <w:t>100</w:t>
      </w:r>
      <w:r>
        <w:rPr>
          <w:spacing w:val="-3"/>
        </w:rPr>
        <w:t>万元，该项目需要深圳市科技创新委员</w:t>
      </w:r>
      <w:r>
        <w:rPr>
          <w:spacing w:val="-83"/>
        </w:rPr>
        <w:t> </w:t>
      </w:r>
      <w:r>
        <w:rPr>
          <w:spacing w:val="-83"/>
        </w:rPr>
      </w:r>
      <w:r>
        <w:rPr/>
        <w:t>会验收合格后才能转销。截止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4"/>
        <w:spacing w:line="312" w:lineRule="exact"/>
        <w:ind w:right="708" w:firstLine="480"/>
        <w:jc w:val="both"/>
      </w:pPr>
      <w:r>
        <w:rPr>
          <w:spacing w:val="-3"/>
        </w:rPr>
        <w:t>⑤根据本公司与深圳市经济贸易和信息化委员会签订的《深圳市战略新兴产业发展专</w:t>
      </w:r>
      <w:r>
        <w:rPr>
          <w:spacing w:val="-1"/>
        </w:rPr>
        <w:t> </w:t>
      </w:r>
      <w:r>
        <w:rPr>
          <w:spacing w:val="-3"/>
        </w:rPr>
        <w:t>项资金项目合同书》（项目名称：面向电信行业大数据的新一代数据仓库架构综合业务运</w:t>
      </w:r>
      <w:r>
        <w:rPr>
          <w:spacing w:val="-87"/>
        </w:rPr>
        <w:t> </w:t>
      </w:r>
      <w:r>
        <w:rPr>
          <w:spacing w:val="-87"/>
        </w:rPr>
      </w:r>
      <w:r>
        <w:rPr/>
        <w:t>营支撑平台）之规定，本公司于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日收到深圳市财政委员会科研资助</w:t>
      </w:r>
      <w:r>
        <w:rPr>
          <w:rFonts w:ascii="Times New Roman" w:hAnsi="Times New Roman" w:cs="Times New Roman" w:eastAsia="Times New Roman" w:hint="default"/>
        </w:rPr>
        <w:t>200</w:t>
      </w:r>
      <w:r>
        <w:rPr/>
        <w:t>万元， 该项目需要深圳市经济贸易和信息化委员会验收合格后才能转销。截止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该项目尚在进行中，且未验收。</w:t>
      </w:r>
    </w:p>
    <w:p>
      <w:pPr>
        <w:pStyle w:val="Heading4"/>
        <w:spacing w:line="312" w:lineRule="exact"/>
        <w:ind w:right="789" w:firstLine="480"/>
        <w:jc w:val="both"/>
      </w:pPr>
      <w:r>
        <w:rPr>
          <w:spacing w:val="-3"/>
        </w:rPr>
        <w:t>⑥根据本公司与深圳市南山区科技创新局签订的《深圳市南山区技术研发和创意设计</w:t>
      </w:r>
      <w:r>
        <w:rPr>
          <w:spacing w:val="-1"/>
        </w:rPr>
        <w:t> </w:t>
      </w:r>
      <w:r>
        <w:rPr>
          <w:spacing w:val="-3"/>
        </w:rPr>
        <w:t>项目分项资金一般研发资助项目合同书》（项目名称：海量信息推送智能管控平台）之规</w:t>
      </w:r>
      <w:r>
        <w:rPr>
          <w:spacing w:val="-86"/>
        </w:rPr>
        <w:t> </w:t>
      </w:r>
      <w:r>
        <w:rPr>
          <w:spacing w:val="-86"/>
        </w:rPr>
      </w:r>
      <w:r>
        <w:rPr>
          <w:spacing w:val="-2"/>
        </w:rPr>
        <w:t>定，本公司于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日收到深圳市南山区财政局科研资助</w:t>
      </w:r>
      <w:r>
        <w:rPr>
          <w:rFonts w:ascii="Times New Roman" w:hAnsi="Times New Roman" w:cs="Times New Roman" w:eastAsia="Times New Roman" w:hint="default"/>
          <w:spacing w:val="-2"/>
        </w:rPr>
        <w:t>20</w:t>
      </w:r>
      <w:r>
        <w:rPr>
          <w:spacing w:val="-2"/>
        </w:rPr>
        <w:t>万元，该项目需要深圳</w:t>
      </w:r>
      <w:r>
        <w:rPr>
          <w:spacing w:val="-114"/>
        </w:rPr>
        <w:t> </w:t>
      </w:r>
      <w:r>
        <w:rPr>
          <w:spacing w:val="-114"/>
        </w:rPr>
      </w:r>
      <w:r>
        <w:rPr>
          <w:spacing w:val="-2"/>
        </w:rPr>
        <w:t>市南山区科技创新局验收合格后才能转销。截止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日，该项目尚在进行中，且</w:t>
      </w:r>
      <w:r>
        <w:rPr>
          <w:spacing w:val="-117"/>
        </w:rPr>
        <w:t> </w:t>
      </w:r>
      <w:r>
        <w:rPr>
          <w:spacing w:val="-117"/>
        </w:rPr>
      </w:r>
      <w:r>
        <w:rPr/>
        <w:t>未验收。</w:t>
      </w:r>
    </w:p>
    <w:p>
      <w:pPr>
        <w:pStyle w:val="Heading4"/>
        <w:spacing w:line="312" w:lineRule="exact"/>
        <w:ind w:right="691" w:firstLine="480"/>
        <w:jc w:val="left"/>
      </w:pPr>
      <w:r>
        <w:rPr>
          <w:spacing w:val="2"/>
        </w:rPr>
        <w:t>⑦根据广东省财政厅粤财工</w:t>
      </w:r>
      <w:r>
        <w:rPr>
          <w:rFonts w:ascii="Times New Roman" w:hAnsi="Times New Roman" w:cs="Times New Roman" w:eastAsia="Times New Roman" w:hint="default"/>
          <w:spacing w:val="2"/>
        </w:rPr>
        <w:t>[2012]313</w:t>
      </w:r>
      <w:r>
        <w:rPr>
          <w:spacing w:val="2"/>
        </w:rPr>
        <w:t>号《关于下达</w:t>
      </w:r>
      <w:r>
        <w:rPr>
          <w:rFonts w:ascii="Times New Roman" w:hAnsi="Times New Roman" w:cs="Times New Roman" w:eastAsia="Times New Roman" w:hint="default"/>
          <w:spacing w:val="2"/>
        </w:rPr>
        <w:t>2012</w:t>
      </w:r>
      <w:r>
        <w:rPr>
          <w:spacing w:val="2"/>
        </w:rPr>
        <w:t>年省现代信息服务业发展专</w:t>
      </w:r>
      <w:r>
        <w:rPr>
          <w:spacing w:val="3"/>
        </w:rPr>
        <w:t> </w:t>
      </w:r>
      <w:r>
        <w:rPr/>
        <w:t>项资金的通知》、《</w:t>
      </w:r>
      <w:r>
        <w:rPr>
          <w:rFonts w:ascii="Times New Roman" w:hAnsi="Times New Roman" w:cs="Times New Roman" w:eastAsia="Times New Roman" w:hint="default"/>
        </w:rPr>
        <w:t>2012</w:t>
      </w:r>
      <w:r>
        <w:rPr/>
        <w:t>年广东省现代信息服务业发展专项资金项目计划》（项目名称： </w:t>
      </w:r>
      <w:r>
        <w:rPr>
          <w:spacing w:val="-4"/>
        </w:rPr>
        <w:t>基于移动互联网的融合通信、社交及云储业务系统）之规定，本公司之子公司广州市易杰</w:t>
      </w:r>
      <w:r>
        <w:rPr>
          <w:spacing w:val="-83"/>
        </w:rPr>
        <w:t> </w:t>
      </w:r>
      <w:r>
        <w:rPr>
          <w:spacing w:val="-83"/>
        </w:rPr>
      </w:r>
      <w:r>
        <w:rPr>
          <w:spacing w:val="3"/>
        </w:rPr>
        <w:t>数码科技有限公司于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日收到广州市天河区财政局拨付的发展专项资金</w:t>
      </w:r>
      <w:r>
        <w:rPr>
          <w:rFonts w:ascii="Times New Roman" w:hAnsi="Times New Roman" w:cs="Times New Roman" w:eastAsia="Times New Roman" w:hint="default"/>
          <w:spacing w:val="3"/>
        </w:rPr>
        <w:t>300</w:t>
      </w:r>
      <w:r>
        <w:rPr>
          <w:spacing w:val="3"/>
        </w:rPr>
        <w:t>万</w:t>
      </w:r>
      <w:r>
        <w:rPr>
          <w:spacing w:val="-109"/>
        </w:rPr>
        <w:t> </w:t>
      </w:r>
      <w:r>
        <w:rPr>
          <w:spacing w:val="-8"/>
        </w:rPr>
        <w:t>元，该项目资金使用需要报告项目主管单位批准，资金使用完毕须及时完成审计。截止</w:t>
      </w:r>
      <w:r>
        <w:rPr>
          <w:rFonts w:ascii="Times New Roman" w:hAnsi="Times New Roman" w:cs="Times New Roman" w:eastAsia="Times New Roman" w:hint="default"/>
          <w:spacing w:val="-8"/>
        </w:rPr>
        <w:t>2012</w:t>
      </w:r>
      <w:r>
        <w:rPr>
          <w:rFonts w:ascii="Times New Roman" w:hAnsi="Times New Roman" w:cs="Times New Roman" w:eastAsia="Times New Roman" w:hint="default"/>
          <w:spacing w:val="-45"/>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4"/>
        <w:spacing w:line="282" w:lineRule="exact"/>
        <w:ind w:left="634" w:right="691"/>
        <w:jc w:val="left"/>
      </w:pPr>
      <w:r>
        <w:rPr>
          <w:spacing w:val="3"/>
        </w:rPr>
        <w:t>⑧根据广州市天河区科技和信息化局和广州市天河区财政局联合发布的穗天科信字</w:t>
      </w:r>
      <w:r>
        <w:rPr/>
      </w:r>
    </w:p>
    <w:p>
      <w:pPr>
        <w:pStyle w:val="Heading4"/>
        <w:spacing w:line="321" w:lineRule="exact"/>
        <w:ind w:left="154" w:right="0"/>
        <w:jc w:val="both"/>
      </w:pPr>
      <w:r>
        <w:rPr>
          <w:rFonts w:ascii="Times New Roman" w:hAnsi="Times New Roman" w:cs="Times New Roman" w:eastAsia="Times New Roman" w:hint="default"/>
        </w:rPr>
        <w:t>[2012]16</w:t>
      </w:r>
      <w:r>
        <w:rPr/>
        <w:t>号《关于下达</w:t>
      </w:r>
      <w:r>
        <w:rPr>
          <w:rFonts w:ascii="Times New Roman" w:hAnsi="Times New Roman" w:cs="Times New Roman" w:eastAsia="Times New Roman" w:hint="default"/>
        </w:rPr>
        <w:t>2012</w:t>
      </w:r>
      <w:r>
        <w:rPr/>
        <w:t>年区科学技术经费的通知》、《广州市科技计划项目合同书》</w:t>
      </w:r>
    </w:p>
    <w:p>
      <w:pPr>
        <w:pStyle w:val="Heading4"/>
        <w:spacing w:line="312" w:lineRule="exact" w:before="20"/>
        <w:ind w:left="154" w:right="788"/>
        <w:jc w:val="both"/>
      </w:pPr>
      <w:r>
        <w:rPr>
          <w:spacing w:val="-4"/>
        </w:rPr>
        <w:t>（项目名称：基于移动互联网的融合通信业务系统）之规定，本公司之子公司广州市易杰</w:t>
      </w:r>
      <w:r>
        <w:rPr>
          <w:spacing w:val="-83"/>
        </w:rPr>
        <w:t> </w:t>
      </w:r>
      <w:r>
        <w:rPr>
          <w:spacing w:val="-83"/>
        </w:rPr>
      </w:r>
      <w:r>
        <w:rPr>
          <w:spacing w:val="-2"/>
        </w:rPr>
        <w:t>数码科技有限公司于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日收到广州市天河区财政局拨付的项目经费</w:t>
      </w:r>
      <w:r>
        <w:rPr>
          <w:rFonts w:ascii="Times New Roman" w:hAnsi="Times New Roman" w:cs="Times New Roman" w:eastAsia="Times New Roman" w:hint="default"/>
          <w:spacing w:val="-2"/>
        </w:rPr>
        <w:t>15</w:t>
      </w:r>
      <w:r>
        <w:rPr>
          <w:spacing w:val="-2"/>
        </w:rPr>
        <w:t>万元，该项</w:t>
      </w:r>
      <w:r>
        <w:rPr>
          <w:spacing w:val="-115"/>
        </w:rPr>
        <w:t> </w:t>
      </w:r>
      <w:r>
        <w:rPr>
          <w:spacing w:val="-115"/>
        </w:rPr>
      </w:r>
      <w:r>
        <w:rPr>
          <w:spacing w:val="-2"/>
        </w:rPr>
        <w:t>目需要广州市天河区科技和信息化局验收合格后才能转销。截止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w:t>
      </w:r>
    </w:p>
    <w:p>
      <w:pPr>
        <w:spacing w:after="0" w:line="312" w:lineRule="exact"/>
        <w:jc w:val="both"/>
        <w:sectPr>
          <w:pgSz w:w="11910" w:h="16840"/>
          <w:pgMar w:header="747" w:footer="982" w:top="1060" w:bottom="1180" w:left="980" w:right="700"/>
        </w:sectPr>
      </w:pPr>
    </w:p>
    <w:p>
      <w:pPr>
        <w:spacing w:line="240" w:lineRule="auto" w:before="7"/>
        <w:rPr>
          <w:rFonts w:ascii="宋体" w:hAnsi="宋体" w:cs="宋体" w:eastAsia="宋体" w:hint="default"/>
          <w:sz w:val="23"/>
          <w:szCs w:val="23"/>
        </w:rPr>
      </w:pPr>
    </w:p>
    <w:p>
      <w:pPr>
        <w:pStyle w:val="Heading4"/>
        <w:spacing w:line="313" w:lineRule="exact" w:before="26"/>
        <w:ind w:left="154" w:right="90"/>
        <w:jc w:val="left"/>
      </w:pPr>
      <w:r>
        <w:rPr/>
        <w:t>尚在进行中，且未验收。</w:t>
      </w:r>
    </w:p>
    <w:p>
      <w:pPr>
        <w:pStyle w:val="Heading4"/>
        <w:spacing w:line="312" w:lineRule="exact" w:before="29"/>
        <w:ind w:right="544" w:firstLine="480"/>
        <w:jc w:val="both"/>
      </w:pPr>
      <w:r>
        <w:rPr>
          <w:spacing w:val="3"/>
        </w:rPr>
        <w:t>⑨根据广州市天河区科技和信息化局和广州市天河区财政局联合发布的穗天科信字</w:t>
      </w:r>
      <w:r>
        <w:rPr>
          <w:spacing w:val="4"/>
        </w:rPr>
        <w:t> </w:t>
      </w:r>
      <w:r>
        <w:rPr>
          <w:rFonts w:ascii="Times New Roman" w:hAnsi="Times New Roman" w:cs="Times New Roman" w:eastAsia="Times New Roman" w:hint="default"/>
          <w:spacing w:val="2"/>
        </w:rPr>
        <w:t>[2012]122</w:t>
      </w:r>
      <w:r>
        <w:rPr>
          <w:spacing w:val="2"/>
        </w:rPr>
        <w:t>号《关于下达</w:t>
      </w:r>
      <w:r>
        <w:rPr>
          <w:rFonts w:ascii="Times New Roman" w:hAnsi="Times New Roman" w:cs="Times New Roman" w:eastAsia="Times New Roman" w:hint="default"/>
          <w:spacing w:val="2"/>
        </w:rPr>
        <w:t>2012</w:t>
      </w:r>
      <w:r>
        <w:rPr>
          <w:spacing w:val="2"/>
        </w:rPr>
        <w:t>年第一批科学技术经费的通知》、《天河区科技计划项目任</w:t>
      </w:r>
      <w:r>
        <w:rPr>
          <w:spacing w:val="-116"/>
        </w:rPr>
        <w:t> </w:t>
      </w:r>
      <w:r>
        <w:rPr>
          <w:spacing w:val="-3"/>
        </w:rPr>
        <w:t>务书》（项目名称：基于移动互联网的融合通信业务系统）之规定，本公司之子公司广州</w:t>
      </w:r>
      <w:r>
        <w:rPr>
          <w:spacing w:val="-87"/>
        </w:rPr>
        <w:t> </w:t>
      </w:r>
      <w:r>
        <w:rPr>
          <w:spacing w:val="-87"/>
        </w:rPr>
      </w:r>
      <w:r>
        <w:rPr>
          <w:spacing w:val="3"/>
        </w:rPr>
        <w:t>市易杰数码科技有限公司于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17</w:t>
      </w:r>
      <w:r>
        <w:rPr>
          <w:spacing w:val="3"/>
        </w:rPr>
        <w:t>日收到广州市天河区财政局拨付的项目经费</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45"/>
        </w:rPr>
        <w:t> </w:t>
      </w:r>
      <w:r>
        <w:rPr>
          <w:spacing w:val="-2"/>
        </w:rPr>
        <w:t>万元，该项目需要广州市天河区科技和信息化局验收合格后才能转销。截止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56"/>
        </w:rPr>
        <w:t> </w:t>
      </w:r>
      <w:r>
        <w:rPr/>
        <w:t>日，该项目尚在进行中，且未验收。</w:t>
      </w:r>
    </w:p>
    <w:p>
      <w:pPr>
        <w:spacing w:line="240" w:lineRule="auto" w:before="7"/>
        <w:rPr>
          <w:rFonts w:ascii="宋体" w:hAnsi="宋体" w:cs="宋体" w:eastAsia="宋体" w:hint="default"/>
          <w:sz w:val="22"/>
          <w:szCs w:val="22"/>
        </w:rPr>
      </w:pPr>
    </w:p>
    <w:p>
      <w:pPr>
        <w:pStyle w:val="Heading5"/>
        <w:spacing w:line="240" w:lineRule="auto"/>
        <w:ind w:right="9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156,900,000.00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156,900,000.00</w:t>
            </w:r>
          </w:p>
        </w:tc>
      </w:tr>
    </w:tbl>
    <w:p>
      <w:pPr>
        <w:pStyle w:val="BodyText"/>
        <w:spacing w:line="240" w:lineRule="auto" w:before="51"/>
        <w:ind w:left="154" w:right="0"/>
        <w:jc w:val="both"/>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3"/>
        <w:ind w:left="154" w:right="0"/>
        <w:jc w:val="both"/>
      </w:pPr>
      <w:r>
        <w:rPr/>
        <w:t>年的股份有限公司，设立前的年份只需说明净资产情况；有限责任公司整体变更为股份公司应说明公司设立时的验资情况</w:t>
      </w:r>
    </w:p>
    <w:p>
      <w:pPr>
        <w:pStyle w:val="Heading4"/>
        <w:spacing w:line="312" w:lineRule="exact" w:before="96"/>
        <w:ind w:right="108"/>
        <w:jc w:val="both"/>
      </w:pPr>
      <w:r>
        <w:rPr/>
        <w:t>经中国证券监督管理委员会证监发行字</w:t>
      </w:r>
      <w:r>
        <w:rPr>
          <w:rFonts w:ascii="Times New Roman" w:hAnsi="Times New Roman" w:cs="Times New Roman" w:eastAsia="Times New Roman" w:hint="default"/>
        </w:rPr>
        <w:t>[2009]1463</w:t>
      </w:r>
      <w:r>
        <w:rPr/>
        <w:t>号文核准，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月本公司向社会公开发 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27,000,000</w:t>
      </w:r>
      <w:r>
        <w:rPr/>
        <w:t>股，发行后公司股本总额为</w:t>
      </w:r>
      <w:r>
        <w:rPr>
          <w:rFonts w:ascii="Times New Roman" w:hAnsi="Times New Roman" w:cs="Times New Roman" w:eastAsia="Times New Roman" w:hint="default"/>
        </w:rPr>
        <w:t>104,600,000.00</w:t>
      </w:r>
      <w:r>
        <w:rPr/>
        <w:t>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26</w:t>
      </w:r>
      <w:r>
        <w:rPr/>
        <w:t>日，以公司转增前总股本</w:t>
      </w:r>
      <w:r>
        <w:rPr>
          <w:rFonts w:ascii="Times New Roman" w:hAnsi="Times New Roman" w:cs="Times New Roman" w:eastAsia="Times New Roman" w:hint="default"/>
        </w:rPr>
        <w:t>104,600,000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 合计转增股本</w:t>
      </w:r>
      <w:r>
        <w:rPr>
          <w:rFonts w:ascii="Times New Roman" w:hAnsi="Times New Roman" w:cs="Times New Roman" w:eastAsia="Times New Roman" w:hint="default"/>
        </w:rPr>
        <w:t>52,300,000</w:t>
      </w:r>
      <w:r>
        <w:rPr/>
        <w:t>股，转增后股份总数为</w:t>
      </w:r>
      <w:r>
        <w:rPr>
          <w:rFonts w:ascii="Times New Roman" w:hAnsi="Times New Roman" w:cs="Times New Roman" w:eastAsia="Times New Roman" w:hint="default"/>
        </w:rPr>
        <w:t>156,900,000</w:t>
      </w:r>
      <w:r>
        <w:rPr/>
        <w:t>股。</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48</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4" w:right="8550"/>
        <w:jc w:val="left"/>
      </w:pPr>
      <w:r>
        <w:rPr/>
        <w:t>库存股情况说明 无</w:t>
      </w:r>
    </w:p>
    <w:p>
      <w:pPr>
        <w:spacing w:line="240" w:lineRule="auto" w:before="2"/>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371"/>
        <w:jc w:val="left"/>
      </w:pPr>
      <w:r>
        <w:rPr/>
        <w:t>专项储备情况说明 无</w:t>
      </w:r>
    </w:p>
    <w:p>
      <w:pPr>
        <w:spacing w:line="240" w:lineRule="auto" w:before="2"/>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678,873,114.65</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57,105,266.17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621,767,848.48</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5,348,503.52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5,348,503.52</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678,873,114.65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5,348,503.52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57,105,266.17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627,116,352.00</w:t>
            </w:r>
          </w:p>
        </w:tc>
      </w:tr>
    </w:tbl>
    <w:p>
      <w:pPr>
        <w:pStyle w:val="BodyText"/>
        <w:spacing w:line="240" w:lineRule="auto" w:before="51"/>
        <w:ind w:left="154" w:right="90"/>
        <w:jc w:val="left"/>
      </w:pPr>
      <w:r>
        <w:rPr/>
        <w:t>资本公积说明</w:t>
      </w:r>
    </w:p>
    <w:p>
      <w:pPr>
        <w:pStyle w:val="Heading4"/>
        <w:spacing w:line="312" w:lineRule="exact" w:before="97"/>
        <w:ind w:left="154" w:right="90" w:firstLine="480"/>
        <w:jc w:val="left"/>
      </w:pPr>
      <w:r>
        <w:rPr/>
        <w:t>①资本溢价：</w:t>
      </w:r>
      <w:r>
        <w:rPr>
          <w:rFonts w:ascii="Times New Roman" w:hAnsi="Times New Roman" w:cs="Times New Roman" w:eastAsia="Times New Roman" w:hint="default"/>
        </w:rPr>
        <w:t>2012</w:t>
      </w:r>
      <w:r>
        <w:rPr/>
        <w:t>年度本公司购买子公司广州市易杰数码科技有限公司其他股东</w:t>
      </w:r>
      <w:r>
        <w:rPr>
          <w:rFonts w:ascii="Times New Roman" w:hAnsi="Times New Roman" w:cs="Times New Roman" w:eastAsia="Times New Roman" w:hint="default"/>
        </w:rPr>
        <w:t>30%</w:t>
      </w:r>
      <w:r>
        <w:rPr/>
        <w:t>的 股权，新取得的长期股权投资成本与按照新增持股比例计算应享有该公司自购买日开始持续</w:t>
      </w:r>
    </w:p>
    <w:p>
      <w:pPr>
        <w:spacing w:after="0" w:line="312" w:lineRule="exact"/>
        <w:jc w:val="left"/>
        <w:sectPr>
          <w:pgSz w:w="11910" w:h="16840"/>
          <w:pgMar w:header="747" w:footer="982" w:top="1060" w:bottom="1180" w:left="980" w:right="940"/>
        </w:sectPr>
      </w:pPr>
    </w:p>
    <w:p>
      <w:pPr>
        <w:spacing w:line="240" w:lineRule="auto" w:before="7"/>
        <w:rPr>
          <w:rFonts w:ascii="宋体" w:hAnsi="宋体" w:cs="宋体" w:eastAsia="宋体" w:hint="default"/>
          <w:sz w:val="23"/>
          <w:szCs w:val="23"/>
        </w:rPr>
      </w:pPr>
    </w:p>
    <w:p>
      <w:pPr>
        <w:pStyle w:val="Heading4"/>
        <w:spacing w:line="322" w:lineRule="exact" w:before="26"/>
        <w:ind w:left="154" w:right="90"/>
        <w:jc w:val="left"/>
      </w:pPr>
      <w:r>
        <w:rPr/>
        <w:t>计算的可辨认净资产份额之间的差额，调减资本公积</w:t>
      </w:r>
      <w:r>
        <w:rPr>
          <w:rFonts w:ascii="Times New Roman" w:hAnsi="Times New Roman" w:cs="Times New Roman" w:eastAsia="Times New Roman" w:hint="default"/>
        </w:rPr>
        <w:t>57,105,266.17</w:t>
      </w:r>
      <w:r>
        <w:rPr/>
        <w:t>元。</w:t>
      </w:r>
    </w:p>
    <w:p>
      <w:pPr>
        <w:pStyle w:val="Heading4"/>
        <w:spacing w:line="312" w:lineRule="exact" w:before="20"/>
        <w:ind w:right="188" w:firstLine="480"/>
        <w:jc w:val="left"/>
      </w:pPr>
      <w:r>
        <w:rPr/>
        <w:t>②其他资本公积：系公司定向增发股权期权，以权益结算的股份支付</w:t>
      </w:r>
      <w:r>
        <w:rPr>
          <w:rFonts w:ascii="Times New Roman" w:hAnsi="Times New Roman" w:cs="Times New Roman" w:eastAsia="Times New Roman" w:hint="default"/>
        </w:rPr>
        <w:t>2012</w:t>
      </w:r>
      <w:r>
        <w:rPr/>
        <w:t>年度应确认的</w:t>
      </w:r>
      <w:r>
        <w:rPr>
          <w:spacing w:val="1"/>
        </w:rPr>
        <w:t> </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5,348,503.52</w:t>
      </w:r>
      <w:r>
        <w:rPr/>
        <w:t>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5"/>
        <w:spacing w:line="240" w:lineRule="auto"/>
        <w:ind w:right="9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26,928,645.24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8,612,245.78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35,540,891.02</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26,928,645.24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8,612,245.78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35,540,891.02</w:t>
            </w:r>
          </w:p>
        </w:tc>
      </w:tr>
    </w:tbl>
    <w:p>
      <w:pPr>
        <w:pStyle w:val="BodyText"/>
        <w:spacing w:line="240" w:lineRule="auto" w:before="51"/>
        <w:ind w:left="154" w:right="90"/>
        <w:jc w:val="left"/>
      </w:pPr>
      <w:r>
        <w:rPr/>
        <w:t>盈余公积说明，用盈余公积转增股本、弥补亏损、分派股利的，应说明有关决议</w:t>
      </w:r>
    </w:p>
    <w:p>
      <w:pPr>
        <w:pStyle w:val="Heading4"/>
        <w:spacing w:line="312" w:lineRule="exact" w:before="96"/>
        <w:ind w:right="251"/>
        <w:jc w:val="left"/>
      </w:pPr>
      <w:r>
        <w:rPr/>
        <w:t>根据公司法、章程的规定，本公司按净利润的</w:t>
      </w:r>
      <w:r>
        <w:rPr>
          <w:rFonts w:ascii="Times New Roman" w:hAnsi="Times New Roman" w:cs="Times New Roman" w:eastAsia="Times New Roman" w:hint="default"/>
        </w:rPr>
        <w:t>10%</w:t>
      </w:r>
      <w:r>
        <w:rPr/>
        <w:t>提取法定盈余公积金。法定盈余公积累计 额为本公司注册资本</w:t>
      </w:r>
      <w:r>
        <w:rPr>
          <w:rFonts w:ascii="Times New Roman" w:hAnsi="Times New Roman" w:cs="Times New Roman" w:eastAsia="Times New Roman" w:hint="default"/>
        </w:rPr>
        <w:t>50%</w:t>
      </w:r>
      <w:r>
        <w:rPr/>
        <w:t>以上的，可不再提取。</w:t>
      </w:r>
    </w:p>
    <w:p>
      <w:pPr>
        <w:spacing w:line="240" w:lineRule="auto" w:before="7"/>
        <w:rPr>
          <w:rFonts w:ascii="宋体" w:hAnsi="宋体" w:cs="宋体" w:eastAsia="宋体" w:hint="default"/>
          <w:sz w:val="22"/>
          <w:szCs w:val="22"/>
        </w:rPr>
      </w:pPr>
    </w:p>
    <w:p>
      <w:pPr>
        <w:pStyle w:val="Heading5"/>
        <w:spacing w:line="240" w:lineRule="auto"/>
        <w:ind w:right="9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011"/>
        <w:jc w:val="left"/>
      </w:pPr>
      <w:r>
        <w:rPr/>
        <w:t>一般风险准备情况说明 无</w:t>
      </w:r>
    </w:p>
    <w:p>
      <w:pPr>
        <w:spacing w:line="240" w:lineRule="auto" w:before="2"/>
        <w:rPr>
          <w:rFonts w:ascii="宋体" w:hAnsi="宋体" w:cs="宋体" w:eastAsia="宋体" w:hint="default"/>
          <w:sz w:val="20"/>
          <w:szCs w:val="20"/>
        </w:rPr>
      </w:pPr>
    </w:p>
    <w:p>
      <w:pPr>
        <w:pStyle w:val="Heading5"/>
        <w:spacing w:line="240" w:lineRule="auto"/>
        <w:ind w:right="9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178,344,328.01</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178,344,328.01</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99,730,404.53</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8,612,245.78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47,070,000.00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222,392,486.76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0"/>
        <w:jc w:val="left"/>
      </w:pPr>
      <w:r>
        <w:rPr/>
        <w:t>调整年初未分配利润明细：</w:t>
      </w:r>
    </w:p>
    <w:p>
      <w:pPr>
        <w:pStyle w:val="BodyText"/>
        <w:spacing w:line="240" w:lineRule="auto" w:before="116"/>
        <w:ind w:right="9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4" w:right="9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4" w:right="9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4" w:lineRule="auto" w:before="103"/>
        <w:ind w:left="154" w:right="9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r>
        <w:rPr>
          <w:spacing w:val="-66"/>
        </w:rPr>
        <w:t> </w:t>
      </w:r>
      <w:r>
        <w:rPr>
          <w:spacing w:val="-66"/>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Heading4"/>
        <w:spacing w:line="240" w:lineRule="auto" w:before="2"/>
        <w:ind w:left="634" w:right="0"/>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日经本公司</w:t>
      </w:r>
      <w:r>
        <w:rPr>
          <w:rFonts w:ascii="Times New Roman" w:hAnsi="Times New Roman" w:cs="Times New Roman" w:eastAsia="Times New Roman" w:hint="default"/>
        </w:rPr>
        <w:t>2011</w:t>
      </w:r>
      <w:r>
        <w:rPr/>
        <w:t>年度股东大会批准的《公司</w:t>
      </w:r>
      <w:r>
        <w:rPr>
          <w:rFonts w:ascii="Times New Roman" w:hAnsi="Times New Roman" w:cs="Times New Roman" w:eastAsia="Times New Roman" w:hint="default"/>
        </w:rPr>
        <w:t>2011</w:t>
      </w:r>
      <w:r>
        <w:rPr/>
        <w:t>年度利润分配方案》，</w:t>
      </w:r>
    </w:p>
    <w:p>
      <w:pPr>
        <w:spacing w:after="0" w:line="240" w:lineRule="auto"/>
        <w:jc w:val="left"/>
        <w:sectPr>
          <w:pgSz w:w="11910" w:h="16840"/>
          <w:pgMar w:header="747" w:footer="982" w:top="1060" w:bottom="1180" w:left="980" w:right="940"/>
        </w:sectPr>
      </w:pPr>
    </w:p>
    <w:p>
      <w:pPr>
        <w:spacing w:line="240" w:lineRule="auto" w:before="7"/>
        <w:rPr>
          <w:rFonts w:ascii="宋体" w:hAnsi="宋体" w:cs="宋体" w:eastAsia="宋体" w:hint="default"/>
          <w:sz w:val="23"/>
          <w:szCs w:val="23"/>
        </w:rPr>
      </w:pPr>
    </w:p>
    <w:p>
      <w:pPr>
        <w:pStyle w:val="Heading4"/>
        <w:spacing w:line="312" w:lineRule="exact" w:before="56"/>
        <w:ind w:left="154" w:right="140"/>
        <w:jc w:val="left"/>
      </w:pPr>
      <w:r>
        <w:rPr>
          <w:spacing w:val="-3"/>
        </w:rPr>
        <w:t>本公司向全体股东派发现金股利，每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3.00</w:t>
      </w:r>
      <w:r>
        <w:rPr>
          <w:spacing w:val="-3"/>
        </w:rPr>
        <w:t>元人民币现金，按照已发行股份数</w:t>
      </w:r>
      <w:r>
        <w:rPr>
          <w:rFonts w:ascii="Times New Roman" w:hAnsi="Times New Roman" w:cs="Times New Roman" w:eastAsia="Times New Roman" w:hint="default"/>
          <w:spacing w:val="-3"/>
        </w:rPr>
        <w:t>156,900,000</w:t>
      </w:r>
      <w:r>
        <w:rPr>
          <w:rFonts w:ascii="Times New Roman" w:hAnsi="Times New Roman" w:cs="Times New Roman" w:eastAsia="Times New Roman" w:hint="default"/>
          <w:spacing w:val="-52"/>
        </w:rPr>
        <w:t> </w:t>
      </w:r>
      <w:r>
        <w:rPr/>
        <w:t>股计算，共计</w:t>
      </w:r>
      <w:r>
        <w:rPr>
          <w:rFonts w:ascii="Times New Roman" w:hAnsi="Times New Roman" w:cs="Times New Roman" w:eastAsia="Times New Roman" w:hint="default"/>
        </w:rPr>
        <w:t>47,070,000.00</w:t>
      </w:r>
      <w:r>
        <w:rPr/>
        <w:t>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1"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665,088,034.69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417,445,269.73</w:t>
            </w:r>
          </w:p>
        </w:tc>
      </w:tr>
      <w:tr>
        <w:trPr>
          <w:trHeight w:val="403"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398,363,796.47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218,228,276.00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407,869,557.68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187,247,313.99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344,332,272.53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164,980,233.49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55,241,211.00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30,137,150.74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39,148,651.76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21,907,142.57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201,977,266.01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180,979,331.74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33,964,345.44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31,340,899.94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665,088,034.69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398,363,796.47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417,445,269.73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218,228,276.00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354,012,047.06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144,486,844.19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278,550,469.88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107,436,282.25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30,246,548.36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10,513,717.58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18,568,005.18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8,437,663.59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47,434,068.87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42,215,495.56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109,406,063.86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99,924,256.22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网络产品分销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217,587,447.50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196,085,458.37</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15,807,922.90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5,062,280.77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10,920,730.81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2,430,073.94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665,088,034.69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398,363,796.47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417,445,269.73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218,228,276.00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3587"/>
        <w:gridCol w:w="3453"/>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73,884,701.73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50,013,294.86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31,088,663.06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18,000,190.44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140,464,858.12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73,780,782.99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99,382,133.52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45,564,379.65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111,581,107.81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67,892,004.41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89,842,874.61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53,851,333.23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132,049,990.43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85,334,930.34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68,194,278.62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40,957,780.63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192,827,020.02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115,539,245.38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105,412,674.83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50,781,189.98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14,280,356.58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5,803,538.49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23,524,645.09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9,073,402.07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665,088,034.69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398,363,796.47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417,445,269.73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218,228,276.00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 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87,540,184.84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13.16%</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34,764,542.76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 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28,258,903.74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中国联合网络通信有限公司广西 壮族自治区分公司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27,054,054.16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中国联合网络通信有限公司河南 省分公司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24,624,140.68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202,241,826.18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30.41%</w:t>
            </w:r>
          </w:p>
        </w:tc>
      </w:tr>
    </w:tbl>
    <w:p>
      <w:pPr>
        <w:pStyle w:val="BodyText"/>
        <w:spacing w:line="357" w:lineRule="auto" w:before="51"/>
        <w:ind w:left="154" w:right="8510"/>
        <w:jc w:val="left"/>
      </w:pPr>
      <w:r>
        <w:rPr/>
        <w:t>营业收入的说明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357" w:lineRule="auto" w:before="51"/>
        <w:ind w:left="154" w:right="8510"/>
        <w:jc w:val="left"/>
      </w:pPr>
      <w:r>
        <w:rPr/>
        <w:t>合同项目的说明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628,402.69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2,508,594.23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354,602.90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691,020.83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332,862.14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520,141.92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1,315,867.73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3,719,756.98</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7971"/>
        <w:jc w:val="left"/>
      </w:pPr>
      <w:r>
        <w:rPr/>
        <w:t>营业税金及附加的说明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15,008,146.91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9,780,411.09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5,040,172.69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3,608,040.65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3,517,143.70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3,257,600.48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2,864,159.57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3,223,247.59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1,370,249.10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1,075,797.45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2,809,322.33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11,151.00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1,031,641.18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712,127.89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822,525.80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406,897.20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506,535.98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2,392,922.49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2,586,043.49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35,263,180.97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24,760,955.62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65,218,743.72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36,856,473.68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18,566,948.52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18,319,760.80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6,178,779.57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3,954,450.68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5,348,503.52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4,012,429.24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4,485,214.00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3,683,821.19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2,242,341.05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2,934,288.60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5,011,208.12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2,716,237.13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2,276,693.96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2,046,876.46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1,626,962.80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1,856,451.39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3,244,719.96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10,389,336.90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11,621,807.33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122,952,416.24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89,639,632.38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2,303,077.96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-8,063,146.05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-12,625,793.97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票据贴息等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345,541.59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576,706.81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170,906.22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-5,243,620.28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-11,937,955.33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1"/>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7791"/>
        <w:jc w:val="left"/>
      </w:pPr>
      <w:r>
        <w:rPr/>
        <w:t>公允价值变动收益的说明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407,765.90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2,061,710.72</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407,765.90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2,061,710.72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124,179.01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124,066.34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265,965.53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1,910,595.11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17,621.36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27,049.27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407,765.90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2,061,710.72</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投资收益的说明，若投资收益汇回有重大限制的，应予以说明。若不存在此类重大限制，也应做出说明</w:t>
      </w:r>
    </w:p>
    <w:p>
      <w:pPr>
        <w:pStyle w:val="Heading4"/>
        <w:spacing w:line="312" w:lineRule="exact" w:before="96"/>
        <w:ind w:right="171"/>
        <w:jc w:val="left"/>
      </w:pPr>
      <w:r>
        <w:rPr/>
        <w:t>深圳市金华威数码科技有限公司本期确认的投资收益系</w:t>
      </w:r>
      <w:r>
        <w:rPr>
          <w:rFonts w:ascii="Times New Roman" w:hAnsi="Times New Roman" w:cs="Times New Roman" w:eastAsia="Times New Roman" w:hint="default"/>
        </w:rPr>
        <w:t>2012</w:t>
      </w:r>
      <w:r>
        <w:rPr/>
        <w:t>年度非同一控制下合并日前权益 法核算下实现的投资收益。</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3,321,723.13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5,487,012.62</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3,321,723.13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5,487,012.62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28,092.71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28,092.71</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28,092.71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28,092.71</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3,287,250.00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11,484,276.79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3,287,250.00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82,413.20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121,812.08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82,413.20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3,397,755.91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11,607,823.85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3,397,755.91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年企业改制上市资助金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①</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年科学技术奖励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科技型中小企业创新资金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③</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年优秀企业表彰奖金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④</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广州市高新技术动漫奖金补助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⑤</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年第二批广州市软件和信息 服务业发展奖励金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611,850.00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⑥</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6,926,908.79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年第一批经济发展资金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深圳市支持骨干企业发展奖励资 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年度深圳高新技术产业专项 款</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53,368.00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知识产权申请补贴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3,287,250.00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11,484,276.79</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营业外收入说明</w:t>
      </w:r>
    </w:p>
    <w:p>
      <w:pPr>
        <w:pStyle w:val="Heading4"/>
        <w:spacing w:line="312" w:lineRule="exact" w:before="97"/>
        <w:ind w:left="154" w:right="116" w:firstLine="420"/>
        <w:jc w:val="both"/>
      </w:pPr>
      <w:r>
        <w:rPr>
          <w:sz w:val="21"/>
          <w:szCs w:val="21"/>
        </w:rPr>
        <w:t>①</w:t>
      </w:r>
      <w:r>
        <w:rPr>
          <w:spacing w:val="-69"/>
          <w:sz w:val="21"/>
          <w:szCs w:val="21"/>
        </w:rPr>
        <w:t> </w:t>
      </w:r>
      <w:r>
        <w:rPr>
          <w:spacing w:val="30"/>
        </w:rPr>
        <w:t>根据深圳市经济贸易和信息化委员会和</w:t>
      </w:r>
      <w:r>
        <w:rPr>
          <w:spacing w:val="-84"/>
        </w:rPr>
        <w:t> </w:t>
      </w:r>
      <w:r>
        <w:rPr>
          <w:spacing w:val="30"/>
        </w:rPr>
        <w:t>深圳市财政委员会深经贸信息秘书字</w:t>
      </w:r>
      <w:r>
        <w:rPr>
          <w:spacing w:val="-87"/>
        </w:rPr>
        <w:t> </w:t>
      </w:r>
      <w:r>
        <w:rPr>
          <w:rFonts w:ascii="Times New Roman" w:hAnsi="Times New Roman" w:cs="Times New Roman" w:eastAsia="Times New Roman" w:hint="default"/>
          <w:spacing w:val="2"/>
        </w:rPr>
        <w:t>[2012]1291</w:t>
      </w:r>
      <w:r>
        <w:rPr>
          <w:spacing w:val="2"/>
        </w:rPr>
        <w:t>号《关于下达</w:t>
      </w:r>
      <w:r>
        <w:rPr>
          <w:rFonts w:ascii="Times New Roman" w:hAnsi="Times New Roman" w:cs="Times New Roman" w:eastAsia="Times New Roman" w:hint="default"/>
          <w:spacing w:val="2"/>
        </w:rPr>
        <w:t>2011</w:t>
      </w:r>
      <w:r>
        <w:rPr>
          <w:spacing w:val="2"/>
        </w:rPr>
        <w:t>年深圳市民营及中小企业发展专项资金企业改制上市培育项目</w:t>
      </w:r>
      <w:r>
        <w:rPr>
          <w:spacing w:val="-118"/>
        </w:rPr>
        <w:t> </w:t>
      </w:r>
      <w:r>
        <w:rPr>
          <w:spacing w:val="-2"/>
        </w:rPr>
        <w:t>资助计划的通知》之规定，本公司于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日收深圳市财政委员会拨付的改制上市资助</w:t>
      </w:r>
      <w:r>
        <w:rPr>
          <w:spacing w:val="-114"/>
        </w:rPr>
        <w:t> </w:t>
      </w:r>
      <w:r>
        <w:rPr/>
        <w:t>金</w:t>
      </w:r>
      <w:r>
        <w:rPr>
          <w:rFonts w:ascii="Times New Roman" w:hAnsi="Times New Roman" w:cs="Times New Roman" w:eastAsia="Times New Roman" w:hint="default"/>
        </w:rPr>
        <w:t>200</w:t>
      </w:r>
      <w:r>
        <w:rPr/>
        <w:t>万元。</w:t>
      </w:r>
    </w:p>
    <w:p>
      <w:pPr>
        <w:pStyle w:val="Heading4"/>
        <w:spacing w:line="312" w:lineRule="exact"/>
        <w:ind w:right="151" w:firstLine="420"/>
        <w:jc w:val="both"/>
      </w:pPr>
      <w:r>
        <w:rPr>
          <w:spacing w:val="-1"/>
          <w:sz w:val="21"/>
          <w:szCs w:val="21"/>
        </w:rPr>
        <w:t>②</w:t>
      </w:r>
      <w:r>
        <w:rPr>
          <w:spacing w:val="-1"/>
        </w:rPr>
        <w:t>根据深圳市人民政府深府</w:t>
      </w:r>
      <w:r>
        <w:rPr>
          <w:rFonts w:ascii="Times New Roman" w:hAnsi="Times New Roman" w:cs="Times New Roman" w:eastAsia="Times New Roman" w:hint="default"/>
          <w:spacing w:val="-1"/>
        </w:rPr>
        <w:t>[2012]14</w:t>
      </w:r>
      <w:r>
        <w:rPr>
          <w:spacing w:val="-1"/>
        </w:rPr>
        <w:t>号《关于</w:t>
      </w:r>
      <w:r>
        <w:rPr>
          <w:rFonts w:ascii="Times New Roman" w:hAnsi="Times New Roman" w:cs="Times New Roman" w:eastAsia="Times New Roman" w:hint="default"/>
          <w:spacing w:val="-1"/>
        </w:rPr>
        <w:t>2010</w:t>
      </w:r>
      <w:r>
        <w:rPr>
          <w:spacing w:val="-1"/>
        </w:rPr>
        <w:t>年度深圳市科学技术奖的通报》、《深</w:t>
      </w:r>
      <w:r>
        <w:rPr/>
        <w:t> </w:t>
      </w:r>
      <w:r>
        <w:rPr>
          <w:spacing w:val="-2"/>
        </w:rPr>
        <w:t>圳市科学技术奖励办法实施细则》之规定，本公司于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日收深圳市科学技术协会拨</w:t>
      </w:r>
      <w:r>
        <w:rPr>
          <w:spacing w:val="-114"/>
        </w:rPr>
        <w:t> </w:t>
      </w:r>
      <w:r>
        <w:rPr/>
        <w:t>付的</w:t>
      </w:r>
      <w:r>
        <w:rPr>
          <w:rFonts w:ascii="Times New Roman" w:hAnsi="Times New Roman" w:cs="Times New Roman" w:eastAsia="Times New Roman" w:hint="default"/>
        </w:rPr>
        <w:t>2010</w:t>
      </w:r>
      <w:r>
        <w:rPr/>
        <w:t>年科学技术奖励资金</w:t>
      </w:r>
      <w:r>
        <w:rPr>
          <w:rFonts w:ascii="Times New Roman" w:hAnsi="Times New Roman" w:cs="Times New Roman" w:eastAsia="Times New Roman" w:hint="default"/>
        </w:rPr>
        <w:t>30</w:t>
      </w:r>
      <w:r>
        <w:rPr/>
        <w:t>万元。</w:t>
      </w:r>
    </w:p>
    <w:p>
      <w:pPr>
        <w:pStyle w:val="Heading4"/>
        <w:spacing w:line="312" w:lineRule="exact"/>
        <w:ind w:right="509" w:firstLine="420"/>
        <w:jc w:val="both"/>
      </w:pPr>
      <w:r>
        <w:rPr>
          <w:sz w:val="21"/>
          <w:szCs w:val="21"/>
        </w:rPr>
        <w:t>③</w:t>
      </w:r>
      <w:r>
        <w:rPr/>
        <w:t>根据本公司与上海浦东新区科学技术委员会签订《浦东新区科技发展创新资金项目</w:t>
      </w:r>
      <w:r>
        <w:rPr/>
        <w:t> </w:t>
      </w:r>
      <w:r>
        <w:rPr>
          <w:spacing w:val="-3"/>
        </w:rPr>
        <w:t>任务书》（项目名称：面向公共安全的公安出入境管控网络计算及应用）之规定，本公司</w:t>
      </w:r>
      <w:r>
        <w:rPr>
          <w:spacing w:val="-87"/>
        </w:rPr>
        <w:t> </w:t>
      </w:r>
      <w:r>
        <w:rPr>
          <w:spacing w:val="-87"/>
        </w:rPr>
      </w:r>
      <w:r>
        <w:rPr>
          <w:spacing w:val="3"/>
        </w:rPr>
        <w:t>之子公司上海天缘迪柯信息技术有限公司分别于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日收到上海市浦东新区财</w:t>
      </w:r>
      <w:r>
        <w:rPr>
          <w:spacing w:val="-101"/>
        </w:rPr>
        <w:t> </w:t>
      </w:r>
      <w:r>
        <w:rPr>
          <w:spacing w:val="-101"/>
        </w:rPr>
      </w:r>
      <w:r>
        <w:rPr/>
        <w:t>政局科技发展基金拨付的项目资助</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日收到上海市科学技术委员会拨</w:t>
      </w:r>
      <w:r>
        <w:rPr>
          <w:spacing w:val="-89"/>
        </w:rPr>
        <w:t> </w:t>
      </w:r>
      <w:r>
        <w:rPr/>
        <w:t>付的项目资助</w:t>
      </w:r>
      <w:r>
        <w:rPr>
          <w:rFonts w:ascii="Times New Roman" w:hAnsi="Times New Roman" w:cs="Times New Roman" w:eastAsia="Times New Roman" w:hint="default"/>
        </w:rPr>
        <w:t>7</w:t>
      </w:r>
      <w:r>
        <w:rPr/>
        <w:t>万元，合计收到</w:t>
      </w:r>
      <w:r>
        <w:rPr>
          <w:rFonts w:ascii="Times New Roman" w:hAnsi="Times New Roman" w:cs="Times New Roman" w:eastAsia="Times New Roman" w:hint="default"/>
        </w:rPr>
        <w:t>13</w:t>
      </w:r>
      <w:r>
        <w:rPr/>
        <w:t>万元。</w:t>
      </w:r>
    </w:p>
    <w:p>
      <w:pPr>
        <w:pStyle w:val="Heading4"/>
        <w:spacing w:line="312" w:lineRule="exact"/>
        <w:ind w:right="511" w:firstLine="480"/>
        <w:jc w:val="both"/>
      </w:pPr>
      <w:r>
        <w:rPr>
          <w:spacing w:val="-1"/>
        </w:rPr>
        <w:t>④根据合肥高新技术产业开发区管理委员会合高管</w:t>
      </w:r>
      <w:r>
        <w:rPr>
          <w:rFonts w:ascii="Times New Roman" w:hAnsi="Times New Roman" w:cs="Times New Roman" w:eastAsia="Times New Roman" w:hint="default"/>
          <w:spacing w:val="-1"/>
        </w:rPr>
        <w:t>[2012]16</w:t>
      </w:r>
      <w:r>
        <w:rPr>
          <w:spacing w:val="-1"/>
        </w:rPr>
        <w:t>号《关于表彰合肥高新区 </w:t>
      </w:r>
      <w:r>
        <w:rPr>
          <w:rFonts w:ascii="Times New Roman" w:hAnsi="Times New Roman" w:cs="Times New Roman" w:eastAsia="Times New Roman" w:hint="default"/>
          <w:spacing w:val="-2"/>
        </w:rPr>
        <w:t>2011</w:t>
      </w:r>
      <w:r>
        <w:rPr>
          <w:spacing w:val="-2"/>
        </w:rPr>
        <w:t>年度优秀企业的决定》之规定，本公司之子公司合肥天源迪科信息技术有限公司分别</w:t>
      </w:r>
      <w:r>
        <w:rPr/>
        <w:t> 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日收到高新区经贸局拨付的</w:t>
      </w:r>
      <w:r>
        <w:rPr>
          <w:rFonts w:ascii="Times New Roman" w:hAnsi="Times New Roman" w:cs="Times New Roman" w:eastAsia="Times New Roman" w:hint="default"/>
        </w:rPr>
        <w:t>2011</w:t>
      </w:r>
      <w:r>
        <w:rPr/>
        <w:t>年优秀企业表彰奖金</w:t>
      </w:r>
      <w:r>
        <w:rPr>
          <w:rFonts w:ascii="Times New Roman" w:hAnsi="Times New Roman" w:cs="Times New Roman" w:eastAsia="Times New Roman" w:hint="default"/>
        </w:rPr>
        <w:t>3</w:t>
      </w:r>
      <w:r>
        <w:rPr/>
        <w:t>万元。</w:t>
      </w:r>
    </w:p>
    <w:p>
      <w:pPr>
        <w:pStyle w:val="Heading4"/>
        <w:spacing w:line="312" w:lineRule="exact"/>
        <w:ind w:right="507" w:firstLine="480"/>
        <w:jc w:val="both"/>
      </w:pPr>
      <w:r>
        <w:rPr>
          <w:spacing w:val="-1"/>
        </w:rPr>
        <w:t>⑤根据广州市人民政府穗府</w:t>
      </w:r>
      <w:r>
        <w:rPr>
          <w:rFonts w:ascii="Times New Roman" w:hAnsi="Times New Roman" w:cs="Times New Roman" w:eastAsia="Times New Roman" w:hint="default"/>
          <w:spacing w:val="-1"/>
        </w:rPr>
        <w:t>[2006]44</w:t>
      </w:r>
      <w:r>
        <w:rPr>
          <w:spacing w:val="-1"/>
        </w:rPr>
        <w:t>号《广州市进一步扶持软件和动漫产业发展的若 </w:t>
      </w:r>
      <w:r>
        <w:rPr/>
        <w:t>干规定》、《</w:t>
      </w:r>
      <w:r>
        <w:rPr>
          <w:rFonts w:ascii="Times New Roman" w:hAnsi="Times New Roman" w:cs="Times New Roman" w:eastAsia="Times New Roman" w:hint="default"/>
        </w:rPr>
        <w:t>2011</w:t>
      </w:r>
      <w:r>
        <w:rPr/>
        <w:t>年第</w:t>
      </w:r>
      <w:r>
        <w:rPr>
          <w:rFonts w:ascii="Times New Roman" w:hAnsi="Times New Roman" w:cs="Times New Roman" w:eastAsia="Times New Roman" w:hint="default"/>
        </w:rPr>
        <w:t>5</w:t>
      </w:r>
      <w:r>
        <w:rPr/>
        <w:t>批广州市软件（动漫）产业发展资金》（穗科信</w:t>
      </w:r>
      <w:r>
        <w:rPr>
          <w:rFonts w:ascii="Times New Roman" w:hAnsi="Times New Roman" w:cs="Times New Roman" w:eastAsia="Times New Roman" w:hint="default"/>
        </w:rPr>
        <w:t>[2011]315</w:t>
      </w:r>
      <w:r>
        <w:rPr/>
        <w:t>号）、 </w:t>
      </w:r>
      <w:r>
        <w:rPr>
          <w:spacing w:val="-3"/>
        </w:rPr>
        <w:t>广州市软件（动漫）产业发展领导小组办公室《关于印发广州市软件和动漫产业发展资金</w:t>
      </w:r>
      <w:r>
        <w:rPr>
          <w:spacing w:val="-86"/>
        </w:rPr>
        <w:t> </w:t>
      </w:r>
      <w:r>
        <w:rPr>
          <w:spacing w:val="-86"/>
        </w:rPr>
      </w:r>
      <w:r>
        <w:rPr>
          <w:spacing w:val="3"/>
        </w:rPr>
        <w:t>申请指南的通知》之规定，本公司之子公司广州市易杰数码科技有限公司于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1"/>
        </w:rPr>
        <w:t> </w:t>
      </w:r>
      <w:r>
        <w:rPr/>
        <w:t>日收到广州市天河区财政局拨付的</w:t>
      </w:r>
      <w:r>
        <w:rPr>
          <w:rFonts w:ascii="Times New Roman" w:hAnsi="Times New Roman" w:cs="Times New Roman" w:eastAsia="Times New Roman" w:hint="default"/>
        </w:rPr>
        <w:t>2011</w:t>
      </w:r>
      <w:r>
        <w:rPr/>
        <w:t>年度动漫资金奖励</w:t>
      </w:r>
      <w:r>
        <w:rPr>
          <w:rFonts w:ascii="Times New Roman" w:hAnsi="Times New Roman" w:cs="Times New Roman" w:eastAsia="Times New Roman" w:hint="default"/>
        </w:rPr>
        <w:t>19.5</w:t>
      </w:r>
      <w:r>
        <w:rPr/>
        <w:t>万元。</w:t>
      </w:r>
    </w:p>
    <w:p>
      <w:pPr>
        <w:pStyle w:val="Heading4"/>
        <w:spacing w:line="312" w:lineRule="exact"/>
        <w:ind w:right="508" w:firstLine="420"/>
        <w:jc w:val="both"/>
      </w:pPr>
      <w:r>
        <w:rPr>
          <w:spacing w:val="-1"/>
          <w:sz w:val="21"/>
          <w:szCs w:val="21"/>
        </w:rPr>
        <w:t>⑥</w:t>
      </w:r>
      <w:r>
        <w:rPr>
          <w:spacing w:val="-1"/>
        </w:rPr>
        <w:t>根据广州市科技和信息化局和广州市财政局穗科信字</w:t>
      </w:r>
      <w:r>
        <w:rPr>
          <w:rFonts w:ascii="Times New Roman" w:hAnsi="Times New Roman" w:cs="Times New Roman" w:eastAsia="Times New Roman" w:hint="default"/>
          <w:spacing w:val="-1"/>
        </w:rPr>
        <w:t>[2012]321</w:t>
      </w:r>
      <w:r>
        <w:rPr>
          <w:spacing w:val="-1"/>
        </w:rPr>
        <w:t>号《关于下达</w:t>
      </w:r>
      <w:r>
        <w:rPr>
          <w:rFonts w:ascii="Times New Roman" w:hAnsi="Times New Roman" w:cs="Times New Roman" w:eastAsia="Times New Roman" w:hint="default"/>
          <w:spacing w:val="-1"/>
        </w:rPr>
        <w:t>2012</w:t>
      </w:r>
      <w:r>
        <w:rPr>
          <w:spacing w:val="-1"/>
        </w:rPr>
        <w:t>年</w:t>
      </w:r>
      <w:r>
        <w:rPr/>
        <w:t> </w:t>
      </w:r>
      <w:r>
        <w:rPr>
          <w:spacing w:val="-3"/>
        </w:rPr>
        <w:t>第二批广州市软件和信息服务业发展专项资金的通知》之规定，本公司之子公司广州市易</w:t>
      </w:r>
      <w:r>
        <w:rPr>
          <w:spacing w:val="-85"/>
        </w:rPr>
        <w:t> </w:t>
      </w:r>
      <w:r>
        <w:rPr>
          <w:spacing w:val="-85"/>
        </w:rPr>
      </w:r>
      <w:r>
        <w:rPr/>
        <w:t>杰数码科技有限公司于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日收到广州市天河区财政局拨付的</w:t>
      </w:r>
      <w:r>
        <w:rPr>
          <w:rFonts w:ascii="Times New Roman" w:hAnsi="Times New Roman" w:cs="Times New Roman" w:eastAsia="Times New Roman" w:hint="default"/>
        </w:rPr>
        <w:t>2012</w:t>
      </w:r>
      <w:r>
        <w:rPr/>
        <w:t>年第二批广州</w:t>
      </w:r>
      <w:r>
        <w:rPr>
          <w:spacing w:val="-100"/>
        </w:rPr>
        <w:t> </w:t>
      </w:r>
      <w:r>
        <w:rPr/>
        <w:t>市软件和信息服务业发展奖励金</w:t>
      </w:r>
      <w:r>
        <w:rPr>
          <w:rFonts w:ascii="Times New Roman" w:hAnsi="Times New Roman" w:cs="Times New Roman" w:eastAsia="Times New Roman" w:hint="default"/>
        </w:rPr>
        <w:t>66.185</w:t>
      </w:r>
      <w:r>
        <w:rPr/>
        <w:t>万元。</w:t>
      </w:r>
    </w:p>
    <w:p>
      <w:pPr>
        <w:spacing w:after="0" w:line="312" w:lineRule="exact"/>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364,119.33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238,705.59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364,119.33</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364,119.33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238,705.59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364,119.33</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42,129.75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42,129.75</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406,249.08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248,705.59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406,249.08</w:t>
            </w:r>
          </w:p>
        </w:tc>
      </w:tr>
    </w:tbl>
    <w:p>
      <w:pPr>
        <w:pStyle w:val="BodyText"/>
        <w:spacing w:line="240" w:lineRule="auto" w:before="51"/>
        <w:ind w:left="154" w:right="0"/>
        <w:jc w:val="left"/>
      </w:pPr>
      <w:r>
        <w:rPr/>
        <w:t>营业外支出说明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11,163,808.53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14,958,795.29</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-365,076.99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-2,877,566.17</w:t>
            </w: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10,798,731.54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12,081,229.12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426"/>
        <w:jc w:val="left"/>
      </w:pPr>
      <w:r>
        <w:rPr/>
        <w:t>基本每股收益按照归属于本公司普通股股东的当期净利润，除以发行在外普通股的加权平均数计算。新发行普通股股 数，根据发行合同的具体条款，从应收对价之日（一般为股票发行日）起计算确定。</w:t>
      </w:r>
    </w:p>
    <w:p>
      <w:pPr>
        <w:pStyle w:val="BodyText"/>
        <w:spacing w:line="300" w:lineRule="auto" w:before="19"/>
        <w:ind w:right="0" w:firstLine="426"/>
        <w:jc w:val="left"/>
      </w:pPr>
      <w:r>
        <w:rPr>
          <w:spacing w:val="-2"/>
        </w:rPr>
        <w:t>稀释每股收益的分子以归属于本公司普通股股东的当期净利润，调整下述因素后确定：（</w:t>
      </w:r>
      <w:r>
        <w:rPr>
          <w:rFonts w:ascii="Times New Roman" w:hAnsi="Times New Roman" w:cs="Times New Roman" w:eastAsia="Times New Roman" w:hint="default"/>
          <w:spacing w:val="-2"/>
        </w:rPr>
        <w:t>1</w:t>
      </w:r>
      <w:r>
        <w:rPr>
          <w:spacing w:val="-2"/>
        </w:rPr>
        <w:t>）当期已确认为费用的稀释</w:t>
      </w:r>
      <w:r>
        <w:rPr/>
        <w:t> 性潜在普通股的利息；（</w:t>
      </w:r>
      <w:r>
        <w:rPr>
          <w:rFonts w:ascii="Times New Roman" w:hAnsi="Times New Roman" w:cs="Times New Roman" w:eastAsia="Times New Roman" w:hint="default"/>
        </w:rPr>
        <w:t>2</w:t>
      </w:r>
      <w:r>
        <w:rPr/>
        <w:t>）稀释性潜在普通股转换时将产生的收益或费用；以及（</w:t>
      </w:r>
      <w:r>
        <w:rPr>
          <w:rFonts w:ascii="Times New Roman" w:hAnsi="Times New Roman" w:cs="Times New Roman" w:eastAsia="Times New Roman" w:hint="default"/>
        </w:rPr>
        <w:t>3</w:t>
      </w:r>
      <w:r>
        <w:rPr/>
        <w:t>）上述调整相关的所得税影响。</w:t>
      </w:r>
    </w:p>
    <w:p>
      <w:pPr>
        <w:pStyle w:val="BodyText"/>
        <w:spacing w:line="300" w:lineRule="auto" w:before="13"/>
        <w:ind w:left="154" w:right="0" w:firstLine="425"/>
        <w:jc w:val="left"/>
      </w:pPr>
      <w:r>
        <w:rPr/>
        <w:t>稀释每股收益的分母等于下列两项之和：（</w:t>
      </w:r>
      <w:r>
        <w:rPr>
          <w:rFonts w:ascii="Times New Roman" w:hAnsi="Times New Roman" w:cs="Times New Roman" w:eastAsia="Times New Roman" w:hint="default"/>
        </w:rPr>
        <w:t>1</w:t>
      </w:r>
      <w:r>
        <w:rPr/>
        <w:t>）基本每股收益中母公司已发行普通股的加权平均数；及（</w:t>
      </w:r>
      <w:r>
        <w:rPr>
          <w:rFonts w:ascii="Times New Roman" w:hAnsi="Times New Roman" w:cs="Times New Roman" w:eastAsia="Times New Roman" w:hint="default"/>
        </w:rPr>
        <w:t>2</w:t>
      </w:r>
      <w:r>
        <w:rPr/>
        <w:t>）假定稀释 性潜在普通股转换为普通股而增加的普通股的加权平均数。</w:t>
      </w:r>
    </w:p>
    <w:p>
      <w:pPr>
        <w:pStyle w:val="BodyText"/>
        <w:spacing w:line="316" w:lineRule="auto" w:before="31"/>
        <w:ind w:left="154" w:right="0" w:firstLine="426"/>
        <w:jc w:val="left"/>
      </w:pPr>
      <w:r>
        <w:rPr/>
        <w:t>在计算稀释性潜在普通股转换为已发行普通股而增加的普通股股数的加权平均数时，以前期间发行的稀释性潜在普通 股，假设在当年年初转换；当年发行的稀释性潜在普通股，假设在发行日转换。</w:t>
      </w:r>
    </w:p>
    <w:p>
      <w:pPr>
        <w:pStyle w:val="BodyText"/>
        <w:spacing w:line="240" w:lineRule="auto" w:before="19"/>
        <w:ind w:left="580" w:right="0"/>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003"/>
        <w:gridCol w:w="2249"/>
        <w:gridCol w:w="1922"/>
      </w:tblGrid>
      <w:tr>
        <w:trPr>
          <w:trHeight w:val="347" w:hRule="exact"/>
        </w:trPr>
        <w:tc>
          <w:tcPr>
            <w:tcW w:w="500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66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9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503"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7" w:hRule="exact"/>
        </w:trPr>
        <w:tc>
          <w:tcPr>
            <w:tcW w:w="5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99,730,404.53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81,252,099.14</w:t>
            </w:r>
          </w:p>
        </w:tc>
      </w:tr>
      <w:tr>
        <w:trPr>
          <w:trHeight w:val="347" w:hRule="exact"/>
        </w:trPr>
        <w:tc>
          <w:tcPr>
            <w:tcW w:w="5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97,099,722.49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77,511,023.71</w:t>
            </w:r>
          </w:p>
        </w:tc>
      </w:tr>
      <w:tr>
        <w:trPr>
          <w:trHeight w:val="348" w:hRule="exact"/>
        </w:trPr>
        <w:tc>
          <w:tcPr>
            <w:tcW w:w="5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0.64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0.52</w:t>
            </w:r>
          </w:p>
        </w:tc>
      </w:tr>
      <w:tr>
        <w:trPr>
          <w:trHeight w:val="347" w:hRule="exact"/>
        </w:trPr>
        <w:tc>
          <w:tcPr>
            <w:tcW w:w="5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0.64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0.52</w:t>
            </w:r>
          </w:p>
        </w:tc>
      </w:tr>
    </w:tbl>
    <w:p>
      <w:pPr>
        <w:pStyle w:val="BodyText"/>
        <w:spacing w:line="240" w:lineRule="auto" w:before="10"/>
        <w:ind w:left="580" w:right="0"/>
        <w:jc w:val="left"/>
      </w:pPr>
      <w:r>
        <w:rPr/>
        <w:t>注：报告期内，本公司不存在具有稀释性的潜在普通股，因此，稀释每股收益等于基本每股收益。</w:t>
      </w:r>
    </w:p>
    <w:p>
      <w:pPr>
        <w:pStyle w:val="BodyText"/>
        <w:spacing w:line="240" w:lineRule="auto" w:before="76"/>
        <w:ind w:left="580" w:right="0"/>
        <w:jc w:val="left"/>
      </w:pPr>
      <w:r>
        <w:rPr/>
        <w:t>（</w:t>
      </w:r>
      <w:r>
        <w:rPr>
          <w:rFonts w:ascii="Times New Roman" w:hAnsi="Times New Roman" w:cs="Times New Roman" w:eastAsia="Times New Roman" w:hint="default"/>
        </w:rPr>
        <w:t>2</w:t>
      </w:r>
      <w:r>
        <w:rPr/>
        <w:t>）每股收益和稀释每股收益的计算过程</w:t>
      </w:r>
    </w:p>
    <w:p>
      <w:pPr>
        <w:pStyle w:val="BodyText"/>
        <w:spacing w:line="240" w:lineRule="auto" w:before="63"/>
        <w:ind w:left="580" w:right="0"/>
        <w:jc w:val="left"/>
      </w:pPr>
      <w:r>
        <w:rPr/>
        <w:t>①计算基本每股收益时，归属于普通股股东的当期净利润为：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072"/>
        <w:gridCol w:w="2268"/>
        <w:gridCol w:w="1873"/>
      </w:tblGrid>
      <w:tr>
        <w:trPr>
          <w:trHeight w:val="347" w:hRule="exact"/>
        </w:trPr>
        <w:tc>
          <w:tcPr>
            <w:tcW w:w="507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67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87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478"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15" w:right="0"/>
              <w:jc w:val="left"/>
              <w:rPr>
                <w:rFonts w:ascii="Times New Roman" w:hAnsi="Times New Roman" w:cs="Times New Roman" w:eastAsia="Times New Roman" w:hint="default"/>
                <w:sz w:val="18"/>
                <w:szCs w:val="18"/>
              </w:rPr>
            </w:pPr>
            <w:r>
              <w:rPr>
                <w:rFonts w:ascii="Times New Roman"/>
                <w:sz w:val="18"/>
              </w:rPr>
              <w:t>99,730,404.53</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21" w:right="0"/>
              <w:jc w:val="left"/>
              <w:rPr>
                <w:rFonts w:ascii="Times New Roman" w:hAnsi="Times New Roman" w:cs="Times New Roman" w:eastAsia="Times New Roman" w:hint="default"/>
                <w:sz w:val="18"/>
                <w:szCs w:val="18"/>
              </w:rPr>
            </w:pPr>
            <w:r>
              <w:rPr>
                <w:rFonts w:ascii="Times New Roman"/>
                <w:sz w:val="18"/>
              </w:rPr>
              <w:t>81,252,099.14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072"/>
        <w:gridCol w:w="2268"/>
        <w:gridCol w:w="1873"/>
      </w:tblGrid>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99,730,404.53</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81,252,099.14</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268" w:type="dxa"/>
            <w:tcBorders>
              <w:top w:val="single" w:sz="6" w:space="0" w:color="000000"/>
              <w:left w:val="single" w:sz="6" w:space="0" w:color="000000"/>
              <w:bottom w:val="single" w:sz="6" w:space="0" w:color="000000"/>
              <w:right w:val="single" w:sz="6" w:space="0" w:color="000000"/>
            </w:tcBorders>
          </w:tcPr>
          <w:p>
            <w:pPr/>
          </w:p>
        </w:tc>
        <w:tc>
          <w:tcPr>
            <w:tcW w:w="18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97,099,722.49</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77,511,023.71</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97,099,722.49</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77,511,023.71</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268" w:type="dxa"/>
            <w:tcBorders>
              <w:top w:val="single" w:sz="6" w:space="0" w:color="000000"/>
              <w:left w:val="single" w:sz="6" w:space="0" w:color="000000"/>
              <w:bottom w:val="single" w:sz="6" w:space="0" w:color="000000"/>
              <w:right w:val="single" w:sz="6" w:space="0" w:color="000000"/>
            </w:tcBorders>
          </w:tcPr>
          <w:p>
            <w:pPr/>
          </w:p>
        </w:tc>
        <w:tc>
          <w:tcPr>
            <w:tcW w:w="187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514" w:right="0"/>
        <w:jc w:val="left"/>
      </w:pPr>
      <w:r>
        <w:rPr/>
        <w:t>②计算基本每股收益时，分母为发行在外普通股加权平均数，计算过程如下：</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072"/>
        <w:gridCol w:w="2268"/>
        <w:gridCol w:w="1873"/>
      </w:tblGrid>
      <w:tr>
        <w:trPr>
          <w:trHeight w:val="336" w:hRule="exact"/>
        </w:trPr>
        <w:tc>
          <w:tcPr>
            <w:tcW w:w="507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6"/>
              <w:ind w:left="67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87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6"/>
              <w:ind w:left="478"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3" w:hRule="exact"/>
        </w:trPr>
        <w:tc>
          <w:tcPr>
            <w:tcW w:w="50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pacing w:val="-1"/>
                <w:sz w:val="18"/>
              </w:rPr>
              <w:t>156,900,000.00</w:t>
            </w:r>
          </w:p>
        </w:tc>
        <w:tc>
          <w:tcPr>
            <w:tcW w:w="187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104,600,000.00</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268" w:type="dxa"/>
            <w:tcBorders>
              <w:top w:val="single" w:sz="6" w:space="0" w:color="000000"/>
              <w:left w:val="single" w:sz="6" w:space="0" w:color="000000"/>
              <w:bottom w:val="single" w:sz="6" w:space="0" w:color="000000"/>
              <w:right w:val="single" w:sz="6" w:space="0" w:color="000000"/>
            </w:tcBorders>
          </w:tcPr>
          <w:p>
            <w:pP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52,300,000.00</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268" w:type="dxa"/>
            <w:tcBorders>
              <w:top w:val="single" w:sz="6" w:space="0" w:color="000000"/>
              <w:left w:val="single" w:sz="6" w:space="0" w:color="000000"/>
              <w:bottom w:val="single" w:sz="6" w:space="0" w:color="000000"/>
              <w:right w:val="single" w:sz="6" w:space="0" w:color="000000"/>
            </w:tcBorders>
          </w:tcPr>
          <w:p>
            <w:pPr/>
          </w:p>
        </w:tc>
        <w:tc>
          <w:tcPr>
            <w:tcW w:w="187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156,900,000.00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156,900,000.00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5"/>
        <w:spacing w:line="240" w:lineRule="auto" w:before="35"/>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8331"/>
        <w:jc w:val="left"/>
      </w:pPr>
      <w:r>
        <w:rPr/>
        <w:t>其他综合收益说明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9,858,569.35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7,118,656.98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9,996,638.04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26,973,864.37</w:t>
            </w:r>
          </w:p>
        </w:tc>
      </w:tr>
    </w:tbl>
    <w:p>
      <w:pPr>
        <w:pStyle w:val="BodyText"/>
        <w:spacing w:line="357" w:lineRule="auto" w:before="51"/>
        <w:ind w:right="6711"/>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29,197,859.80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19,838,736.87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8,823,171.98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57,859,768.65</w:t>
            </w:r>
          </w:p>
        </w:tc>
      </w:tr>
    </w:tbl>
    <w:p>
      <w:pPr>
        <w:pStyle w:val="BodyText"/>
        <w:spacing w:line="357" w:lineRule="auto" w:before="51"/>
        <w:ind w:right="6711"/>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5566;top:16;width:23;height:392" coordorigin="5566,16" coordsize="23,392">
              <v:shape style="position:absolute;left:5566;top:16;width:23;height:392" coordorigin="5566,16" coordsize="23,392" path="m5566,407l5588,407,5588,16,5566,16,5566,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5529;height:392" coordorigin="37,16" coordsize="5529,392">
              <v:shape style="position:absolute;left:37;top:16;width:5529;height:392" coordorigin="37,16" coordsize="5529,392" path="m37,407l5566,407,5566,16,37,16,37,407xe" filled="true" fillcolor="#d3d3d3" stroked="false">
                <v:path arrowok="t"/>
                <v:fill type="solid"/>
              </v:shape>
            </v:group>
            <v:group style="position:absolute;left:5598;top:16;width:24;height:392" coordorigin="5598,16" coordsize="24,392">
              <v:shape style="position:absolute;left:5598;top:16;width:24;height:392" coordorigin="5598,16" coordsize="24,392" path="m5598,407l5622,407,5622,16,5598,16,5598,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622;top:16;width:3928;height:392" coordorigin="5622,16" coordsize="3928,392">
              <v:shape style="position:absolute;left:5622;top:16;width:3928;height:392" coordorigin="5622,16" coordsize="3928,392" path="m5622,407l9550,407,9550,16,5622,16,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7998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6711"/>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566;top:14;width:23;height:393" coordorigin="5566,14" coordsize="23,393">
              <v:shape style="position:absolute;left:5566;top:14;width:23;height:393" coordorigin="5566,14" coordsize="23,393" path="m5566,407l5588,407,5588,14,5566,14,5566,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598;top:14;width:24;height:393" coordorigin="5598,14" coordsize="24,393">
              <v:shape style="position:absolute;left:5598;top:14;width:24;height:393" coordorigin="5598,14" coordsize="24,393" path="m5598,407l5622,407,5622,14,5598,14,55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right="6711"/>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5566;top:16;width:23;height:392" coordorigin="5566,16" coordsize="23,392">
              <v:shape style="position:absolute;left:5566;top:16;width:23;height:392" coordorigin="5566,16" coordsize="23,392" path="m5566,407l5588,407,5588,16,5566,16,5566,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5529;height:392" coordorigin="37,16" coordsize="5529,392">
              <v:shape style="position:absolute;left:37;top:16;width:5529;height:392" coordorigin="37,16" coordsize="5529,392" path="m37,407l5566,407,5566,16,37,16,37,407xe" filled="true" fillcolor="#d3d3d3" stroked="false">
                <v:path arrowok="t"/>
                <v:fill type="solid"/>
              </v:shape>
            </v:group>
            <v:group style="position:absolute;left:5598;top:16;width:24;height:392" coordorigin="5598,16" coordsize="24,392">
              <v:shape style="position:absolute;left:5598;top:16;width:24;height:392" coordorigin="5598,16" coordsize="24,392" path="m5598,407l5622,407,5622,16,5598,16,5598,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622;top:16;width:3928;height:392" coordorigin="5622,16" coordsize="3928,392">
              <v:shape style="position:absolute;left:5622;top:16;width:3928;height:392" coordorigin="5622,16" coordsize="3928,392" path="m5622,407l9550,407,9550,16,5622,16,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001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6711"/>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2,992,907.12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2,992,907.12</w:t>
            </w:r>
          </w:p>
        </w:tc>
      </w:tr>
    </w:tbl>
    <w:p>
      <w:pPr>
        <w:pStyle w:val="BodyText"/>
        <w:spacing w:line="357" w:lineRule="auto" w:before="51"/>
        <w:ind w:right="6711"/>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101,715,211.62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88,887,191.32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3,321,723.13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5,487,012.62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8,410,733.86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5,417,750.31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33,024,407.31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21,535,435.83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946,901.95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724,998.88</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336,026.62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238,073.18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512.45</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2,648,619.55</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-407,765.90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-2,061,710.72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-365,076.99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-2,877,566.17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-64,343,457.76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-59,961.11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-73,639,105.34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-157,591,718.82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7,222,830.48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10,228,986.21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5,348,503.52</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24,220,064.50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-30,071,508.47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240,817,307.58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451,150,977.31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451,150,977.31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676,601,480.08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-210,333,669.73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-225,450,502.77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4,476,423.07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4,038,685.03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1,123,576.93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2,961,314.97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27,881,207.00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10,826,823.97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85,250,432.94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5,389,276.16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495,838.36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5,724,755.33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57,865,064.30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287,207.52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240,817,307.58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451,150,977.31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166,797.25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196,037.94</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240,650,510.33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450,954,939.37</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240,817,307.58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451,150,977.31</w:t>
            </w:r>
          </w:p>
        </w:tc>
      </w:tr>
    </w:tbl>
    <w:p>
      <w:pPr>
        <w:pStyle w:val="BodyText"/>
        <w:spacing w:line="240" w:lineRule="auto" w:before="51"/>
        <w:ind w:left="154" w:right="0"/>
        <w:jc w:val="left"/>
      </w:pPr>
      <w:r>
        <w:rPr/>
        <w:t>现金流量表补充资料的说明</w:t>
      </w:r>
    </w:p>
    <w:p>
      <w:pPr>
        <w:pStyle w:val="Heading4"/>
        <w:spacing w:line="312" w:lineRule="exact" w:before="97"/>
        <w:ind w:right="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日现金及现金等价物余额较资产负债表中货币资金余额少</w:t>
      </w:r>
      <w:r>
        <w:rPr>
          <w:rFonts w:ascii="Times New Roman" w:hAnsi="Times New Roman" w:cs="Times New Roman" w:eastAsia="Times New Roman" w:hint="default"/>
          <w:spacing w:val="-1"/>
        </w:rPr>
        <w:t>3,506,526.95</w:t>
      </w:r>
      <w:r>
        <w:rPr>
          <w:spacing w:val="-1"/>
        </w:rPr>
        <w:t>元，差异</w:t>
      </w:r>
      <w:r>
        <w:rPr>
          <w:spacing w:val="-91"/>
        </w:rPr>
        <w:t> </w:t>
      </w:r>
      <w:r>
        <w:rPr>
          <w:spacing w:val="-91"/>
        </w:rPr>
      </w:r>
      <w:r>
        <w:rPr/>
        <w:t>原因系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日货币资金余额中包含流通受到限制的保函保证金等。</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331"/>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 无</w:t>
      </w:r>
    </w:p>
    <w:p>
      <w:pPr>
        <w:spacing w:line="240" w:lineRule="auto" w:before="7"/>
        <w:rPr>
          <w:rFonts w:ascii="宋体" w:hAnsi="宋体" w:cs="宋体" w:eastAsia="宋体" w:hint="default"/>
          <w:sz w:val="19"/>
          <w:szCs w:val="19"/>
        </w:rPr>
      </w:pPr>
    </w:p>
    <w:p>
      <w:pPr>
        <w:spacing w:line="506" w:lineRule="auto" w:before="0"/>
        <w:ind w:left="154" w:right="3340"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、说明资产证券化业务的主要交易安排及其会计处理、破产隔离条款</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5"/>
        <w:spacing w:line="240" w:lineRule="auto" w:before="152"/>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7"/>
        <w:gridCol w:w="1366"/>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986"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母公司对 本企业的 持股比例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母公司对 本企业的 表决权比</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62"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left="154" w:right="0"/>
        <w:jc w:val="left"/>
      </w:pPr>
      <w:r>
        <w:rPr/>
        <w:t>本企业的母公司情况的说明</w:t>
      </w:r>
    </w:p>
    <w:p>
      <w:pPr>
        <w:pStyle w:val="Heading4"/>
        <w:spacing w:line="312" w:lineRule="exact" w:before="97"/>
        <w:ind w:right="0" w:firstLine="480"/>
        <w:jc w:val="left"/>
      </w:pPr>
      <w:r>
        <w:rPr/>
        <w:t>本公司股权结构较为分散，不存在控股股东和实际控制人，亦不存在多人共同拥有公司</w:t>
      </w:r>
      <w:r>
        <w:rPr>
          <w:spacing w:val="1"/>
        </w:rPr>
        <w:t> </w:t>
      </w:r>
      <w:r>
        <w:rPr/>
        <w:t>控制权的情形。</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上海天缘迪</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柯信息技术</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24000000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68738962-1</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科信息技术</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陈力</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120000000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56496676-7</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科信息技术</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57129593-0</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息科技有限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赵其峰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服务外包</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05704180-7</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广州市易杰 数码科技有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电信增值业 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73971326-0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广州易星信 息科技有限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王太权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79944164- X</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深圳市金华 威数码科技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有限有限</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李俊雄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华为设备代 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67483752-8</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广西驿途信 息科技有限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覃杰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电信增值业 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79973939-0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986" w:hRule="exact"/>
        </w:trPr>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381" w:right="113"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本企业在被 投资单位表 决权比例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62" w:hRule="exact"/>
        </w:trPr>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954"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95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长、总经理</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陈友先生同</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时担任汇巨</w:t>
            </w:r>
          </w:p>
        </w:tc>
        <w:tc>
          <w:tcPr>
            <w:tcW w:w="959"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刘长华</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技术董事 长，董事、 副总经理汪 东升先生同 时担任汇巨</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66587235-6</w:t>
            </w: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技术董事。</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汇巨技术为</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公司关联法</w:t>
            </w:r>
          </w:p>
        </w:tc>
        <w:tc>
          <w:tcPr>
            <w:tcW w:w="9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4"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95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4"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95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副总经理汪</w:t>
            </w:r>
          </w:p>
        </w:tc>
        <w:tc>
          <w:tcPr>
            <w:tcW w:w="959"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吴俊</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软硬件开发 销售</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2333300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东升先生同 时担任信邦 安达董事 长。信邦安</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55311062-1</w:t>
            </w:r>
          </w:p>
        </w:tc>
      </w:tr>
      <w:tr>
        <w:trPr>
          <w:trHeight w:val="313"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达为公司关</w:t>
            </w:r>
          </w:p>
        </w:tc>
        <w:tc>
          <w:tcPr>
            <w:tcW w:w="9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4"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联法人。</w:t>
            </w:r>
          </w:p>
        </w:tc>
        <w:tc>
          <w:tcPr>
            <w:tcW w:w="95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4"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95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副总经理谢</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晓宾先生同</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时担任正道</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软件董事</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广州正道</w:t>
            </w: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长，董事、</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伍和新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10510500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副总经理汪</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73295951-6</w:t>
            </w:r>
          </w:p>
        </w:tc>
      </w:tr>
      <w:tr>
        <w:trPr>
          <w:trHeight w:val="308"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东升先生同</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时担任正道</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软件董事。</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正道软件为</w:t>
            </w:r>
          </w:p>
        </w:tc>
        <w:tc>
          <w:tcPr>
            <w:tcW w:w="95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4"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公司关联法</w:t>
            </w:r>
          </w:p>
        </w:tc>
        <w:tc>
          <w:tcPr>
            <w:tcW w:w="9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4"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959"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pStyle w:val="BodyText"/>
        <w:spacing w:line="240" w:lineRule="auto" w:before="51"/>
        <w:ind w:left="154" w:right="0"/>
        <w:jc w:val="left"/>
      </w:pPr>
      <w:r>
        <w:rPr/>
        <w:t>本企业的其他关联方情况的说明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58"/>
        <w:jc w:val="right"/>
      </w:pPr>
      <w:r>
        <w:rPr/>
        <w:pict>
          <v:shape style="position:absolute;margin-left:409.619995pt;margin-top:-31.567959pt;width:85.35pt;height:50.8pt;mso-position-horizontal-relative:page;mso-position-vertical-relative:paragraph;z-index:-1150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17794pt;width:479.1pt;height:123.2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7"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中国电信宽带自服务 客户端应用软件委托 开发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2,682,760.00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154" w:right="0"/>
        <w:jc w:val="left"/>
      </w:pPr>
      <w:r>
        <w:rPr/>
        <w:t>出售商品、提供劳务情况表</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58"/>
        <w:jc w:val="right"/>
      </w:pPr>
      <w:r>
        <w:rPr/>
        <w:pict>
          <v:shape style="position:absolute;margin-left:409.619995pt;margin-top:-31.567995pt;width:85.35pt;height:50.85pt;mso-position-horizontal-relative:page;mso-position-vertical-relative:paragraph;z-index:-1150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148003pt;width:479.1pt;height:143.3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手机安全应用软件开 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深圳市汇巨信息技 术有限公司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经营分析应用软件开 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213,133.00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1"/>
        <w:ind w:left="154"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2"/>
        <w:ind w:left="154" w:right="7920"/>
        <w:jc w:val="left"/>
      </w:pPr>
      <w:r>
        <w:rPr/>
        <w:t>关联托管</w:t>
      </w:r>
      <w:r>
        <w:rPr>
          <w:rFonts w:ascii="Times New Roman" w:hAnsi="Times New Roman" w:cs="Times New Roman" w:eastAsia="Times New Roman" w:hint="default"/>
        </w:rPr>
        <w:t>/</w:t>
      </w:r>
      <w:r>
        <w:rPr/>
        <w:t>承包情况说明 无</w:t>
      </w:r>
    </w:p>
    <w:p>
      <w:pPr>
        <w:spacing w:after="0" w:line="338"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公司出租情况表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1"/>
        <w:ind w:left="154" w:right="0"/>
        <w:jc w:val="left"/>
      </w:pPr>
      <w:r>
        <w:rPr/>
        <w:t>公司承租情况表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357" w:lineRule="auto" w:before="51"/>
        <w:ind w:right="8331"/>
        <w:jc w:val="left"/>
      </w:pPr>
      <w:r>
        <w:rPr/>
        <w:t>关联租赁情况说明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深圳天源迪科信息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深圳市金华威数码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深圳天源迪科信息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深圳市金华威数码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pStyle w:val="Heading4"/>
        <w:spacing w:line="312" w:lineRule="exact" w:before="96"/>
        <w:ind w:right="148" w:firstLine="480"/>
        <w:jc w:val="both"/>
      </w:pPr>
      <w:r>
        <w:rPr/>
        <w:t>①</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月，本公司母公司为子公司深圳市金华威数码科技有限公司向北京银行股份</w:t>
      </w:r>
      <w:r>
        <w:rPr>
          <w:spacing w:val="1"/>
        </w:rPr>
        <w:t> </w:t>
      </w:r>
      <w:r>
        <w:rPr>
          <w:spacing w:val="-1"/>
        </w:rPr>
        <w:t>有限公司深圳分行贷款人民币</w:t>
      </w:r>
      <w:r>
        <w:rPr>
          <w:rFonts w:ascii="Times New Roman" w:hAnsi="Times New Roman" w:cs="Times New Roman" w:eastAsia="Times New Roman" w:hint="default"/>
          <w:spacing w:val="-1"/>
        </w:rPr>
        <w:t>3,000</w:t>
      </w:r>
      <w:r>
        <w:rPr>
          <w:spacing w:val="-1"/>
        </w:rPr>
        <w:t>万元提供保证担保，担保期限为一年（期限：</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spacing w:val="-98"/>
        </w:rPr>
        <w:t> </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日）；同时深圳市金华威数码科技有限公司法人股东深圳市金商网通科技</w:t>
      </w:r>
      <w:r>
        <w:rPr>
          <w:spacing w:val="-112"/>
        </w:rPr>
        <w:t> </w:t>
      </w:r>
      <w:r>
        <w:rPr>
          <w:spacing w:val="-112"/>
        </w:rPr>
      </w:r>
      <w:r>
        <w:rPr/>
        <w:t>投资有限公司以其所持有的深圳市金华威数码科技有限公司股权作为反担保保证；截止</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日，深圳市金华威数码科技有限公司该担保下的借款余额为人民币</w:t>
      </w:r>
      <w:r>
        <w:rPr>
          <w:rFonts w:ascii="Times New Roman" w:hAnsi="Times New Roman" w:cs="Times New Roman" w:eastAsia="Times New Roman" w:hint="default"/>
        </w:rPr>
        <w:t>3,000</w:t>
      </w:r>
      <w:r>
        <w:rPr/>
        <w:t>万元。</w:t>
      </w:r>
    </w:p>
    <w:p>
      <w:pPr>
        <w:pStyle w:val="Heading4"/>
        <w:spacing w:line="312" w:lineRule="exact"/>
        <w:ind w:right="128" w:firstLine="480"/>
        <w:jc w:val="both"/>
      </w:pPr>
      <w:r>
        <w:rPr/>
        <w:t>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月，本公司母公司为子公司深圳市金华威数码科技有限公司向华夏银行股份</w:t>
      </w:r>
      <w:r>
        <w:rPr>
          <w:spacing w:val="1"/>
        </w:rPr>
        <w:t> </w:t>
      </w:r>
      <w:r>
        <w:rPr>
          <w:spacing w:val="-1"/>
        </w:rPr>
        <w:t>有限公司深圳高新支行贷款人民币</w:t>
      </w:r>
      <w:r>
        <w:rPr>
          <w:rFonts w:ascii="Times New Roman" w:hAnsi="Times New Roman" w:cs="Times New Roman" w:eastAsia="Times New Roman" w:hint="default"/>
          <w:spacing w:val="-1"/>
        </w:rPr>
        <w:t>1,000</w:t>
      </w:r>
      <w:r>
        <w:rPr>
          <w:spacing w:val="-1"/>
        </w:rPr>
        <w:t>万元提供保证担保，担保期限为一年（期限：</w:t>
      </w:r>
      <w:r>
        <w:rPr>
          <w:rFonts w:ascii="Times New Roman" w:hAnsi="Times New Roman" w:cs="Times New Roman" w:eastAsia="Times New Roman" w:hint="default"/>
          <w:spacing w:val="-1"/>
        </w:rPr>
        <w:t>2012</w:t>
      </w:r>
      <w:r>
        <w:rPr>
          <w:spacing w:val="-1"/>
        </w:rPr>
        <w:t>年</w:t>
      </w:r>
      <w:r>
        <w:rPr>
          <w:spacing w:val="-99"/>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日）；同时深圳市金华威数码科技有限公司法人股东深圳市金商网通</w:t>
      </w:r>
      <w:r>
        <w:rPr>
          <w:spacing w:val="-110"/>
        </w:rPr>
        <w:t> </w:t>
      </w:r>
      <w:r>
        <w:rPr>
          <w:spacing w:val="-110"/>
        </w:rPr>
      </w:r>
      <w:r>
        <w:rPr/>
        <w:t>科技投资有限公司以其所持有的深圳市金华威数码科技有限公司股权作为反担保保证；截止</w:t>
      </w:r>
      <w:r>
        <w:rPr>
          <w:spacing w:val="-83"/>
        </w:rPr>
        <w:t> </w:t>
      </w:r>
      <w:r>
        <w:rPr>
          <w:spacing w:val="-83"/>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日，深圳市金华威数码科技有限公司该担保下的借款余额为人民币</w:t>
      </w:r>
      <w:r>
        <w:rPr>
          <w:rFonts w:ascii="Times New Roman" w:hAnsi="Times New Roman" w:cs="Times New Roman" w:eastAsia="Times New Roman" w:hint="default"/>
        </w:rPr>
        <w:t>1,000</w:t>
      </w:r>
      <w:r>
        <w:rPr/>
        <w:t>万元。</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58"/>
        <w:jc w:val="right"/>
      </w:pPr>
      <w:r>
        <w:rPr/>
        <w:pict>
          <v:shape style="position:absolute;margin-left:416.339996pt;margin-top:-31.56801pt;width:78.7pt;height:50.8pt;mso-position-horizontal-relative:page;mso-position-vertical-relative:paragraph;z-index:-11507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178051pt;width:479.1pt;height:71.9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1460"/>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1"/>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1"/>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2"/>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46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2"/>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46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上市公司应收关联方款项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674,220.00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上市公司应付关联方款项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十、股份支付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4"/>
        <w:gridCol w:w="5574"/>
      </w:tblGrid>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123,000.00</w:t>
            </w:r>
          </w:p>
        </w:tc>
      </w:tr>
      <w:tr>
        <w:trPr>
          <w:trHeight w:val="714"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4"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股份支付情况的说明</w:t>
      </w:r>
    </w:p>
    <w:p>
      <w:pPr>
        <w:pStyle w:val="Heading4"/>
        <w:spacing w:line="312" w:lineRule="exact" w:before="97"/>
        <w:ind w:left="633" w:right="0"/>
        <w:jc w:val="left"/>
      </w:pPr>
      <w:r>
        <w:rPr/>
        <w:t>①股权激励计划的基本情况 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日分别召开的公司</w:t>
      </w:r>
      <w:r>
        <w:rPr>
          <w:rFonts w:ascii="Times New Roman" w:hAnsi="Times New Roman" w:cs="Times New Roman" w:eastAsia="Times New Roman" w:hint="default"/>
        </w:rPr>
        <w:t>2011</w:t>
      </w:r>
      <w:r>
        <w:rPr/>
        <w:t>年第三次临时股东大会及第</w:t>
      </w:r>
    </w:p>
    <w:p>
      <w:pPr>
        <w:pStyle w:val="Heading4"/>
        <w:spacing w:line="302" w:lineRule="exact"/>
        <w:ind w:left="154" w:right="0"/>
        <w:jc w:val="left"/>
      </w:pPr>
      <w:r>
        <w:rPr/>
        <w:t>二届董事会第十五次会议审议通过，公司以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日为授予日，通过定向增发的形式对</w:t>
      </w:r>
    </w:p>
    <w:p>
      <w:pPr>
        <w:spacing w:after="0" w:line="302" w:lineRule="exact"/>
        <w:jc w:val="left"/>
        <w:sectPr>
          <w:pgSz w:w="11910" w:h="16840"/>
          <w:pgMar w:header="747" w:footer="982" w:top="1060" w:bottom="1180" w:left="980" w:right="980"/>
        </w:sectPr>
      </w:pPr>
    </w:p>
    <w:p>
      <w:pPr>
        <w:spacing w:line="240" w:lineRule="auto" w:before="7"/>
        <w:rPr>
          <w:rFonts w:ascii="宋体" w:hAnsi="宋体" w:cs="宋体" w:eastAsia="宋体" w:hint="default"/>
          <w:sz w:val="23"/>
          <w:szCs w:val="23"/>
        </w:rPr>
      </w:pPr>
    </w:p>
    <w:p>
      <w:pPr>
        <w:pStyle w:val="Heading4"/>
        <w:spacing w:line="312" w:lineRule="exact" w:before="56"/>
        <w:ind w:right="139"/>
        <w:jc w:val="both"/>
      </w:pPr>
      <w:r>
        <w:rPr/>
        <w:t>公司的部分董事、高级管理人员以及公司董事会认为需要进行激励的中层管理人员、核心技</w:t>
      </w:r>
      <w:r>
        <w:rPr>
          <w:spacing w:val="-83"/>
        </w:rPr>
        <w:t> </w:t>
      </w:r>
      <w:r>
        <w:rPr>
          <w:spacing w:val="-83"/>
        </w:rPr>
      </w:r>
      <w:r>
        <w:rPr>
          <w:spacing w:val="9"/>
        </w:rPr>
        <w:t>术及业务人员共</w:t>
      </w:r>
      <w:r>
        <w:rPr>
          <w:rFonts w:ascii="Times New Roman" w:hAnsi="Times New Roman" w:cs="Times New Roman" w:eastAsia="Times New Roman" w:hint="default"/>
          <w:spacing w:val="9"/>
        </w:rPr>
        <w:t>106</w:t>
      </w:r>
      <w:r>
        <w:rPr>
          <w:spacing w:val="9"/>
        </w:rPr>
        <w:t>位人员实施股票期权激励计划。根据该计划，授予激励对象公司股份</w:t>
      </w:r>
      <w:r>
        <w:rPr>
          <w:spacing w:val="-100"/>
        </w:rPr>
        <w:t> </w:t>
      </w:r>
      <w:r>
        <w:rPr>
          <w:rFonts w:ascii="Times New Roman" w:hAnsi="Times New Roman" w:cs="Times New Roman" w:eastAsia="Times New Roman" w:hint="default"/>
        </w:rPr>
        <w:t>5,200,000</w:t>
      </w:r>
      <w:r>
        <w:rPr/>
        <w:t>股，调整后的授予价格为</w:t>
      </w:r>
      <w:r>
        <w:rPr>
          <w:rFonts w:ascii="Times New Roman" w:hAnsi="Times New Roman" w:cs="Times New Roman" w:eastAsia="Times New Roman" w:hint="default"/>
        </w:rPr>
        <w:t>13.42</w:t>
      </w:r>
      <w:r>
        <w:rPr/>
        <w:t>元</w:t>
      </w:r>
      <w:r>
        <w:rPr>
          <w:rFonts w:ascii="Times New Roman" w:hAnsi="Times New Roman" w:cs="Times New Roman" w:eastAsia="Times New Roman" w:hint="default"/>
        </w:rPr>
        <w:t>/</w:t>
      </w:r>
      <w:r>
        <w:rPr/>
        <w:t>股（经公司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日召开第二届董事会第二</w:t>
      </w:r>
      <w:r>
        <w:rPr>
          <w:spacing w:val="-108"/>
        </w:rPr>
        <w:t> </w:t>
      </w:r>
      <w:r>
        <w:rPr/>
        <w:t>十次会议审议通过，对首次授予股票期权的行权价格进行调整，行权价格将从原股权激励计</w:t>
      </w:r>
      <w:r>
        <w:rPr>
          <w:spacing w:val="-83"/>
        </w:rPr>
        <w:t> </w:t>
      </w:r>
      <w:r>
        <w:rPr>
          <w:spacing w:val="-83"/>
        </w:rPr>
      </w:r>
      <w:r>
        <w:rPr>
          <w:spacing w:val="-2"/>
        </w:rPr>
        <w:t>划草案中确定的</w:t>
      </w:r>
      <w:r>
        <w:rPr>
          <w:rFonts w:ascii="Times New Roman" w:hAnsi="Times New Roman" w:cs="Times New Roman" w:eastAsia="Times New Roman" w:hint="default"/>
          <w:spacing w:val="-2"/>
        </w:rPr>
        <w:t>13.72</w:t>
      </w:r>
      <w:r>
        <w:rPr>
          <w:spacing w:val="-2"/>
        </w:rPr>
        <w:t>元</w:t>
      </w:r>
      <w:r>
        <w:rPr>
          <w:rFonts w:ascii="Times New Roman" w:hAnsi="Times New Roman" w:cs="Times New Roman" w:eastAsia="Times New Roman" w:hint="default"/>
          <w:spacing w:val="-2"/>
        </w:rPr>
        <w:t>/</w:t>
      </w:r>
      <w:r>
        <w:rPr>
          <w:spacing w:val="-2"/>
        </w:rPr>
        <w:t>股调整到</w:t>
      </w:r>
      <w:r>
        <w:rPr>
          <w:rFonts w:ascii="Times New Roman" w:hAnsi="Times New Roman" w:cs="Times New Roman" w:eastAsia="Times New Roman" w:hint="default"/>
          <w:spacing w:val="-2"/>
        </w:rPr>
        <w:t>13.42</w:t>
      </w:r>
      <w:r>
        <w:rPr>
          <w:spacing w:val="-2"/>
        </w:rPr>
        <w:t>元</w:t>
      </w:r>
      <w:r>
        <w:rPr>
          <w:rFonts w:ascii="Times New Roman" w:hAnsi="Times New Roman" w:cs="Times New Roman" w:eastAsia="Times New Roman" w:hint="default"/>
          <w:spacing w:val="-2"/>
        </w:rPr>
        <w:t>/</w:t>
      </w:r>
      <w:r>
        <w:rPr>
          <w:spacing w:val="-2"/>
        </w:rPr>
        <w:t>股），锁定期</w:t>
      </w:r>
      <w:r>
        <w:rPr>
          <w:rFonts w:ascii="Times New Roman" w:hAnsi="Times New Roman" w:cs="Times New Roman" w:eastAsia="Times New Roman" w:hint="default"/>
          <w:spacing w:val="-2"/>
        </w:rPr>
        <w:t>3</w:t>
      </w:r>
      <w:r>
        <w:rPr>
          <w:spacing w:val="-2"/>
        </w:rPr>
        <w:t>年，分别为自授予日起</w:t>
      </w:r>
      <w:r>
        <w:rPr>
          <w:rFonts w:ascii="Times New Roman" w:hAnsi="Times New Roman" w:cs="Times New Roman" w:eastAsia="Times New Roman" w:hint="default"/>
          <w:spacing w:val="-2"/>
        </w:rPr>
        <w:t>12</w:t>
      </w:r>
      <w:r>
        <w:rPr>
          <w:spacing w:val="-2"/>
        </w:rPr>
        <w:t>个月、自授</w:t>
      </w:r>
      <w:r>
        <w:rPr>
          <w:spacing w:val="-118"/>
        </w:rPr>
        <w:t> </w:t>
      </w:r>
      <w:r>
        <w:rPr>
          <w:spacing w:val="-118"/>
        </w:rPr>
      </w:r>
      <w:r>
        <w:rPr/>
        <w:t>予日起</w:t>
      </w:r>
      <w:r>
        <w:rPr>
          <w:rFonts w:ascii="Times New Roman" w:hAnsi="Times New Roman" w:cs="Times New Roman" w:eastAsia="Times New Roman" w:hint="default"/>
        </w:rPr>
        <w:t>24</w:t>
      </w:r>
      <w:r>
        <w:rPr/>
        <w:t>个月以及自授予日起</w:t>
      </w:r>
      <w:r>
        <w:rPr>
          <w:rFonts w:ascii="Times New Roman" w:hAnsi="Times New Roman" w:cs="Times New Roman" w:eastAsia="Times New Roman" w:hint="default"/>
        </w:rPr>
        <w:t>36</w:t>
      </w:r>
      <w:r>
        <w:rPr/>
        <w:t>个月。若达到该计划规定的限制性股票的解锁条件，各个锁</w:t>
      </w:r>
      <w:r>
        <w:rPr>
          <w:spacing w:val="-115"/>
        </w:rPr>
        <w:t> </w:t>
      </w:r>
      <w:r>
        <w:rPr>
          <w:spacing w:val="-2"/>
        </w:rPr>
        <w:t>定期满后激励对象可分别解锁（或由公司回购注销）占其获授总数</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35%</w:t>
      </w:r>
      <w:r>
        <w:rPr>
          <w:spacing w:val="-2"/>
        </w:rPr>
        <w:t>、</w:t>
      </w:r>
      <w:r>
        <w:rPr>
          <w:rFonts w:ascii="Times New Roman" w:hAnsi="Times New Roman" w:cs="Times New Roman" w:eastAsia="Times New Roman" w:hint="default"/>
          <w:spacing w:val="-2"/>
        </w:rPr>
        <w:t>45%</w:t>
      </w:r>
      <w:r>
        <w:rPr>
          <w:spacing w:val="-2"/>
        </w:rPr>
        <w:t>的限制性</w:t>
      </w:r>
      <w:r>
        <w:rPr>
          <w:spacing w:val="-118"/>
        </w:rPr>
        <w:t> </w:t>
      </w:r>
      <w:r>
        <w:rPr>
          <w:spacing w:val="-2"/>
        </w:rPr>
        <w:t>股票。本次股权激励计划授予激励对象的股票期权涉及的标的股票数量共</w:t>
      </w:r>
      <w:r>
        <w:rPr>
          <w:rFonts w:ascii="Times New Roman" w:hAnsi="Times New Roman" w:cs="Times New Roman" w:eastAsia="Times New Roman" w:hint="default"/>
          <w:spacing w:val="-2"/>
        </w:rPr>
        <w:t>520</w:t>
      </w:r>
      <w:r>
        <w:rPr>
          <w:spacing w:val="-2"/>
        </w:rPr>
        <w:t>万股，占目前公</w:t>
      </w:r>
      <w:r>
        <w:rPr>
          <w:spacing w:val="-118"/>
        </w:rPr>
        <w:t> </w:t>
      </w:r>
      <w:r>
        <w:rPr>
          <w:spacing w:val="-118"/>
        </w:rPr>
      </w:r>
      <w:r>
        <w:rPr/>
        <w:t>司股本总额的比例为</w:t>
      </w:r>
      <w:r>
        <w:rPr>
          <w:rFonts w:ascii="Times New Roman" w:hAnsi="Times New Roman" w:cs="Times New Roman" w:eastAsia="Times New Roman" w:hint="default"/>
        </w:rPr>
        <w:t>3.31%</w:t>
      </w:r>
      <w:r>
        <w:rPr/>
        <w:t>。</w:t>
      </w:r>
    </w:p>
    <w:p>
      <w:pPr>
        <w:spacing w:line="312" w:lineRule="exact" w:before="0"/>
        <w:ind w:left="636" w:right="7601" w:hanging="3"/>
        <w:jc w:val="left"/>
        <w:rPr>
          <w:rFonts w:ascii="宋体" w:hAnsi="宋体" w:cs="宋体" w:eastAsia="宋体" w:hint="default"/>
          <w:sz w:val="24"/>
          <w:szCs w:val="24"/>
        </w:rPr>
      </w:pPr>
      <w:r>
        <w:rPr>
          <w:rFonts w:ascii="宋体" w:hAnsi="宋体" w:cs="宋体" w:eastAsia="宋体" w:hint="default"/>
          <w:sz w:val="24"/>
          <w:szCs w:val="24"/>
        </w:rPr>
        <w:t>②其他情况 </w:t>
      </w:r>
      <w:r>
        <w:rPr>
          <w:rFonts w:ascii="宋体" w:hAnsi="宋体" w:cs="宋体" w:eastAsia="宋体" w:hint="default"/>
          <w:b/>
          <w:bCs/>
          <w:sz w:val="24"/>
          <w:szCs w:val="24"/>
        </w:rPr>
        <w:t>主要行权条件：</w:t>
      </w:r>
      <w:r>
        <w:rPr>
          <w:rFonts w:ascii="宋体" w:hAnsi="宋体" w:cs="宋体" w:eastAsia="宋体" w:hint="default"/>
          <w:sz w:val="24"/>
          <w:szCs w:val="24"/>
        </w:rPr>
      </w:r>
    </w:p>
    <w:p>
      <w:pPr>
        <w:pStyle w:val="Heading4"/>
        <w:spacing w:line="312" w:lineRule="exact"/>
        <w:ind w:right="148" w:firstLine="480"/>
        <w:jc w:val="both"/>
      </w:pPr>
      <w:r>
        <w:rPr/>
        <w:t>在本股票期权激励计划有效期内，以</w:t>
      </w:r>
      <w:r>
        <w:rPr>
          <w:rFonts w:ascii="Times New Roman" w:hAnsi="Times New Roman" w:cs="Times New Roman" w:eastAsia="Times New Roman" w:hint="default"/>
        </w:rPr>
        <w:t>2010</w:t>
      </w:r>
      <w:r>
        <w:rPr/>
        <w:t>年净利润为基数，</w:t>
      </w:r>
      <w:r>
        <w:rPr>
          <w:rFonts w:ascii="Times New Roman" w:hAnsi="Times New Roman" w:cs="Times New Roman" w:eastAsia="Times New Roman" w:hint="default"/>
        </w:rPr>
        <w:t>2011</w:t>
      </w:r>
      <w:r>
        <w:rPr/>
        <w:t>至</w:t>
      </w:r>
      <w:r>
        <w:rPr>
          <w:rFonts w:ascii="Times New Roman" w:hAnsi="Times New Roman" w:cs="Times New Roman" w:eastAsia="Times New Roman" w:hint="default"/>
        </w:rPr>
        <w:t>2013</w:t>
      </w:r>
      <w:r>
        <w:rPr/>
        <w:t>年相对于</w:t>
      </w:r>
      <w:r>
        <w:rPr>
          <w:rFonts w:ascii="Times New Roman" w:hAnsi="Times New Roman" w:cs="Times New Roman" w:eastAsia="Times New Roman" w:hint="default"/>
        </w:rPr>
        <w:t>2010</w:t>
      </w:r>
      <w:r>
        <w:rPr/>
        <w:t>年 </w:t>
      </w:r>
      <w:r>
        <w:rPr>
          <w:spacing w:val="-1"/>
        </w:rPr>
        <w:t>的净利润增长率分别不低于</w:t>
      </w:r>
      <w:r>
        <w:rPr>
          <w:rFonts w:ascii="Times New Roman" w:hAnsi="Times New Roman" w:cs="Times New Roman" w:eastAsia="Times New Roman" w:hint="default"/>
          <w:spacing w:val="-1"/>
        </w:rPr>
        <w:t>25%</w:t>
      </w:r>
      <w:r>
        <w:rPr>
          <w:spacing w:val="-1"/>
        </w:rPr>
        <w:t>、</w:t>
      </w:r>
      <w:r>
        <w:rPr>
          <w:rFonts w:ascii="Times New Roman" w:hAnsi="Times New Roman" w:cs="Times New Roman" w:eastAsia="Times New Roman" w:hint="default"/>
          <w:spacing w:val="-1"/>
        </w:rPr>
        <w:t>57%</w:t>
      </w:r>
      <w:r>
        <w:rPr>
          <w:spacing w:val="-1"/>
        </w:rPr>
        <w:t>、</w:t>
      </w:r>
      <w:r>
        <w:rPr>
          <w:rFonts w:ascii="Times New Roman" w:hAnsi="Times New Roman" w:cs="Times New Roman" w:eastAsia="Times New Roman" w:hint="default"/>
          <w:spacing w:val="-1"/>
        </w:rPr>
        <w:t>96%</w:t>
      </w:r>
      <w:r>
        <w:rPr>
          <w:spacing w:val="-1"/>
        </w:rPr>
        <w:t>，净资产收益率不低于</w:t>
      </w:r>
      <w:r>
        <w:rPr>
          <w:rFonts w:ascii="Times New Roman" w:hAnsi="Times New Roman" w:cs="Times New Roman" w:eastAsia="Times New Roman" w:hint="default"/>
          <w:spacing w:val="-1"/>
        </w:rPr>
        <w:t>7.5%</w:t>
      </w:r>
      <w:r>
        <w:rPr>
          <w:spacing w:val="-1"/>
        </w:rPr>
        <w:t>、</w:t>
      </w:r>
      <w:r>
        <w:rPr>
          <w:rFonts w:ascii="Times New Roman" w:hAnsi="Times New Roman" w:cs="Times New Roman" w:eastAsia="Times New Roman" w:hint="default"/>
          <w:spacing w:val="-1"/>
        </w:rPr>
        <w:t>8.8%</w:t>
      </w:r>
      <w:r>
        <w:rPr>
          <w:spacing w:val="-1"/>
        </w:rPr>
        <w:t>、</w:t>
      </w:r>
      <w:r>
        <w:rPr>
          <w:rFonts w:ascii="Times New Roman" w:hAnsi="Times New Roman" w:cs="Times New Roman" w:eastAsia="Times New Roman" w:hint="default"/>
          <w:spacing w:val="-1"/>
        </w:rPr>
        <w:t>10.2%</w:t>
      </w:r>
      <w:r>
        <w:rPr>
          <w:spacing w:val="-1"/>
        </w:rPr>
        <w:t>。以</w:t>
      </w:r>
      <w:r>
        <w:rPr>
          <w:spacing w:val="-100"/>
        </w:rPr>
        <w:t> </w:t>
      </w:r>
      <w:r>
        <w:rPr/>
        <w:t>上假设行权时对应年报已出，如行权时对应年报未出，则激励对象须等待对应年报出具时方</w:t>
      </w:r>
      <w:r>
        <w:rPr>
          <w:spacing w:val="-83"/>
        </w:rPr>
        <w:t> </w:t>
      </w:r>
      <w:r>
        <w:rPr>
          <w:spacing w:val="-83"/>
        </w:rPr>
      </w:r>
      <w:r>
        <w:rPr/>
        <w:t>可行权。</w:t>
      </w:r>
    </w:p>
    <w:p>
      <w:pPr>
        <w:pStyle w:val="Heading4"/>
        <w:spacing w:line="312" w:lineRule="exact"/>
        <w:ind w:right="150" w:firstLine="480"/>
        <w:jc w:val="both"/>
      </w:pPr>
      <w:r>
        <w:rPr/>
        <w:t>本计划计算业绩指标所用的净利润为合并报表口径归属于上市公司股东的净利润，并以</w:t>
      </w:r>
      <w:r>
        <w:rPr>
          <w:spacing w:val="1"/>
        </w:rPr>
        <w:t> </w:t>
      </w:r>
      <w:r>
        <w:rPr/>
        <w:t>扣除非经常性损益前后的孰低值为计算依据，净资产收益率为加权平均净资产收益率。</w:t>
      </w:r>
    </w:p>
    <w:p>
      <w:pPr>
        <w:pStyle w:val="Heading3"/>
        <w:spacing w:line="282" w:lineRule="exact" w:before="0"/>
        <w:ind w:left="636" w:right="0"/>
        <w:jc w:val="left"/>
        <w:rPr>
          <w:b w:val="0"/>
          <w:bCs w:val="0"/>
        </w:rPr>
      </w:pPr>
      <w:r>
        <w:rPr/>
        <w:t>股份支付费用的估算及分摊：</w:t>
      </w:r>
      <w:r>
        <w:rPr>
          <w:b w:val="0"/>
          <w:bCs w:val="0"/>
        </w:rPr>
      </w:r>
    </w:p>
    <w:p>
      <w:pPr>
        <w:pStyle w:val="Heading4"/>
        <w:spacing w:line="312" w:lineRule="exact" w:before="29"/>
        <w:ind w:right="148" w:firstLine="480"/>
        <w:jc w:val="both"/>
      </w:pPr>
      <w:r>
        <w:rPr>
          <w:spacing w:val="-2"/>
        </w:rPr>
        <w:t>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股份支付》的有关规定，公司将在等待期的每个资产负债表</w:t>
      </w:r>
      <w:r>
        <w:rPr/>
        <w:t> 日，根据最新取得的可行权人数变动、业绩指标完成情况等后续信息，修正预计可行权的股</w:t>
      </w:r>
      <w:r>
        <w:rPr>
          <w:spacing w:val="-83"/>
        </w:rPr>
        <w:t> </w:t>
      </w:r>
      <w:r>
        <w:rPr>
          <w:spacing w:val="-83"/>
        </w:rPr>
      </w:r>
      <w:r>
        <w:rPr/>
        <w:t>票期权数量，并按照股票期权授权日的公允价值，将当期取得的服务计入相关成本或费用和</w:t>
      </w:r>
      <w:r>
        <w:rPr>
          <w:spacing w:val="-83"/>
        </w:rPr>
        <w:t> </w:t>
      </w:r>
      <w:r>
        <w:rPr>
          <w:spacing w:val="-83"/>
        </w:rPr>
      </w:r>
      <w:r>
        <w:rPr/>
        <w:t>资本公积。</w:t>
      </w:r>
    </w:p>
    <w:p>
      <w:pPr>
        <w:pStyle w:val="Heading4"/>
        <w:spacing w:line="312" w:lineRule="exact"/>
        <w:ind w:right="146" w:firstLine="480"/>
        <w:jc w:val="both"/>
      </w:pPr>
      <w:r>
        <w:rPr/>
        <w:t>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日，授予日的股票公允价值为</w:t>
      </w:r>
      <w:r>
        <w:rPr>
          <w:rFonts w:ascii="Times New Roman" w:hAnsi="Times New Roman" w:cs="Times New Roman" w:eastAsia="Times New Roman" w:hint="default"/>
        </w:rPr>
        <w:t>10.76</w:t>
      </w:r>
      <w:r>
        <w:rPr/>
        <w:t>元</w:t>
      </w:r>
      <w:r>
        <w:rPr>
          <w:rFonts w:ascii="Times New Roman" w:hAnsi="Times New Roman" w:cs="Times New Roman" w:eastAsia="Times New Roman" w:hint="default"/>
        </w:rPr>
        <w:t>/</w:t>
      </w:r>
      <w:r>
        <w:rPr/>
        <w:t>股，假设全部激励对象均符</w:t>
      </w:r>
      <w:r>
        <w:rPr>
          <w:spacing w:val="1"/>
        </w:rPr>
        <w:t> </w:t>
      </w:r>
      <w:r>
        <w:rPr>
          <w:spacing w:val="-1"/>
        </w:rPr>
        <w:t>合本计划规定的行权条件且在各行权期内全部行权，以每份期权价值为</w:t>
      </w:r>
      <w:r>
        <w:rPr>
          <w:rFonts w:ascii="Times New Roman" w:hAnsi="Times New Roman" w:cs="Times New Roman" w:eastAsia="Times New Roman" w:hint="default"/>
          <w:spacing w:val="-1"/>
        </w:rPr>
        <w:t>2.373</w:t>
      </w:r>
      <w:r>
        <w:rPr>
          <w:spacing w:val="-1"/>
        </w:rPr>
        <w:t>元进行测算，得</w:t>
      </w:r>
      <w:r>
        <w:rPr>
          <w:spacing w:val="-99"/>
        </w:rPr>
        <w:t> </w:t>
      </w:r>
      <w:r>
        <w:rPr>
          <w:spacing w:val="-99"/>
        </w:rPr>
      </w:r>
      <w:r>
        <w:rPr/>
        <w:t>出本次股权激励在各行权期内的费用估算如下：</w:t>
      </w:r>
    </w:p>
    <w:tbl>
      <w:tblPr>
        <w:tblW w:w="0" w:type="auto"/>
        <w:jc w:val="left"/>
        <w:tblInd w:w="146" w:type="dxa"/>
        <w:tblLayout w:type="fixed"/>
        <w:tblCellMar>
          <w:top w:w="0" w:type="dxa"/>
          <w:left w:w="0" w:type="dxa"/>
          <w:bottom w:w="0" w:type="dxa"/>
          <w:right w:w="0" w:type="dxa"/>
        </w:tblCellMar>
        <w:tblLook w:val="01E0"/>
      </w:tblPr>
      <w:tblGrid>
        <w:gridCol w:w="1729"/>
        <w:gridCol w:w="1700"/>
        <w:gridCol w:w="1560"/>
        <w:gridCol w:w="1470"/>
        <w:gridCol w:w="1469"/>
        <w:gridCol w:w="1199"/>
      </w:tblGrid>
      <w:tr>
        <w:trPr>
          <w:trHeight w:val="667" w:hRule="exact"/>
        </w:trPr>
        <w:tc>
          <w:tcPr>
            <w:tcW w:w="172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36" w:right="0"/>
              <w:jc w:val="left"/>
              <w:rPr>
                <w:rFonts w:ascii="宋体" w:hAnsi="宋体" w:cs="宋体" w:eastAsia="宋体" w:hint="default"/>
                <w:sz w:val="21"/>
                <w:szCs w:val="21"/>
              </w:rPr>
            </w:pPr>
            <w:r>
              <w:rPr>
                <w:rFonts w:ascii="宋体" w:hAnsi="宋体" w:cs="宋体" w:eastAsia="宋体" w:hint="default"/>
                <w:sz w:val="21"/>
                <w:szCs w:val="21"/>
              </w:rPr>
              <w:t>期权份额</w:t>
            </w:r>
          </w:p>
          <w:p>
            <w:pPr>
              <w:pStyle w:val="TableParagraph"/>
              <w:spacing w:line="240" w:lineRule="auto" w:before="37"/>
              <w:ind w:left="436" w:right="0"/>
              <w:jc w:val="left"/>
              <w:rPr>
                <w:rFonts w:ascii="宋体" w:hAnsi="宋体" w:cs="宋体" w:eastAsia="宋体" w:hint="default"/>
                <w:sz w:val="21"/>
                <w:szCs w:val="21"/>
              </w:rPr>
            </w:pPr>
            <w:r>
              <w:rPr>
                <w:rFonts w:ascii="宋体" w:hAnsi="宋体" w:cs="宋体" w:eastAsia="宋体" w:hint="default"/>
                <w:sz w:val="21"/>
                <w:szCs w:val="21"/>
              </w:rPr>
              <w:t>（万份）</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期权价值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52" w:right="0"/>
              <w:jc w:val="left"/>
              <w:rPr>
                <w:rFonts w:ascii="宋体" w:hAnsi="宋体" w:cs="宋体" w:eastAsia="宋体" w:hint="default"/>
                <w:sz w:val="21"/>
                <w:szCs w:val="21"/>
              </w:rPr>
            </w:pPr>
            <w:r>
              <w:rPr>
                <w:rFonts w:ascii="宋体" w:hAnsi="宋体" w:cs="宋体" w:eastAsia="宋体" w:hint="default"/>
                <w:sz w:val="21"/>
                <w:szCs w:val="21"/>
              </w:rPr>
              <w:t>期权成本</w:t>
            </w:r>
          </w:p>
          <w:p>
            <w:pPr>
              <w:pStyle w:val="TableParagraph"/>
              <w:spacing w:line="240" w:lineRule="auto" w:before="37"/>
              <w:ind w:left="35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70"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199"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right="6"/>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p>
            <w:pPr>
              <w:pStyle w:val="TableParagraph"/>
              <w:spacing w:line="240" w:lineRule="auto" w:before="21"/>
              <w:ind w:right="6"/>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352" w:hRule="exact"/>
        </w:trPr>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520</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2.373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60" w:right="0"/>
              <w:jc w:val="left"/>
              <w:rPr>
                <w:rFonts w:ascii="Times New Roman" w:hAnsi="Times New Roman" w:cs="Times New Roman" w:eastAsia="Times New Roman" w:hint="default"/>
                <w:sz w:val="21"/>
                <w:szCs w:val="21"/>
              </w:rPr>
            </w:pPr>
            <w:r>
              <w:rPr>
                <w:rFonts w:ascii="Times New Roman"/>
                <w:sz w:val="21"/>
              </w:rPr>
              <w:t>1234.05</w:t>
            </w:r>
          </w:p>
        </w:tc>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74" w:right="0"/>
              <w:jc w:val="left"/>
              <w:rPr>
                <w:rFonts w:ascii="Times New Roman" w:hAnsi="Times New Roman" w:cs="Times New Roman" w:eastAsia="Times New Roman" w:hint="default"/>
                <w:sz w:val="21"/>
                <w:szCs w:val="21"/>
              </w:rPr>
            </w:pPr>
            <w:r>
              <w:rPr>
                <w:rFonts w:ascii="Times New Roman"/>
                <w:sz w:val="21"/>
              </w:rPr>
              <w:t>647.88</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73" w:right="0"/>
              <w:jc w:val="left"/>
              <w:rPr>
                <w:rFonts w:ascii="Times New Roman" w:hAnsi="Times New Roman" w:cs="Times New Roman" w:eastAsia="Times New Roman" w:hint="default"/>
                <w:sz w:val="21"/>
                <w:szCs w:val="21"/>
              </w:rPr>
            </w:pPr>
            <w:r>
              <w:rPr>
                <w:rFonts w:ascii="Times New Roman"/>
                <w:sz w:val="21"/>
              </w:rPr>
              <w:t>401.07</w:t>
            </w:r>
          </w:p>
        </w:tc>
        <w:tc>
          <w:tcPr>
            <w:tcW w:w="11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185.10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363"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股票期权的授予价格为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股，确定方法是本次授予的</w:t>
            </w:r>
          </w:p>
        </w:tc>
      </w:tr>
      <w:tr>
        <w:trPr>
          <w:trHeight w:val="307"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股票期权的行权价格取下列两个价格中的较高者：①股票期</w:t>
            </w:r>
          </w:p>
        </w:tc>
      </w:tr>
      <w:tr>
        <w:trPr>
          <w:trHeight w:val="316"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权激励计划草案摘要公布前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个交易日的公司标的股票收盘</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元；②股票期权激励计划草案摘要公布前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日内的公司标的股票平均收盘价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元。若在行权前有派</w:t>
            </w:r>
          </w:p>
        </w:tc>
      </w:tr>
      <w:tr>
        <w:trPr>
          <w:trHeight w:val="308"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息、资本公积转增股本、派送股票红利、股票拆细、配股或</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缩股等事项，应对行权价格进行相应的调整。</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按各解锁期的业绩条件估计，并根据最新取得的可行权职工</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人数变动等后续信息作出最佳估计，修正预计可行权的权益</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工具数量。</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5,348,503.52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5,348,503.52</w:t>
            </w:r>
          </w:p>
        </w:tc>
      </w:tr>
    </w:tbl>
    <w:p>
      <w:pPr>
        <w:pStyle w:val="BodyText"/>
        <w:spacing w:line="240" w:lineRule="auto" w:before="51"/>
        <w:ind w:left="154" w:right="0"/>
        <w:jc w:val="left"/>
      </w:pPr>
      <w:r>
        <w:rPr/>
        <w:t>以权益结算的股份支付的说明</w:t>
      </w:r>
    </w:p>
    <w:p>
      <w:pPr>
        <w:pStyle w:val="Heading4"/>
        <w:spacing w:line="312" w:lineRule="exact" w:before="97"/>
        <w:ind w:left="154" w:right="330"/>
        <w:jc w:val="left"/>
      </w:pPr>
      <w:r>
        <w:rPr/>
        <w:t>资本公积中以权益结算的股份支付的累计金额系以权益结算的股份支付确认的资本公积</w:t>
      </w:r>
      <w:r>
        <w:rPr>
          <w:rFonts w:ascii="Times New Roman" w:hAnsi="Times New Roman" w:cs="Times New Roman" w:eastAsia="Times New Roman" w:hint="default"/>
        </w:rPr>
        <w:t>-</w:t>
      </w:r>
      <w:r>
        <w:rPr/>
        <w:t>其 他资本公积</w:t>
      </w:r>
      <w:r>
        <w:rPr>
          <w:rFonts w:ascii="Times New Roman" w:hAnsi="Times New Roman" w:cs="Times New Roman" w:eastAsia="Times New Roman" w:hint="default"/>
        </w:rPr>
        <w:t>5,348,503.52</w:t>
      </w:r>
      <w:r>
        <w:rPr/>
        <w:t>元。</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240" w:lineRule="auto" w:before="0"/>
        <w:rPr>
          <w:rFonts w:ascii="宋体" w:hAnsi="宋体" w:cs="宋体" w:eastAsia="宋体" w:hint="default"/>
          <w:b/>
          <w:bCs/>
          <w:sz w:val="18"/>
          <w:szCs w:val="18"/>
        </w:rPr>
      </w:pPr>
    </w:p>
    <w:p>
      <w:pPr>
        <w:pStyle w:val="BodyText"/>
        <w:spacing w:line="357" w:lineRule="auto" w:before="160"/>
        <w:ind w:right="-19"/>
        <w:jc w:val="left"/>
      </w:pPr>
      <w:r>
        <w:rPr/>
        <w:t>以现金结算的股份支付的说明 无</w:t>
      </w:r>
    </w:p>
    <w:p>
      <w:pPr>
        <w:spacing w:line="240" w:lineRule="auto" w:before="2"/>
        <w:rPr>
          <w:rFonts w:ascii="宋体" w:hAnsi="宋体" w:cs="宋体" w:eastAsia="宋体" w:hint="default"/>
          <w:sz w:val="20"/>
          <w:szCs w:val="20"/>
        </w:rPr>
      </w:pPr>
    </w:p>
    <w:p>
      <w:pPr>
        <w:pStyle w:val="Heading5"/>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ind w:right="0"/>
        <w:jc w:val="left"/>
      </w:pPr>
      <w:r>
        <w:rPr/>
        <w:br w:type="column"/>
      </w:r>
      <w:r>
        <w:rPr/>
        <w:t>单位： 元</w:t>
      </w:r>
    </w:p>
    <w:p>
      <w:pPr>
        <w:spacing w:after="0" w:line="240" w:lineRule="auto"/>
        <w:jc w:val="left"/>
        <w:sectPr>
          <w:type w:val="continuous"/>
          <w:pgSz w:w="11910" w:h="16840"/>
          <w:pgMar w:top="1060" w:bottom="1180" w:left="980" w:right="980"/>
          <w:cols w:num="2" w:equalWidth="0">
            <w:col w:w="2494" w:space="6334"/>
            <w:col w:w="1122"/>
          </w:cols>
        </w:sectPr>
      </w:pPr>
    </w:p>
    <w:p>
      <w:pPr>
        <w:spacing w:line="240" w:lineRule="auto" w:before="3"/>
        <w:rPr>
          <w:rFonts w:ascii="宋体" w:hAnsi="宋体" w:cs="宋体" w:eastAsia="宋体" w:hint="default"/>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2"/>
        <w:rPr>
          <w:rFonts w:ascii="宋体" w:hAnsi="宋体" w:cs="宋体" w:eastAsia="宋体" w:hint="default"/>
          <w:sz w:val="25"/>
          <w:szCs w:val="25"/>
        </w:rPr>
      </w:pPr>
    </w:p>
    <w:p>
      <w:pPr>
        <w:spacing w:line="506" w:lineRule="auto" w:before="0"/>
        <w:ind w:left="154" w:right="5238" w:firstLine="0"/>
        <w:jc w:val="left"/>
        <w:rPr>
          <w:rFonts w:ascii="宋体" w:hAnsi="宋体" w:cs="宋体" w:eastAsia="宋体" w:hint="default"/>
          <w:sz w:val="18"/>
          <w:szCs w:val="18"/>
        </w:rPr>
      </w:pPr>
      <w:r>
        <w:rPr>
          <w:rFonts w:ascii="宋体" w:hAnsi="宋体" w:cs="宋体" w:eastAsia="宋体" w:hint="default"/>
          <w:b/>
          <w:bCs/>
          <w:sz w:val="24"/>
          <w:szCs w:val="24"/>
        </w:rPr>
        <w:t>十一、或有事项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5"/>
        <w:spacing w:line="240" w:lineRule="auto" w:before="152"/>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54" w:right="7610"/>
        <w:jc w:val="left"/>
      </w:pPr>
      <w:r>
        <w:rPr/>
        <w:t>无 其他或有负债及其财务影响</w:t>
      </w:r>
    </w:p>
    <w:p>
      <w:pPr>
        <w:pStyle w:val="Heading4"/>
        <w:spacing w:line="290" w:lineRule="exact"/>
        <w:ind w:left="154" w:right="0"/>
        <w:jc w:val="left"/>
      </w:pPr>
      <w:r>
        <w:rPr/>
        <w:t>截止本报告期末，本公司无需要披露的重大或有事项。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spacing w:line="506" w:lineRule="auto" w:before="0"/>
        <w:ind w:left="154" w:right="8083" w:firstLine="0"/>
        <w:jc w:val="left"/>
        <w:rPr>
          <w:rFonts w:ascii="宋体" w:hAnsi="宋体" w:cs="宋体" w:eastAsia="宋体" w:hint="default"/>
          <w:sz w:val="18"/>
          <w:szCs w:val="18"/>
        </w:rPr>
      </w:pPr>
      <w:r>
        <w:rPr>
          <w:rFonts w:ascii="宋体" w:hAnsi="宋体" w:cs="宋体" w:eastAsia="宋体" w:hint="default"/>
          <w:b/>
          <w:bCs/>
          <w:sz w:val="24"/>
          <w:szCs w:val="24"/>
        </w:rPr>
        <w:t>十二、承诺事项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5"/>
        <w:spacing w:line="240" w:lineRule="auto" w:before="152"/>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31,380,000.00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31,380,000.00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right="141" w:firstLine="480"/>
        <w:jc w:val="both"/>
      </w:pPr>
      <w:r>
        <w:rPr>
          <w:rFonts w:ascii="Times New Roman" w:hAnsi="Times New Roman" w:cs="Times New Roman" w:eastAsia="Times New Roman" w:hint="default"/>
        </w:rPr>
        <w:t>a.</w:t>
      </w:r>
      <w:r>
        <w:rPr/>
        <w:t>资产负债表日后利润分配情况说明：于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日，根据本公司第二届董事会第二 </w:t>
      </w:r>
      <w:r>
        <w:rPr>
          <w:spacing w:val="-1"/>
        </w:rPr>
        <w:t>十三次审议通过本公司</w:t>
      </w:r>
      <w:r>
        <w:rPr>
          <w:rFonts w:ascii="Times New Roman" w:hAnsi="Times New Roman" w:cs="Times New Roman" w:eastAsia="Times New Roman" w:hint="default"/>
          <w:spacing w:val="-1"/>
        </w:rPr>
        <w:t>2012</w:t>
      </w:r>
      <w:r>
        <w:rPr>
          <w:spacing w:val="-1"/>
        </w:rPr>
        <w:t>年度利润分配预案：（</w:t>
      </w:r>
      <w:r>
        <w:rPr>
          <w:rFonts w:ascii="Times New Roman" w:hAnsi="Times New Roman" w:cs="Times New Roman" w:eastAsia="Times New Roman" w:hint="default"/>
          <w:spacing w:val="-1"/>
        </w:rPr>
        <w:t>1</w:t>
      </w:r>
      <w:r>
        <w:rPr>
          <w:spacing w:val="-1"/>
        </w:rPr>
        <w:t>）按本公司</w:t>
      </w:r>
      <w:r>
        <w:rPr>
          <w:rFonts w:ascii="Times New Roman" w:hAnsi="Times New Roman" w:cs="Times New Roman" w:eastAsia="Times New Roman" w:hint="default"/>
          <w:spacing w:val="-1"/>
        </w:rPr>
        <w:t>2012</w:t>
      </w:r>
      <w:r>
        <w:rPr>
          <w:spacing w:val="-1"/>
        </w:rPr>
        <w:t>年度实现净利润的</w:t>
      </w:r>
      <w:r>
        <w:rPr>
          <w:rFonts w:ascii="Times New Roman" w:hAnsi="Times New Roman" w:cs="Times New Roman" w:eastAsia="Times New Roman" w:hint="default"/>
          <w:spacing w:val="-1"/>
        </w:rPr>
        <w:t>10%</w:t>
      </w:r>
      <w:r>
        <w:rPr>
          <w:spacing w:val="-1"/>
        </w:rPr>
        <w:t>提</w:t>
      </w:r>
      <w:r>
        <w:rPr>
          <w:spacing w:val="-117"/>
        </w:rPr>
        <w:t> </w:t>
      </w:r>
      <w:r>
        <w:rPr>
          <w:spacing w:val="-1"/>
        </w:rPr>
        <w:t>取法定盈余公积金；（</w:t>
      </w:r>
      <w:r>
        <w:rPr>
          <w:rFonts w:ascii="Times New Roman" w:hAnsi="Times New Roman" w:cs="Times New Roman" w:eastAsia="Times New Roman" w:hint="default"/>
          <w:spacing w:val="-1"/>
        </w:rPr>
        <w:t>2</w:t>
      </w:r>
      <w:r>
        <w:rPr>
          <w:spacing w:val="-1"/>
        </w:rPr>
        <w:t>）以本公司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15,690</w:t>
      </w:r>
      <w:r>
        <w:rPr>
          <w:spacing w:val="-1"/>
        </w:rPr>
        <w:t>万股为基数，向全体股东每</w:t>
      </w:r>
      <w:r>
        <w:rPr>
          <w:spacing w:val="-95"/>
        </w:rPr>
        <w:t> </w:t>
      </w:r>
      <w:r>
        <w:rPr>
          <w:spacing w:val="-95"/>
        </w:rPr>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w:t>
      </w:r>
      <w:r>
        <w:rPr/>
        <w:t>元（含税），合计派发现金人民币</w:t>
      </w:r>
      <w:r>
        <w:rPr>
          <w:rFonts w:ascii="Times New Roman" w:hAnsi="Times New Roman" w:cs="Times New Roman" w:eastAsia="Times New Roman" w:hint="default"/>
        </w:rPr>
        <w:t>3,138.00</w:t>
      </w:r>
      <w:r>
        <w:rPr/>
        <w:t>万元；同时进行资本公</w:t>
      </w:r>
      <w:r>
        <w:rPr>
          <w:spacing w:val="-107"/>
        </w:rPr>
        <w:t> </w:t>
      </w:r>
      <w:r>
        <w:rPr>
          <w:spacing w:val="5"/>
        </w:rPr>
        <w:t>积金转增股本，以公司总股本</w:t>
      </w:r>
      <w:r>
        <w:rPr>
          <w:rFonts w:ascii="Times New Roman" w:hAnsi="Times New Roman" w:cs="Times New Roman" w:eastAsia="Times New Roman" w:hint="default"/>
          <w:spacing w:val="5"/>
        </w:rPr>
        <w:t>156,900,000</w:t>
      </w:r>
      <w:r>
        <w:rPr>
          <w:spacing w:val="5"/>
        </w:rPr>
        <w:t>股为基数向全体股东每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股，共计转增</w:t>
      </w:r>
      <w:r>
        <w:rPr>
          <w:spacing w:val="-78"/>
        </w:rPr>
        <w:t> </w:t>
      </w:r>
      <w:r>
        <w:rPr>
          <w:rFonts w:ascii="Times New Roman" w:hAnsi="Times New Roman" w:cs="Times New Roman" w:eastAsia="Times New Roman" w:hint="default"/>
          <w:spacing w:val="-4"/>
        </w:rPr>
        <w:t>156,900,000</w:t>
      </w:r>
      <w:r>
        <w:rPr>
          <w:spacing w:val="-4"/>
        </w:rPr>
        <w:t>股，转增后公司总股本将增加至</w:t>
      </w:r>
      <w:r>
        <w:rPr>
          <w:rFonts w:ascii="Times New Roman" w:hAnsi="Times New Roman" w:cs="Times New Roman" w:eastAsia="Times New Roman" w:hint="default"/>
          <w:spacing w:val="-4"/>
        </w:rPr>
        <w:t>313,800,000</w:t>
      </w:r>
      <w:r>
        <w:rPr>
          <w:spacing w:val="-4"/>
        </w:rPr>
        <w:t>股。上述利润分配预案有待本公司</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42"/>
        </w:rPr>
        <w:t> </w:t>
      </w:r>
      <w:r>
        <w:rPr/>
        <w:t>年度股东大会审议通过。</w:t>
      </w:r>
    </w:p>
    <w:p>
      <w:pPr>
        <w:pStyle w:val="Heading4"/>
        <w:spacing w:line="312" w:lineRule="exact"/>
        <w:ind w:left="154" w:right="128" w:firstLine="480"/>
        <w:jc w:val="both"/>
      </w:pPr>
      <w:r>
        <w:rPr>
          <w:rFonts w:ascii="Times New Roman" w:hAnsi="Times New Roman" w:cs="Times New Roman" w:eastAsia="Times New Roman" w:hint="default"/>
        </w:rPr>
        <w:t>b.</w:t>
      </w:r>
      <w:r>
        <w:rPr/>
        <w:t>经</w:t>
      </w:r>
      <w:r>
        <w:rPr>
          <w:rFonts w:ascii="Times New Roman" w:hAnsi="Times New Roman" w:cs="Times New Roman" w:eastAsia="Times New Roman" w:hint="default"/>
        </w:rPr>
        <w:t>2012</w:t>
      </w:r>
      <w:r>
        <w:rPr/>
        <w:t>年第二次临时股东大会及第二届董事会第二十二次会议审议通过，公司合肥子</w:t>
      </w:r>
      <w:r>
        <w:rPr>
          <w:spacing w:val="2"/>
        </w:rPr>
        <w:t> </w:t>
      </w:r>
      <w:r>
        <w:rPr/>
        <w:t>公司研发基地一期总占地</w:t>
      </w:r>
      <w:r>
        <w:rPr>
          <w:rFonts w:ascii="Times New Roman" w:hAnsi="Times New Roman" w:cs="Times New Roman" w:eastAsia="Times New Roman" w:hint="default"/>
        </w:rPr>
        <w:t>60</w:t>
      </w:r>
      <w:r>
        <w:rPr/>
        <w:t>亩约</w:t>
      </w:r>
      <w:r>
        <w:rPr>
          <w:rFonts w:ascii="Times New Roman" w:hAnsi="Times New Roman" w:cs="Times New Roman" w:eastAsia="Times New Roman" w:hint="default"/>
        </w:rPr>
        <w:t>40,000</w:t>
      </w:r>
      <w:r>
        <w:rPr/>
        <w:t>平方米，总建筑面积</w:t>
      </w:r>
      <w:r>
        <w:rPr>
          <w:rFonts w:ascii="Times New Roman" w:hAnsi="Times New Roman" w:cs="Times New Roman" w:eastAsia="Times New Roman" w:hint="default"/>
        </w:rPr>
        <w:t>88,600</w:t>
      </w:r>
      <w:r>
        <w:rPr/>
        <w:t>平方米，总造价预算为</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2"/>
        </w:rPr>
        <w:t>亿元人民币。公司前期投入</w:t>
      </w:r>
      <w:r>
        <w:rPr>
          <w:rFonts w:ascii="Times New Roman" w:hAnsi="Times New Roman" w:cs="Times New Roman" w:eastAsia="Times New Roman" w:hint="default"/>
          <w:spacing w:val="-2"/>
        </w:rPr>
        <w:t>1.2</w:t>
      </w:r>
      <w:r>
        <w:rPr>
          <w:spacing w:val="-2"/>
        </w:rPr>
        <w:t>亿元人民币，尚需要</w:t>
      </w:r>
      <w:r>
        <w:rPr>
          <w:rFonts w:ascii="Times New Roman" w:hAnsi="Times New Roman" w:cs="Times New Roman" w:eastAsia="Times New Roman" w:hint="default"/>
          <w:spacing w:val="-2"/>
        </w:rPr>
        <w:t>1.3</w:t>
      </w:r>
      <w:r>
        <w:rPr>
          <w:spacing w:val="-2"/>
        </w:rPr>
        <w:t>亿元人民币的后续投入。根据公司现有</w:t>
      </w:r>
      <w:r>
        <w:rPr>
          <w:spacing w:val="-116"/>
        </w:rPr>
        <w:t> </w:t>
      </w:r>
      <w:r>
        <w:rPr>
          <w:spacing w:val="-116"/>
        </w:rPr>
      </w:r>
      <w:r>
        <w:rPr/>
        <w:t>资金安排，合肥子公司以合肥研发基地项目建设用地使用权及在建工程作抵押，向银行申请</w:t>
      </w:r>
      <w:r>
        <w:rPr>
          <w:spacing w:val="-83"/>
        </w:rPr>
        <w:t> </w:t>
      </w:r>
      <w:r>
        <w:rPr>
          <w:spacing w:val="-83"/>
        </w:rPr>
      </w:r>
      <w:r>
        <w:rPr/>
        <w:t>基建贷款</w:t>
      </w:r>
      <w:r>
        <w:rPr>
          <w:rFonts w:ascii="Times New Roman" w:hAnsi="Times New Roman" w:cs="Times New Roman" w:eastAsia="Times New Roman" w:hint="default"/>
        </w:rPr>
        <w:t>1.32</w:t>
      </w:r>
      <w:r>
        <w:rPr/>
        <w:t>亿元人民币，期限</w:t>
      </w:r>
      <w:r>
        <w:rPr>
          <w:rFonts w:ascii="Times New Roman" w:hAnsi="Times New Roman" w:cs="Times New Roman" w:eastAsia="Times New Roman" w:hint="default"/>
        </w:rPr>
        <w:t>5</w:t>
      </w:r>
      <w:r>
        <w:rPr/>
        <w:t>年，利率为人民银行同期贷款基准利率。截止本报告期末， 合肥子公司尚未签署任何抵押及贷款协议，尚未向银行申请本次基建贷款。</w:t>
      </w:r>
    </w:p>
    <w:p>
      <w:pPr>
        <w:spacing w:line="240" w:lineRule="auto" w:before="10"/>
        <w:rPr>
          <w:rFonts w:ascii="宋体" w:hAnsi="宋体" w:cs="宋体" w:eastAsia="宋体" w:hint="default"/>
          <w:sz w:val="20"/>
          <w:szCs w:val="20"/>
        </w:rPr>
      </w:pPr>
    </w:p>
    <w:p>
      <w:pPr>
        <w:spacing w:line="506" w:lineRule="auto" w:before="0"/>
        <w:ind w:left="154" w:right="7608"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5"/>
        <w:spacing w:line="240" w:lineRule="auto" w:before="152"/>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75"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05"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1"/>
        <w:gridCol w:w="1517"/>
        <w:gridCol w:w="1517"/>
        <w:gridCol w:w="1517"/>
        <w:gridCol w:w="1518"/>
        <w:gridCol w:w="1517"/>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03" w:right="31"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4"/>
          <w:szCs w:val="24"/>
        </w:rPr>
      </w:pPr>
    </w:p>
    <w:p>
      <w:pPr>
        <w:pStyle w:val="Heading6"/>
        <w:spacing w:line="264" w:lineRule="auto"/>
        <w:ind w:right="135"/>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22</w:t>
      </w:r>
      <w:r>
        <w:rPr>
          <w:spacing w:val="-3"/>
        </w:rPr>
        <w:t>日，本公司主要客户中国电信集团公司（以下简称</w:t>
      </w:r>
      <w:r>
        <w:rPr>
          <w:rFonts w:ascii="Times New Roman" w:hAnsi="Times New Roman" w:cs="Times New Roman" w:eastAsia="Times New Roman" w:hint="default"/>
          <w:spacing w:val="-3"/>
        </w:rPr>
        <w:t>“</w:t>
      </w:r>
      <w:r>
        <w:rPr>
          <w:spacing w:val="-3"/>
        </w:rPr>
        <w:t>电信集团</w:t>
      </w:r>
      <w:r>
        <w:rPr>
          <w:rFonts w:ascii="Times New Roman" w:hAnsi="Times New Roman" w:cs="Times New Roman" w:eastAsia="Times New Roman" w:hint="default"/>
          <w:spacing w:val="-3"/>
        </w:rPr>
        <w:t>”</w:t>
      </w:r>
      <w:r>
        <w:rPr>
          <w:spacing w:val="-3"/>
        </w:rPr>
        <w:t>）与中国电信股份有限公司（以</w:t>
      </w:r>
      <w:r>
        <w:rPr>
          <w:spacing w:val="-64"/>
        </w:rPr>
        <w:t> </w:t>
      </w:r>
      <w:r>
        <w:rPr>
          <w:spacing w:val="-64"/>
        </w:rPr>
      </w:r>
      <w:r>
        <w:rPr/>
        <w:t>下简称</w:t>
      </w:r>
      <w:r>
        <w:rPr>
          <w:rFonts w:ascii="Times New Roman" w:hAnsi="Times New Roman" w:cs="Times New Roman" w:eastAsia="Times New Roman" w:hint="default"/>
        </w:rPr>
        <w:t>“</w:t>
      </w:r>
      <w:r>
        <w:rPr/>
        <w:t>电信股份</w:t>
      </w:r>
      <w:r>
        <w:rPr>
          <w:rFonts w:ascii="Times New Roman" w:hAnsi="Times New Roman" w:cs="Times New Roman" w:eastAsia="Times New Roman" w:hint="default"/>
        </w:rPr>
        <w:t>”</w:t>
      </w:r>
      <w:r>
        <w:rPr/>
        <w:t>）双方订立了《关于中国电信集团公司网络资产分公司及</w:t>
      </w:r>
      <w:r>
        <w:rPr>
          <w:rFonts w:ascii="Times New Roman" w:hAnsi="Times New Roman" w:cs="Times New Roman" w:eastAsia="Times New Roman" w:hint="default"/>
        </w:rPr>
        <w:t>30</w:t>
      </w:r>
      <w:r>
        <w:rPr/>
        <w:t>省（区、市）网络资产分公 </w:t>
      </w:r>
      <w:r>
        <w:rPr>
          <w:spacing w:val="-1"/>
        </w:rPr>
        <w:t>司及相应负债的附生效条件的转让协议》，该协议已生效。截止本报告期末，本公司与上述客户涉及的资</w:t>
      </w:r>
      <w:r>
        <w:rPr>
          <w:spacing w:val="-82"/>
        </w:rPr>
        <w:t> </w:t>
      </w:r>
      <w:r>
        <w:rPr>
          <w:spacing w:val="-82"/>
        </w:rPr>
      </w:r>
      <w:r>
        <w:rPr/>
        <w:t>产及相应合同主体变更事宜如下：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5</w:t>
      </w:r>
      <w:r>
        <w:rPr>
          <w:spacing w:val="3"/>
        </w:rPr>
        <w:t>日，本公司与电信集团湖北网络资产分公司、电信股份湖北分公司三方签署《关于转让</w:t>
      </w:r>
      <w:r>
        <w:rPr>
          <w:spacing w:val="-90"/>
        </w:rPr>
        <w:t> </w:t>
      </w:r>
      <w:r>
        <w:rPr>
          <w:spacing w:val="-90"/>
        </w:rPr>
      </w:r>
      <w:r>
        <w:rPr>
          <w:rFonts w:ascii="Times New Roman" w:hAnsi="Times New Roman" w:cs="Times New Roman" w:eastAsia="Times New Roman" w:hint="default"/>
          <w:spacing w:val="-1"/>
        </w:rPr>
        <w:t>CDMA</w:t>
      </w:r>
      <w:r>
        <w:rPr>
          <w:spacing w:val="-1"/>
        </w:rPr>
        <w:t>资产涉及合同转让事宜的同意函》，由电信集团湖北网络资产分公司向电信股份湖北分公司转让相</w:t>
      </w:r>
      <w:r>
        <w:rPr>
          <w:spacing w:val="-81"/>
        </w:rPr>
        <w:t> </w:t>
      </w:r>
      <w:r>
        <w:rPr>
          <w:spacing w:val="-81"/>
        </w:rPr>
      </w:r>
      <w:r>
        <w:rPr>
          <w:spacing w:val="-1"/>
        </w:rPr>
        <w:t>关网络资产分公司资产及相应负债，其中：本公司与电信集团湖北网络资产分公司签署的有关合同项下的</w:t>
      </w:r>
      <w:r>
        <w:rPr>
          <w:spacing w:val="-81"/>
        </w:rPr>
        <w:t> </w:t>
      </w:r>
      <w:r>
        <w:rPr>
          <w:spacing w:val="-81"/>
        </w:rPr>
      </w:r>
      <w:r>
        <w:rPr/>
        <w:t>一切权利和义务将自交割日（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日）起，均由电信股份湖北分公司享有和承担。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日，本公司与电信集团安徽网络资产分公司、电信股份安徽分公司三方签署《关于转让</w:t>
      </w:r>
      <w:r>
        <w:rPr>
          <w:spacing w:val="-35"/>
        </w:rPr>
        <w:t> </w:t>
      </w:r>
      <w:r>
        <w:rPr>
          <w:spacing w:val="-35"/>
        </w:rPr>
      </w:r>
      <w:r>
        <w:rPr>
          <w:rFonts w:ascii="Times New Roman" w:hAnsi="Times New Roman" w:cs="Times New Roman" w:eastAsia="Times New Roman" w:hint="default"/>
          <w:spacing w:val="-1"/>
        </w:rPr>
        <w:t>CDMA</w:t>
      </w:r>
      <w:r>
        <w:rPr>
          <w:spacing w:val="-1"/>
        </w:rPr>
        <w:t>资产涉及合同转让事宜的同意函》，由电信集团安徽网络资产分公司向电信股份安徽分公司转让相</w:t>
      </w:r>
      <w:r>
        <w:rPr>
          <w:spacing w:val="-81"/>
        </w:rPr>
        <w:t> </w:t>
      </w:r>
      <w:r>
        <w:rPr>
          <w:spacing w:val="-81"/>
        </w:rPr>
      </w:r>
      <w:r>
        <w:rPr>
          <w:spacing w:val="-1"/>
        </w:rPr>
        <w:t>关网络资产分公司资产及相应负债，其中：本公司与电信集团安徽网络资产分公司签署的有关合同项下的</w:t>
      </w:r>
      <w:r>
        <w:rPr>
          <w:spacing w:val="-81"/>
        </w:rPr>
        <w:t> </w:t>
      </w:r>
      <w:r>
        <w:rPr>
          <w:spacing w:val="-81"/>
        </w:rPr>
      </w:r>
      <w:r>
        <w:rPr/>
        <w:t>一切权利和义务将自交割日（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日）起，均由电信股份安徽分公司享有和承担。 </w:t>
      </w:r>
      <w:r>
        <w:rPr>
          <w:spacing w:val="-1"/>
        </w:rPr>
        <w:t>截止本报告期末，本公司涉及的资产及相应合同的客户主体均已变更为电信股份及相关分公司，其中：变</w:t>
      </w:r>
      <w:r>
        <w:rPr>
          <w:spacing w:val="-83"/>
        </w:rPr>
        <w:t> </w:t>
      </w:r>
      <w:r>
        <w:rPr>
          <w:spacing w:val="-83"/>
        </w:rPr>
      </w:r>
      <w:r>
        <w:rPr/>
        <w:t>更的合同总额为</w:t>
      </w:r>
      <w:r>
        <w:rPr>
          <w:rFonts w:ascii="Times New Roman" w:hAnsi="Times New Roman" w:cs="Times New Roman" w:eastAsia="Times New Roman" w:hint="default"/>
        </w:rPr>
        <w:t>11,388.72</w:t>
      </w:r>
      <w:r>
        <w:rPr/>
        <w:t>万元，变更的应收账款为</w:t>
      </w:r>
      <w:r>
        <w:rPr>
          <w:rFonts w:ascii="Times New Roman" w:hAnsi="Times New Roman" w:cs="Times New Roman" w:eastAsia="Times New Roman" w:hint="default"/>
        </w:rPr>
        <w:t>3,940.36</w:t>
      </w:r>
      <w:r>
        <w:rPr/>
        <w:t>万元。</w:t>
      </w:r>
    </w:p>
    <w:p>
      <w:pPr>
        <w:spacing w:after="0" w:line="264"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324,177,479.49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12,707,872.10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246,055,132.98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9,489,333.38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324,177,479.49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12,707,872.10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246,055,132.98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9,489,333.38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324,177,479.49</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12,707,872.10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246,055,132.98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9,489,333.38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57" w:lineRule="auto" w:before="51"/>
        <w:ind w:right="2321"/>
        <w:jc w:val="left"/>
      </w:pPr>
      <w:r>
        <w:rPr/>
        <w:t>应收账款种类的说明 无</w:t>
      </w:r>
    </w:p>
    <w:p>
      <w:pPr>
        <w:pStyle w:val="BodyText"/>
        <w:spacing w:line="240" w:lineRule="auto" w:before="29"/>
        <w:ind w:right="-19"/>
        <w:jc w:val="left"/>
      </w:pPr>
      <w:r>
        <w:rPr/>
        <w:t>期末单项金额重大并单项计提坏账准备的应收账款</w:t>
      </w:r>
    </w:p>
    <w:p>
      <w:pPr>
        <w:pStyle w:val="BodyText"/>
        <w:spacing w:line="3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pStyle w:val="BodyText"/>
        <w:spacing w:line="240" w:lineRule="auto" w:before="40"/>
        <w:ind w:left="154" w:right="23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3"/>
        <w:gridCol w:w="665"/>
        <w:gridCol w:w="1462"/>
        <w:gridCol w:w="2126"/>
        <w:gridCol w:w="664"/>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290,822,130.02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89.71%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8,724,663.90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223,487,778.44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6,704,633.35</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28,422,020.90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2,842,202.09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20,000,817.47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2,000,081.75</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4,515,048.07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903,009.61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1,903,675.01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380,735.00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360,568.00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0.11%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180,284.00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517,957.56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258,978.78</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57,712.50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57,712.50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144,904.50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144,904.50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324,177,479.49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12,707,872.10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246,055,132.98</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9,489,333.38</w:t>
            </w:r>
          </w:p>
        </w:tc>
      </w:tr>
    </w:tbl>
    <w:p>
      <w:pPr>
        <w:pStyle w:val="BodyText"/>
        <w:spacing w:line="240" w:lineRule="auto" w:before="51"/>
        <w:ind w:left="154" w:right="0"/>
        <w:jc w:val="left"/>
      </w:pPr>
      <w:r>
        <w:rPr/>
        <w:t>组合中，采用余额百分比法计提坏账准备的应收账款</w:t>
      </w:r>
    </w:p>
    <w:p>
      <w:pPr>
        <w:pStyle w:val="BodyText"/>
        <w:spacing w:line="340" w:lineRule="auto" w:before="116"/>
        <w:ind w:left="154"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ind w:left="154"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left="154" w:right="0"/>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34"/>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57" w:lineRule="auto" w:before="52"/>
        <w:ind w:right="3651"/>
        <w:jc w:val="left"/>
      </w:pPr>
      <w:r>
        <w:rPr/>
        <w:t>单项金额不重大但按信用风险特征组合后该组合的风险较大的应收账款的说明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357" w:lineRule="auto" w:before="51"/>
        <w:ind w:right="8331"/>
        <w:jc w:val="left"/>
      </w:pPr>
      <w:r>
        <w:rPr/>
        <w:t>应收账款核销说明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中国电信股份有限公司 安徽分公司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61,593,635.15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51,998,735.72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公司广西分公司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27,074,759.60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中国电信股份有限公司 四川分公司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21,586,636.24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公司河南省分公司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20,843,472.20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183,097,238.90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深圳市汇巨信息技术有限公 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213,133.00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293,133.00</w:t>
            </w:r>
          </w:p>
        </w:tc>
        <w:tc>
          <w:tcPr>
            <w:tcW w:w="24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不符合终止确认条件的应收账款的转移金额为元。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7"/>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7,732,565.54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699,988.43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5,042,666.53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412,167.78</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7,732,565.54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699,988.43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5,042,666.53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412,167.78</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7,732,565.54</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699,988.43</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5,042,666.53</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412,167.78</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357" w:lineRule="auto"/>
        <w:ind w:right="2321"/>
        <w:jc w:val="left"/>
      </w:pPr>
      <w:r>
        <w:rPr/>
        <w:t>其他应收款种类的说明 无</w:t>
      </w:r>
    </w:p>
    <w:p>
      <w:pPr>
        <w:pStyle w:val="BodyText"/>
        <w:spacing w:line="240" w:lineRule="auto" w:before="29"/>
        <w:ind w:right="-19"/>
        <w:jc w:val="left"/>
      </w:pPr>
      <w:r>
        <w:rPr/>
        <w:t>期末单项金额重大并单项计提坏账准备的其他应收款</w:t>
      </w:r>
    </w:p>
    <w:p>
      <w:pPr>
        <w:pStyle w:val="BodyText"/>
        <w:spacing w:line="338"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3"/>
        <w:ind w:left="154" w:right="23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6,230,129.64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80.57%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186,903.89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4,022,470.99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79.77%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120,674.13</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676,559.40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67,655.94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361,214.54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36,121.45</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264,115.50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52,823.10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250,311.00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50,062.20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338,311.00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169,155.50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406,720.00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203,360.00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223,450.00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223,450.00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1,950.00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7,732,565.54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699,988.43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5,042,666.53</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412,167.78</w:t>
            </w:r>
          </w:p>
        </w:tc>
      </w:tr>
    </w:tbl>
    <w:p>
      <w:pPr>
        <w:pStyle w:val="BodyText"/>
        <w:spacing w:line="240" w:lineRule="auto" w:before="51"/>
        <w:ind w:left="154" w:right="0"/>
        <w:jc w:val="left"/>
      </w:pPr>
      <w:r>
        <w:rPr/>
        <w:t>组合中，采用余额百分比法计提坏账准备的其他应收款</w:t>
      </w:r>
    </w:p>
    <w:p>
      <w:pPr>
        <w:pStyle w:val="BodyText"/>
        <w:spacing w:line="340" w:lineRule="auto" w:before="116"/>
        <w:ind w:left="1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left="154"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left="154"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3"/>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57" w:lineRule="auto" w:before="52"/>
        <w:ind w:right="3471"/>
        <w:jc w:val="left"/>
      </w:pPr>
      <w:r>
        <w:rPr/>
        <w:t>单项金额不重大但按信用风险特征组合后该组合的风险较大的其他应收款的说明 无</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57" w:lineRule="auto" w:before="52"/>
        <w:ind w:right="8151"/>
        <w:jc w:val="left"/>
      </w:pPr>
      <w:r>
        <w:rPr/>
        <w:t>其他应收款核销说明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94"/>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1,717,182.32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西南成都社保及公积金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615,932.48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联通事业部社保及公积 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594,469.94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特变电工国际工程有限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中航技国际经贸发展有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3,667,584.74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不符合终止确认条件的其他应收款项的转移金额为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上海天缘</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迪柯信息 技术有限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广州市易</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杰数码科 技有限公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130,093,0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57,417,72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72,675,29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130,093,0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合肥天源</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迪科信息 技术有限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广州易星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北京天源</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迪科信息 技术有限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广西驿途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合肥英泽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深圳市金 华威数码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权益法转 换为成本 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13,610,59</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3,165,965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16,776,56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深州市汇</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巨信息技 术有限公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38,400,00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30,124,06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8,524,179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38,648,24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5.35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3,191,700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2,655,860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17,621.36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2,673,481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广州正道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382,884,7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274,808,2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47.52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112,783,0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387,591,3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03.42</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151"/>
        <w:jc w:val="left"/>
      </w:pPr>
      <w:r>
        <w:rPr/>
        <w:t>长期股权投资的说明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393,120,600.29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349,799,387.30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1,075,983.33</w:t>
            </w:r>
          </w:p>
        </w:tc>
        <w:tc>
          <w:tcPr>
            <w:tcW w:w="3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394,196,583.62</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349,799,387.30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218,859,572.16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206,079,325.72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358,866,653.79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194,281,154.64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293,959,245.49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161,621,645.44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26,967,300.86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18,472,544.62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24,321,157.39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15,644,896.42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7,286,645.64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6,105,872.90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31,518,984.42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28,812,783.86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393,120,600.29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218,859,572.16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349,799,387.30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206,079,325.72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305,277,814.44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151,571,709.24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230,908,039.61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104,450,350.43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20,397,900.51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6,485,983.73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12,608,686.18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4,385,954.72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44,305,923.80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39,492,509.98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106,282,661.51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97,243,020.57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网络产品分销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23,138,961.54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21,309,369.21</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393,120,600.29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218,859,572.16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349,799,387.30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206,079,325.72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22,807,526.09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13,229,458.54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17,982,484.36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12,162,129.53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106,939,773.52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53,044,206.28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96,139,265.17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49,183,946.47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59,374,844.48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34,554,800.74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65,915,697.63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47,182,621.91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46,092,641.17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24,234,536.36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65,675,120.86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42,356,608.35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152,885,163.03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91,377,109.70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104,086,819.28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55,194,019.46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5,020,652.00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2,419,460.54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393,120,600.29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218,859,572.16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349,799,387.30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206,079,325.72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87,540,184.84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34,764,542.76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28,258,903.74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中国联合网络通信有限公司广西壮族自治区分公司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26,424,454.71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中国联合网络通信有限公司河南省分公司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22,899,340.17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199,887,426.22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50.71%</w:t>
            </w:r>
          </w:p>
        </w:tc>
      </w:tr>
    </w:tbl>
    <w:p>
      <w:pPr>
        <w:pStyle w:val="BodyText"/>
        <w:spacing w:line="357" w:lineRule="auto" w:before="51"/>
        <w:ind w:left="154" w:right="8510"/>
        <w:jc w:val="left"/>
      </w:pPr>
      <w:r>
        <w:rPr/>
        <w:t>营业收入的说明 无</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401"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407,765.90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2,061,710.72</w:t>
            </w:r>
          </w:p>
        </w:tc>
      </w:tr>
      <w:tr>
        <w:trPr>
          <w:trHeight w:val="403"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407,765.90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2,061,710.72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1"/>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124,179.01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124,066.34</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265,965.53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1,910,595.11</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27,049.27</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407,765.90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2,061,710.72</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投资收益的说明</w:t>
      </w:r>
    </w:p>
    <w:p>
      <w:pPr>
        <w:pStyle w:val="Heading4"/>
        <w:spacing w:line="312" w:lineRule="exact" w:before="97"/>
        <w:ind w:right="171"/>
        <w:jc w:val="left"/>
      </w:pPr>
      <w:r>
        <w:rPr/>
        <w:t>深圳市金华威数码科技有限公司本期确认的投资收益系</w:t>
      </w:r>
      <w:r>
        <w:rPr>
          <w:rFonts w:ascii="Times New Roman" w:hAnsi="Times New Roman" w:cs="Times New Roman" w:eastAsia="Times New Roman" w:hint="default"/>
        </w:rPr>
        <w:t>2012</w:t>
      </w:r>
      <w:r>
        <w:rPr/>
        <w:t>年度非同一控制下合并日前权益 法核算下实现的投资收益。</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86,122,457.82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68,449,111.47</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3,506,359.37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4,453,676.56</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7,222,223.28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4,889,809.17</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31,518,321.33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20,429,938.48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559,461.74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511,799.59</w:t>
            </w:r>
          </w:p>
        </w:tc>
      </w:tr>
      <w:tr>
        <w:trPr>
          <w:trHeight w:val="715"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258,014.06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235,825.52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473,353.09</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-407,765.90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-2,061,710.72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-459,739.93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-2,601,420.48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-23,677,083.91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-32,410.34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-85,300,243.94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-120,693,493.08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23,823,711.24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16,664,541.47</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48,987,571.77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-9,754,332.36</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165,496,758.92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318,594,847.24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318,594,847.24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532,902,118.90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-153,098,088.32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-214,307,271.66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反向购买下以公允价值入账的资产、负债情况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51"/>
        <w:ind w:left="154" w:right="0"/>
        <w:jc w:val="left"/>
      </w:pPr>
      <w:r>
        <w:rPr/>
        <w:t>反向购买形成长期股权投资的情况</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206" w:hRule="exact"/>
        </w:trPr>
        <w:tc>
          <w:tcPr>
            <w:tcW w:w="3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39"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r>
      <w:tr>
        <w:trPr>
          <w:trHeight w:val="715"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left="154" w:right="0"/>
        <w:jc w:val="left"/>
      </w:pPr>
      <w:r>
        <w:rPr>
          <w:spacing w:val="-1"/>
        </w:rPr>
        <w:t>（</w:t>
      </w:r>
      <w:r>
        <w:rPr>
          <w:rFonts w:ascii="Times New Roman" w:hAnsi="Times New Roman" w:cs="Times New Roman" w:eastAsia="Times New Roman" w:hint="default"/>
          <w:spacing w:val="-1"/>
        </w:rPr>
        <w:t>1</w:t>
      </w:r>
      <w:r>
        <w:rPr>
          <w:spacing w:val="-1"/>
        </w:rPr>
        <w:t>）货币资金</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244,323,834.53</w:t>
      </w:r>
      <w:r>
        <w:rPr>
          <w:spacing w:val="-1"/>
        </w:rPr>
        <w:t>元，比年初数减少</w:t>
      </w:r>
      <w:r>
        <w:rPr>
          <w:rFonts w:ascii="Times New Roman" w:hAnsi="Times New Roman" w:cs="Times New Roman" w:eastAsia="Times New Roman" w:hint="default"/>
          <w:spacing w:val="-1"/>
        </w:rPr>
        <w:t>45.91%</w:t>
      </w:r>
      <w:r>
        <w:rPr>
          <w:spacing w:val="-1"/>
        </w:rPr>
        <w:t>，其主要原因是：收购广州易杰</w:t>
      </w:r>
      <w:r>
        <w:rPr>
          <w:rFonts w:ascii="Times New Roman" w:hAnsi="Times New Roman" w:cs="Times New Roman" w:eastAsia="Times New Roman" w:hint="default"/>
          <w:spacing w:val="-1"/>
        </w:rPr>
        <w:t>30%</w:t>
      </w:r>
      <w:r>
        <w:rPr>
          <w:spacing w:val="-1"/>
        </w:rPr>
        <w:t>股权及</w:t>
      </w:r>
      <w:r>
        <w:rPr>
          <w:spacing w:val="-45"/>
        </w:rPr>
        <w:t> </w:t>
      </w:r>
      <w:r>
        <w:rPr>
          <w:spacing w:val="-45"/>
        </w:rPr>
      </w:r>
      <w:r>
        <w:rPr/>
        <w:t>其他对外股权收购和合肥研发基地基建及项目开发投入所致。</w:t>
      </w:r>
    </w:p>
    <w:p>
      <w:pPr>
        <w:pStyle w:val="BodyText"/>
        <w:spacing w:line="240" w:lineRule="auto" w:before="69"/>
        <w:ind w:left="154" w:right="0"/>
        <w:jc w:val="left"/>
      </w:pPr>
      <w:r>
        <w:rPr/>
        <w:t>（</w:t>
      </w:r>
      <w:r>
        <w:rPr>
          <w:rFonts w:ascii="Times New Roman" w:hAnsi="Times New Roman" w:cs="Times New Roman" w:eastAsia="Times New Roman" w:hint="default"/>
        </w:rPr>
        <w:t>2</w:t>
      </w:r>
      <w:r>
        <w:rPr/>
        <w:t>）应收票据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8,422,838.49</w:t>
      </w:r>
      <w:r>
        <w:rPr/>
        <w:t>元，比年初数增加</w:t>
      </w:r>
      <w:r>
        <w:rPr>
          <w:rFonts w:ascii="Times New Roman" w:hAnsi="Times New Roman" w:cs="Times New Roman" w:eastAsia="Times New Roman" w:hint="default"/>
        </w:rPr>
        <w:t>115.21%</w:t>
      </w:r>
      <w:r>
        <w:rPr/>
        <w:t>，其主要原因是：年末票据结算增加所致。</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ind w:right="190"/>
        <w:jc w:val="left"/>
      </w:pPr>
      <w:r>
        <w:rPr>
          <w:spacing w:val="-1"/>
        </w:rPr>
        <w:t>（</w:t>
      </w:r>
      <w:r>
        <w:rPr>
          <w:rFonts w:ascii="Times New Roman" w:hAnsi="Times New Roman" w:cs="Times New Roman" w:eastAsia="Times New Roman" w:hint="default"/>
          <w:spacing w:val="-1"/>
        </w:rPr>
        <w:t>3</w:t>
      </w:r>
      <w:r>
        <w:rPr>
          <w:spacing w:val="-1"/>
        </w:rPr>
        <w:t>）应收账款</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360,863,695.79</w:t>
      </w:r>
      <w:r>
        <w:rPr>
          <w:spacing w:val="-1"/>
        </w:rPr>
        <w:t>元，比年初数增加</w:t>
      </w:r>
      <w:r>
        <w:rPr>
          <w:rFonts w:ascii="Times New Roman" w:hAnsi="Times New Roman" w:cs="Times New Roman" w:eastAsia="Times New Roman" w:hint="default"/>
          <w:spacing w:val="-1"/>
        </w:rPr>
        <w:t>35.41%</w:t>
      </w:r>
      <w:r>
        <w:rPr>
          <w:spacing w:val="-1"/>
        </w:rPr>
        <w:t>，其主要原因是：销售增长相应应收增加所</w:t>
      </w:r>
      <w:r>
        <w:rPr>
          <w:spacing w:val="-78"/>
        </w:rPr>
        <w:t> </w:t>
      </w:r>
      <w:r>
        <w:rPr>
          <w:spacing w:val="-78"/>
        </w:rPr>
      </w:r>
      <w:r>
        <w:rPr/>
        <w:t>致。</w:t>
      </w:r>
    </w:p>
    <w:p>
      <w:pPr>
        <w:pStyle w:val="BodyText"/>
        <w:spacing w:line="240" w:lineRule="auto" w:before="69"/>
        <w:ind w:right="90"/>
        <w:jc w:val="left"/>
      </w:pPr>
      <w:r>
        <w:rPr/>
        <w:t>（</w:t>
      </w:r>
      <w:r>
        <w:rPr>
          <w:rFonts w:ascii="Times New Roman" w:hAnsi="Times New Roman" w:cs="Times New Roman" w:eastAsia="Times New Roman" w:hint="default"/>
        </w:rPr>
        <w:t>4</w:t>
      </w:r>
      <w:r>
        <w:rPr/>
        <w:t>）其他应收款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16,226,841.70</w:t>
      </w:r>
      <w:r>
        <w:rPr/>
        <w:t>元，比年初数增加</w:t>
      </w:r>
      <w:r>
        <w:rPr>
          <w:rFonts w:ascii="Times New Roman" w:hAnsi="Times New Roman" w:cs="Times New Roman" w:eastAsia="Times New Roman" w:hint="default"/>
        </w:rPr>
        <w:t>40.60%</w:t>
      </w:r>
      <w:r>
        <w:rPr/>
        <w:t>，其主要原因是：投标保证金增加所致。</w:t>
      </w:r>
    </w:p>
    <w:p>
      <w:pPr>
        <w:pStyle w:val="BodyText"/>
        <w:spacing w:line="302" w:lineRule="auto" w:before="102"/>
        <w:ind w:right="190"/>
        <w:jc w:val="left"/>
      </w:pPr>
      <w:r>
        <w:rPr>
          <w:spacing w:val="-1"/>
        </w:rPr>
        <w:t>（</w:t>
      </w:r>
      <w:r>
        <w:rPr>
          <w:rFonts w:ascii="Times New Roman" w:hAnsi="Times New Roman" w:cs="Times New Roman" w:eastAsia="Times New Roman" w:hint="default"/>
          <w:spacing w:val="-1"/>
        </w:rPr>
        <w:t>5</w:t>
      </w:r>
      <w:r>
        <w:rPr>
          <w:spacing w:val="-1"/>
        </w:rPr>
        <w:t>）预付账款</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18,482,035.25</w:t>
      </w:r>
      <w:r>
        <w:rPr>
          <w:spacing w:val="-1"/>
        </w:rPr>
        <w:t>元，比年初数增加</w:t>
      </w:r>
      <w:r>
        <w:rPr>
          <w:rFonts w:ascii="Times New Roman" w:hAnsi="Times New Roman" w:cs="Times New Roman" w:eastAsia="Times New Roman" w:hint="default"/>
          <w:spacing w:val="-1"/>
        </w:rPr>
        <w:t>777.54%</w:t>
      </w:r>
      <w:r>
        <w:rPr>
          <w:spacing w:val="-1"/>
        </w:rPr>
        <w:t>，其主要原因是：新增的网络产品分销业务</w:t>
      </w:r>
      <w:r>
        <w:rPr>
          <w:spacing w:val="-80"/>
        </w:rPr>
        <w:t> </w:t>
      </w:r>
      <w:r>
        <w:rPr>
          <w:spacing w:val="-80"/>
        </w:rPr>
      </w:r>
      <w:r>
        <w:rPr/>
        <w:t>采购预付款和新纳入合并范围子公司采购预付款增加所致。</w:t>
      </w:r>
    </w:p>
    <w:p>
      <w:pPr>
        <w:pStyle w:val="BodyText"/>
        <w:spacing w:line="302" w:lineRule="auto" w:before="68"/>
        <w:ind w:right="90"/>
        <w:jc w:val="left"/>
      </w:pPr>
      <w:r>
        <w:rPr>
          <w:spacing w:val="-1"/>
        </w:rPr>
        <w:t>（</w:t>
      </w:r>
      <w:r>
        <w:rPr>
          <w:rFonts w:ascii="Times New Roman" w:hAnsi="Times New Roman" w:cs="Times New Roman" w:eastAsia="Times New Roman" w:hint="default"/>
          <w:spacing w:val="-1"/>
        </w:rPr>
        <w:t>6</w:t>
      </w:r>
      <w:r>
        <w:rPr>
          <w:spacing w:val="-1"/>
        </w:rPr>
        <w:t>）存货</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103,462,262.38</w:t>
      </w:r>
      <w:r>
        <w:rPr>
          <w:spacing w:val="-1"/>
        </w:rPr>
        <w:t>元，比年初数增加</w:t>
      </w:r>
      <w:r>
        <w:rPr>
          <w:rFonts w:ascii="Times New Roman" w:hAnsi="Times New Roman" w:cs="Times New Roman" w:eastAsia="Times New Roman" w:hint="default"/>
          <w:spacing w:val="-1"/>
        </w:rPr>
        <w:t>4764.13%</w:t>
      </w:r>
      <w:r>
        <w:rPr>
          <w:spacing w:val="-1"/>
        </w:rPr>
        <w:t>，其主要原因是：新纳入合并范围子公司存货</w:t>
      </w:r>
      <w:r>
        <w:rPr>
          <w:spacing w:val="-78"/>
        </w:rPr>
        <w:t> </w:t>
      </w:r>
      <w:r>
        <w:rPr>
          <w:spacing w:val="-78"/>
        </w:rPr>
      </w:r>
      <w:r>
        <w:rPr/>
        <w:t>增加和新项目投入尚未完工所致。</w:t>
      </w:r>
    </w:p>
    <w:p>
      <w:pPr>
        <w:pStyle w:val="BodyText"/>
        <w:spacing w:line="302" w:lineRule="auto" w:before="68"/>
        <w:ind w:right="211"/>
        <w:jc w:val="left"/>
      </w:pPr>
      <w:r>
        <w:rPr/>
        <w:t>（</w:t>
      </w:r>
      <w:r>
        <w:rPr>
          <w:rFonts w:ascii="Times New Roman" w:hAnsi="Times New Roman" w:cs="Times New Roman" w:eastAsia="Times New Roman" w:hint="default"/>
        </w:rPr>
        <w:t>7</w:t>
      </w:r>
      <w:r>
        <w:rPr/>
        <w:t>）在建工程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102,769,924.49</w:t>
      </w:r>
      <w:r>
        <w:rPr/>
        <w:t>元，比年初数增加</w:t>
      </w:r>
      <w:r>
        <w:rPr>
          <w:rFonts w:ascii="Times New Roman" w:hAnsi="Times New Roman" w:cs="Times New Roman" w:eastAsia="Times New Roman" w:hint="default"/>
        </w:rPr>
        <w:t>348.06%</w:t>
      </w:r>
      <w:r>
        <w:rPr/>
        <w:t>，其主要原因是：合肥研发基地基建投入 所致。</w:t>
      </w:r>
    </w:p>
    <w:p>
      <w:pPr>
        <w:pStyle w:val="BodyText"/>
        <w:spacing w:line="302" w:lineRule="auto" w:before="69"/>
        <w:ind w:right="190"/>
        <w:jc w:val="left"/>
      </w:pPr>
      <w:r>
        <w:rPr>
          <w:spacing w:val="-1"/>
        </w:rPr>
        <w:t>（</w:t>
      </w:r>
      <w:r>
        <w:rPr>
          <w:rFonts w:ascii="Times New Roman" w:hAnsi="Times New Roman" w:cs="Times New Roman" w:eastAsia="Times New Roman" w:hint="default"/>
          <w:spacing w:val="-1"/>
        </w:rPr>
        <w:t>8</w:t>
      </w:r>
      <w:r>
        <w:rPr>
          <w:spacing w:val="-1"/>
        </w:rPr>
        <w:t>）无形资产</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161,953,035.56</w:t>
      </w:r>
      <w:r>
        <w:rPr>
          <w:spacing w:val="-1"/>
        </w:rPr>
        <w:t>元，比年初数增加</w:t>
      </w:r>
      <w:r>
        <w:rPr>
          <w:rFonts w:ascii="Times New Roman" w:hAnsi="Times New Roman" w:cs="Times New Roman" w:eastAsia="Times New Roman" w:hint="default"/>
          <w:spacing w:val="-1"/>
        </w:rPr>
        <w:t>67.52%</w:t>
      </w:r>
      <w:r>
        <w:rPr>
          <w:spacing w:val="-1"/>
        </w:rPr>
        <w:t>，其主要原因是：募投项目完工结转到无形</w:t>
      </w:r>
      <w:r>
        <w:rPr>
          <w:spacing w:val="-78"/>
        </w:rPr>
        <w:t> </w:t>
      </w:r>
      <w:r>
        <w:rPr>
          <w:spacing w:val="-78"/>
        </w:rPr>
      </w:r>
      <w:r>
        <w:rPr/>
        <w:t>资产所致。</w:t>
      </w:r>
    </w:p>
    <w:p>
      <w:pPr>
        <w:pStyle w:val="BodyText"/>
        <w:spacing w:line="302" w:lineRule="auto" w:before="68"/>
        <w:ind w:left="154" w:right="90" w:hanging="1"/>
        <w:jc w:val="left"/>
      </w:pPr>
      <w:r>
        <w:rPr/>
        <w:t>（</w:t>
      </w:r>
      <w:r>
        <w:rPr>
          <w:rFonts w:ascii="Times New Roman" w:hAnsi="Times New Roman" w:cs="Times New Roman" w:eastAsia="Times New Roman" w:hint="default"/>
        </w:rPr>
        <w:t>9</w:t>
      </w:r>
      <w:r>
        <w:rPr/>
        <w:t>）短期借款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82,568,000.00</w:t>
      </w:r>
      <w:r>
        <w:rPr/>
        <w:t>元，年初数无余额，其主要原因是：本期新增非同一控制下合并子公</w:t>
      </w:r>
      <w:r>
        <w:rPr>
          <w:spacing w:val="-48"/>
        </w:rPr>
        <w:t> </w:t>
      </w:r>
      <w:r>
        <w:rPr>
          <w:spacing w:val="-48"/>
        </w:rPr>
      </w:r>
      <w:r>
        <w:rPr/>
        <w:t>司增加银行贷款及母公司为其统借统还增加银行贷款所致。</w:t>
      </w:r>
    </w:p>
    <w:p>
      <w:pPr>
        <w:pStyle w:val="BodyText"/>
        <w:spacing w:line="300" w:lineRule="auto" w:before="68"/>
        <w:ind w:left="154" w:right="90"/>
        <w:jc w:val="left"/>
      </w:pPr>
      <w:r>
        <w:rPr>
          <w:spacing w:val="-1"/>
        </w:rPr>
        <w:t>（</w:t>
      </w:r>
      <w:r>
        <w:rPr>
          <w:rFonts w:ascii="Times New Roman" w:hAnsi="Times New Roman" w:cs="Times New Roman" w:eastAsia="Times New Roman" w:hint="default"/>
          <w:spacing w:val="-1"/>
        </w:rPr>
        <w:t>10</w:t>
      </w:r>
      <w:r>
        <w:rPr>
          <w:spacing w:val="-1"/>
        </w:rPr>
        <w:t>）应付票据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37,027,782.00</w:t>
      </w:r>
      <w:r>
        <w:rPr>
          <w:spacing w:val="-1"/>
        </w:rPr>
        <w:t>元，年初数无余额，其主要原因是：公司网络产品分销业务采购应付</w:t>
      </w:r>
      <w:r>
        <w:rPr>
          <w:spacing w:val="-65"/>
        </w:rPr>
        <w:t> </w:t>
      </w:r>
      <w:r>
        <w:rPr>
          <w:spacing w:val="-65"/>
        </w:rPr>
      </w:r>
      <w:r>
        <w:rPr/>
        <w:t>票据结算增加所致。</w:t>
      </w:r>
    </w:p>
    <w:p>
      <w:pPr>
        <w:pStyle w:val="BodyText"/>
        <w:spacing w:line="300" w:lineRule="auto" w:before="31"/>
        <w:ind w:left="154" w:right="189"/>
        <w:jc w:val="left"/>
      </w:pPr>
      <w:r>
        <w:rPr>
          <w:spacing w:val="-1"/>
        </w:rPr>
        <w:t>（</w:t>
      </w:r>
      <w:r>
        <w:rPr>
          <w:rFonts w:ascii="Times New Roman" w:hAnsi="Times New Roman" w:cs="Times New Roman" w:eastAsia="Times New Roman" w:hint="default"/>
          <w:spacing w:val="-1"/>
        </w:rPr>
        <w:t>11</w:t>
      </w:r>
      <w:r>
        <w:rPr>
          <w:spacing w:val="-1"/>
        </w:rPr>
        <w:t>）应付账款</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27,115,186.57</w:t>
      </w:r>
      <w:r>
        <w:rPr>
          <w:spacing w:val="-1"/>
        </w:rPr>
        <w:t>元，比年初数增加</w:t>
      </w:r>
      <w:r>
        <w:rPr>
          <w:rFonts w:ascii="Times New Roman" w:hAnsi="Times New Roman" w:cs="Times New Roman" w:eastAsia="Times New Roman" w:hint="default"/>
          <w:spacing w:val="-1"/>
        </w:rPr>
        <w:t>43.12%</w:t>
      </w:r>
      <w:r>
        <w:rPr>
          <w:spacing w:val="-1"/>
        </w:rPr>
        <w:t>，其主要原因是：合肥研发基地基建未付款</w:t>
      </w:r>
      <w:r>
        <w:rPr>
          <w:spacing w:val="-79"/>
        </w:rPr>
        <w:t> </w:t>
      </w:r>
      <w:r>
        <w:rPr>
          <w:spacing w:val="-79"/>
        </w:rPr>
      </w:r>
      <w:r>
        <w:rPr/>
        <w:t>增加所致。</w:t>
      </w:r>
    </w:p>
    <w:p>
      <w:pPr>
        <w:pStyle w:val="BodyText"/>
        <w:spacing w:line="240" w:lineRule="auto" w:before="31"/>
        <w:ind w:left="154" w:right="0"/>
        <w:jc w:val="left"/>
      </w:pPr>
      <w:r>
        <w:rPr/>
        <w:t>（</w:t>
      </w:r>
      <w:r>
        <w:rPr>
          <w:rFonts w:ascii="Times New Roman" w:hAnsi="Times New Roman" w:cs="Times New Roman" w:eastAsia="Times New Roman" w:hint="default"/>
        </w:rPr>
        <w:t>12</w:t>
      </w:r>
      <w:r>
        <w:rPr/>
        <w:t>）预收账款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15,687,619.75</w:t>
      </w:r>
      <w:r>
        <w:rPr/>
        <w:t>元，比年初数增加</w:t>
      </w:r>
      <w:r>
        <w:rPr>
          <w:rFonts w:ascii="Times New Roman" w:hAnsi="Times New Roman" w:cs="Times New Roman" w:eastAsia="Times New Roman" w:hint="default"/>
        </w:rPr>
        <w:t>324.75%</w:t>
      </w:r>
      <w:r>
        <w:rPr/>
        <w:t>，其主要原因是：预收客户货款增加所致。</w:t>
      </w:r>
    </w:p>
    <w:p>
      <w:pPr>
        <w:pStyle w:val="BodyText"/>
        <w:spacing w:line="300" w:lineRule="auto" w:before="63"/>
        <w:ind w:left="154" w:right="240"/>
        <w:jc w:val="left"/>
      </w:pPr>
      <w:r>
        <w:rPr/>
        <w:t>（</w:t>
      </w:r>
      <w:r>
        <w:rPr>
          <w:rFonts w:ascii="Times New Roman" w:hAnsi="Times New Roman" w:cs="Times New Roman" w:eastAsia="Times New Roman" w:hint="default"/>
        </w:rPr>
        <w:t>13</w:t>
      </w:r>
      <w:r>
        <w:rPr/>
        <w:t>）应交税费</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-2,972,315.63</w:t>
      </w:r>
      <w:r>
        <w:rPr/>
        <w:t>元，比年初数减少</w:t>
      </w:r>
      <w:r>
        <w:rPr>
          <w:rFonts w:ascii="Times New Roman" w:hAnsi="Times New Roman" w:cs="Times New Roman" w:eastAsia="Times New Roman" w:hint="default"/>
        </w:rPr>
        <w:t>156.09%</w:t>
      </w:r>
      <w:r>
        <w:rPr/>
        <w:t>，其主要原因是：</w:t>
      </w:r>
      <w:r>
        <w:rPr>
          <w:rFonts w:ascii="Times New Roman" w:hAnsi="Times New Roman" w:cs="Times New Roman" w:eastAsia="Times New Roman" w:hint="default"/>
        </w:rPr>
        <w:t>2012</w:t>
      </w:r>
      <w:r>
        <w:rPr/>
        <w:t>年度享受国家规划 布局内重点软件税收优惠应交企业所得税减少所致。</w:t>
      </w:r>
    </w:p>
    <w:p>
      <w:pPr>
        <w:pStyle w:val="BodyText"/>
        <w:spacing w:line="300" w:lineRule="auto" w:before="31"/>
        <w:ind w:left="154" w:right="240"/>
        <w:jc w:val="left"/>
      </w:pPr>
      <w:r>
        <w:rPr/>
        <w:t>（</w:t>
      </w:r>
      <w:r>
        <w:rPr>
          <w:rFonts w:ascii="Times New Roman" w:hAnsi="Times New Roman" w:cs="Times New Roman" w:eastAsia="Times New Roman" w:hint="default"/>
        </w:rPr>
        <w:t>14</w:t>
      </w:r>
      <w:r>
        <w:rPr/>
        <w:t>）其他应付款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11,204,681.54</w:t>
      </w:r>
      <w:r>
        <w:rPr/>
        <w:t>元，比年初数增加</w:t>
      </w:r>
      <w:r>
        <w:rPr>
          <w:rFonts w:ascii="Times New Roman" w:hAnsi="Times New Roman" w:cs="Times New Roman" w:eastAsia="Times New Roman" w:hint="default"/>
        </w:rPr>
        <w:t>342.32%</w:t>
      </w:r>
      <w:r>
        <w:rPr/>
        <w:t>，其主要原因是：收购广州易杰</w:t>
      </w:r>
      <w:r>
        <w:rPr>
          <w:rFonts w:ascii="Times New Roman" w:hAnsi="Times New Roman" w:cs="Times New Roman" w:eastAsia="Times New Roman" w:hint="default"/>
        </w:rPr>
        <w:t>30%</w:t>
      </w:r>
      <w:r>
        <w:rPr/>
        <w:t>股 权尾款未付所致。</w:t>
      </w:r>
    </w:p>
    <w:p>
      <w:pPr>
        <w:pStyle w:val="BodyText"/>
        <w:spacing w:line="300" w:lineRule="auto" w:before="31"/>
        <w:ind w:right="211"/>
        <w:jc w:val="left"/>
      </w:pPr>
      <w:r>
        <w:rPr/>
        <w:t>（</w:t>
      </w:r>
      <w:r>
        <w:rPr>
          <w:rFonts w:ascii="Times New Roman" w:hAnsi="Times New Roman" w:cs="Times New Roman" w:eastAsia="Times New Roman" w:hint="default"/>
        </w:rPr>
        <w:t>15</w:t>
      </w:r>
      <w:r>
        <w:rPr/>
        <w:t>）其他非流动负债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10,150,000.00</w:t>
      </w:r>
      <w:r>
        <w:rPr/>
        <w:t>元，比年初数增加</w:t>
      </w:r>
      <w:r>
        <w:rPr>
          <w:rFonts w:ascii="Times New Roman" w:hAnsi="Times New Roman" w:cs="Times New Roman" w:eastAsia="Times New Roman" w:hint="default"/>
        </w:rPr>
        <w:t>181.94%</w:t>
      </w:r>
      <w:r>
        <w:rPr/>
        <w:t>，其主要原因是：收到政府专项研 发资助款增加所致。</w:t>
      </w:r>
    </w:p>
    <w:p>
      <w:pPr>
        <w:pStyle w:val="BodyText"/>
        <w:spacing w:line="240" w:lineRule="auto" w:before="31"/>
        <w:ind w:right="90"/>
        <w:jc w:val="left"/>
      </w:pPr>
      <w:r>
        <w:rPr/>
        <w:t>（</w:t>
      </w:r>
      <w:r>
        <w:rPr>
          <w:rFonts w:ascii="Times New Roman" w:hAnsi="Times New Roman" w:cs="Times New Roman" w:eastAsia="Times New Roman" w:hint="default"/>
        </w:rPr>
        <w:t>16</w:t>
      </w:r>
      <w:r>
        <w:rPr/>
        <w:t>）盈余公积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35,540,891.02</w:t>
      </w:r>
      <w:r>
        <w:rPr/>
        <w:t>元，比年初数增加</w:t>
      </w:r>
      <w:r>
        <w:rPr>
          <w:rFonts w:ascii="Times New Roman" w:hAnsi="Times New Roman" w:cs="Times New Roman" w:eastAsia="Times New Roman" w:hint="default"/>
        </w:rPr>
        <w:t>31.98%</w:t>
      </w:r>
      <w:r>
        <w:rPr/>
        <w:t>，其主要原因是：净利润增加所致。</w:t>
      </w:r>
    </w:p>
    <w:p>
      <w:pPr>
        <w:pStyle w:val="BodyText"/>
        <w:spacing w:line="309" w:lineRule="auto" w:before="63"/>
        <w:ind w:right="90"/>
        <w:jc w:val="left"/>
      </w:pPr>
      <w:r>
        <w:rPr>
          <w:spacing w:val="-2"/>
        </w:rPr>
        <w:t>（</w:t>
      </w:r>
      <w:r>
        <w:rPr>
          <w:rFonts w:ascii="Times New Roman" w:hAnsi="Times New Roman" w:cs="Times New Roman" w:eastAsia="Times New Roman" w:hint="default"/>
          <w:spacing w:val="-2"/>
        </w:rPr>
        <w:t>17</w:t>
      </w:r>
      <w:r>
        <w:rPr>
          <w:spacing w:val="-2"/>
        </w:rPr>
        <w:t>）营业收入和营业成本</w:t>
      </w:r>
      <w:r>
        <w:rPr>
          <w:rFonts w:ascii="Times New Roman" w:hAnsi="Times New Roman" w:cs="Times New Roman" w:eastAsia="Times New Roman" w:hint="default"/>
          <w:spacing w:val="-2"/>
        </w:rPr>
        <w:t>2012</w:t>
      </w:r>
      <w:r>
        <w:rPr>
          <w:spacing w:val="-2"/>
        </w:rPr>
        <w:t>年度发生数分别为</w:t>
      </w:r>
      <w:r>
        <w:rPr>
          <w:rFonts w:ascii="Times New Roman" w:hAnsi="Times New Roman" w:cs="Times New Roman" w:eastAsia="Times New Roman" w:hint="default"/>
          <w:spacing w:val="-2"/>
        </w:rPr>
        <w:t>665,088,034.69</w:t>
      </w:r>
      <w:r>
        <w:rPr>
          <w:spacing w:val="-2"/>
        </w:rPr>
        <w:t>元、</w:t>
      </w:r>
      <w:r>
        <w:rPr>
          <w:rFonts w:ascii="Times New Roman" w:hAnsi="Times New Roman" w:cs="Times New Roman" w:eastAsia="Times New Roman" w:hint="default"/>
          <w:spacing w:val="-2"/>
        </w:rPr>
        <w:t>398,363,796.47</w:t>
      </w:r>
      <w:r>
        <w:rPr>
          <w:spacing w:val="-2"/>
        </w:rPr>
        <w:t>元，比上年数分别增加</w:t>
      </w:r>
      <w:r>
        <w:rPr>
          <w:rFonts w:ascii="Times New Roman" w:hAnsi="Times New Roman" w:cs="Times New Roman" w:eastAsia="Times New Roman" w:hint="default"/>
          <w:spacing w:val="-2"/>
        </w:rPr>
        <w:t>59.32%</w:t>
      </w:r>
      <w:r>
        <w:rPr>
          <w:spacing w:val="-2"/>
        </w:rPr>
        <w:t>、</w:t>
      </w:r>
      <w:r>
        <w:rPr>
          <w:rFonts w:ascii="Times New Roman" w:hAnsi="Times New Roman" w:cs="Times New Roman" w:eastAsia="Times New Roman" w:hint="default"/>
          <w:spacing w:val="-2"/>
        </w:rPr>
        <w:t>82.54%</w:t>
      </w:r>
      <w:r>
        <w:rPr>
          <w:spacing w:val="-2"/>
        </w:rPr>
        <w:t>，</w:t>
      </w:r>
      <w:r>
        <w:rPr>
          <w:spacing w:val="-47"/>
        </w:rPr>
        <w:t> </w:t>
      </w:r>
      <w:r>
        <w:rPr>
          <w:spacing w:val="-2"/>
        </w:rPr>
        <w:t>其主要原因是：系本期应用软件收入增长、网络产品业务新领域增加致收入增加，以及新纳入合并范围子公司新增网络产品</w:t>
      </w:r>
      <w:r>
        <w:rPr>
          <w:spacing w:val="-66"/>
        </w:rPr>
        <w:t> </w:t>
      </w:r>
      <w:r>
        <w:rPr>
          <w:spacing w:val="-66"/>
        </w:rPr>
      </w:r>
      <w:r>
        <w:rPr/>
        <w:t>分销业务等综合影响，相应营业成本增加所致。</w:t>
      </w:r>
    </w:p>
    <w:p>
      <w:pPr>
        <w:pStyle w:val="BodyText"/>
        <w:spacing w:line="300" w:lineRule="auto" w:before="24"/>
        <w:ind w:right="211"/>
        <w:jc w:val="left"/>
      </w:pPr>
      <w:r>
        <w:rPr/>
        <w:t>（</w:t>
      </w:r>
      <w:r>
        <w:rPr>
          <w:rFonts w:ascii="Times New Roman" w:hAnsi="Times New Roman" w:cs="Times New Roman" w:eastAsia="Times New Roman" w:hint="default"/>
        </w:rPr>
        <w:t>18</w:t>
      </w:r>
      <w:r>
        <w:rPr/>
        <w:t>）营业税金及附加</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1,315,867.73</w:t>
      </w:r>
      <w:r>
        <w:rPr/>
        <w:t>元，比年初数减少</w:t>
      </w:r>
      <w:r>
        <w:rPr>
          <w:rFonts w:ascii="Times New Roman" w:hAnsi="Times New Roman" w:cs="Times New Roman" w:eastAsia="Times New Roman" w:hint="default"/>
        </w:rPr>
        <w:t>64.62%</w:t>
      </w:r>
      <w:r>
        <w:rPr/>
        <w:t>，其主要原因是：营改增政策执行后原享受 营业税</w:t>
      </w:r>
      <w:r>
        <w:rPr>
          <w:rFonts w:ascii="Times New Roman" w:hAnsi="Times New Roman" w:cs="Times New Roman" w:eastAsia="Times New Roman" w:hint="default"/>
        </w:rPr>
        <w:t>“</w:t>
      </w:r>
      <w:r>
        <w:rPr/>
        <w:t>先征后退</w:t>
      </w:r>
      <w:r>
        <w:rPr>
          <w:rFonts w:ascii="Times New Roman" w:hAnsi="Times New Roman" w:cs="Times New Roman" w:eastAsia="Times New Roman" w:hint="default"/>
        </w:rPr>
        <w:t>”</w:t>
      </w:r>
      <w:r>
        <w:rPr/>
        <w:t>政策的营业税计税项目对应计提的应交营业税及附加冲销所致。</w:t>
      </w:r>
    </w:p>
    <w:p>
      <w:pPr>
        <w:pStyle w:val="BodyText"/>
        <w:spacing w:line="300" w:lineRule="auto" w:before="13"/>
        <w:ind w:left="154" w:right="90"/>
        <w:jc w:val="left"/>
      </w:pPr>
      <w:r>
        <w:rPr>
          <w:spacing w:val="-3"/>
        </w:rPr>
        <w:t>（</w:t>
      </w:r>
      <w:r>
        <w:rPr>
          <w:rFonts w:ascii="Times New Roman" w:hAnsi="Times New Roman" w:cs="Times New Roman" w:eastAsia="Times New Roman" w:hint="default"/>
          <w:spacing w:val="-3"/>
        </w:rPr>
        <w:t>19</w:t>
      </w:r>
      <w:r>
        <w:rPr>
          <w:spacing w:val="-3"/>
        </w:rPr>
        <w:t>）销售费用</w:t>
      </w:r>
      <w:r>
        <w:rPr>
          <w:rFonts w:ascii="Times New Roman" w:hAnsi="Times New Roman" w:cs="Times New Roman" w:eastAsia="Times New Roman" w:hint="default"/>
          <w:spacing w:val="-3"/>
        </w:rPr>
        <w:t>2012</w:t>
      </w:r>
      <w:r>
        <w:rPr>
          <w:spacing w:val="-3"/>
        </w:rPr>
        <w:t>年度发生数为</w:t>
      </w:r>
      <w:r>
        <w:rPr>
          <w:rFonts w:ascii="Times New Roman" w:hAnsi="Times New Roman" w:cs="Times New Roman" w:eastAsia="Times New Roman" w:hint="default"/>
          <w:spacing w:val="-3"/>
        </w:rPr>
        <w:t>35,263,180.97</w:t>
      </w:r>
      <w:r>
        <w:rPr>
          <w:spacing w:val="-3"/>
        </w:rPr>
        <w:t>元，比年初数增加</w:t>
      </w:r>
      <w:r>
        <w:rPr>
          <w:rFonts w:ascii="Times New Roman" w:hAnsi="Times New Roman" w:cs="Times New Roman" w:eastAsia="Times New Roman" w:hint="default"/>
          <w:spacing w:val="-3"/>
        </w:rPr>
        <w:t>42.41%</w:t>
      </w:r>
      <w:r>
        <w:rPr>
          <w:spacing w:val="-3"/>
        </w:rPr>
        <w:t>，其主要原因是：本期加大应用软件市场开拓力度、</w:t>
      </w:r>
      <w:r>
        <w:rPr>
          <w:spacing w:val="-31"/>
        </w:rPr>
        <w:t> </w:t>
      </w:r>
      <w:r>
        <w:rPr>
          <w:spacing w:val="-31"/>
        </w:rPr>
      </w:r>
      <w:r>
        <w:rPr/>
        <w:t>开拓网络产品业务新领域，以及加大品牌建设力度，相应费用增加所致。</w:t>
      </w:r>
    </w:p>
    <w:p>
      <w:pPr>
        <w:pStyle w:val="BodyText"/>
        <w:spacing w:line="300" w:lineRule="auto" w:before="31"/>
        <w:ind w:left="154" w:right="210"/>
        <w:jc w:val="left"/>
      </w:pPr>
      <w:r>
        <w:rPr/>
        <w:t>（</w:t>
      </w:r>
      <w:r>
        <w:rPr>
          <w:rFonts w:ascii="Times New Roman" w:hAnsi="Times New Roman" w:cs="Times New Roman" w:eastAsia="Times New Roman" w:hint="default"/>
        </w:rPr>
        <w:t>20</w:t>
      </w:r>
      <w:r>
        <w:rPr/>
        <w:t>）管理费用</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122,952,416.24</w:t>
      </w:r>
      <w:r>
        <w:rPr/>
        <w:t>元，比年初数增加</w:t>
      </w:r>
      <w:r>
        <w:rPr>
          <w:rFonts w:ascii="Times New Roman" w:hAnsi="Times New Roman" w:cs="Times New Roman" w:eastAsia="Times New Roman" w:hint="default"/>
        </w:rPr>
        <w:t>37.16%</w:t>
      </w:r>
      <w:r>
        <w:rPr/>
        <w:t>，其主要原因是：本期研究费用增加和新增合并 子公司管理费用所致。</w:t>
      </w:r>
    </w:p>
    <w:p>
      <w:pPr>
        <w:pStyle w:val="BodyText"/>
        <w:spacing w:line="300" w:lineRule="auto" w:before="31"/>
        <w:ind w:left="154" w:right="233"/>
        <w:jc w:val="left"/>
      </w:pPr>
      <w:r>
        <w:rPr/>
        <w:t>（</w:t>
      </w:r>
      <w:r>
        <w:rPr>
          <w:rFonts w:ascii="Times New Roman" w:hAnsi="Times New Roman" w:cs="Times New Roman" w:eastAsia="Times New Roman" w:hint="default"/>
        </w:rPr>
        <w:t>21</w:t>
      </w:r>
      <w:r>
        <w:rPr/>
        <w:t>）财务费用</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-5,243,620.28</w:t>
      </w:r>
      <w:r>
        <w:rPr/>
        <w:t>元，比年初数增加</w:t>
      </w:r>
      <w:r>
        <w:rPr>
          <w:rFonts w:ascii="Times New Roman" w:hAnsi="Times New Roman" w:cs="Times New Roman" w:eastAsia="Times New Roman" w:hint="default"/>
        </w:rPr>
        <w:t>6,694,335.05</w:t>
      </w:r>
      <w:r>
        <w:rPr>
          <w:rFonts w:ascii="Times New Roman" w:hAnsi="Times New Roman" w:cs="Times New Roman" w:eastAsia="Times New Roman" w:hint="default"/>
          <w:spacing w:val="22"/>
        </w:rPr>
        <w:t> </w:t>
      </w:r>
      <w:r>
        <w:rPr/>
        <w:t>元，其主要原因是：本期募投资金定期存款 减少和贷款利息增加所致。</w:t>
      </w:r>
    </w:p>
    <w:p>
      <w:pPr>
        <w:pStyle w:val="BodyText"/>
        <w:spacing w:line="300" w:lineRule="auto" w:before="31"/>
        <w:ind w:right="211"/>
        <w:jc w:val="left"/>
      </w:pPr>
      <w:r>
        <w:rPr/>
        <w:t>（</w:t>
      </w:r>
      <w:r>
        <w:rPr>
          <w:rFonts w:ascii="Times New Roman" w:hAnsi="Times New Roman" w:cs="Times New Roman" w:eastAsia="Times New Roman" w:hint="default"/>
        </w:rPr>
        <w:t>22</w:t>
      </w:r>
      <w:r>
        <w:rPr/>
        <w:t>）资产减值损失</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3,321,723.13</w:t>
      </w:r>
      <w:r>
        <w:rPr/>
        <w:t>元，比年初数减少</w:t>
      </w:r>
      <w:r>
        <w:rPr>
          <w:rFonts w:ascii="Times New Roman" w:hAnsi="Times New Roman" w:cs="Times New Roman" w:eastAsia="Times New Roman" w:hint="default"/>
        </w:rPr>
        <w:t>39.46%</w:t>
      </w:r>
      <w:r>
        <w:rPr/>
        <w:t>，其主要原因是：应收账款较期初增加，但账 龄结构变化不大，计提坏账准备增量减少所致。</w:t>
      </w:r>
    </w:p>
    <w:p>
      <w:pPr>
        <w:pStyle w:val="BodyText"/>
        <w:spacing w:line="300" w:lineRule="auto" w:before="31"/>
        <w:ind w:right="90"/>
        <w:jc w:val="left"/>
      </w:pPr>
      <w:r>
        <w:rPr>
          <w:spacing w:val="-1"/>
        </w:rPr>
        <w:t>（</w:t>
      </w:r>
      <w:r>
        <w:rPr>
          <w:rFonts w:ascii="Times New Roman" w:hAnsi="Times New Roman" w:cs="Times New Roman" w:eastAsia="Times New Roman" w:hint="default"/>
          <w:spacing w:val="-1"/>
        </w:rPr>
        <w:t>22</w:t>
      </w:r>
      <w:r>
        <w:rPr>
          <w:spacing w:val="-1"/>
        </w:rPr>
        <w:t>）投资收益</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407,765.90</w:t>
      </w:r>
      <w:r>
        <w:rPr>
          <w:spacing w:val="-1"/>
        </w:rPr>
        <w:t>元，比年初数减少</w:t>
      </w:r>
      <w:r>
        <w:rPr>
          <w:rFonts w:ascii="Times New Roman" w:hAnsi="Times New Roman" w:cs="Times New Roman" w:eastAsia="Times New Roman" w:hint="default"/>
          <w:spacing w:val="-1"/>
        </w:rPr>
        <w:t>80.22%</w:t>
      </w:r>
      <w:r>
        <w:rPr>
          <w:spacing w:val="-1"/>
        </w:rPr>
        <w:t>，其主要原因是：新增纳入合并范围的子公司原权益</w:t>
      </w:r>
      <w:r>
        <w:rPr>
          <w:spacing w:val="-35"/>
        </w:rPr>
        <w:t> </w:t>
      </w:r>
      <w:r>
        <w:rPr>
          <w:spacing w:val="-35"/>
        </w:rPr>
      </w:r>
      <w:r>
        <w:rPr/>
        <w:t>法转换成本法核算导致本期权益法核算的投资收益减少。</w:t>
      </w:r>
    </w:p>
    <w:p>
      <w:pPr>
        <w:pStyle w:val="BodyText"/>
        <w:spacing w:line="300" w:lineRule="auto" w:before="31"/>
        <w:ind w:right="211"/>
        <w:jc w:val="left"/>
      </w:pPr>
      <w:r>
        <w:rPr/>
        <w:t>（</w:t>
      </w:r>
      <w:r>
        <w:rPr>
          <w:rFonts w:ascii="Times New Roman" w:hAnsi="Times New Roman" w:cs="Times New Roman" w:eastAsia="Times New Roman" w:hint="default"/>
        </w:rPr>
        <w:t>23</w:t>
      </w:r>
      <w:r>
        <w:rPr/>
        <w:t>）营业外收入</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3,397,755.91</w:t>
      </w:r>
      <w:r>
        <w:rPr/>
        <w:t>元，比年初数减少</w:t>
      </w:r>
      <w:r>
        <w:rPr>
          <w:rFonts w:ascii="Times New Roman" w:hAnsi="Times New Roman" w:cs="Times New Roman" w:eastAsia="Times New Roman" w:hint="default"/>
        </w:rPr>
        <w:t>70.73%</w:t>
      </w:r>
      <w:r>
        <w:rPr/>
        <w:t>，其主要原因是：系本期较上期验收的递延收益 项目减少所致。</w:t>
      </w:r>
    </w:p>
    <w:p>
      <w:pPr>
        <w:pStyle w:val="BodyText"/>
        <w:spacing w:line="240" w:lineRule="auto" w:before="31"/>
        <w:ind w:left="154" w:right="90"/>
        <w:jc w:val="left"/>
      </w:pPr>
      <w:r>
        <w:rPr/>
        <w:t>（</w:t>
      </w:r>
      <w:r>
        <w:rPr>
          <w:rFonts w:ascii="Times New Roman" w:hAnsi="Times New Roman" w:cs="Times New Roman" w:eastAsia="Times New Roman" w:hint="default"/>
        </w:rPr>
        <w:t>24</w:t>
      </w:r>
      <w:r>
        <w:rPr/>
        <w:t>）营业外支出</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406,249.08</w:t>
      </w:r>
      <w:r>
        <w:rPr/>
        <w:t>元，比年初数增加</w:t>
      </w:r>
      <w:r>
        <w:rPr>
          <w:rFonts w:ascii="Times New Roman" w:hAnsi="Times New Roman" w:cs="Times New Roman" w:eastAsia="Times New Roman" w:hint="default"/>
        </w:rPr>
        <w:t>63.35%</w:t>
      </w:r>
      <w:r>
        <w:rPr/>
        <w:t>，其主要原因是：系固定资产报废损失增加所致。</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ind w:right="141"/>
        <w:jc w:val="left"/>
      </w:pPr>
      <w:r>
        <w:rPr/>
        <w:t>（</w:t>
      </w:r>
      <w:r>
        <w:rPr>
          <w:rFonts w:ascii="Times New Roman" w:hAnsi="Times New Roman" w:cs="Times New Roman" w:eastAsia="Times New Roman" w:hint="default"/>
        </w:rPr>
        <w:t>25</w:t>
      </w:r>
      <w:r>
        <w:rPr/>
        <w:t>）经营活动产生的现金流量净额</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24,220,064.50</w:t>
      </w:r>
      <w:r>
        <w:rPr/>
        <w:t>元，比年初数增加</w:t>
      </w:r>
      <w:r>
        <w:rPr>
          <w:rFonts w:ascii="Times New Roman" w:hAnsi="Times New Roman" w:cs="Times New Roman" w:eastAsia="Times New Roman" w:hint="default"/>
        </w:rPr>
        <w:t>54,291,572.97</w:t>
      </w:r>
      <w:r>
        <w:rPr/>
        <w:t>元，其主要原因是：本 期销售回款较上期增加和系统集成业务下降致支付现金流相对减少综合影响所致。</w:t>
      </w:r>
    </w:p>
    <w:p>
      <w:pPr>
        <w:pStyle w:val="BodyText"/>
        <w:spacing w:line="300" w:lineRule="auto" w:before="31"/>
        <w:ind w:right="171"/>
        <w:jc w:val="left"/>
      </w:pPr>
      <w:r>
        <w:rPr/>
        <w:t>（</w:t>
      </w:r>
      <w:r>
        <w:rPr>
          <w:rFonts w:ascii="Times New Roman" w:hAnsi="Times New Roman" w:cs="Times New Roman" w:eastAsia="Times New Roman" w:hint="default"/>
        </w:rPr>
        <w:t>26</w:t>
      </w:r>
      <w:r>
        <w:rPr/>
        <w:t>）投资活动产生的现金流量净额</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-229,662,312.77</w:t>
      </w:r>
      <w:r>
        <w:rPr/>
        <w:t>元，比年初数减少</w:t>
      </w:r>
      <w:r>
        <w:rPr>
          <w:rFonts w:ascii="Times New Roman" w:hAnsi="Times New Roman" w:cs="Times New Roman" w:eastAsia="Times New Roman" w:hint="default"/>
        </w:rPr>
        <w:t>62,918,757.67</w:t>
      </w:r>
      <w:r>
        <w:rPr/>
        <w:t>元，其主要原因是： 购建合肥研发基地、无形资产增加以及股权投资增加所致。</w:t>
      </w:r>
    </w:p>
    <w:p>
      <w:pPr>
        <w:pStyle w:val="BodyText"/>
        <w:spacing w:line="300" w:lineRule="auto" w:before="31"/>
        <w:ind w:right="171"/>
        <w:jc w:val="left"/>
      </w:pPr>
      <w:r>
        <w:rPr/>
        <w:t>（</w:t>
      </w:r>
      <w:r>
        <w:rPr>
          <w:rFonts w:ascii="Times New Roman" w:hAnsi="Times New Roman" w:cs="Times New Roman" w:eastAsia="Times New Roman" w:hint="default"/>
        </w:rPr>
        <w:t>27</w:t>
      </w:r>
      <w:r>
        <w:rPr/>
        <w:t>）筹资活动产生的现金流量净额</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-4,891,421.46</w:t>
      </w:r>
      <w:r>
        <w:rPr/>
        <w:t>元，比年初数增加</w:t>
      </w:r>
      <w:r>
        <w:rPr>
          <w:rFonts w:ascii="Times New Roman" w:hAnsi="Times New Roman" w:cs="Times New Roman" w:eastAsia="Times New Roman" w:hint="default"/>
        </w:rPr>
        <w:t>23,744,017.74</w:t>
      </w:r>
      <w:r>
        <w:rPr/>
        <w:t>元，其主要原因是：本 期新增短期借款所致。</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060"/>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6"/>
        <w:rPr>
          <w:rFonts w:ascii="宋体" w:hAnsi="宋体" w:cs="宋体" w:eastAsia="宋体" w:hint="default"/>
          <w:b/>
          <w:bCs/>
          <w:sz w:val="42"/>
          <w:szCs w:val="42"/>
        </w:rPr>
      </w:pPr>
    </w:p>
    <w:p>
      <w:pPr>
        <w:pStyle w:val="BodyText"/>
        <w:spacing w:line="316" w:lineRule="auto" w:before="0"/>
        <w:ind w:right="2571"/>
        <w:jc w:val="left"/>
      </w:pPr>
      <w:r>
        <w:rPr/>
        <w:t>一、载有公司法定代表人、主管会计工作负责人、会计机构负责人签名并盖章的财务报表。 二、载有会计师事务所盖章、注册会计师签名并盖章的审计报告原件。 三、报告期内在中国证监会指定网站、报纸上公开披露过的所有公司文件。 四、经公司法定代表人签名的</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年年度报告文本原件。</w:t>
      </w:r>
    </w:p>
    <w:p>
      <w:pPr>
        <w:pStyle w:val="BodyText"/>
        <w:spacing w:line="316" w:lineRule="auto" w:before="0"/>
        <w:ind w:left="154" w:right="5990"/>
        <w:jc w:val="left"/>
      </w:pPr>
      <w:r>
        <w:rPr/>
        <w:t>五、其他相关资料。 以上备查文件的备置地点：公司董事会办公室。</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5213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521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520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520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15204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520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519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519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1152160" type="#_x0000_t202" filled="false" stroked="false">
          <v:textbox inset="0,0,0,0">
            <w:txbxContent>
              <w:p>
                <w:pPr>
                  <w:pStyle w:val="BodyText"/>
                  <w:spacing w:line="214" w:lineRule="exact" w:before="0"/>
                  <w:ind w:left="20" w:right="0"/>
                  <w:jc w:val="left"/>
                </w:pPr>
                <w:r>
                  <w:rPr/>
                  <w:t>深圳天源迪科信息技术股份有限公司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spacing w:before="44"/>
      <w:ind w:left="153"/>
    </w:pPr>
    <w:rPr>
      <w:rFonts w:ascii="宋体" w:hAnsi="宋体" w:eastAsia="宋体"/>
      <w:sz w:val="18"/>
      <w:szCs w:val="18"/>
    </w:rPr>
  </w:style>
  <w:style w:styleId="Heading1" w:type="paragraph">
    <w:name w:val="Heading 1"/>
    <w:basedOn w:val="Normal"/>
    <w:uiPriority w:val="1"/>
    <w:qFormat/>
    <w:pPr>
      <w:spacing w:before="1"/>
      <w:ind w:left="206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i/>
      <w:sz w:val="25"/>
      <w:szCs w:val="25"/>
    </w:rPr>
  </w:style>
  <w:style w:styleId="Heading3" w:type="paragraph">
    <w:name w:val="Heading 3"/>
    <w:basedOn w:val="Normal"/>
    <w:uiPriority w:val="1"/>
    <w:qFormat/>
    <w:pPr>
      <w:spacing w:before="26"/>
      <w:ind w:left="154"/>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sz w:val="24"/>
      <w:szCs w:val="24"/>
    </w:rPr>
  </w:style>
  <w:style w:styleId="Heading5" w:type="paragraph">
    <w:name w:val="Heading 5"/>
    <w:basedOn w:val="Normal"/>
    <w:uiPriority w:val="1"/>
    <w:qFormat/>
    <w:pPr>
      <w:ind w:left="154"/>
      <w:outlineLvl w:val="5"/>
    </w:pPr>
    <w:rPr>
      <w:rFonts w:ascii="宋体" w:hAnsi="宋体" w:eastAsia="宋体"/>
      <w:b/>
      <w:bCs/>
      <w:sz w:val="21"/>
      <w:szCs w:val="21"/>
    </w:rPr>
  </w:style>
  <w:style w:styleId="Heading6" w:type="paragraph">
    <w:name w:val="Heading 6"/>
    <w:basedOn w:val="Normal"/>
    <w:uiPriority w:val="1"/>
    <w:qFormat/>
    <w:pPr>
      <w:ind w:left="153"/>
      <w:outlineLvl w:val="6"/>
    </w:pPr>
    <w:rPr>
      <w:rFonts w:ascii="宋体" w:hAnsi="宋体" w:eastAsia="宋体"/>
      <w:sz w:val="21"/>
      <w:szCs w:val="21"/>
    </w:rPr>
  </w:style>
  <w:style w:styleId="Heading7" w:type="paragraph">
    <w:name w:val="Heading 7"/>
    <w:basedOn w:val="Normal"/>
    <w:uiPriority w:val="1"/>
    <w:qFormat/>
    <w:pPr>
      <w:ind w:left="153"/>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tydic.com/" TargetMode="External"/><Relationship Id="rId10" Type="http://schemas.openxmlformats.org/officeDocument/2006/relationships/hyperlink" Target="mailto:v-mailbox@tydic.com" TargetMode="External"/><Relationship Id="rId11" Type="http://schemas.openxmlformats.org/officeDocument/2006/relationships/hyperlink" Target="mailto:zhengyu1@tydic.com" TargetMode="External"/><Relationship Id="rId12" Type="http://schemas.openxmlformats.org/officeDocument/2006/relationships/hyperlink" Target="http://www.cninfo.com.cn/" TargetMode="External"/><Relationship Id="rId13" Type="http://schemas.openxmlformats.org/officeDocument/2006/relationships/hyperlink" Target="http://www.cs.com.cn/" TargetMode="External"/><Relationship Id="rId14" Type="http://schemas.openxmlformats.org/officeDocument/2006/relationships/hyperlink" Target="http://www.cnstock.com/" TargetMode="External"/><Relationship Id="rId15" Type="http://schemas.openxmlformats.org/officeDocument/2006/relationships/hyperlink" Target="http://www.secutimes.com/" TargetMode="External"/><Relationship Id="rId16" Type="http://schemas.openxmlformats.org/officeDocument/2006/relationships/hyperlink" Target="http://www.ccstock.cn/" TargetMode="Externa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liudaimin</dc:creator>
  <dc:title>Microsoft Word - AR2012300047b定期报告全文_Word中文版_</dc:title>
  <dcterms:created xsi:type="dcterms:W3CDTF">2020-05-04T01:40:10Z</dcterms:created>
  <dcterms:modified xsi:type="dcterms:W3CDTF">2020-05-04T01:40:10Z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PScript5.dll Version 5.2.2</vt:lpwstr>
  </property>
  <property fmtid="{D5CDD505-2E9C-101B-9397-08002B2CF9AE}" pid="4" name="LastSaved">
    <vt:filetime>2020-05-03T00:00:00Z</vt:filetime>
  </property>
</Properties>
</file>