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9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1" cy="1390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91" cy="139065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061" w:right="2061" w:firstLine="0"/>
        <w:jc w:val="center"/>
        <w:rPr>
          <w:rFonts w:ascii="宋体" w:hAnsi="宋体" w:cs="宋体" w:eastAsia="宋体" w:hint="default"/>
          <w:sz w:val="36"/>
          <w:szCs w:val="36"/>
        </w:rPr>
      </w:pPr>
      <w:r>
        <w:rPr>
          <w:rFonts w:ascii="宋体" w:hAnsi="宋体" w:cs="宋体" w:eastAsia="宋体" w:hint="default"/>
          <w:b/>
          <w:bCs/>
          <w:sz w:val="36"/>
          <w:szCs w:val="36"/>
        </w:rPr>
        <w:t>深圳天源迪科信息技术股份有限公司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061" w:right="2060" w:firstLine="0"/>
        <w:jc w:val="center"/>
        <w:rPr>
          <w:rFonts w:ascii="Times New Roman" w:hAnsi="Times New Roman" w:cs="Times New Roman" w:eastAsia="Times New Roman" w:hint="default"/>
          <w:sz w:val="22"/>
          <w:szCs w:val="22"/>
        </w:rPr>
      </w:pPr>
      <w:r>
        <w:rPr>
          <w:rFonts w:ascii="Times New Roman"/>
          <w:b/>
          <w:sz w:val="22"/>
        </w:rPr>
        <w:t>2015-12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061"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公司负责人陈友、主管会计工作负责人邹立文及会计机构负责人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钱文胜声明：保证年度报告中财务报告的真实、准确、完整。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1" w:right="20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9"/>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9"/>
              </w:rPr>
              <w:t> </w:t>
            </w:r>
            <w:r>
              <w:rPr/>
              <w:t>会计数据和财务指标摘要</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9"/>
              </w:rPr>
              <w:t> </w:t>
            </w:r>
            <w:r>
              <w:rPr/>
              <w:t>董事会报告</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9"/>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r>
            <w:r>
              <w:rPr>
                <w:spacing w:val="-19"/>
              </w:rPr>
              <w:t> </w:t>
            </w:r>
            <w:r>
              <w:rPr/>
              <w:t>股份变动及股东情况</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第七节</w:t>
            </w:r>
            <w:r>
              <w:rPr>
                <w:spacing w:val="-19"/>
              </w:rPr>
              <w:t> </w:t>
            </w:r>
            <w:r>
              <w:rPr/>
              <w:t>董事、监事、高级管理人员和员工情况</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9"/>
              </w:rPr>
              <w:t> </w:t>
            </w:r>
            <w:r>
              <w:rPr/>
              <w:t>公司治理</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w:t>
            </w:r>
            <w:r>
              <w:rPr>
                <w:spacing w:val="-19"/>
              </w:rPr>
              <w:t> </w:t>
            </w:r>
            <w:r>
              <w:rPr/>
              <w:t>财务报告</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9"/>
              </w:rPr>
              <w:t> </w:t>
            </w:r>
            <w:r>
              <w:rPr/>
              <w:t>备查文件目录</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980"/>
        </w:sectPr>
      </w:pPr>
    </w:p>
    <w:p>
      <w:pPr>
        <w:spacing w:before="946"/>
        <w:ind w:left="2061" w:right="20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上海天缘迪柯信息技术有限公司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深圳前海吉源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深圳前海吉源供应链有限公司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深圳汇巨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金华威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基于互联网的相关服务的增加、使用和交付模式，通常涉及通过互联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网来提供动态易扩展且经常是虚拟化的资源</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CRM</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即客户关系管理，是指通过对客户详细资料的深入分析，来提高客户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满意程度，从而提高企业的竞争力的一种手段</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CBSS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集中业务支撑系统系统</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VDS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虚拟数据源</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IOE</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95"/>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建设过程中，去除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IBM </w:t>
            </w:r>
            <w:r>
              <w:rPr>
                <w:rFonts w:ascii="宋体" w:hAnsi="宋体" w:cs="宋体" w:eastAsia="宋体" w:hint="default"/>
                <w:sz w:val="18"/>
                <w:szCs w:val="18"/>
              </w:rPr>
              <w:t>小型机、</w:t>
            </w:r>
            <w:r>
              <w:rPr>
                <w:rFonts w:ascii="Times New Roman" w:hAnsi="Times New Roman" w:cs="Times New Roman" w:eastAsia="Times New Roman" w:hint="default"/>
                <w:sz w:val="18"/>
                <w:szCs w:val="18"/>
              </w:rPr>
              <w:t>Oracle </w:t>
            </w:r>
            <w:r>
              <w:rPr>
                <w:rFonts w:ascii="宋体" w:hAnsi="宋体" w:cs="宋体" w:eastAsia="宋体" w:hint="default"/>
                <w:sz w:val="18"/>
                <w:szCs w:val="18"/>
              </w:rPr>
              <w:t>数据库及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存储设 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LTEFDD</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LTE/</w:t>
            </w:r>
            <w:r>
              <w:rPr>
                <w:rFonts w:ascii="宋体" w:hAnsi="宋体" w:cs="宋体" w:eastAsia="宋体" w:hint="default"/>
                <w:sz w:val="18"/>
                <w:szCs w:val="18"/>
              </w:rPr>
              <w:t>第四代数字蜂窝移动通信业务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即海量数据，是指需要新处理模式才能具有更强的决策力、洞察发现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力和流程优化能力的海量、高增长率和多样化的信息资产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第四代移动通信技术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深圳天源迪科信息技术股份有限公司监事会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深圳天源迪科信息技术股份有限公司董事会审计委员会、深圳天源迪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科信息技术股份有限公司董事会提名委员会、深圳天源迪科信息技术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股份有限公司董事会薪酬与考核委员会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中国证券监督管理委员会深圳证券监管局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300047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8"/>
                <w:sz w:val="18"/>
              </w:rPr>
              <w:t> </w:t>
            </w:r>
            <w:r>
              <w:rPr>
                <w:rFonts w:ascii="Times New Roman"/>
                <w:sz w:val="18"/>
              </w:rPr>
              <w:t>TIANYUAN</w:t>
            </w:r>
            <w:r>
              <w:rPr>
                <w:rFonts w:ascii="Times New Roman"/>
                <w:spacing w:val="-5"/>
                <w:sz w:val="18"/>
              </w:rPr>
              <w:t> </w:t>
            </w:r>
            <w:r>
              <w:rPr>
                <w:rFonts w:ascii="Times New Roman"/>
                <w:sz w:val="18"/>
              </w:rPr>
              <w:t>DIC</w:t>
            </w:r>
            <w:r>
              <w:rPr>
                <w:rFonts w:ascii="Times New Roman"/>
                <w:spacing w:val="-5"/>
                <w:sz w:val="18"/>
              </w:rPr>
              <w:t> </w:t>
            </w:r>
            <w:r>
              <w:rPr>
                <w:rFonts w:ascii="Times New Roman"/>
                <w:sz w:val="18"/>
              </w:rPr>
              <w:t>INFORMATION</w:t>
            </w:r>
            <w:r>
              <w:rPr>
                <w:rFonts w:ascii="Times New Roman"/>
                <w:spacing w:val="-8"/>
                <w:sz w:val="18"/>
              </w:rPr>
              <w:t> </w:t>
            </w:r>
            <w:r>
              <w:rPr>
                <w:rFonts w:ascii="Times New Roman"/>
                <w:sz w:val="18"/>
              </w:rPr>
              <w:t>TECHNOLOGY</w:t>
            </w:r>
            <w:r>
              <w:rPr>
                <w:rFonts w:ascii="Times New Roman"/>
                <w:spacing w:val="-12"/>
                <w:sz w:val="18"/>
              </w:rPr>
              <w:t> </w:t>
            </w:r>
            <w:r>
              <w:rPr>
                <w:rFonts w:ascii="Times New Roman"/>
                <w:spacing w:val="-3"/>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TYDIC</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陈友</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http://www.tydic.com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郑宇、谢维</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深圳市高新区南区市高新技术工业村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0755-26745678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z w:val="18"/>
                  <w:szCs w:val="18"/>
                </w:rPr>
                <w:t>zhen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1"/>
                  <w:sz w:val="18"/>
                  <w:szCs w:val="18"/>
                </w:rPr>
                <w:t>y</w:t>
              </w:r>
              <w:r>
                <w:rPr>
                  <w:rFonts w:ascii="Times New Roman" w:hAnsi="Times New Roman" w:cs="Times New Roman" w:eastAsia="Times New Roman" w:hint="default"/>
                  <w:sz w:val="18"/>
                  <w:szCs w:val="18"/>
                </w:rPr>
                <w:t>u1@</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1"/>
                  <w:sz w:val="18"/>
                  <w:szCs w:val="18"/>
                </w:rPr>
                <w:t>y</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ic</w:t>
              </w:r>
              <w:r>
                <w:rPr>
                  <w:rFonts w:ascii="Times New Roman" w:hAnsi="Times New Roman" w:cs="Times New Roman" w:eastAsia="Times New Roman" w:hint="default"/>
                  <w:sz w:val="18"/>
                  <w:szCs w:val="18"/>
                </w:rPr>
                <w:t>.com</w:t>
              </w:r>
            </w:hyperlink>
            <w:r>
              <w:rPr>
                <w:rFonts w:ascii="宋体" w:hAnsi="宋体" w:cs="宋体" w:eastAsia="宋体" w:hint="default"/>
                <w:spacing w:val="-77"/>
                <w:sz w:val="18"/>
                <w:szCs w:val="18"/>
              </w:rPr>
              <w:t>、</w:t>
            </w:r>
            <w:hyperlink r:id="rId12">
              <w:r>
                <w:rPr>
                  <w:rFonts w:ascii="Times New Roman" w:hAnsi="Times New Roman" w:cs="Times New Roman" w:eastAsia="Times New Roman" w:hint="default"/>
                  <w:sz w:val="18"/>
                  <w:szCs w:val="18"/>
                </w:rPr>
                <w:t>xiewei1</w:t>
              </w:r>
              <w:r>
                <w:rPr>
                  <w:rFonts w:ascii="Times New Roman" w:hAnsi="Times New Roman" w:cs="Times New Roman" w:eastAsia="Times New Roman" w:hint="default"/>
                  <w:spacing w:val="-1"/>
                  <w:sz w:val="18"/>
                  <w:szCs w:val="18"/>
                </w:rPr>
                <w:t>@t</w:t>
              </w:r>
              <w:r>
                <w:rPr>
                  <w:rFonts w:ascii="Times New Roman" w:hAnsi="Times New Roman" w:cs="Times New Roman" w:eastAsia="Times New Roman" w:hint="default"/>
                  <w:spacing w:val="2"/>
                  <w:sz w:val="18"/>
                  <w:szCs w:val="18"/>
                </w:rPr>
                <w:t>y</w:t>
              </w:r>
              <w:r>
                <w:rPr>
                  <w:rFonts w:ascii="Times New Roman" w:hAnsi="Times New Roman" w:cs="Times New Roman" w:eastAsia="Times New Roman" w:hint="default"/>
                  <w:spacing w:val="-2"/>
                  <w:sz w:val="18"/>
                  <w:szCs w:val="18"/>
                </w:rPr>
                <w:t>d</w:t>
              </w:r>
              <w:r>
                <w:rPr>
                  <w:rFonts w:ascii="Times New Roman" w:hAnsi="Times New Roman" w:cs="Times New Roman" w:eastAsia="Times New Roman" w:hint="default"/>
                  <w:sz w:val="18"/>
                  <w:szCs w:val="18"/>
                </w:rPr>
                <w:t>ic.com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1026"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巨潮资讯网，网址</w:t>
            </w:r>
            <w:r>
              <w:rPr>
                <w:rFonts w:ascii="宋体" w:hAnsi="宋体" w:cs="宋体" w:eastAsia="宋体" w:hint="default"/>
                <w:spacing w:val="-58"/>
                <w:sz w:val="18"/>
                <w:szCs w:val="18"/>
              </w:rPr>
              <w:t>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；中证网，网址</w:t>
            </w:r>
            <w:r>
              <w:rPr>
                <w:rFonts w:ascii="宋体" w:hAnsi="宋体" w:cs="宋体" w:eastAsia="宋体" w:hint="default"/>
                <w:spacing w:val="-58"/>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 中国证券网，网址</w:t>
            </w:r>
            <w:r>
              <w:rPr>
                <w:rFonts w:ascii="宋体" w:hAnsi="宋体" w:cs="宋体" w:eastAsia="宋体" w:hint="default"/>
                <w:spacing w:val="-47"/>
                <w:sz w:val="18"/>
                <w:szCs w:val="18"/>
              </w:rPr>
              <w:t> </w:t>
            </w:r>
            <w:hyperlink r:id="rId15">
              <w:r>
                <w:rPr>
                  <w:rFonts w:ascii="Times New Roman" w:hAnsi="Times New Roman" w:cs="Times New Roman" w:eastAsia="Times New Roman" w:hint="default"/>
                  <w:sz w:val="18"/>
                  <w:szCs w:val="18"/>
                </w:rPr>
                <w:t>www.cnstock.com</w:t>
              </w:r>
            </w:hyperlink>
            <w:r>
              <w:rPr>
                <w:rFonts w:ascii="宋体" w:hAnsi="宋体" w:cs="宋体" w:eastAsia="宋体" w:hint="default"/>
                <w:sz w:val="18"/>
                <w:szCs w:val="18"/>
              </w:rPr>
              <w:t>；证券时报网，网址 </w:t>
            </w:r>
            <w:hyperlink r:id="rId16">
              <w:r>
                <w:rPr>
                  <w:rFonts w:ascii="Times New Roman" w:hAnsi="Times New Roman" w:cs="Times New Roman" w:eastAsia="Times New Roman" w:hint="default"/>
                  <w:spacing w:val="-1"/>
                  <w:sz w:val="18"/>
                  <w:szCs w:val="18"/>
                </w:rPr>
                <w:t>www.secutimes.com</w:t>
              </w:r>
            </w:hyperlink>
            <w:r>
              <w:rPr>
                <w:rFonts w:ascii="宋体" w:hAnsi="宋体" w:cs="宋体" w:eastAsia="宋体" w:hint="default"/>
                <w:spacing w:val="-1"/>
                <w:sz w:val="18"/>
                <w:szCs w:val="18"/>
              </w:rPr>
              <w:t>；中国资本证券网，网址</w:t>
            </w:r>
            <w:r>
              <w:rPr>
                <w:rFonts w:ascii="宋体" w:hAnsi="宋体" w:cs="宋体" w:eastAsia="宋体" w:hint="default"/>
                <w:spacing w:val="-34"/>
                <w:sz w:val="18"/>
                <w:szCs w:val="18"/>
              </w:rPr>
              <w:t> </w:t>
            </w:r>
            <w:hyperlink r:id="rId17">
              <w:r>
                <w:rPr>
                  <w:rFonts w:ascii="Times New Roman" w:hAnsi="Times New Roman" w:cs="Times New Roman" w:eastAsia="Times New Roman" w:hint="default"/>
                  <w:spacing w:val="-1"/>
                  <w:sz w:val="18"/>
                  <w:szCs w:val="18"/>
                </w:rPr>
                <w:t>www.ccstock.cn</w:t>
              </w:r>
            </w:hyperlink>
            <w:r>
              <w:rPr>
                <w:rFonts w:ascii="宋体" w:hAnsi="宋体" w:cs="宋体" w:eastAsia="宋体" w:hint="default"/>
                <w:spacing w:val="-1"/>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332" w:hRule="exact"/>
        </w:trPr>
        <w:tc>
          <w:tcPr>
            <w:tcW w:w="3861" w:type="dxa"/>
            <w:tcBorders>
              <w:top w:val="nil" w:sz="6" w:space="0" w:color="auto"/>
              <w:left w:val="nil" w:sz="6" w:space="0" w:color="auto"/>
              <w:bottom w:val="single" w:sz="4" w:space="0" w:color="000000"/>
              <w:right w:val="nil" w:sz="6" w:space="0" w:color="auto"/>
            </w:tcBorders>
          </w:tcPr>
          <w:p>
            <w:pPr/>
          </w:p>
        </w:tc>
        <w:tc>
          <w:tcPr>
            <w:tcW w:w="570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55.200001pt;margin-top:-48.824402pt;width:485pt;height:.1pt;mso-position-horizontal-relative:page;mso-position-vertical-relative:paragraph;z-index:-1020952" coordorigin="1104,-976" coordsize="9700,2">
            <v:shape style="position:absolute;left:1104;top:-976;width:9700;height:2" coordorigin="1104,-976" coordsize="9700,0" path="m1104,-976l10804,-976e" filled="false" stroked="true" strokeweight=".72pt" strokecolor="#000000">
              <v:path arrowok="t"/>
            </v:shape>
            <w10:wrap type="none"/>
          </v:group>
        </w:pict>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22"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深圳市工商局</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工商外企合粤深字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440301618856433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首次公开发行人民 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股，注册资本从 </w:t>
            </w:r>
            <w:r>
              <w:rPr>
                <w:rFonts w:ascii="Times New Roman" w:hAnsi="Times New Roman" w:cs="Times New Roman" w:eastAsia="Times New Roman" w:hint="default"/>
                <w:sz w:val="18"/>
                <w:szCs w:val="18"/>
              </w:rPr>
              <w:t>7,760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万元增加到</w:t>
            </w:r>
          </w:p>
          <w:p>
            <w:pPr>
              <w:pStyle w:val="TableParagraph"/>
              <w:spacing w:line="240" w:lineRule="auto" w:before="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10,460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增加经营范围</w:t>
            </w:r>
            <w:r>
              <w:rPr>
                <w:rFonts w:ascii="Times New Roman" w:hAnsi="Times New Roman" w:cs="Times New Roman" w:eastAsia="Times New Roman" w:hint="default"/>
                <w:sz w:val="18"/>
                <w:szCs w:val="18"/>
              </w:rPr>
              <w:t>“</w:t>
            </w:r>
            <w:r>
              <w:rPr>
                <w:rFonts w:ascii="宋体" w:hAnsi="宋体" w:cs="宋体" w:eastAsia="宋体" w:hint="default"/>
                <w:sz w:val="18"/>
                <w:szCs w:val="18"/>
              </w:rPr>
              <w:t>信息 系统咨询和技术服 务</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培训服务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2274" w:hRule="exact"/>
        </w:trPr>
        <w:tc>
          <w:tcPr>
            <w:tcW w:w="1596"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2"/>
              <w:ind w:left="22" w:right="15"/>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年利 </w:t>
            </w:r>
            <w:r>
              <w:rPr>
                <w:rFonts w:ascii="宋体" w:hAnsi="宋体" w:cs="宋体" w:eastAsia="宋体" w:hint="default"/>
                <w:spacing w:val="-9"/>
                <w:sz w:val="18"/>
                <w:szCs w:val="18"/>
              </w:rPr>
              <w:t>润分配方案，公司总</w:t>
            </w:r>
            <w:r>
              <w:rPr>
                <w:rFonts w:ascii="宋体" w:hAnsi="宋体" w:cs="宋体" w:eastAsia="宋体" w:hint="default"/>
                <w:sz w:val="18"/>
                <w:szCs w:val="18"/>
              </w:rPr>
              <w:t> 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309" w:lineRule="auto" w:before="5"/>
              <w:ind w:left="22" w:right="-40"/>
              <w:jc w:val="left"/>
              <w:rPr>
                <w:rFonts w:ascii="宋体" w:hAnsi="宋体" w:cs="宋体" w:eastAsia="宋体" w:hint="default"/>
                <w:sz w:val="18"/>
                <w:szCs w:val="18"/>
              </w:rPr>
            </w:pPr>
            <w:r>
              <w:rPr>
                <w:rFonts w:ascii="宋体" w:hAnsi="宋体" w:cs="宋体" w:eastAsia="宋体" w:hint="default"/>
                <w:sz w:val="18"/>
                <w:szCs w:val="18"/>
              </w:rPr>
              <w:t>增加至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15,690</w:t>
            </w:r>
            <w:r>
              <w:rPr>
                <w:rFonts w:ascii="Times New Roman" w:hAnsi="Times New Roman" w:cs="Times New Roman" w:eastAsia="Times New Roman" w:hint="default"/>
                <w:spacing w:val="-19"/>
                <w:sz w:val="18"/>
                <w:szCs w:val="18"/>
              </w:rPr>
              <w:t> </w:t>
            </w:r>
            <w:r>
              <w:rPr>
                <w:rFonts w:ascii="宋体" w:hAnsi="宋体" w:cs="宋体" w:eastAsia="宋体" w:hint="default"/>
                <w:spacing w:val="-12"/>
                <w:sz w:val="18"/>
                <w:szCs w:val="18"/>
              </w:rPr>
              <w:t>万股，</w:t>
            </w:r>
            <w:r>
              <w:rPr>
                <w:rFonts w:ascii="宋体" w:hAnsi="宋体" w:cs="宋体" w:eastAsia="宋体" w:hint="default"/>
                <w:spacing w:val="-34"/>
                <w:sz w:val="18"/>
                <w:szCs w:val="18"/>
              </w:rPr>
              <w:t> </w:t>
            </w:r>
            <w:r>
              <w:rPr>
                <w:rFonts w:ascii="宋体" w:hAnsi="宋体" w:cs="宋体" w:eastAsia="宋体" w:hint="default"/>
                <w:sz w:val="18"/>
                <w:szCs w:val="18"/>
              </w:rPr>
              <w:t>公司注册资本从人</w:t>
            </w:r>
            <w:r>
              <w:rPr>
                <w:rFonts w:ascii="宋体" w:hAnsi="宋体" w:cs="宋体" w:eastAsia="宋体" w:hint="default"/>
                <w:sz w:val="18"/>
                <w:szCs w:val="18"/>
              </w:rPr>
              <w:t>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10,460 </w:t>
            </w:r>
            <w:r>
              <w:rPr>
                <w:rFonts w:ascii="宋体" w:hAnsi="宋体" w:cs="宋体" w:eastAsia="宋体" w:hint="default"/>
                <w:sz w:val="18"/>
                <w:szCs w:val="18"/>
              </w:rPr>
              <w:t>万元增</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15,690 </w:t>
            </w:r>
            <w:r>
              <w:rPr>
                <w:rFonts w:ascii="宋体" w:hAnsi="宋体" w:cs="宋体" w:eastAsia="宋体" w:hint="default"/>
                <w:sz w:val="18"/>
                <w:szCs w:val="18"/>
              </w:rPr>
              <w:t>万元。</w:t>
            </w:r>
          </w:p>
        </w:tc>
        <w:tc>
          <w:tcPr>
            <w:tcW w:w="15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1"/>
                <w:szCs w:val="11"/>
              </w:rPr>
            </w:pPr>
          </w:p>
          <w:p>
            <w:pPr>
              <w:pStyle w:val="TableParagraph"/>
              <w:spacing w:line="391" w:lineRule="exact"/>
              <w:ind w:left="16" w:right="-28"/>
              <w:jc w:val="left"/>
              <w:rPr>
                <w:rFonts w:ascii="宋体" w:hAnsi="宋体" w:cs="宋体" w:eastAsia="宋体" w:hint="default"/>
                <w:sz w:val="20"/>
                <w:szCs w:val="20"/>
              </w:rPr>
            </w:pPr>
            <w:r>
              <w:rPr>
                <w:rFonts w:ascii="宋体" w:hAnsi="宋体" w:cs="宋体" w:eastAsia="宋体" w:hint="default"/>
                <w:position w:val="-7"/>
                <w:sz w:val="20"/>
                <w:szCs w:val="20"/>
              </w:rPr>
              <w:pict>
                <v:group style="width:76.95pt;height:19.6pt;mso-position-horizontal-relative:char;mso-position-vertical-relative:line" coordorigin="0,0" coordsize="1539,392">
                  <v:group style="position:absolute;left:0;top:0;width:1539;height:392" coordorigin="0,0" coordsize="1539,392">
                    <v:shape style="position:absolute;left:0;top:0;width:1539;height:392" coordorigin="0,0" coordsize="1539,392" path="m0,391l1538,391,1538,0,0,0,0,391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增加公司经营范围</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通信产品及其配套 设备的生产和销售 </w:t>
            </w:r>
            <w:r>
              <w:rPr>
                <w:rFonts w:ascii="宋体" w:hAnsi="宋体" w:cs="宋体" w:eastAsia="宋体" w:hint="default"/>
                <w:spacing w:val="-7"/>
                <w:sz w:val="18"/>
                <w:szCs w:val="18"/>
              </w:rPr>
              <w:t>及售后服务</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电信</w:t>
            </w:r>
            <w:r>
              <w:rPr>
                <w:rFonts w:ascii="宋体" w:hAnsi="宋体" w:cs="宋体" w:eastAsia="宋体" w:hint="default"/>
                <w:spacing w:val="-81"/>
                <w:sz w:val="18"/>
                <w:szCs w:val="18"/>
              </w:rPr>
              <w:t> </w:t>
            </w:r>
            <w:r>
              <w:rPr>
                <w:rFonts w:ascii="宋体" w:hAnsi="宋体" w:cs="宋体" w:eastAsia="宋体" w:hint="default"/>
                <w:sz w:val="18"/>
                <w:szCs w:val="18"/>
              </w:rPr>
              <w:t>业务代理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年利 </w:t>
            </w:r>
            <w:r>
              <w:rPr>
                <w:rFonts w:ascii="宋体" w:hAnsi="宋体" w:cs="宋体" w:eastAsia="宋体" w:hint="default"/>
                <w:spacing w:val="-9"/>
                <w:sz w:val="18"/>
                <w:szCs w:val="18"/>
              </w:rPr>
              <w:t>润分配方案，公司总</w:t>
            </w:r>
            <w:r>
              <w:rPr>
                <w:rFonts w:ascii="宋体" w:hAnsi="宋体" w:cs="宋体" w:eastAsia="宋体" w:hint="default"/>
                <w:sz w:val="18"/>
                <w:szCs w:val="18"/>
              </w:rPr>
              <w:t> 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309"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31,545.12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股，公司注册资本从</w:t>
            </w:r>
            <w:r>
              <w:rPr>
                <w:rFonts w:ascii="宋体" w:hAnsi="宋体" w:cs="宋体" w:eastAsia="宋体" w:hint="default"/>
                <w:sz w:val="18"/>
                <w:szCs w:val="18"/>
              </w:rPr>
              <w:t>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5"/>
              <w:ind w:left="22" w:right="32"/>
              <w:jc w:val="both"/>
              <w:rPr>
                <w:rFonts w:ascii="宋体" w:hAnsi="宋体" w:cs="宋体" w:eastAsia="宋体" w:hint="default"/>
                <w:sz w:val="18"/>
                <w:szCs w:val="18"/>
              </w:rPr>
            </w:pPr>
            <w:r>
              <w:rPr>
                <w:rFonts w:ascii="宋体" w:hAnsi="宋体" w:cs="宋体" w:eastAsia="宋体" w:hint="default"/>
                <w:sz w:val="18"/>
                <w:szCs w:val="18"/>
              </w:rPr>
              <w:t>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31,545.12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增加公司经营范围 </w:t>
            </w:r>
            <w:r>
              <w:rPr>
                <w:rFonts w:ascii="Times New Roman" w:hAnsi="Times New Roman" w:cs="Times New Roman" w:eastAsia="Times New Roman" w:hint="default"/>
                <w:sz w:val="18"/>
                <w:szCs w:val="18"/>
              </w:rPr>
              <w:t>“</w:t>
            </w:r>
            <w:r>
              <w:rPr>
                <w:rFonts w:ascii="宋体" w:hAnsi="宋体" w:cs="宋体" w:eastAsia="宋体" w:hint="default"/>
                <w:sz w:val="18"/>
                <w:szCs w:val="18"/>
              </w:rPr>
              <w:t>第二类增值电信业 务中的信息服务业 </w:t>
            </w:r>
            <w:r>
              <w:rPr>
                <w:rFonts w:ascii="宋体" w:hAnsi="宋体" w:cs="宋体" w:eastAsia="宋体" w:hint="default"/>
                <w:spacing w:val="-9"/>
                <w:sz w:val="18"/>
                <w:szCs w:val="18"/>
              </w:rPr>
              <w:t>务（不含固定网电话</w:t>
            </w:r>
            <w:r>
              <w:rPr>
                <w:rFonts w:ascii="宋体" w:hAnsi="宋体" w:cs="宋体" w:eastAsia="宋体" w:hint="default"/>
                <w:sz w:val="18"/>
                <w:szCs w:val="18"/>
              </w:rPr>
              <w:t> 信息服务和互联网 信息服务）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4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股票期权增发，公司</w:t>
            </w:r>
            <w:r>
              <w:rPr>
                <w:rFonts w:ascii="宋体" w:hAnsi="宋体" w:cs="宋体" w:eastAsia="宋体" w:hint="default"/>
                <w:sz w:val="18"/>
                <w:szCs w:val="18"/>
              </w:rPr>
              <w:t> 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31,545.12 </w:t>
            </w:r>
            <w:r>
              <w:rPr>
                <w:rFonts w:ascii="宋体" w:hAnsi="宋体" w:cs="宋体" w:eastAsia="宋体" w:hint="default"/>
                <w:sz w:val="18"/>
                <w:szCs w:val="18"/>
              </w:rPr>
              <w:t>万股增加至 </w:t>
            </w:r>
            <w:r>
              <w:rPr>
                <w:rFonts w:ascii="Times New Roman" w:hAnsi="Times New Roman" w:cs="Times New Roman" w:eastAsia="Times New Roman" w:hint="default"/>
                <w:sz w:val="18"/>
                <w:szCs w:val="18"/>
              </w:rPr>
              <w:t>31,825.8207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p>
            <w:pPr>
              <w:pStyle w:val="TableParagraph"/>
              <w:spacing w:line="316" w:lineRule="auto" w:before="3"/>
              <w:ind w:left="22" w:right="31"/>
              <w:jc w:val="left"/>
              <w:rPr>
                <w:rFonts w:ascii="宋体" w:hAnsi="宋体" w:cs="宋体" w:eastAsia="宋体" w:hint="default"/>
                <w:sz w:val="18"/>
                <w:szCs w:val="18"/>
              </w:rPr>
            </w:pPr>
            <w:r>
              <w:rPr>
                <w:rFonts w:ascii="宋体" w:hAnsi="宋体" w:cs="宋体" w:eastAsia="宋体" w:hint="default"/>
                <w:sz w:val="18"/>
                <w:szCs w:val="18"/>
              </w:rPr>
              <w:t>公司注册资本从人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31,545.12 </w:t>
            </w:r>
            <w:r>
              <w:rPr>
                <w:rFonts w:ascii="宋体" w:hAnsi="宋体" w:cs="宋体" w:eastAsia="宋体" w:hint="default"/>
                <w:sz w:val="18"/>
                <w:szCs w:val="18"/>
              </w:rPr>
              <w:t>万元</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31,825.8207</w:t>
            </w:r>
          </w:p>
          <w:p>
            <w:pPr>
              <w:pStyle w:val="TableParagraph"/>
              <w:spacing w:line="314" w:lineRule="auto" w:before="63"/>
              <w:ind w:left="22" w:right="22"/>
              <w:jc w:val="left"/>
              <w:rPr>
                <w:rFonts w:ascii="宋体" w:hAnsi="宋体" w:cs="宋体" w:eastAsia="宋体" w:hint="default"/>
                <w:sz w:val="18"/>
                <w:szCs w:val="18"/>
              </w:rPr>
            </w:pPr>
            <w:r>
              <w:rPr>
                <w:rFonts w:ascii="宋体" w:hAnsi="宋体" w:cs="宋体" w:eastAsia="宋体" w:hint="default"/>
                <w:spacing w:val="-9"/>
                <w:sz w:val="18"/>
                <w:szCs w:val="18"/>
              </w:rPr>
              <w:t>万元；增加公司经营</w:t>
            </w:r>
            <w:r>
              <w:rPr>
                <w:rFonts w:ascii="宋体" w:hAnsi="宋体" w:cs="宋体" w:eastAsia="宋体" w:hint="default"/>
                <w:sz w:val="18"/>
                <w:szCs w:val="18"/>
              </w:rPr>
              <w:t> 范围</w:t>
            </w:r>
            <w:r>
              <w:rPr>
                <w:rFonts w:ascii="Times New Roman" w:hAnsi="Times New Roman" w:cs="Times New Roman" w:eastAsia="Times New Roman" w:hint="default"/>
                <w:sz w:val="18"/>
                <w:szCs w:val="18"/>
              </w:rPr>
              <w:t>“</w:t>
            </w:r>
            <w:r>
              <w:rPr>
                <w:rFonts w:ascii="宋体" w:hAnsi="宋体" w:cs="宋体" w:eastAsia="宋体" w:hint="default"/>
                <w:sz w:val="18"/>
                <w:szCs w:val="18"/>
              </w:rPr>
              <w:t>国内贸易（法 </w:t>
            </w:r>
            <w:r>
              <w:rPr>
                <w:rFonts w:ascii="宋体" w:hAnsi="宋体" w:cs="宋体" w:eastAsia="宋体" w:hint="default"/>
                <w:spacing w:val="-9"/>
                <w:sz w:val="18"/>
                <w:szCs w:val="18"/>
              </w:rPr>
              <w:t>律、行政法规、国务</w:t>
            </w:r>
            <w:r>
              <w:rPr>
                <w:rFonts w:ascii="宋体" w:hAnsi="宋体" w:cs="宋体" w:eastAsia="宋体" w:hint="default"/>
                <w:sz w:val="18"/>
                <w:szCs w:val="18"/>
              </w:rPr>
              <w:t> 院决定禁止的项目 </w:t>
            </w:r>
            <w:r>
              <w:rPr>
                <w:rFonts w:ascii="宋体" w:hAnsi="宋体" w:cs="宋体" w:eastAsia="宋体" w:hint="default"/>
                <w:spacing w:val="-9"/>
                <w:sz w:val="18"/>
                <w:szCs w:val="18"/>
              </w:rPr>
              <w:t>除外，限制的项目须</w:t>
            </w:r>
            <w:r>
              <w:rPr>
                <w:rFonts w:ascii="宋体" w:hAnsi="宋体" w:cs="宋体" w:eastAsia="宋体" w:hint="default"/>
                <w:sz w:val="18"/>
                <w:szCs w:val="18"/>
              </w:rPr>
              <w:t> 取得许可后方可经 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440301103047339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440301618856433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618856433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9.800003pt;margin-top:350.869995pt;width:87.7pt;height:28pt;mso-position-horizontal-relative:page;mso-position-vertical-relative:page;z-index:-1020904"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0"/>
        <w:gridCol w:w="398"/>
        <w:gridCol w:w="1382"/>
        <w:gridCol w:w="1764"/>
        <w:gridCol w:w="1763"/>
        <w:gridCol w:w="1621"/>
      </w:tblGrid>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1,186,644,496.20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1,023,069,902.40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665,088,034.69</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882,913,913.01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687,354,284.51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398,363,796.47</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66,897,696.95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129,568,841.44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109,522,436.33</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73,120,564.12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132,475,235.69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112,513,943.16</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61,202,490.99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122,180,394.93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99,730,404.53</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9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56,079,876.27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121,148,684.55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97,099,722.49</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-126,725,860.90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-19,132,501.87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-562.36%</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24,220,064.50</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-0.397</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-555.12%</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0.1544</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319,221,700.00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315,688,300.00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156,900,000.00</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1,907,433,920.71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1,576,229,608.94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1,250,111,370.59</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647,423,939.19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397,566,541.03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188,482,697.42</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1,225,036,775.09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1,150,043,829.10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1,041,949,729.78</w:t>
            </w:r>
          </w:p>
        </w:tc>
      </w:tr>
      <w:tr>
        <w:trPr>
          <w:trHeight w:val="714"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3.8376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6.6409</w:t>
            </w:r>
          </w:p>
        </w:tc>
      </w:tr>
      <w:tr>
        <w:trPr>
          <w:trHeight w:val="402" w:hRule="exact"/>
        </w:trPr>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w:t>
            </w:r>
          </w:p>
        </w:tc>
      </w:tr>
    </w:tbl>
    <w:p>
      <w:pPr>
        <w:pStyle w:val="BodyText"/>
        <w:spacing w:line="316" w:lineRule="auto" w:before="51"/>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0.1897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5"/>
        <w:gridCol w:w="1741"/>
        <w:gridCol w:w="2003"/>
        <w:gridCol w:w="1770"/>
        <w:gridCol w:w="1770"/>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归属于上市公司普通股股东的净资产</w:t>
            </w:r>
          </w:p>
        </w:tc>
      </w:tr>
      <w:tr>
        <w:trPr>
          <w:trHeight w:val="191"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4"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61,202,490.99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122,180,394.93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1,225,036,775.09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1,150,043,829.10</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5"/>
        <w:gridCol w:w="1730"/>
        <w:gridCol w:w="2003"/>
        <w:gridCol w:w="1770"/>
        <w:gridCol w:w="1770"/>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4"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归属于上市公司普通股股东的净资产</w:t>
            </w:r>
          </w:p>
        </w:tc>
      </w:tr>
      <w:tr>
        <w:trPr>
          <w:trHeight w:val="196"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0"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55" w:right="0"/>
              <w:jc w:val="left"/>
              <w:rPr>
                <w:rFonts w:ascii="Times New Roman" w:hAnsi="Times New Roman" w:cs="Times New Roman" w:eastAsia="Times New Roman" w:hint="default"/>
                <w:sz w:val="18"/>
                <w:szCs w:val="18"/>
              </w:rPr>
            </w:pPr>
            <w:r>
              <w:rPr>
                <w:rFonts w:ascii="Times New Roman"/>
                <w:sz w:val="18"/>
              </w:rPr>
              <w:t>61,202,490.99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122,180,394.93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1,225,036,775.09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1,150,043,829.10</w:t>
            </w:r>
          </w:p>
        </w:tc>
      </w:tr>
      <w:tr>
        <w:trPr>
          <w:trHeight w:val="402"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-107,575.34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-148,468.85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-336,026.62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5,486,460.29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2,271,962.00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3,287,250.00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487,550.22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-739,294.38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40,283.45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639,914.18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315,508.14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362,664.44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103,906.27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36,980.25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-1,839.65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5,122,614.72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1,031,710.38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2,630,682.04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92"/>
        <w:jc w:val="both"/>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92"/>
        <w:jc w:val="both"/>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right="92"/>
        <w:jc w:val="left"/>
        <w:rPr>
          <w:b w:val="0"/>
          <w:bCs w:val="0"/>
        </w:rPr>
      </w:pP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92" w:hanging="360"/>
        <w:jc w:val="left"/>
      </w:pPr>
      <w:r>
        <w:rPr>
          <w:rFonts w:ascii="Times New Roman" w:hAnsi="Times New Roman" w:cs="Times New Roman" w:eastAsia="Times New Roman" w:hint="default"/>
        </w:rPr>
        <w:t>1</w:t>
      </w:r>
      <w:r>
        <w:rPr/>
        <w:t>、客户集中度过高和业务收入季度波动的风险 </w:t>
      </w:r>
      <w:r>
        <w:rPr>
          <w:spacing w:val="-2"/>
        </w:rPr>
        <w:t>公司主要客户仍为电信运营商客户，如果电信行业政策和市场环境变化，将对公司业绩产生重大影响。同时，电信运营</w:t>
      </w:r>
    </w:p>
    <w:p>
      <w:pPr>
        <w:pStyle w:val="BodyText"/>
        <w:spacing w:line="316" w:lineRule="auto" w:before="31"/>
        <w:ind w:right="110"/>
        <w:jc w:val="both"/>
      </w:pPr>
      <w:r>
        <w:rPr/>
        <w:t>商由于采购流程节奏、季度性投资预算控制和大型建设项目整体进度等因素影响，业务结算一般集中在下半年或第四季度， 存在不能按时结算的风险；而季度费用支出相对固定，可能造成季度经营业绩波动。</w:t>
      </w:r>
    </w:p>
    <w:p>
      <w:pPr>
        <w:pStyle w:val="BodyText"/>
        <w:spacing w:line="316" w:lineRule="auto" w:before="19"/>
        <w:ind w:right="192" w:firstLine="360"/>
        <w:jc w:val="both"/>
      </w:pPr>
      <w:r>
        <w:rPr>
          <w:spacing w:val="-2"/>
        </w:rPr>
        <w:t>针对上述风险，公司以合同为牵引，加强项目管理和商务流程协调，实施项目验收延迟预警，促进按时验收结算。公司</w:t>
      </w:r>
      <w:r>
        <w:rPr/>
        <w:t> </w:t>
      </w:r>
      <w:r>
        <w:rPr>
          <w:spacing w:val="-2"/>
        </w:rPr>
        <w:t>聚焦大数据和产业互联网，积极拓展跨行业客户，减小因以电信运营商为主的客户集中度过高而引起的业务收入季度波动的</w:t>
      </w:r>
      <w:r>
        <w:rPr>
          <w:spacing w:val="-64"/>
        </w:rPr>
        <w:t> </w:t>
      </w:r>
      <w:r>
        <w:rPr>
          <w:spacing w:val="-64"/>
        </w:rPr>
      </w:r>
      <w:r>
        <w:rPr/>
        <w:t>风险。</w:t>
      </w:r>
    </w:p>
    <w:p>
      <w:pPr>
        <w:pStyle w:val="BodyText"/>
        <w:spacing w:line="300" w:lineRule="auto" w:before="19"/>
        <w:ind w:left="444" w:right="92" w:hanging="291"/>
        <w:jc w:val="left"/>
      </w:pPr>
      <w:r>
        <w:rPr>
          <w:rFonts w:ascii="Times New Roman" w:hAnsi="Times New Roman" w:cs="Times New Roman" w:eastAsia="Times New Roman" w:hint="default"/>
        </w:rPr>
        <w:t>2</w:t>
      </w:r>
      <w:r>
        <w:rPr/>
        <w:t>、核心人才流失风险 </w:t>
      </w:r>
      <w:r>
        <w:rPr>
          <w:spacing w:val="-1"/>
        </w:rPr>
        <w:t>公司向大数据和移动互联网方向转型，企业对于高端人才的需求高，企业对高端人才的争夺已经超出行业范围，核心人</w:t>
      </w:r>
    </w:p>
    <w:p>
      <w:pPr>
        <w:pStyle w:val="BodyText"/>
        <w:spacing w:line="316" w:lineRule="auto" w:before="31"/>
        <w:ind w:left="424" w:right="182" w:hanging="270"/>
        <w:jc w:val="left"/>
      </w:pPr>
      <w:r>
        <w:rPr/>
        <w:t>员流失对于公司业务发展影响大。 针对上述风险，公司已进行了以下几个方面的管理改革：实施股权激励，核心骨干利益与企业利益绑定；组织架构扁平</w:t>
      </w:r>
    </w:p>
    <w:p>
      <w:pPr>
        <w:pStyle w:val="BodyText"/>
        <w:spacing w:line="319" w:lineRule="auto" w:before="19"/>
        <w:ind w:right="192"/>
        <w:jc w:val="both"/>
      </w:pPr>
      <w:r>
        <w:rPr>
          <w:spacing w:val="-2"/>
        </w:rPr>
        <w:t>化，根据业务单元按照子公司、事业部管理模式充分授权；加强岗位轮动，为员工搭建持续发展的平台，建立多层次员工关</w:t>
      </w:r>
      <w:r>
        <w:rPr>
          <w:spacing w:val="-66"/>
        </w:rPr>
        <w:t> </w:t>
      </w:r>
      <w:r>
        <w:rPr>
          <w:spacing w:val="-66"/>
        </w:rPr>
      </w:r>
      <w:r>
        <w:rPr/>
        <w:t>怀体系，重视员工学习与培养和培训。</w:t>
      </w:r>
    </w:p>
    <w:p>
      <w:pPr>
        <w:pStyle w:val="BodyText"/>
        <w:spacing w:line="300" w:lineRule="auto" w:before="17"/>
        <w:ind w:left="444" w:right="92" w:hanging="291"/>
        <w:jc w:val="left"/>
      </w:pPr>
      <w:r>
        <w:rPr>
          <w:rFonts w:ascii="Times New Roman" w:hAnsi="Times New Roman" w:cs="Times New Roman" w:eastAsia="Times New Roman" w:hint="default"/>
        </w:rPr>
        <w:t>3</w:t>
      </w:r>
      <w:r>
        <w:rPr/>
        <w:t>、竞争加剧风险 </w:t>
      </w:r>
      <w:r>
        <w:rPr>
          <w:spacing w:val="-1"/>
        </w:rPr>
        <w:t>随着移动互联网时代的到来，市场机会大大增加的同时，参与竞争的企业以及创业型草根企业数量的也将不断增加，若</w:t>
      </w:r>
    </w:p>
    <w:p>
      <w:pPr>
        <w:pStyle w:val="BodyText"/>
        <w:spacing w:line="316" w:lineRule="auto" w:before="31"/>
        <w:ind w:left="424" w:right="362" w:hanging="270"/>
        <w:jc w:val="left"/>
      </w:pPr>
      <w:r>
        <w:rPr/>
        <w:t>公司不能在商业模式创新、技术创新、市场营销、客户服务等方面进一步增强实力，未来将面临更大的竞争压力。 针对上述风险，公司拟采取应对措施是加大研发中心建设，继续优化产品、技术和服务创新机制，提升市场竞争力。</w:t>
      </w:r>
    </w:p>
    <w:p>
      <w:pPr>
        <w:pStyle w:val="BodyText"/>
        <w:spacing w:line="300" w:lineRule="auto" w:before="19"/>
        <w:ind w:left="444" w:right="92" w:hanging="291"/>
        <w:jc w:val="left"/>
      </w:pPr>
      <w:r>
        <w:rPr>
          <w:rFonts w:ascii="Times New Roman" w:hAnsi="Times New Roman" w:cs="Times New Roman" w:eastAsia="Times New Roman" w:hint="default"/>
        </w:rPr>
        <w:t>4</w:t>
      </w:r>
      <w:r>
        <w:rPr/>
        <w:t>、知识产权风险 </w:t>
      </w:r>
      <w:r>
        <w:rPr>
          <w:spacing w:val="-1"/>
        </w:rPr>
        <w:t>公司开发的软件产品，包含公司多年积累的核心技术，如果流失或被恶意盗取，将对公司的市场竞争力和未来发展造成</w:t>
      </w:r>
    </w:p>
    <w:p>
      <w:pPr>
        <w:pStyle w:val="BodyText"/>
        <w:spacing w:line="316" w:lineRule="auto" w:before="31"/>
        <w:ind w:left="424" w:right="182" w:hanging="270"/>
        <w:jc w:val="left"/>
      </w:pPr>
      <w:r>
        <w:rPr/>
        <w:t>重大影响。 针对上述风险，公司采取了以下具体措施：将已开发的软件产品进行计算机软件著作权登记，对于关键技术，进行专利</w:t>
      </w:r>
    </w:p>
    <w:p>
      <w:pPr>
        <w:pStyle w:val="BodyText"/>
        <w:spacing w:line="316" w:lineRule="auto" w:before="19"/>
        <w:ind w:right="191"/>
        <w:jc w:val="both"/>
      </w:pPr>
      <w:r>
        <w:rPr>
          <w:spacing w:val="-2"/>
        </w:rPr>
        <w:t>申请，通过法律手段保护公司的知识产权；为了防止核心技术秘密泄露，公司在与员工签订劳动合同的同时还签订了保密协</w:t>
      </w:r>
      <w:r>
        <w:rPr>
          <w:spacing w:val="-66"/>
        </w:rPr>
        <w:t> </w:t>
      </w:r>
      <w:r>
        <w:rPr>
          <w:spacing w:val="-66"/>
        </w:rPr>
      </w:r>
      <w:r>
        <w:rPr>
          <w:spacing w:val="-2"/>
        </w:rPr>
        <w:t>议书，今后公司将进一步完善保密制度，加强软件开发技术文档及软件源代码的管理，保证公司核心技术的安全；继续保持</w:t>
      </w:r>
      <w:r>
        <w:rPr>
          <w:spacing w:val="-66"/>
        </w:rPr>
        <w:t> </w:t>
      </w:r>
      <w:r>
        <w:rPr>
          <w:spacing w:val="-66"/>
        </w:rPr>
      </w:r>
      <w:r>
        <w:rPr/>
        <w:t>研发投入，扩大研发规模，提前研究前瞻性软件技术和行业业务模式，保证公司软件产品开发保持领先。</w:t>
      </w:r>
    </w:p>
    <w:p>
      <w:pPr>
        <w:pStyle w:val="BodyText"/>
        <w:spacing w:line="300" w:lineRule="auto" w:before="19"/>
        <w:ind w:left="444" w:right="92" w:hanging="291"/>
        <w:jc w:val="left"/>
      </w:pPr>
      <w:r>
        <w:rPr>
          <w:rFonts w:ascii="Times New Roman" w:hAnsi="Times New Roman" w:cs="Times New Roman" w:eastAsia="Times New Roman" w:hint="default"/>
        </w:rPr>
        <w:t>5</w:t>
      </w:r>
      <w:r>
        <w:rPr/>
        <w:t>、国际市场风险 </w:t>
      </w:r>
      <w:r>
        <w:rPr>
          <w:spacing w:val="-1"/>
        </w:rPr>
        <w:t>公司进入国际市场后，面对全新的市场、文化和法律环境，交付和服务团队需要一定时间适应。同时汇率波动，国际经</w:t>
      </w:r>
    </w:p>
    <w:p>
      <w:pPr>
        <w:pStyle w:val="BodyText"/>
        <w:spacing w:line="316" w:lineRule="auto" w:before="31"/>
        <w:ind w:left="424" w:right="1262" w:hanging="270"/>
        <w:jc w:val="left"/>
      </w:pPr>
      <w:r>
        <w:rPr/>
        <w:t>济形势变化，都会对公司的业务造成一定影响。 针对上述风险，公司已加强国际化软件团队招募和培养，完善海外项目管理流程，强化风险管控制力度。</w:t>
      </w:r>
    </w:p>
    <w:p>
      <w:pPr>
        <w:spacing w:after="0" w:line="316"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454" w:right="92"/>
        <w:jc w:val="left"/>
        <w:rPr>
          <w:b w:val="0"/>
          <w:bCs w:val="0"/>
        </w:rPr>
      </w:pPr>
      <w:r>
        <w:rPr/>
        <w:t>（一）公司业绩</w:t>
      </w:r>
      <w:r>
        <w:rPr>
          <w:b w:val="0"/>
          <w:bCs w:val="0"/>
        </w:rPr>
      </w:r>
    </w:p>
    <w:p>
      <w:pPr>
        <w:pStyle w:val="BodyText"/>
        <w:spacing w:line="304" w:lineRule="auto" w:before="76"/>
        <w:ind w:right="189" w:firstLine="360"/>
        <w:jc w:val="both"/>
      </w:pPr>
      <w:r>
        <w:rPr>
          <w:rFonts w:ascii="Times New Roman" w:hAnsi="Times New Roman" w:cs="Times New Roman" w:eastAsia="Times New Roman" w:hint="default"/>
          <w:spacing w:val="-2"/>
        </w:rPr>
        <w:t>2014</w:t>
      </w:r>
      <w:r>
        <w:rPr>
          <w:spacing w:val="-2"/>
        </w:rPr>
        <w:t>年是公司主要业务行业政策和市场环境发生重大变化的一年。公司在保有电信运营商业务支撑系统市场地位的基础</w:t>
      </w:r>
      <w:r>
        <w:rPr/>
        <w:t> 上，继续以软件为核心，聚焦大数据、云计算和移动互联网应用，实践去</w:t>
      </w:r>
      <w:r>
        <w:rPr>
          <w:rFonts w:ascii="Times New Roman" w:hAnsi="Times New Roman" w:cs="Times New Roman" w:eastAsia="Times New Roman" w:hint="default"/>
        </w:rPr>
        <w:t>“IOE”</w:t>
      </w:r>
      <w:r>
        <w:rPr/>
        <w:t>战略，积极布局跨行业市场。</w:t>
      </w:r>
      <w:r>
        <w:rPr>
          <w:rFonts w:ascii="Times New Roman" w:hAnsi="Times New Roman" w:cs="Times New Roman" w:eastAsia="Times New Roman" w:hint="default"/>
        </w:rPr>
        <w:t>2014</w:t>
      </w:r>
      <w:r>
        <w:rPr/>
        <w:t>年度，由</w:t>
      </w:r>
      <w:r>
        <w:rPr>
          <w:w w:val="100"/>
        </w:rPr>
        <w:t> </w:t>
      </w:r>
      <w:r>
        <w:rPr>
          <w:spacing w:val="-2"/>
        </w:rPr>
        <w:t>于受到中国联通投资节奏变化的影响，中国联通应用软件收入较去年同期大幅减少，电信行业营改增导致税负增长，公司加</w:t>
      </w:r>
      <w:r>
        <w:rPr>
          <w:spacing w:val="-66"/>
        </w:rPr>
        <w:t> </w:t>
      </w:r>
      <w:r>
        <w:rPr>
          <w:spacing w:val="-66"/>
        </w:rPr>
      </w:r>
      <w:r>
        <w:rPr>
          <w:spacing w:val="-2"/>
        </w:rPr>
        <w:t>大业务转型研发投入，期间费用增长，归属于母公司的净利润较去年同期有较大幅度的下滑。</w:t>
      </w:r>
      <w:r>
        <w:rPr>
          <w:rFonts w:ascii="Times New Roman" w:hAnsi="Times New Roman" w:cs="Times New Roman" w:eastAsia="Times New Roman" w:hint="default"/>
          <w:spacing w:val="-2"/>
        </w:rPr>
        <w:t>2014</w:t>
      </w:r>
      <w:r>
        <w:rPr>
          <w:spacing w:val="-2"/>
        </w:rPr>
        <w:t>年度，公司主营业务收入</w:t>
      </w:r>
      <w:r>
        <w:rPr>
          <w:spacing w:val="-61"/>
        </w:rPr>
        <w:t> </w:t>
      </w:r>
      <w:r>
        <w:rPr>
          <w:spacing w:val="-61"/>
        </w:rPr>
      </w:r>
      <w:r>
        <w:rPr>
          <w:rFonts w:ascii="Times New Roman" w:hAnsi="Times New Roman" w:cs="Times New Roman" w:eastAsia="Times New Roman" w:hint="default"/>
        </w:rPr>
        <w:t>118,664.45</w:t>
      </w:r>
      <w:r>
        <w:rPr/>
        <w:t>万元，较去年同期增长</w:t>
      </w:r>
      <w:r>
        <w:rPr>
          <w:rFonts w:ascii="Times New Roman" w:hAnsi="Times New Roman" w:cs="Times New Roman" w:eastAsia="Times New Roman" w:hint="default"/>
        </w:rPr>
        <w:t>15.99%</w:t>
      </w:r>
      <w:r>
        <w:rPr/>
        <w:t>，在中国联通业务运营支撑领域的软件收入为</w:t>
      </w:r>
      <w:r>
        <w:rPr>
          <w:spacing w:val="-25"/>
        </w:rPr>
        <w:t> </w:t>
      </w:r>
      <w:r>
        <w:rPr>
          <w:rFonts w:ascii="Times New Roman" w:hAnsi="Times New Roman" w:cs="Times New Roman" w:eastAsia="Times New Roman" w:hint="default"/>
        </w:rPr>
        <w:t>8,320.12</w:t>
      </w:r>
      <w:r>
        <w:rPr/>
        <w:t>万元，较去年同期减少</w:t>
      </w:r>
    </w:p>
    <w:p>
      <w:pPr>
        <w:pStyle w:val="BodyText"/>
        <w:spacing w:line="240" w:lineRule="auto" w:before="9"/>
        <w:ind w:right="92"/>
        <w:jc w:val="left"/>
      </w:pPr>
      <w:r>
        <w:rPr>
          <w:rFonts w:ascii="Times New Roman" w:hAnsi="Times New Roman" w:cs="Times New Roman" w:eastAsia="Times New Roman" w:hint="default"/>
        </w:rPr>
        <w:t>37.01</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6,120.25</w:t>
      </w:r>
      <w:r>
        <w:rPr/>
        <w:t>万元，较去年同期减少</w:t>
      </w:r>
      <w:r>
        <w:rPr>
          <w:rFonts w:ascii="Times New Roman" w:hAnsi="Times New Roman" w:cs="Times New Roman" w:eastAsia="Times New Roman" w:hint="default"/>
        </w:rPr>
        <w:t>49.91%</w:t>
      </w:r>
      <w:r>
        <w:rPr/>
        <w:t>。</w:t>
      </w:r>
    </w:p>
    <w:p>
      <w:pPr>
        <w:pStyle w:val="BodyText"/>
        <w:spacing w:line="316" w:lineRule="auto" w:before="63"/>
        <w:ind w:left="514" w:right="92" w:firstLine="1"/>
        <w:jc w:val="left"/>
      </w:pPr>
      <w:r>
        <w:rPr>
          <w:rFonts w:ascii="宋体" w:hAnsi="宋体" w:cs="宋体" w:eastAsia="宋体" w:hint="default"/>
          <w:b/>
          <w:bCs/>
        </w:rPr>
        <w:t>（二）经营情况分析</w:t>
      </w:r>
      <w:r>
        <w:rPr>
          <w:rFonts w:ascii="宋体" w:hAnsi="宋体" w:cs="宋体" w:eastAsia="宋体" w:hint="default"/>
          <w:b/>
          <w:bCs/>
          <w:w w:val="99"/>
        </w:rPr>
        <w:t> </w:t>
      </w:r>
      <w:r>
        <w:rPr>
          <w:spacing w:val="-2"/>
        </w:rPr>
        <w:t>报告期内，公司经营层在董事会的领导下，围绕年度经营计划，积极推进并落实各项工作。通过对政策与市场的前瞻性</w:t>
      </w:r>
    </w:p>
    <w:p>
      <w:pPr>
        <w:pStyle w:val="BodyText"/>
        <w:spacing w:line="316" w:lineRule="auto" w:before="19"/>
        <w:ind w:right="92"/>
        <w:jc w:val="left"/>
      </w:pPr>
      <w:r>
        <w:rPr>
          <w:spacing w:val="-2"/>
        </w:rPr>
        <w:t>预研，通过采取开源节流，提升产能，加强研发等一系列措施，进行合理的战略性产业布局，为公司未来可持续发展奠定基</w:t>
      </w:r>
      <w:r>
        <w:rPr>
          <w:spacing w:val="-66"/>
        </w:rPr>
        <w:t> </w:t>
      </w:r>
      <w:r>
        <w:rPr>
          <w:spacing w:val="-66"/>
        </w:rPr>
      </w:r>
      <w:r>
        <w:rPr/>
        <w:t>础。</w:t>
      </w:r>
    </w:p>
    <w:p>
      <w:pPr>
        <w:pStyle w:val="Heading5"/>
        <w:spacing w:line="240" w:lineRule="auto" w:before="19"/>
        <w:ind w:right="92"/>
        <w:jc w:val="left"/>
        <w:rPr>
          <w:b w:val="0"/>
          <w:bCs w:val="0"/>
        </w:rPr>
      </w:pPr>
      <w:r>
        <w:rPr>
          <w:rFonts w:ascii="Times New Roman" w:hAnsi="Times New Roman" w:cs="Times New Roman" w:eastAsia="Times New Roman" w:hint="default"/>
        </w:rPr>
        <w:t>1</w:t>
      </w:r>
      <w:r>
        <w:rPr/>
        <w:t>、运营商业务运营支撑领域</w:t>
      </w:r>
      <w:r>
        <w:rPr>
          <w:b w:val="0"/>
          <w:bCs w:val="0"/>
        </w:rPr>
      </w:r>
    </w:p>
    <w:p>
      <w:pPr>
        <w:pStyle w:val="BodyText"/>
        <w:spacing w:line="312" w:lineRule="auto" w:before="63"/>
        <w:ind w:right="182" w:firstLine="360"/>
        <w:jc w:val="left"/>
      </w:pPr>
      <w:r>
        <w:rPr>
          <w:rFonts w:ascii="Times New Roman" w:hAnsi="Times New Roman" w:cs="Times New Roman" w:eastAsia="Times New Roman" w:hint="default"/>
          <w:spacing w:val="-2"/>
        </w:rPr>
        <w:t>2014</w:t>
      </w:r>
      <w:r>
        <w:rPr>
          <w:spacing w:val="-2"/>
        </w:rPr>
        <w:t>年，移动互联网迅猛发展，通信行业市场发生深刻变化，电信运营商积极推进经营模式转型，业务运营进一步集约</w:t>
      </w:r>
      <w:r>
        <w:rPr/>
        <w:t> </w:t>
      </w:r>
      <w:r>
        <w:rPr>
          <w:spacing w:val="-2"/>
        </w:rPr>
        <w:t>化，电信和联通省级分公司投资减少。应对变化，公司积极调整市场战略，聚集优质资源，抢占电信和联通集团市场，逐年</w:t>
      </w:r>
      <w:r>
        <w:rPr>
          <w:spacing w:val="-68"/>
        </w:rPr>
        <w:t> </w:t>
      </w:r>
      <w:r>
        <w:rPr>
          <w:spacing w:val="-68"/>
        </w:rPr>
      </w:r>
      <w:r>
        <w:rPr>
          <w:spacing w:val="-2"/>
        </w:rPr>
        <w:t>提高省分公司市场占有率；拓展海外运营商、传统行业龙头企业、虚拟运营商市场。报告期内，在中国电信市场，公司首次</w:t>
      </w:r>
      <w:r>
        <w:rPr>
          <w:spacing w:val="-67"/>
        </w:rPr>
        <w:t> </w:t>
      </w:r>
      <w:r>
        <w:rPr>
          <w:spacing w:val="-67"/>
        </w:rPr>
      </w:r>
      <w:r>
        <w:rPr>
          <w:spacing w:val="-2"/>
        </w:rPr>
        <w:t>突破中国电信集团数据域，中标中国电信集团渠道管控项目，大数据解决方案进入云南电信市场，客户关系管理系统解决方</w:t>
      </w:r>
      <w:r>
        <w:rPr>
          <w:spacing w:val="-66"/>
        </w:rPr>
        <w:t> </w:t>
      </w:r>
      <w:r>
        <w:rPr>
          <w:spacing w:val="-66"/>
        </w:rPr>
      </w:r>
      <w:r>
        <w:rPr>
          <w:spacing w:val="-2"/>
        </w:rPr>
        <w:t>案进入湖北电信。在中国电信集团移动互联网化进程中，公司持续开展天翼客服服务创新，并积极拓展电子渠道业务。在中</w:t>
      </w:r>
      <w:r>
        <w:rPr>
          <w:spacing w:val="-66"/>
        </w:rPr>
        <w:t> </w:t>
      </w:r>
      <w:r>
        <w:rPr>
          <w:spacing w:val="-66"/>
        </w:rPr>
      </w:r>
      <w:r>
        <w:rPr/>
        <w:t>国联通市场，积极投入中国联通总部集中业务支撑系统系统</w:t>
      </w:r>
      <w:r>
        <w:rPr>
          <w:rFonts w:ascii="Times New Roman" w:hAnsi="Times New Roman" w:cs="Times New Roman" w:eastAsia="Times New Roman" w:hint="default"/>
        </w:rPr>
        <w:t>(CBSS)</w:t>
      </w:r>
      <w:r>
        <w:rPr/>
        <w:t>建设，推动阿里云平台在中国联通的落地。报告期内， </w:t>
      </w:r>
      <w:r>
        <w:rPr>
          <w:spacing w:val="-2"/>
        </w:rPr>
        <w:t>与华为合作进一步深入，协助交付海外业务支撑系统；积极拓展海外市场，承接了东南亚电信柬埔寨公司的大数据和电商平</w:t>
      </w:r>
      <w:r>
        <w:rPr>
          <w:spacing w:val="-66"/>
        </w:rPr>
        <w:t> </w:t>
      </w:r>
      <w:r>
        <w:rPr>
          <w:spacing w:val="-66"/>
        </w:rPr>
      </w:r>
      <w:r>
        <w:rPr/>
        <w:t>台的建设。在虚拟运营商领域，继蜗牛移动之后，报告期内与京东电子商务公司合作，开发了基于云架构的</w:t>
      </w:r>
      <w:r>
        <w:rPr>
          <w:rFonts w:ascii="Times New Roman" w:hAnsi="Times New Roman" w:cs="Times New Roman" w:eastAsia="Times New Roman" w:hint="default"/>
        </w:rPr>
        <w:t>BOSS</w:t>
      </w:r>
      <w:r>
        <w:rPr/>
        <w:t>系统并成 </w:t>
      </w:r>
      <w:r>
        <w:rPr>
          <w:spacing w:val="-2"/>
        </w:rPr>
        <w:t>功割接上线，该产品使用了自主研发的虚拟数据源（</w:t>
      </w:r>
      <w:r>
        <w:rPr>
          <w:rFonts w:ascii="Times New Roman" w:hAnsi="Times New Roman" w:cs="Times New Roman" w:eastAsia="Times New Roman" w:hint="default"/>
          <w:spacing w:val="-2"/>
        </w:rPr>
        <w:t>VDS</w:t>
      </w:r>
      <w:r>
        <w:rPr>
          <w:spacing w:val="-2"/>
        </w:rPr>
        <w:t>）等多项技术，能够快速响应客户业务需求，并具备快速部署和快</w:t>
      </w:r>
      <w:r>
        <w:rPr>
          <w:spacing w:val="-65"/>
        </w:rPr>
        <w:t> </w:t>
      </w:r>
      <w:r>
        <w:rPr>
          <w:spacing w:val="-65"/>
        </w:rPr>
      </w:r>
      <w:r>
        <w:rPr>
          <w:spacing w:val="-2"/>
        </w:rPr>
        <w:t>速迭代能力，为虚拟运营商在互联网化的竞争环境中抢占先机提供了高效率的系统保障，已成为行业标杆。报告期内，新增</w:t>
      </w:r>
      <w:r>
        <w:rPr>
          <w:spacing w:val="-66"/>
        </w:rPr>
        <w:t> </w:t>
      </w:r>
      <w:r>
        <w:rPr>
          <w:spacing w:val="-66"/>
        </w:rPr>
      </w:r>
      <w:r>
        <w:rPr/>
        <w:t>承接了山东广电的大数据平台建设。</w:t>
      </w:r>
    </w:p>
    <w:p>
      <w:pPr>
        <w:pStyle w:val="Heading5"/>
        <w:spacing w:line="240" w:lineRule="auto" w:before="22"/>
        <w:ind w:right="9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t>、智慧</w:t>
      </w:r>
      <w:r>
        <w:rPr>
          <w:rFonts w:ascii="Times New Roman" w:hAnsi="Times New Roman" w:cs="Times New Roman" w:eastAsia="Times New Roman" w:hint="default"/>
        </w:rPr>
        <w:t>O2O</w:t>
      </w:r>
      <w:r>
        <w:rPr>
          <w:rFonts w:ascii="Times New Roman" w:hAnsi="Times New Roman" w:cs="Times New Roman" w:eastAsia="Times New Roman" w:hint="default"/>
          <w:b w:val="0"/>
          <w:bCs w:val="0"/>
        </w:rPr>
      </w:r>
    </w:p>
    <w:p>
      <w:pPr>
        <w:pStyle w:val="BodyText"/>
        <w:spacing w:line="316" w:lineRule="auto" w:before="63"/>
        <w:ind w:right="191" w:firstLine="360"/>
        <w:jc w:val="both"/>
      </w:pPr>
      <w:r>
        <w:rPr>
          <w:spacing w:val="-2"/>
        </w:rPr>
        <w:t>开拓传统行业龙头企业，协助企业建立线上接触点，发挥线下服务优势，利用大数据开展业务创新。报告期内，承接了</w:t>
      </w:r>
      <w:r>
        <w:rPr/>
        <w:t> </w:t>
      </w:r>
      <w:r>
        <w:rPr>
          <w:spacing w:val="-2"/>
        </w:rPr>
        <w:t>万科物业智慧社区平台的建设，二维码验真溯源营销解决方案快速拓展快销品行业，新增的客户有恒大集团、天王表、冷酸</w:t>
      </w:r>
      <w:r>
        <w:rPr>
          <w:spacing w:val="-66"/>
        </w:rPr>
        <w:t> </w:t>
      </w:r>
      <w:r>
        <w:rPr>
          <w:spacing w:val="-66"/>
        </w:rPr>
      </w:r>
      <w:r>
        <w:rPr/>
        <w:t>灵、草木之星、联合利华。大数据业务进入阳光电源。</w:t>
      </w:r>
    </w:p>
    <w:p>
      <w:pPr>
        <w:pStyle w:val="BodyText"/>
        <w:spacing w:line="300" w:lineRule="auto" w:before="19"/>
        <w:ind w:right="191" w:firstLine="360"/>
        <w:jc w:val="both"/>
      </w:pPr>
      <w:r>
        <w:rPr>
          <w:rFonts w:ascii="Times New Roman" w:hAnsi="Times New Roman" w:cs="Times New Roman" w:eastAsia="Times New Roman" w:hint="default"/>
          <w:spacing w:val="-1"/>
        </w:rPr>
        <w:t>2014</w:t>
      </w:r>
      <w:r>
        <w:rPr>
          <w:spacing w:val="-1"/>
        </w:rPr>
        <w:t>年底，公司投资</w:t>
      </w:r>
      <w:r>
        <w:rPr>
          <w:rFonts w:ascii="Times New Roman" w:hAnsi="Times New Roman" w:cs="Times New Roman" w:eastAsia="Times New Roman" w:hint="default"/>
          <w:spacing w:val="-1"/>
        </w:rPr>
        <w:t>790</w:t>
      </w:r>
      <w:r>
        <w:rPr>
          <w:spacing w:val="-1"/>
        </w:rPr>
        <w:t>万元，收购了深圳市宝贝团信息技术有限公司</w:t>
      </w:r>
      <w:r>
        <w:rPr>
          <w:rFonts w:ascii="Times New Roman" w:hAnsi="Times New Roman" w:cs="Times New Roman" w:eastAsia="Times New Roman" w:hint="default"/>
          <w:spacing w:val="-1"/>
        </w:rPr>
        <w:t>51%</w:t>
      </w:r>
      <w:r>
        <w:rPr>
          <w:spacing w:val="-1"/>
        </w:rPr>
        <w:t>股份（</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月完成股份过户手续）。宝贝</w:t>
      </w:r>
      <w:r>
        <w:rPr/>
        <w:t> </w:t>
      </w:r>
      <w:r>
        <w:rPr>
          <w:spacing w:val="-2"/>
        </w:rPr>
        <w:t>团公司主营业务为淘宝平台卖家提供</w:t>
      </w:r>
      <w:r>
        <w:rPr>
          <w:rFonts w:ascii="Times New Roman" w:hAnsi="Times New Roman" w:cs="Times New Roman" w:eastAsia="Times New Roman" w:hint="default"/>
          <w:spacing w:val="-2"/>
        </w:rPr>
        <w:t>IT</w:t>
      </w:r>
      <w:r>
        <w:rPr>
          <w:spacing w:val="-2"/>
        </w:rPr>
        <w:t>服务，具有深度理解电商业务和较强的运营能力，目前，公司已与宝贝团公司在电商</w:t>
      </w:r>
      <w:r>
        <w:rPr>
          <w:spacing w:val="-52"/>
        </w:rPr>
        <w:t> </w:t>
      </w:r>
      <w:r>
        <w:rPr>
          <w:spacing w:val="-52"/>
        </w:rPr>
      </w:r>
      <w:r>
        <w:rPr/>
        <w:t>平台的营销、客户关系管理、数据分析等方向展开合作。</w:t>
      </w:r>
    </w:p>
    <w:p>
      <w:pPr>
        <w:pStyle w:val="BodyText"/>
        <w:spacing w:line="300" w:lineRule="auto" w:before="31"/>
        <w:ind w:left="514" w:right="172" w:firstLine="1"/>
        <w:jc w:val="left"/>
      </w:pPr>
      <w:r>
        <w:rPr>
          <w:rFonts w:ascii="Times New Roman" w:hAnsi="Times New Roman" w:cs="Times New Roman" w:eastAsia="Times New Roman" w:hint="default"/>
          <w:b/>
          <w:bCs/>
        </w:rPr>
        <w:t>3</w:t>
      </w:r>
      <w:r>
        <w:rPr>
          <w:rFonts w:ascii="宋体" w:hAnsi="宋体" w:cs="宋体" w:eastAsia="宋体" w:hint="default"/>
          <w:b/>
          <w:bCs/>
        </w:rPr>
        <w:t>、互联网金融</w:t>
      </w:r>
      <w:r>
        <w:rPr>
          <w:rFonts w:ascii="宋体" w:hAnsi="宋体" w:cs="宋体" w:eastAsia="宋体" w:hint="default"/>
          <w:b/>
          <w:bCs/>
          <w:w w:val="99"/>
        </w:rPr>
        <w:t> </w:t>
      </w:r>
      <w:r>
        <w:rPr/>
        <w:t>互联网驱动技术革新，信息化建设和网络安全已成为国家重要战略，国内大型企业正在掀起一场</w:t>
      </w:r>
      <w:r>
        <w:rPr>
          <w:rFonts w:ascii="Times New Roman" w:hAnsi="Times New Roman" w:cs="Times New Roman" w:eastAsia="Times New Roman" w:hint="default"/>
        </w:rPr>
        <w:t>“</w:t>
      </w:r>
      <w:r>
        <w:rPr/>
        <w:t>去</w:t>
      </w:r>
      <w:r>
        <w:rPr>
          <w:rFonts w:ascii="Times New Roman" w:hAnsi="Times New Roman" w:cs="Times New Roman" w:eastAsia="Times New Roman" w:hint="default"/>
        </w:rPr>
        <w:t>IOE</w:t>
      </w:r>
      <w:r>
        <w:rPr>
          <w:rFonts w:ascii="Times New Roman" w:hAnsi="Times New Roman" w:cs="Times New Roman" w:eastAsia="Times New Roman" w:hint="default"/>
        </w:rPr>
        <w:t>”</w:t>
      </w:r>
      <w:r>
        <w:rPr/>
        <w:t>的变革，即大</w:t>
      </w:r>
    </w:p>
    <w:p>
      <w:pPr>
        <w:pStyle w:val="BodyText"/>
        <w:spacing w:line="300" w:lineRule="auto" w:before="13"/>
        <w:ind w:right="92"/>
        <w:jc w:val="left"/>
      </w:pPr>
      <w:r>
        <w:rPr>
          <w:spacing w:val="-3"/>
        </w:rPr>
        <w:t>型企业</w:t>
      </w:r>
      <w:r>
        <w:rPr>
          <w:rFonts w:ascii="Times New Roman" w:hAnsi="Times New Roman" w:cs="Times New Roman" w:eastAsia="Times New Roman" w:hint="default"/>
          <w:spacing w:val="-3"/>
        </w:rPr>
        <w:t>IT</w:t>
      </w:r>
      <w:r>
        <w:rPr>
          <w:spacing w:val="-3"/>
        </w:rPr>
        <w:t>底层建设国产化的革命。在深交所为期两年的</w:t>
      </w:r>
      <w:r>
        <w:rPr>
          <w:rFonts w:ascii="Times New Roman" w:hAnsi="Times New Roman" w:cs="Times New Roman" w:eastAsia="Times New Roman" w:hint="default"/>
          <w:spacing w:val="-3"/>
        </w:rPr>
        <w:t>“</w:t>
      </w:r>
      <w:r>
        <w:rPr>
          <w:spacing w:val="-3"/>
        </w:rPr>
        <w:t>全自主、国产化</w:t>
      </w:r>
      <w:r>
        <w:rPr>
          <w:rFonts w:ascii="Times New Roman" w:hAnsi="Times New Roman" w:cs="Times New Roman" w:eastAsia="Times New Roman" w:hint="default"/>
          <w:spacing w:val="-3"/>
        </w:rPr>
        <w:t>”</w:t>
      </w:r>
      <w:r>
        <w:rPr>
          <w:spacing w:val="-3"/>
        </w:rPr>
        <w:t>的互联网开放式底层架构平台建设获得客户的认可，</w:t>
      </w:r>
      <w:r>
        <w:rPr>
          <w:spacing w:val="-61"/>
        </w:rPr>
        <w:t> </w:t>
      </w:r>
      <w:r>
        <w:rPr/>
        <w:t>该平台产品有望在银行等其他金融机构推广。报告期内，与安徽银联签署了</w:t>
      </w:r>
      <w:r>
        <w:rPr>
          <w:rFonts w:ascii="Times New Roman" w:hAnsi="Times New Roman" w:cs="Times New Roman" w:eastAsia="Times New Roman" w:hint="default"/>
        </w:rPr>
        <w:t>“</w:t>
      </w:r>
      <w:r>
        <w:rPr/>
        <w:t>银联生活</w:t>
      </w:r>
      <w:r>
        <w:rPr>
          <w:rFonts w:ascii="Times New Roman" w:hAnsi="Times New Roman" w:cs="Times New Roman" w:eastAsia="Times New Roman" w:hint="default"/>
        </w:rPr>
        <w:t>”</w:t>
      </w:r>
      <w:r>
        <w:rPr/>
        <w:t>项目的建设、独家运营协议。</w:t>
      </w:r>
      <w:r>
        <w:rPr>
          <w:rFonts w:ascii="Times New Roman" w:hAnsi="Times New Roman" w:cs="Times New Roman" w:eastAsia="Times New Roman" w:hint="default"/>
        </w:rPr>
        <w:t>“</w:t>
      </w:r>
      <w:r>
        <w:rPr/>
        <w:t>银联 </w:t>
      </w:r>
      <w:r>
        <w:rPr>
          <w:spacing w:val="-2"/>
        </w:rPr>
        <w:t>生活</w:t>
      </w:r>
      <w:r>
        <w:rPr>
          <w:rFonts w:ascii="Times New Roman" w:hAnsi="Times New Roman" w:cs="Times New Roman" w:eastAsia="Times New Roman" w:hint="default"/>
          <w:spacing w:val="-2"/>
        </w:rPr>
        <w:t>”</w:t>
      </w:r>
      <w:r>
        <w:rPr>
          <w:spacing w:val="-2"/>
        </w:rPr>
        <w:t>项目是基于本地化的</w:t>
      </w:r>
      <w:r>
        <w:rPr>
          <w:rFonts w:ascii="Times New Roman" w:hAnsi="Times New Roman" w:cs="Times New Roman" w:eastAsia="Times New Roman" w:hint="default"/>
          <w:spacing w:val="-2"/>
        </w:rPr>
        <w:t>O2O</w:t>
      </w:r>
      <w:r>
        <w:rPr>
          <w:spacing w:val="-2"/>
        </w:rPr>
        <w:t>金融综合服务平台，以移动互联网为基础，围绕银联手机支付为核心，分别为持卡人、商户、</w:t>
      </w:r>
      <w:r>
        <w:rPr>
          <w:spacing w:val="-43"/>
        </w:rPr>
        <w:t> </w:t>
      </w:r>
      <w:r>
        <w:rPr>
          <w:spacing w:val="-43"/>
        </w:rPr>
      </w:r>
      <w:r>
        <w:rPr>
          <w:spacing w:val="-2"/>
        </w:rPr>
        <w:t>行业客户提供移动收银、撮合交易、便民服务、行业资金归集等一系列生活金融服务。自主研发的金融产品</w:t>
      </w:r>
      <w:r>
        <w:rPr>
          <w:rFonts w:ascii="Times New Roman" w:hAnsi="Times New Roman" w:cs="Times New Roman" w:eastAsia="Times New Roman" w:hint="default"/>
          <w:spacing w:val="-2"/>
        </w:rPr>
        <w:t>“P2P</w:t>
      </w:r>
      <w:r>
        <w:rPr>
          <w:spacing w:val="-2"/>
        </w:rPr>
        <w:t>网贷平台</w:t>
      </w:r>
      <w:r>
        <w:rPr>
          <w:rFonts w:ascii="Times New Roman" w:hAnsi="Times New Roman" w:cs="Times New Roman" w:eastAsia="Times New Roman" w:hint="default"/>
          <w:spacing w:val="-2"/>
        </w:rPr>
        <w:t>”</w:t>
      </w:r>
      <w:r>
        <w:rPr>
          <w:spacing w:val="-2"/>
        </w:rPr>
        <w:t>、</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8"/>
        <w:jc w:val="left"/>
      </w:pPr>
      <w:r>
        <w:rPr>
          <w:rFonts w:ascii="Times New Roman" w:hAnsi="Times New Roman" w:cs="Times New Roman" w:eastAsia="Times New Roman" w:hint="default"/>
          <w:spacing w:val="-1"/>
        </w:rPr>
        <w:t>“</w:t>
      </w:r>
      <w:r>
        <w:rPr>
          <w:spacing w:val="-1"/>
        </w:rPr>
        <w:t>融资担保平台</w:t>
      </w:r>
      <w:r>
        <w:rPr>
          <w:rFonts w:ascii="Times New Roman" w:hAnsi="Times New Roman" w:cs="Times New Roman" w:eastAsia="Times New Roman" w:hint="default"/>
          <w:spacing w:val="-1"/>
        </w:rPr>
        <w:t>”</w:t>
      </w:r>
      <w:r>
        <w:rPr>
          <w:spacing w:val="-1"/>
        </w:rPr>
        <w:t>在报告期内实现交付。在保险行业，移动应用产品进一步多元化，</w:t>
      </w:r>
      <w:r>
        <w:rPr>
          <w:rFonts w:ascii="Times New Roman" w:hAnsi="Times New Roman" w:cs="Times New Roman" w:eastAsia="Times New Roman" w:hint="default"/>
          <w:spacing w:val="-1"/>
        </w:rPr>
        <w:t>“</w:t>
      </w:r>
      <w:r>
        <w:rPr>
          <w:spacing w:val="-1"/>
        </w:rPr>
        <w:t>移动查勘定损系统</w:t>
      </w:r>
      <w:r>
        <w:rPr>
          <w:rFonts w:ascii="Times New Roman" w:hAnsi="Times New Roman" w:cs="Times New Roman" w:eastAsia="Times New Roman" w:hint="default"/>
          <w:spacing w:val="-1"/>
        </w:rPr>
        <w:t>”</w:t>
      </w:r>
      <w:r>
        <w:rPr>
          <w:spacing w:val="-1"/>
        </w:rPr>
        <w:t>在保险市场占有率超</w:t>
      </w:r>
      <w:r>
        <w:rPr>
          <w:spacing w:val="-78"/>
        </w:rPr>
        <w:t> </w:t>
      </w:r>
      <w:r>
        <w:rPr/>
        <w:t>过</w:t>
      </w:r>
      <w:r>
        <w:rPr>
          <w:rFonts w:ascii="Times New Roman" w:hAnsi="Times New Roman" w:cs="Times New Roman" w:eastAsia="Times New Roman" w:hint="default"/>
        </w:rPr>
        <w:t>50%</w:t>
      </w:r>
      <w:r>
        <w:rPr/>
        <w:t>，保险客户增至</w:t>
      </w:r>
      <w:r>
        <w:rPr>
          <w:rFonts w:ascii="Times New Roman" w:hAnsi="Times New Roman" w:cs="Times New Roman" w:eastAsia="Times New Roman" w:hint="default"/>
        </w:rPr>
        <w:t>21</w:t>
      </w:r>
      <w:r>
        <w:rPr/>
        <w:t>家。</w:t>
      </w:r>
    </w:p>
    <w:p>
      <w:pPr>
        <w:spacing w:line="300" w:lineRule="auto" w:before="13"/>
        <w:ind w:left="514" w:right="2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、智能交通及政府行业应用领域</w:t>
      </w:r>
      <w:r>
        <w:rPr>
          <w:rFonts w:ascii="宋体" w:hAnsi="宋体" w:cs="宋体" w:eastAsia="宋体" w:hint="default"/>
          <w:b/>
          <w:bCs/>
          <w:w w:val="99"/>
          <w:sz w:val="18"/>
          <w:szCs w:val="18"/>
        </w:rPr>
        <w:t> </w:t>
      </w:r>
      <w:r>
        <w:rPr>
          <w:rFonts w:ascii="宋体" w:hAnsi="宋体" w:cs="宋体" w:eastAsia="宋体" w:hint="default"/>
          <w:sz w:val="18"/>
          <w:szCs w:val="18"/>
        </w:rPr>
        <w:t>公司加大大数据技术在公安行业的应用，报告期内重点投入的产品有：</w:t>
      </w:r>
      <w:r>
        <w:rPr>
          <w:rFonts w:ascii="Times New Roman" w:hAnsi="Times New Roman" w:cs="Times New Roman" w:eastAsia="Times New Roman" w:hint="default"/>
          <w:sz w:val="18"/>
          <w:szCs w:val="18"/>
        </w:rPr>
        <w:t>“</w:t>
      </w:r>
      <w:r>
        <w:rPr>
          <w:rFonts w:ascii="宋体" w:hAnsi="宋体" w:cs="宋体" w:eastAsia="宋体" w:hint="default"/>
          <w:sz w:val="18"/>
          <w:szCs w:val="18"/>
        </w:rPr>
        <w:t>公安大数据平台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警务云平台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智能指挥</w:t>
      </w:r>
    </w:p>
    <w:p>
      <w:pPr>
        <w:pStyle w:val="BodyText"/>
        <w:spacing w:line="300" w:lineRule="auto" w:before="13"/>
        <w:ind w:right="212"/>
        <w:jc w:val="left"/>
      </w:pPr>
      <w:r>
        <w:rPr/>
        <w:t>调度系统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情报线索分析系统</w:t>
      </w:r>
      <w:r>
        <w:rPr>
          <w:rFonts w:ascii="Times New Roman" w:hAnsi="Times New Roman" w:cs="Times New Roman" w:eastAsia="Times New Roman" w:hint="default"/>
        </w:rPr>
        <w:t>”</w:t>
      </w:r>
      <w:r>
        <w:rPr/>
        <w:t>，公司公安大数据产品在国内公安行业处于领先水平，公安客户主要分布在上海、广州、 深圳、武汉、大连等地，</w:t>
      </w:r>
      <w:r>
        <w:rPr>
          <w:rFonts w:ascii="Times New Roman" w:hAnsi="Times New Roman" w:cs="Times New Roman" w:eastAsia="Times New Roman" w:hint="default"/>
        </w:rPr>
        <w:t>2015</w:t>
      </w:r>
      <w:r>
        <w:rPr/>
        <w:t>年计划加大在国内省份推广力度，提高市场占有率。</w:t>
      </w:r>
    </w:p>
    <w:p>
      <w:pPr>
        <w:pStyle w:val="BodyText"/>
        <w:spacing w:line="307" w:lineRule="auto" w:before="13"/>
        <w:ind w:right="92" w:firstLine="360"/>
        <w:jc w:val="left"/>
      </w:pPr>
      <w:r>
        <w:rPr>
          <w:spacing w:val="-2"/>
        </w:rPr>
        <w:t>公司子公司金华威为华为企业网业务核心渠道代理商之一，主要业务为华为视讯产品线的代理销售，近几年，金华威视</w:t>
      </w:r>
      <w:r>
        <w:rPr/>
        <w:t> 讯产品线的销售在华为渠道商排名中稳居第一，具有较强的营销、服务和风控能力。</w:t>
      </w:r>
      <w:r>
        <w:rPr>
          <w:rFonts w:ascii="Times New Roman" w:hAnsi="Times New Roman" w:cs="Times New Roman" w:eastAsia="Times New Roman" w:hint="default"/>
        </w:rPr>
        <w:t>2013</w:t>
      </w:r>
      <w:r>
        <w:rPr/>
        <w:t>年取得华为数通产品线代理资格， </w:t>
      </w:r>
      <w:r>
        <w:rPr>
          <w:spacing w:val="-2"/>
        </w:rPr>
        <w:t>随着国内政府机构、大型国有企业</w:t>
      </w:r>
      <w:r>
        <w:rPr>
          <w:rFonts w:ascii="Times New Roman" w:hAnsi="Times New Roman" w:cs="Times New Roman" w:eastAsia="Times New Roman" w:hint="default"/>
          <w:spacing w:val="-2"/>
        </w:rPr>
        <w:t>IT</w:t>
      </w:r>
      <w:r>
        <w:rPr>
          <w:spacing w:val="-2"/>
        </w:rPr>
        <w:t>底层建设国产化，华为企业网业务在国内的销售增长强劲，金华威的经营业绩在近几年</w:t>
      </w:r>
      <w:r>
        <w:rPr>
          <w:spacing w:val="-52"/>
        </w:rPr>
        <w:t> </w:t>
      </w:r>
      <w:r>
        <w:rPr>
          <w:spacing w:val="-52"/>
        </w:rPr>
      </w:r>
      <w:r>
        <w:rPr/>
        <w:t>有望能保持持续成长。</w:t>
      </w:r>
    </w:p>
    <w:p>
      <w:pPr>
        <w:pStyle w:val="BodyText"/>
        <w:spacing w:line="316" w:lineRule="auto" w:before="26"/>
        <w:ind w:left="514" w:right="92" w:firstLine="1"/>
        <w:jc w:val="left"/>
      </w:pPr>
      <w:r>
        <w:rPr>
          <w:rFonts w:ascii="宋体" w:hAnsi="宋体" w:cs="宋体" w:eastAsia="宋体" w:hint="default"/>
          <w:b/>
          <w:bCs/>
        </w:rPr>
        <w:t>（三）组织管理工作</w:t>
      </w:r>
      <w:r>
        <w:rPr>
          <w:rFonts w:ascii="宋体" w:hAnsi="宋体" w:cs="宋体" w:eastAsia="宋体" w:hint="default"/>
          <w:b/>
          <w:bCs/>
          <w:w w:val="99"/>
        </w:rPr>
        <w:t> </w:t>
      </w:r>
      <w:r>
        <w:rPr>
          <w:spacing w:val="-2"/>
        </w:rPr>
        <w:t>报告期内，公司积极推进各事业部及子公司之间的资源整合和协同，设立公司产品资源库，定期组织业务交流，完善内</w:t>
      </w:r>
    </w:p>
    <w:p>
      <w:pPr>
        <w:pStyle w:val="BodyText"/>
        <w:spacing w:line="316" w:lineRule="auto" w:before="19"/>
        <w:ind w:left="514" w:right="92" w:hanging="360"/>
        <w:jc w:val="left"/>
      </w:pPr>
      <w:r>
        <w:rPr/>
        <w:t>部资源协调制度，跨行业复制和产业布局取得一定成效。 </w:t>
      </w:r>
      <w:r>
        <w:rPr>
          <w:spacing w:val="-2"/>
        </w:rPr>
        <w:t>顺应市场环境变化，实现销售管理集约化，统一资源调配，集中优势资源投入重点市场。加大大数据基础技术方面的研</w:t>
      </w:r>
    </w:p>
    <w:p>
      <w:pPr>
        <w:pStyle w:val="BodyText"/>
        <w:spacing w:line="300" w:lineRule="auto" w:before="19"/>
        <w:ind w:right="90"/>
        <w:jc w:val="left"/>
      </w:pPr>
      <w:r>
        <w:rPr>
          <w:spacing w:val="-1"/>
        </w:rPr>
        <w:t>究投入，引入开源技术，并试验、推广。推进</w:t>
      </w:r>
      <w:r>
        <w:rPr>
          <w:rFonts w:ascii="Times New Roman" w:hAnsi="Times New Roman" w:cs="Times New Roman" w:eastAsia="Times New Roman" w:hint="default"/>
          <w:spacing w:val="-1"/>
        </w:rPr>
        <w:t>BSS</w:t>
      </w:r>
      <w:r>
        <w:rPr>
          <w:spacing w:val="-1"/>
        </w:rPr>
        <w:t>核心系统轻量化产品研发，实现跨行业应用。推动核心系统</w:t>
      </w:r>
      <w:r>
        <w:rPr>
          <w:rFonts w:ascii="Times New Roman" w:hAnsi="Times New Roman" w:cs="Times New Roman" w:eastAsia="Times New Roman" w:hint="default"/>
          <w:spacing w:val="-1"/>
        </w:rPr>
        <w:t>“</w:t>
      </w:r>
      <w:r>
        <w:rPr>
          <w:spacing w:val="-1"/>
        </w:rPr>
        <w:t>去</w:t>
      </w:r>
      <w:r>
        <w:rPr>
          <w:rFonts w:ascii="Times New Roman" w:hAnsi="Times New Roman" w:cs="Times New Roman" w:eastAsia="Times New Roman" w:hint="default"/>
          <w:spacing w:val="-1"/>
        </w:rPr>
        <w:t>IOE”</w:t>
      </w:r>
      <w:r>
        <w:rPr>
          <w:spacing w:val="-1"/>
        </w:rPr>
        <w:t>实践，</w:t>
      </w:r>
      <w:r>
        <w:rPr>
          <w:spacing w:val="-88"/>
        </w:rPr>
        <w:t> </w:t>
      </w:r>
      <w:r>
        <w:rPr/>
        <w:t>加强各事业部、子公司的技术复用。</w:t>
      </w:r>
    </w:p>
    <w:p>
      <w:pPr>
        <w:pStyle w:val="BodyText"/>
        <w:spacing w:line="300" w:lineRule="auto" w:before="31"/>
        <w:ind w:right="92" w:firstLine="360"/>
        <w:jc w:val="left"/>
      </w:pPr>
      <w:r>
        <w:rPr>
          <w:spacing w:val="-1"/>
        </w:rPr>
        <w:t>继续强化组织绩效管理工作，全面推动</w:t>
      </w:r>
      <w:r>
        <w:rPr>
          <w:rFonts w:ascii="Times New Roman" w:hAnsi="Times New Roman" w:cs="Times New Roman" w:eastAsia="Times New Roman" w:hint="default"/>
          <w:spacing w:val="-1"/>
        </w:rPr>
        <w:t>A/B</w:t>
      </w:r>
      <w:r>
        <w:rPr>
          <w:spacing w:val="-1"/>
        </w:rPr>
        <w:t>角建设，加快人力梯队的培养。</w:t>
      </w:r>
      <w:r>
        <w:rPr>
          <w:rFonts w:ascii="Times New Roman" w:hAnsi="Times New Roman" w:cs="Times New Roman" w:eastAsia="Times New Roman" w:hint="default"/>
          <w:spacing w:val="-1"/>
        </w:rPr>
        <w:t>2014</w:t>
      </w:r>
      <w:r>
        <w:rPr>
          <w:spacing w:val="-1"/>
        </w:rPr>
        <w:t>年顺利完成第二期员工绩效考核及股权</w:t>
      </w:r>
      <w:r>
        <w:rPr/>
        <w:t> 激励行权工作，</w:t>
      </w:r>
      <w:r>
        <w:rPr>
          <w:rFonts w:ascii="Times New Roman" w:hAnsi="Times New Roman" w:cs="Times New Roman" w:eastAsia="Times New Roman" w:hint="default"/>
        </w:rPr>
        <w:t>100</w:t>
      </w:r>
      <w:r>
        <w:rPr/>
        <w:t>名激励对象累计行权</w:t>
      </w:r>
      <w:r>
        <w:rPr>
          <w:rFonts w:ascii="Times New Roman" w:hAnsi="Times New Roman" w:cs="Times New Roman" w:eastAsia="Times New Roman" w:hint="default"/>
        </w:rPr>
        <w:t>353.34</w:t>
      </w:r>
      <w:r>
        <w:rPr/>
        <w:t>万份。</w:t>
      </w:r>
    </w:p>
    <w:p>
      <w:pPr>
        <w:pStyle w:val="BodyText"/>
        <w:spacing w:line="316" w:lineRule="auto" w:before="13"/>
        <w:ind w:right="92" w:firstLine="360"/>
        <w:jc w:val="left"/>
      </w:pPr>
      <w:r>
        <w:rPr>
          <w:spacing w:val="-2"/>
        </w:rPr>
        <w:t>完善内部控制管理，细化预算工作。划小业务单元，成本精细化核算，跟进项目进程中的预算执行情况及成本控制，跟</w:t>
      </w:r>
      <w:r>
        <w:rPr/>
        <w:t> 进各业务单元</w:t>
      </w:r>
      <w:r>
        <w:rPr>
          <w:rFonts w:ascii="Times New Roman" w:hAnsi="Times New Roman" w:cs="Times New Roman" w:eastAsia="Times New Roman" w:hint="default"/>
        </w:rPr>
        <w:t>KPI</w:t>
      </w:r>
      <w:r>
        <w:rPr/>
        <w:t>指标。</w:t>
      </w:r>
    </w:p>
    <w:p>
      <w:pPr>
        <w:pStyle w:val="BodyText"/>
        <w:spacing w:line="316" w:lineRule="auto"/>
        <w:ind w:left="514" w:right="92"/>
        <w:jc w:val="left"/>
      </w:pPr>
      <w:r>
        <w:rPr/>
        <w:t>公司重视研发投入和知识产权的保护，加强品牌建设，关注中小投资者利益。 </w:t>
      </w:r>
      <w:r>
        <w:rPr>
          <w:spacing w:val="-2"/>
        </w:rPr>
        <w:t>报告期内，公司共取得</w:t>
      </w:r>
      <w:r>
        <w:rPr>
          <w:rFonts w:ascii="Times New Roman" w:hAnsi="Times New Roman" w:cs="Times New Roman" w:eastAsia="Times New Roman" w:hint="default"/>
          <w:spacing w:val="-2"/>
        </w:rPr>
        <w:t>24</w:t>
      </w:r>
      <w:r>
        <w:rPr>
          <w:spacing w:val="-2"/>
        </w:rPr>
        <w:t>项软件产品登记，</w:t>
      </w:r>
      <w:r>
        <w:rPr>
          <w:rFonts w:ascii="Times New Roman" w:hAnsi="Times New Roman" w:cs="Times New Roman" w:eastAsia="Times New Roman" w:hint="default"/>
          <w:spacing w:val="-2"/>
        </w:rPr>
        <w:t>24</w:t>
      </w:r>
      <w:r>
        <w:rPr>
          <w:spacing w:val="-2"/>
        </w:rPr>
        <w:t>项软件著作权登记，</w:t>
      </w:r>
      <w:r>
        <w:rPr>
          <w:rFonts w:ascii="Times New Roman" w:hAnsi="Times New Roman" w:cs="Times New Roman" w:eastAsia="Times New Roman" w:hint="default"/>
          <w:spacing w:val="-2"/>
        </w:rPr>
        <w:t>8</w:t>
      </w:r>
      <w:r>
        <w:rPr>
          <w:spacing w:val="-2"/>
        </w:rPr>
        <w:t>项科技成果登记，</w:t>
      </w:r>
      <w:r>
        <w:rPr>
          <w:rFonts w:ascii="Times New Roman" w:hAnsi="Times New Roman" w:cs="Times New Roman" w:eastAsia="Times New Roman" w:hint="default"/>
          <w:spacing w:val="-2"/>
        </w:rPr>
        <w:t>4</w:t>
      </w:r>
      <w:r>
        <w:rPr>
          <w:spacing w:val="-2"/>
        </w:rPr>
        <w:t>项专利技术，获得国家火炬计划</w:t>
      </w:r>
    </w:p>
    <w:p>
      <w:pPr>
        <w:pStyle w:val="BodyText"/>
        <w:spacing w:line="300" w:lineRule="auto"/>
        <w:ind w:right="242"/>
        <w:jc w:val="left"/>
      </w:pPr>
      <w:r>
        <w:rPr/>
        <w:t>重点高新技术企业、中国软件服务业企业信用</w:t>
      </w:r>
      <w:r>
        <w:rPr>
          <w:rFonts w:ascii="Times New Roman" w:hAnsi="Times New Roman" w:cs="Times New Roman" w:eastAsia="Times New Roman" w:hint="default"/>
        </w:rPr>
        <w:t>AAA</w:t>
      </w:r>
      <w:r>
        <w:rPr/>
        <w:t>级、</w:t>
      </w:r>
      <w:r>
        <w:rPr>
          <w:rFonts w:ascii="Times New Roman" w:hAnsi="Times New Roman" w:cs="Times New Roman" w:eastAsia="Times New Roman" w:hint="default"/>
        </w:rPr>
        <w:t>2014</w:t>
      </w:r>
      <w:r>
        <w:rPr/>
        <w:t>年中国软件和信息服务电信领域标杆企业奖、</w:t>
      </w:r>
      <w:r>
        <w:rPr>
          <w:rFonts w:ascii="Times New Roman" w:hAnsi="Times New Roman" w:cs="Times New Roman" w:eastAsia="Times New Roman" w:hint="default"/>
        </w:rPr>
        <w:t>2014</w:t>
      </w:r>
      <w:r>
        <w:rPr/>
        <w:t>中国年度创 新软件企业、淘宝数据科技家大赛最佳数据洞察奖等荣誉。</w:t>
      </w:r>
    </w:p>
    <w:p>
      <w:pPr>
        <w:pStyle w:val="BodyText"/>
        <w:spacing w:line="307" w:lineRule="auto" w:before="31"/>
        <w:ind w:right="92" w:firstLine="360"/>
        <w:jc w:val="left"/>
      </w:pPr>
      <w:r>
        <w:rPr>
          <w:spacing w:val="-2"/>
        </w:rPr>
        <w:t>报告期内，在深交所和深圳证监局的组织下，举办了两次中小投资者走进上市公司开放日活动，让中小投资者有了直接</w:t>
      </w:r>
      <w:r>
        <w:rPr/>
        <w:t> </w:t>
      </w:r>
      <w:r>
        <w:rPr>
          <w:spacing w:val="-4"/>
        </w:rPr>
        <w:t>的渠道接触上市公司；接受机构投资者调研四次，互动平台回复投资者提问</w:t>
      </w:r>
      <w:r>
        <w:rPr>
          <w:rFonts w:ascii="Times New Roman" w:hAnsi="Times New Roman" w:cs="Times New Roman" w:eastAsia="Times New Roman" w:hint="default"/>
          <w:spacing w:val="-4"/>
        </w:rPr>
        <w:t>800</w:t>
      </w:r>
      <w:r>
        <w:rPr>
          <w:spacing w:val="-4"/>
        </w:rPr>
        <w:t>余次，接听投资者电话</w:t>
      </w:r>
      <w:r>
        <w:rPr>
          <w:rFonts w:ascii="Times New Roman" w:hAnsi="Times New Roman" w:cs="Times New Roman" w:eastAsia="Times New Roman" w:hint="default"/>
          <w:spacing w:val="-4"/>
        </w:rPr>
        <w:t>400</w:t>
      </w:r>
      <w:r>
        <w:rPr>
          <w:spacing w:val="-4"/>
        </w:rPr>
        <w:t>余次；在证券时报、</w:t>
      </w:r>
      <w:r>
        <w:rPr>
          <w:spacing w:val="-34"/>
        </w:rPr>
        <w:t> </w:t>
      </w:r>
      <w:r>
        <w:rPr>
          <w:spacing w:val="-34"/>
        </w:rPr>
      </w:r>
      <w:r>
        <w:rPr/>
        <w:t>证券时报网联合中国上市公司发展联盟共同主办的</w:t>
      </w:r>
      <w:r>
        <w:rPr>
          <w:rFonts w:ascii="Times New Roman" w:hAnsi="Times New Roman" w:cs="Times New Roman" w:eastAsia="Times New Roman" w:hint="default"/>
        </w:rPr>
        <w:t>“</w:t>
      </w:r>
      <w:r>
        <w:rPr/>
        <w:t>中国最受欢迎投资者关系互动平台</w:t>
      </w:r>
      <w:r>
        <w:rPr>
          <w:rFonts w:ascii="Times New Roman" w:hAnsi="Times New Roman" w:cs="Times New Roman" w:eastAsia="Times New Roman" w:hint="default"/>
        </w:rPr>
        <w:t>—</w:t>
      </w:r>
      <w:r>
        <w:rPr/>
        <w:t>中国上市公司优秀网站评选</w:t>
      </w:r>
      <w:r>
        <w:rPr>
          <w:rFonts w:ascii="Times New Roman" w:hAnsi="Times New Roman" w:cs="Times New Roman" w:eastAsia="Times New Roman" w:hint="default"/>
        </w:rPr>
        <w:t>”</w:t>
      </w:r>
      <w:r>
        <w:rPr/>
        <w:t>活动 中，公司连续三年获得</w:t>
      </w:r>
      <w:r>
        <w:rPr>
          <w:rFonts w:ascii="Times New Roman" w:hAnsi="Times New Roman" w:cs="Times New Roman" w:eastAsia="Times New Roman" w:hint="default"/>
        </w:rPr>
        <w:t>“</w:t>
      </w:r>
      <w:r>
        <w:rPr/>
        <w:t>最受投资者欢迎上市公司网站</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最佳网站投资者关系管理董秘</w:t>
      </w:r>
      <w:r>
        <w:rPr>
          <w:rFonts w:ascii="Times New Roman" w:hAnsi="Times New Roman" w:cs="Times New Roman" w:eastAsia="Times New Roman" w:hint="default"/>
        </w:rPr>
        <w:t>”</w:t>
      </w:r>
      <w:r>
        <w:rPr/>
        <w:t>荣誉。</w:t>
      </w:r>
    </w:p>
    <w:p>
      <w:pPr>
        <w:spacing w:line="240" w:lineRule="auto" w:before="8"/>
        <w:rPr>
          <w:rFonts w:ascii="宋体" w:hAnsi="宋体" w:cs="宋体" w:eastAsia="宋体" w:hint="default"/>
          <w:sz w:val="21"/>
          <w:szCs w:val="21"/>
        </w:rPr>
      </w:pPr>
    </w:p>
    <w:p>
      <w:pPr>
        <w:pStyle w:val="Heading3"/>
        <w:spacing w:line="240" w:lineRule="auto"/>
        <w:ind w:right="92"/>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1</w:t>
      </w:r>
      <w:r>
        <w:rPr/>
        <w:t>）概述</w:t>
      </w:r>
    </w:p>
    <w:p>
      <w:pPr>
        <w:pStyle w:val="BodyText"/>
        <w:spacing w:line="240" w:lineRule="auto" w:before="101"/>
        <w:ind w:left="516" w:right="92"/>
        <w:jc w:val="left"/>
      </w:pPr>
      <w:r>
        <w:rPr/>
        <w:t>报告期内公司营业收入和营业成本</w:t>
      </w:r>
      <w:r>
        <w:rPr>
          <w:rFonts w:ascii="Times New Roman" w:hAnsi="Times New Roman" w:cs="Times New Roman" w:eastAsia="Times New Roman" w:hint="default"/>
        </w:rPr>
        <w:t>2014</w:t>
      </w:r>
      <w:r>
        <w:rPr/>
        <w:t>年度发生数分别为</w:t>
      </w:r>
      <w:r>
        <w:rPr>
          <w:rFonts w:ascii="Times New Roman" w:hAnsi="Times New Roman" w:cs="Times New Roman" w:eastAsia="Times New Roman" w:hint="default"/>
        </w:rPr>
        <w:t>1,186,644,496.20</w:t>
      </w:r>
      <w:r>
        <w:rPr/>
        <w:t>元、</w:t>
      </w:r>
      <w:r>
        <w:rPr>
          <w:rFonts w:ascii="Times New Roman" w:hAnsi="Times New Roman" w:cs="Times New Roman" w:eastAsia="Times New Roman" w:hint="default"/>
        </w:rPr>
        <w:t>882,913,913.01</w:t>
      </w:r>
      <w:r>
        <w:rPr/>
        <w:t>元，比上年数分别增加</w:t>
      </w:r>
    </w:p>
    <w:p>
      <w:pPr>
        <w:pStyle w:val="BodyText"/>
        <w:spacing w:line="300" w:lineRule="auto" w:before="63"/>
        <w:ind w:left="444" w:right="92" w:hanging="291"/>
        <w:jc w:val="left"/>
      </w:pPr>
      <w:r>
        <w:rPr>
          <w:rFonts w:ascii="Times New Roman" w:hAnsi="Times New Roman" w:cs="Times New Roman" w:eastAsia="Times New Roman" w:hint="default"/>
        </w:rPr>
        <w:t>15.99%</w:t>
      </w:r>
      <w:r>
        <w:rPr/>
        <w:t>、</w:t>
      </w:r>
      <w:r>
        <w:rPr>
          <w:rFonts w:ascii="Times New Roman" w:hAnsi="Times New Roman" w:cs="Times New Roman" w:eastAsia="Times New Roman" w:hint="default"/>
        </w:rPr>
        <w:t>28.45%</w:t>
      </w:r>
      <w:r>
        <w:rPr/>
        <w:t>，其主要原因是本期网络产品分销业务增长影响，相应营业成本增加所致。 </w:t>
      </w:r>
      <w:r>
        <w:rPr>
          <w:spacing w:val="-1"/>
        </w:rPr>
        <w:t>公司销售费用</w:t>
      </w:r>
      <w:r>
        <w:rPr>
          <w:rFonts w:ascii="Times New Roman" w:hAnsi="Times New Roman" w:cs="Times New Roman" w:eastAsia="Times New Roman" w:hint="default"/>
          <w:spacing w:val="-1"/>
        </w:rPr>
        <w:t>2014</w:t>
      </w:r>
      <w:r>
        <w:rPr>
          <w:spacing w:val="-1"/>
        </w:rPr>
        <w:t>年度发生数为</w:t>
      </w:r>
      <w:r>
        <w:rPr>
          <w:rFonts w:ascii="Times New Roman" w:hAnsi="Times New Roman" w:cs="Times New Roman" w:eastAsia="Times New Roman" w:hint="default"/>
          <w:spacing w:val="-1"/>
        </w:rPr>
        <w:t>61,721,035.92</w:t>
      </w:r>
      <w:r>
        <w:rPr>
          <w:spacing w:val="-1"/>
        </w:rPr>
        <w:t>元，比上年同期增加</w:t>
      </w:r>
      <w:r>
        <w:rPr>
          <w:rFonts w:ascii="Times New Roman" w:hAnsi="Times New Roman" w:cs="Times New Roman" w:eastAsia="Times New Roman" w:hint="default"/>
          <w:spacing w:val="-1"/>
        </w:rPr>
        <w:t>25.07%</w:t>
      </w:r>
      <w:r>
        <w:rPr>
          <w:spacing w:val="-1"/>
        </w:rPr>
        <w:t>，其主要原因是本期加大市场开拓力度、开拓</w:t>
      </w:r>
    </w:p>
    <w:p>
      <w:pPr>
        <w:pStyle w:val="BodyText"/>
        <w:spacing w:line="240" w:lineRule="auto" w:before="13"/>
        <w:ind w:right="92"/>
        <w:jc w:val="left"/>
      </w:pPr>
      <w:r>
        <w:rPr/>
        <w:t>网络产品业务新领域，以及加大品牌建设力度，相应费用增加所致。</w:t>
      </w:r>
    </w:p>
    <w:p>
      <w:pPr>
        <w:pStyle w:val="BodyText"/>
        <w:spacing w:line="300" w:lineRule="auto" w:before="76"/>
        <w:ind w:left="516" w:right="83"/>
        <w:jc w:val="left"/>
      </w:pPr>
      <w:r>
        <w:rPr/>
        <w:t>公司管理费用</w:t>
      </w:r>
      <w:r>
        <w:rPr>
          <w:rFonts w:ascii="Times New Roman" w:hAnsi="Times New Roman" w:cs="Times New Roman" w:eastAsia="Times New Roman" w:hint="default"/>
        </w:rPr>
        <w:t>2014</w:t>
      </w:r>
      <w:r>
        <w:rPr/>
        <w:t>年度发生数为</w:t>
      </w:r>
      <w:r>
        <w:rPr>
          <w:spacing w:val="-53"/>
        </w:rPr>
        <w:t> </w:t>
      </w:r>
      <w:r>
        <w:rPr>
          <w:rFonts w:ascii="Times New Roman" w:hAnsi="Times New Roman" w:cs="Times New Roman" w:eastAsia="Times New Roman" w:hint="default"/>
        </w:rPr>
        <w:t>151,321,714.53</w:t>
      </w:r>
      <w:r>
        <w:rPr/>
        <w:t>元，比上年同期增加</w:t>
      </w:r>
      <w:r>
        <w:rPr>
          <w:rFonts w:ascii="Times New Roman" w:hAnsi="Times New Roman" w:cs="Times New Roman" w:eastAsia="Times New Roman" w:hint="default"/>
        </w:rPr>
        <w:t>6.01%</w:t>
      </w:r>
      <w:r>
        <w:rPr/>
        <w:t>，其主要原因是本期研发费用投入增加所致。 公司财务费用</w:t>
      </w:r>
      <w:r>
        <w:rPr>
          <w:rFonts w:ascii="Times New Roman" w:hAnsi="Times New Roman" w:cs="Times New Roman" w:eastAsia="Times New Roman" w:hint="default"/>
        </w:rPr>
        <w:t>2014</w:t>
      </w:r>
      <w:r>
        <w:rPr/>
        <w:t>年度发生数为</w:t>
      </w:r>
      <w:r>
        <w:rPr>
          <w:rFonts w:ascii="Times New Roman" w:hAnsi="Times New Roman" w:cs="Times New Roman" w:eastAsia="Times New Roman" w:hint="default"/>
        </w:rPr>
        <w:t>17,943,538.58</w:t>
      </w:r>
      <w:r>
        <w:rPr/>
        <w:t>元，比上年同期增加</w:t>
      </w:r>
      <w:r>
        <w:rPr>
          <w:rFonts w:ascii="Times New Roman" w:hAnsi="Times New Roman" w:cs="Times New Roman" w:eastAsia="Times New Roman" w:hint="default"/>
        </w:rPr>
        <w:t>146.32%</w:t>
      </w:r>
      <w:r>
        <w:rPr/>
        <w:t>，其主要原因是本期流动资金贷款增加相应</w:t>
      </w:r>
    </w:p>
    <w:p>
      <w:pPr>
        <w:pStyle w:val="BodyText"/>
        <w:spacing w:line="316" w:lineRule="auto" w:before="13"/>
        <w:ind w:left="516" w:right="92" w:hanging="363"/>
        <w:jc w:val="left"/>
        <w:rPr>
          <w:rFonts w:ascii="Times New Roman" w:hAnsi="Times New Roman" w:cs="Times New Roman" w:eastAsia="Times New Roman" w:hint="default"/>
        </w:rPr>
      </w:pPr>
      <w:r>
        <w:rPr/>
        <w:t>利息支出增加所致。 </w:t>
      </w:r>
      <w:r>
        <w:rPr>
          <w:spacing w:val="-3"/>
        </w:rPr>
        <w:t>公司研发投入</w:t>
      </w:r>
      <w:r>
        <w:rPr>
          <w:rFonts w:ascii="Times New Roman" w:hAnsi="Times New Roman" w:cs="Times New Roman" w:eastAsia="Times New Roman" w:hint="default"/>
          <w:spacing w:val="-3"/>
        </w:rPr>
        <w:t>2014</w:t>
      </w:r>
      <w:r>
        <w:rPr>
          <w:spacing w:val="-3"/>
        </w:rPr>
        <w:t>年度共计</w:t>
      </w:r>
      <w:r>
        <w:rPr>
          <w:rFonts w:ascii="Times New Roman" w:hAnsi="Times New Roman" w:cs="Times New Roman" w:eastAsia="Times New Roman" w:hint="default"/>
          <w:spacing w:val="-3"/>
        </w:rPr>
        <w:t>158,939,860.64</w:t>
      </w:r>
      <w:r>
        <w:rPr>
          <w:spacing w:val="-3"/>
        </w:rPr>
        <w:t>元，其中计入当期损益</w:t>
      </w:r>
      <w:r>
        <w:rPr>
          <w:rFonts w:ascii="Times New Roman" w:hAnsi="Times New Roman" w:cs="Times New Roman" w:eastAsia="Times New Roman" w:hint="default"/>
          <w:spacing w:val="-3"/>
        </w:rPr>
        <w:t>81,817,190.95</w:t>
      </w:r>
      <w:r>
        <w:rPr>
          <w:spacing w:val="-3"/>
        </w:rPr>
        <w:t>元，计入开发支出</w:t>
      </w:r>
      <w:r>
        <w:rPr>
          <w:rFonts w:ascii="Times New Roman" w:hAnsi="Times New Roman" w:cs="Times New Roman" w:eastAsia="Times New Roman" w:hint="default"/>
          <w:spacing w:val="-3"/>
        </w:rPr>
        <w:t>77,122,669.69</w:t>
      </w:r>
      <w:r>
        <w:rPr>
          <w:spacing w:val="-3"/>
        </w:rPr>
        <w:t>元；比</w:t>
      </w:r>
      <w:r>
        <w:rPr>
          <w:rFonts w:ascii="Times New Roman" w:hAnsi="Times New Roman" w:cs="Times New Roman" w:eastAsia="Times New Roman" w:hint="default"/>
          <w:spacing w:val="-3"/>
        </w:rPr>
        <w:t>2013</w:t>
      </w:r>
    </w:p>
    <w:p>
      <w:pPr>
        <w:pStyle w:val="BodyText"/>
        <w:spacing w:line="300" w:lineRule="auto"/>
        <w:ind w:left="516" w:right="190" w:hanging="363"/>
        <w:jc w:val="left"/>
      </w:pPr>
      <w:r>
        <w:rPr/>
        <w:t>年度研发投入同比增长</w:t>
      </w:r>
      <w:r>
        <w:rPr>
          <w:rFonts w:ascii="Times New Roman" w:hAnsi="Times New Roman" w:cs="Times New Roman" w:eastAsia="Times New Roman" w:hint="default"/>
        </w:rPr>
        <w:t>5.81%</w:t>
      </w:r>
      <w:r>
        <w:rPr/>
        <w:t>，主要是公司加大研发投入力度，相应研发人员工资增加所致。 </w:t>
      </w:r>
      <w:r>
        <w:rPr>
          <w:spacing w:val="-1"/>
        </w:rPr>
        <w:t>公司经营活动产生的现金流量净额</w:t>
      </w:r>
      <w:r>
        <w:rPr>
          <w:rFonts w:ascii="Times New Roman" w:hAnsi="Times New Roman" w:cs="Times New Roman" w:eastAsia="Times New Roman" w:hint="default"/>
          <w:spacing w:val="-1"/>
        </w:rPr>
        <w:t>2014</w:t>
      </w:r>
      <w:r>
        <w:rPr>
          <w:spacing w:val="-1"/>
        </w:rPr>
        <w:t>年度发生数为</w:t>
      </w:r>
      <w:r>
        <w:rPr>
          <w:rFonts w:ascii="Times New Roman" w:hAnsi="Times New Roman" w:cs="Times New Roman" w:eastAsia="Times New Roman" w:hint="default"/>
          <w:spacing w:val="-1"/>
        </w:rPr>
        <w:t>-126,725,860.90</w:t>
      </w:r>
      <w:r>
        <w:rPr>
          <w:spacing w:val="-1"/>
        </w:rPr>
        <w:t>元，上年同期发生数</w:t>
      </w:r>
      <w:r>
        <w:rPr>
          <w:rFonts w:ascii="Times New Roman" w:hAnsi="Times New Roman" w:cs="Times New Roman" w:eastAsia="Times New Roman" w:hint="default"/>
          <w:spacing w:val="-1"/>
        </w:rPr>
        <w:t>-19,132,501.87</w:t>
      </w:r>
      <w:r>
        <w:rPr>
          <w:spacing w:val="-1"/>
        </w:rPr>
        <w:t>元，其主要原因</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是本公司应收账款增加及子公司金华威公司采购备货付款影响所致。</w:t>
      </w:r>
    </w:p>
    <w:p>
      <w:pPr>
        <w:pStyle w:val="BodyText"/>
        <w:spacing w:line="240" w:lineRule="auto" w:before="117"/>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3</w:t>
      </w:r>
      <w:r>
        <w:rPr/>
        <w:t>）收入</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00" w:right="0"/>
              <w:jc w:val="left"/>
              <w:rPr>
                <w:rFonts w:ascii="Times New Roman" w:hAnsi="Times New Roman" w:cs="Times New Roman" w:eastAsia="Times New Roman" w:hint="default"/>
                <w:sz w:val="18"/>
                <w:szCs w:val="18"/>
              </w:rPr>
            </w:pPr>
            <w:r>
              <w:rPr>
                <w:rFonts w:ascii="Times New Roman"/>
                <w:sz w:val="18"/>
              </w:rPr>
              <w:t>1,186,644,496.20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9" w:right="0"/>
              <w:jc w:val="left"/>
              <w:rPr>
                <w:rFonts w:ascii="Times New Roman" w:hAnsi="Times New Roman" w:cs="Times New Roman" w:eastAsia="Times New Roman" w:hint="default"/>
                <w:sz w:val="18"/>
                <w:szCs w:val="18"/>
              </w:rPr>
            </w:pPr>
            <w:r>
              <w:rPr>
                <w:rFonts w:ascii="Times New Roman"/>
                <w:sz w:val="18"/>
              </w:rPr>
              <w:t>1,023,069,902.40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15.99%</w:t>
            </w:r>
          </w:p>
        </w:tc>
      </w:tr>
    </w:tbl>
    <w:p>
      <w:pPr>
        <w:pStyle w:val="BodyText"/>
        <w:spacing w:line="357" w:lineRule="auto" w:before="51"/>
        <w:ind w:left="516" w:right="215" w:hanging="363"/>
        <w:jc w:val="left"/>
      </w:pPr>
      <w:r>
        <w:rPr/>
        <w:t>驱动收入变化的因素 营业收入</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年度增长了</w:t>
      </w:r>
      <w:r>
        <w:rPr>
          <w:rFonts w:ascii="Times New Roman" w:hAnsi="Times New Roman" w:cs="Times New Roman" w:eastAsia="Times New Roman" w:hint="default"/>
        </w:rPr>
        <w:t>15.99%</w:t>
      </w:r>
      <w:r>
        <w:rPr/>
        <w:t>，主要原因是公司核心业务应用软件和技术服务</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w:t>
      </w:r>
    </w:p>
    <w:p>
      <w:pPr>
        <w:pStyle w:val="BodyText"/>
        <w:spacing w:line="214" w:lineRule="exact"/>
        <w:ind w:right="0"/>
        <w:jc w:val="left"/>
      </w:pPr>
      <w:r>
        <w:rPr/>
        <w:t>了</w:t>
      </w:r>
      <w:r>
        <w:rPr>
          <w:rFonts w:ascii="Times New Roman" w:hAnsi="Times New Roman" w:cs="Times New Roman" w:eastAsia="Times New Roman" w:hint="default"/>
        </w:rPr>
        <w:t>4.51%</w:t>
      </w:r>
      <w:r>
        <w:rPr/>
        <w:t>，毛利率较低的网络产品分销和系统集成</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年度增长了</w:t>
      </w:r>
      <w:r>
        <w:rPr>
          <w:rFonts w:ascii="Times New Roman" w:hAnsi="Times New Roman" w:cs="Times New Roman" w:eastAsia="Times New Roman" w:hint="default"/>
        </w:rPr>
        <w:t>26.89%</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980"/>
        </w:sectPr>
      </w:pPr>
    </w:p>
    <w:p>
      <w:pPr>
        <w:spacing w:line="240" w:lineRule="auto" w:before="8"/>
        <w:rPr>
          <w:rFonts w:ascii="宋体" w:hAnsi="宋体" w:cs="宋体" w:eastAsia="宋体" w:hint="default"/>
          <w:sz w:val="15"/>
          <w:szCs w:val="15"/>
        </w:rPr>
      </w:pPr>
    </w:p>
    <w:p>
      <w:pPr>
        <w:pStyle w:val="BodyText"/>
        <w:spacing w:line="240" w:lineRule="auto"/>
        <w:ind w:right="-20"/>
        <w:jc w:val="left"/>
      </w:pPr>
      <w:r>
        <w:rPr/>
        <w:t>公司实物销售收入是否大于劳务收入</w:t>
      </w:r>
    </w:p>
    <w:p>
      <w:pPr>
        <w:pStyle w:val="BodyText"/>
        <w:spacing w:line="338" w:lineRule="auto" w:before="117"/>
        <w:ind w:right="23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3"/>
        <w:ind w:right="26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4475" w:space="444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622,914,600.97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506,463,208.71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139,104,724.21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95,874,287.46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51,743,831.50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41,552,538.21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69,150,756.33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43,464,250.13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59.10%</w:t>
            </w:r>
          </w:p>
        </w:tc>
      </w:tr>
    </w:tbl>
    <w:p>
      <w:pPr>
        <w:pStyle w:val="BodyText"/>
        <w:spacing w:line="240" w:lineRule="auto" w:before="51"/>
        <w:ind w:right="0"/>
        <w:jc w:val="left"/>
      </w:pPr>
      <w:r>
        <w:rPr>
          <w:rFonts w:ascii="Times New Roman" w:hAnsi="Times New Roman" w:cs="Times New Roman" w:eastAsia="Times New Roman" w:hint="default"/>
        </w:rPr>
        <w:t>5</w:t>
      </w:r>
      <w:r>
        <w:rPr/>
        <w:t>）费用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61,721,035.92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49,350,821.94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151,321,714.53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142,745,927.03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17,943,538.58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7,284,701.15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本期银行借款增加相应利息增加</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4,472,712.08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5,550,593.21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）研发投入</w:t>
      </w:r>
    </w:p>
    <w:p>
      <w:pPr>
        <w:pStyle w:val="BodyText"/>
        <w:spacing w:line="338" w:lineRule="auto" w:before="102"/>
        <w:ind w:left="227" w:right="8259" w:hanging="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研发情况如下表：</w:t>
      </w:r>
    </w:p>
    <w:p>
      <w:pPr>
        <w:spacing w:after="0" w:line="338" w:lineRule="auto"/>
        <w:jc w:val="left"/>
        <w:sectPr>
          <w:type w:val="continuous"/>
          <w:pgSz w:w="11910" w:h="16840"/>
          <w:pgMar w:top="1060" w:bottom="1160" w:left="980" w:right="980"/>
        </w:sect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980"/>
        </w:sectPr>
      </w:pPr>
    </w:p>
    <w:p>
      <w:pPr>
        <w:pStyle w:val="BodyText"/>
        <w:tabs>
          <w:tab w:pos="1463" w:val="left" w:leader="none"/>
          <w:tab w:pos="2424" w:val="left" w:leader="none"/>
        </w:tabs>
        <w:spacing w:line="316" w:lineRule="auto" w:before="44"/>
        <w:ind w:left="2424" w:right="0" w:hanging="2092"/>
        <w:jc w:val="left"/>
      </w:pPr>
      <w:r>
        <w:rPr/>
        <w:t>序号</w:t>
        <w:tab/>
        <w:t>项目</w:t>
        <w:tab/>
        <w:t>当前进展情 况</w:t>
      </w:r>
    </w:p>
    <w:p>
      <w:pPr>
        <w:pStyle w:val="BodyText"/>
        <w:tabs>
          <w:tab w:pos="4759" w:val="left" w:leader="none"/>
        </w:tabs>
        <w:spacing w:line="240" w:lineRule="auto" w:before="44"/>
        <w:ind w:left="119" w:right="0"/>
        <w:jc w:val="left"/>
      </w:pPr>
      <w:r>
        <w:rPr/>
        <w:br w:type="column"/>
      </w:r>
      <w:r>
        <w:rPr/>
        <w:t>拟达到的目标</w:t>
        <w:tab/>
        <w:t>所属行业</w:t>
      </w:r>
    </w:p>
    <w:p>
      <w:pPr>
        <w:spacing w:after="0" w:line="240" w:lineRule="auto"/>
        <w:jc w:val="left"/>
        <w:sectPr>
          <w:type w:val="continuous"/>
          <w:pgSz w:w="11910" w:h="16840"/>
          <w:pgMar w:top="1060" w:bottom="1160" w:left="980" w:right="980"/>
          <w:cols w:num="2" w:equalWidth="0">
            <w:col w:w="3325" w:space="40"/>
            <w:col w:w="6585"/>
          </w:cols>
        </w:sectPr>
      </w:pPr>
    </w:p>
    <w:p>
      <w:pPr>
        <w:pStyle w:val="BodyText"/>
        <w:tabs>
          <w:tab w:pos="883" w:val="left" w:leader="none"/>
        </w:tabs>
        <w:spacing w:line="300" w:lineRule="auto" w:before="44"/>
        <w:ind w:left="884" w:right="0" w:hanging="416"/>
        <w:jc w:val="left"/>
      </w:pPr>
      <w:r>
        <w:rPr>
          <w:rFonts w:ascii="Times New Roman" w:hAnsi="Times New Roman" w:cs="Times New Roman" w:eastAsia="Times New Roman" w:hint="default"/>
        </w:rPr>
        <w:t>1</w:t>
        <w:tab/>
      </w:r>
      <w:r>
        <w:rPr/>
        <w:t>在线计费系统维护 研发项目</w:t>
      </w:r>
    </w:p>
    <w:p>
      <w:pPr>
        <w:spacing w:line="240" w:lineRule="auto" w:before="0"/>
        <w:rPr>
          <w:rFonts w:ascii="宋体" w:hAnsi="宋体" w:cs="宋体" w:eastAsia="宋体" w:hint="default"/>
          <w:sz w:val="18"/>
          <w:szCs w:val="18"/>
        </w:rPr>
      </w:pPr>
    </w:p>
    <w:p>
      <w:pPr>
        <w:pStyle w:val="BodyText"/>
        <w:tabs>
          <w:tab w:pos="883" w:val="left" w:leader="none"/>
        </w:tabs>
        <w:spacing w:line="300" w:lineRule="auto" w:before="133"/>
        <w:ind w:left="884" w:right="0" w:hanging="416"/>
        <w:jc w:val="left"/>
      </w:pPr>
      <w:r>
        <w:rPr>
          <w:rFonts w:ascii="Times New Roman" w:hAnsi="Times New Roman" w:cs="Times New Roman" w:eastAsia="Times New Roman" w:hint="default"/>
        </w:rPr>
        <w:t>2</w:t>
        <w:tab/>
      </w:r>
      <w:r>
        <w:rPr/>
        <w:t>客户忠诚度管理项 目</w:t>
      </w:r>
    </w:p>
    <w:p>
      <w:pPr>
        <w:pStyle w:val="BodyText"/>
        <w:tabs>
          <w:tab w:pos="883" w:val="left" w:leader="none"/>
        </w:tabs>
        <w:spacing w:line="300" w:lineRule="auto" w:before="56"/>
        <w:ind w:left="884" w:right="0" w:hanging="416"/>
        <w:jc w:val="left"/>
      </w:pPr>
      <w:r>
        <w:rPr>
          <w:rFonts w:ascii="Times New Roman" w:hAnsi="Times New Roman" w:cs="Times New Roman" w:eastAsia="Times New Roman" w:hint="default"/>
        </w:rPr>
        <w:t>3</w:t>
        <w:tab/>
      </w:r>
      <w:r>
        <w:rPr/>
        <w:t>智能分析平台开发 项目</w:t>
      </w:r>
    </w:p>
    <w:p>
      <w:pPr>
        <w:pStyle w:val="BodyText"/>
        <w:tabs>
          <w:tab w:pos="1120" w:val="left" w:leader="none"/>
          <w:tab w:pos="5940" w:val="left" w:leader="none"/>
        </w:tabs>
        <w:spacing w:line="300" w:lineRule="auto" w:before="44"/>
        <w:ind w:left="1120" w:right="1280" w:hanging="1060"/>
        <w:jc w:val="left"/>
      </w:pPr>
      <w:r>
        <w:rPr/>
        <w:br w:type="column"/>
      </w:r>
      <w:r>
        <w:rPr/>
        <w:t>试运行</w:t>
        <w:tab/>
      </w:r>
      <w:r>
        <w:rPr>
          <w:spacing w:val="-1"/>
        </w:rPr>
        <w:t>完成</w:t>
      </w:r>
      <w:r>
        <w:rPr>
          <w:rFonts w:ascii="Times New Roman" w:hAnsi="Times New Roman" w:cs="Times New Roman" w:eastAsia="Times New Roman" w:hint="default"/>
          <w:spacing w:val="-1"/>
        </w:rPr>
        <w:t>OCS-SM</w:t>
      </w:r>
      <w:r>
        <w:rPr>
          <w:spacing w:val="-1"/>
        </w:rPr>
        <w:t>的去刀片化工作，实现基于</w:t>
      </w:r>
      <w:r>
        <w:rPr>
          <w:rFonts w:ascii="Times New Roman" w:hAnsi="Times New Roman" w:cs="Times New Roman" w:eastAsia="Times New Roman" w:hint="default"/>
          <w:spacing w:val="-1"/>
        </w:rPr>
        <w:t>3GPP</w:t>
      </w:r>
      <w:r>
        <w:rPr>
          <w:spacing w:val="-1"/>
        </w:rPr>
        <w:t>协议的</w:t>
      </w:r>
      <w:r>
        <w:rPr>
          <w:rFonts w:ascii="Times New Roman" w:hAnsi="Times New Roman" w:cs="Times New Roman" w:eastAsia="Times New Roman" w:hint="default"/>
          <w:spacing w:val="-1"/>
        </w:rPr>
        <w:t>PCC</w:t>
        <w:tab/>
      </w:r>
      <w:r>
        <w:rPr/>
        <w:t>电信 架构，并且完成策略控制引擎建设，使</w:t>
      </w:r>
      <w:r>
        <w:rPr>
          <w:rFonts w:ascii="Times New Roman" w:hAnsi="Times New Roman" w:cs="Times New Roman" w:eastAsia="Times New Roman" w:hint="default"/>
        </w:rPr>
        <w:t>OCS</w:t>
      </w:r>
      <w:r>
        <w:rPr/>
        <w:t>产品具备运营 智能管道业务能力。</w:t>
      </w:r>
    </w:p>
    <w:p>
      <w:pPr>
        <w:pStyle w:val="BodyText"/>
        <w:tabs>
          <w:tab w:pos="1120" w:val="left" w:leader="none"/>
          <w:tab w:pos="5940" w:val="left" w:leader="none"/>
        </w:tabs>
        <w:spacing w:line="316" w:lineRule="auto" w:before="56"/>
        <w:ind w:left="1120" w:right="1280" w:hanging="1060"/>
        <w:jc w:val="left"/>
      </w:pPr>
      <w:r>
        <w:rPr/>
        <w:t>试运行</w:t>
        <w:tab/>
        <w:t>重点支撑以积分为媒介的外部兑换与消费能力，提升外部</w:t>
        <w:tab/>
        <w:t>电信 互联互通，增强移动应用的功能，同时完</w:t>
      </w:r>
      <w:r>
        <w:rPr>
          <w:rFonts w:ascii="Times New Roman" w:hAnsi="Times New Roman" w:cs="Times New Roman" w:eastAsia="Times New Roman" w:hint="default"/>
        </w:rPr>
        <w:t>4</w:t>
      </w:r>
      <w:r>
        <w:rPr/>
        <w:t>省客户的交付。</w:t>
      </w:r>
    </w:p>
    <w:p>
      <w:pPr>
        <w:pStyle w:val="BodyText"/>
        <w:tabs>
          <w:tab w:pos="1120" w:val="left" w:leader="none"/>
          <w:tab w:pos="5940" w:val="left" w:leader="none"/>
        </w:tabs>
        <w:spacing w:line="316" w:lineRule="auto" w:before="24"/>
        <w:ind w:left="1120" w:right="1280" w:hanging="1060"/>
        <w:jc w:val="left"/>
      </w:pPr>
      <w:r>
        <w:rPr/>
        <w:t>试运行</w:t>
        <w:tab/>
        <w:t>通过一套评估诊断方法和诊断分析体系，实现了指标进行</w:t>
        <w:tab/>
        <w:t>电信 </w:t>
      </w:r>
      <w:r>
        <w:rPr>
          <w:spacing w:val="-3"/>
        </w:rPr>
        <w:t>全过程的监控、分析、评估，建立固定、有效的分析思路，</w:t>
      </w:r>
      <w:r>
        <w:rPr/>
        <w:t> 实现问题闭环管理。</w:t>
      </w:r>
    </w:p>
    <w:p>
      <w:pPr>
        <w:spacing w:after="0" w:line="316" w:lineRule="auto"/>
        <w:jc w:val="left"/>
        <w:sectPr>
          <w:type w:val="continuous"/>
          <w:pgSz w:w="11910" w:h="16840"/>
          <w:pgMar w:top="1060" w:bottom="1160" w:left="980" w:right="980"/>
          <w:cols w:num="2" w:equalWidth="0">
            <w:col w:w="2325" w:space="40"/>
            <w:col w:w="7585"/>
          </w:cols>
        </w:sectPr>
      </w:pPr>
    </w:p>
    <w:p>
      <w:pPr>
        <w:pStyle w:val="BodyText"/>
        <w:tabs>
          <w:tab w:pos="883" w:val="left" w:leader="none"/>
          <w:tab w:pos="2424" w:val="left" w:leader="none"/>
          <w:tab w:pos="8304" w:val="left" w:leader="none"/>
        </w:tabs>
        <w:spacing w:line="240" w:lineRule="auto" w:before="44"/>
        <w:ind w:left="468" w:right="0"/>
        <w:jc w:val="left"/>
      </w:pPr>
      <w:r>
        <w:rPr>
          <w:rFonts w:ascii="Times New Roman" w:hAnsi="Times New Roman" w:cs="Times New Roman" w:eastAsia="Times New Roman" w:hint="default"/>
        </w:rPr>
        <w:t>4</w:t>
        <w:tab/>
      </w:r>
      <w:r>
        <w:rPr/>
        <w:t>生活服务平台</w:t>
        <w:tab/>
        <w:t>开发、测试</w:t>
      </w:r>
      <w:r>
        <w:rPr>
          <w:spacing w:val="69"/>
        </w:rPr>
        <w:t> </w:t>
      </w:r>
      <w:r>
        <w:rPr/>
        <w:t>生活服务平台，一方面满足了消费者基本生活服务，给消</w:t>
        <w:tab/>
        <w:t>电信</w:t>
      </w:r>
    </w:p>
    <w:p>
      <w:pPr>
        <w:pStyle w:val="BodyText"/>
        <w:spacing w:line="312" w:lineRule="auto" w:before="63"/>
        <w:ind w:left="3484" w:right="0"/>
        <w:jc w:val="left"/>
      </w:pPr>
      <w:r>
        <w:rPr>
          <w:spacing w:val="-3"/>
        </w:rPr>
        <w:t>费者提供便利；另一方面通过</w:t>
      </w:r>
      <w:r>
        <w:rPr>
          <w:rFonts w:ascii="Times New Roman" w:hAnsi="Times New Roman" w:cs="Times New Roman" w:eastAsia="Times New Roman" w:hint="default"/>
          <w:spacing w:val="-3"/>
        </w:rPr>
        <w:t>O2O</w:t>
      </w:r>
      <w:r>
        <w:rPr>
          <w:spacing w:val="-3"/>
        </w:rPr>
        <w:t>模式进行线上线下整合，</w:t>
      </w:r>
      <w:r>
        <w:rPr>
          <w:spacing w:val="-71"/>
        </w:rPr>
        <w:t> </w:t>
      </w:r>
      <w:r>
        <w:rPr/>
        <w:t>实现与本地商家的共赢；同时该平台能为广大的小微企业 扩大服务范围、改善服务能力提供更为广阔的空间，从而 带动本地服务产业的发展以及就业。</w:t>
      </w:r>
    </w:p>
    <w:p>
      <w:pPr>
        <w:spacing w:after="0" w:line="312" w:lineRule="auto"/>
        <w:jc w:val="left"/>
        <w:sectPr>
          <w:type w:val="continuous"/>
          <w:pgSz w:w="11910" w:h="16840"/>
          <w:pgMar w:top="1060" w:bottom="1160" w:left="980" w:right="980"/>
        </w:sectPr>
      </w:pPr>
    </w:p>
    <w:p>
      <w:pPr>
        <w:pStyle w:val="BodyText"/>
        <w:tabs>
          <w:tab w:pos="883" w:val="left" w:leader="none"/>
        </w:tabs>
        <w:spacing w:line="300" w:lineRule="auto" w:before="46"/>
        <w:ind w:left="884" w:right="0" w:hanging="416"/>
        <w:jc w:val="left"/>
      </w:pPr>
      <w:r>
        <w:rPr>
          <w:rFonts w:ascii="Times New Roman" w:hAnsi="Times New Roman" w:cs="Times New Roman" w:eastAsia="Times New Roman" w:hint="default"/>
        </w:rPr>
        <w:t>5</w:t>
        <w:tab/>
      </w:r>
      <w:r>
        <w:rPr/>
        <w:t>新一代云化计费平 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tabs>
          <w:tab w:pos="883" w:val="left" w:leader="none"/>
        </w:tabs>
        <w:spacing w:line="300" w:lineRule="auto"/>
        <w:ind w:left="884" w:right="0" w:hanging="416"/>
        <w:jc w:val="left"/>
      </w:pPr>
      <w:r>
        <w:rPr>
          <w:rFonts w:ascii="Times New Roman" w:hAnsi="Times New Roman" w:cs="Times New Roman" w:eastAsia="Times New Roman" w:hint="default"/>
        </w:rPr>
        <w:t>6</w:t>
        <w:tab/>
      </w:r>
      <w:r>
        <w:rPr/>
        <w:t>大数据并行处理技 术平台</w:t>
      </w:r>
    </w:p>
    <w:p>
      <w:pPr>
        <w:spacing w:line="240" w:lineRule="auto" w:before="0"/>
        <w:rPr>
          <w:rFonts w:ascii="宋体" w:hAnsi="宋体" w:cs="宋体" w:eastAsia="宋体" w:hint="default"/>
          <w:sz w:val="18"/>
          <w:szCs w:val="18"/>
        </w:rPr>
      </w:pPr>
    </w:p>
    <w:p>
      <w:pPr>
        <w:pStyle w:val="BodyText"/>
        <w:tabs>
          <w:tab w:pos="883" w:val="left" w:leader="none"/>
        </w:tabs>
        <w:spacing w:line="300" w:lineRule="auto" w:before="133"/>
        <w:ind w:left="884" w:right="0" w:hanging="416"/>
        <w:jc w:val="left"/>
      </w:pPr>
      <w:r>
        <w:rPr>
          <w:rFonts w:ascii="Times New Roman" w:hAnsi="Times New Roman" w:cs="Times New Roman" w:eastAsia="Times New Roman" w:hint="default"/>
        </w:rPr>
        <w:t>7</w:t>
        <w:tab/>
      </w:r>
      <w:r>
        <w:rPr/>
        <w:t>中国联通虚拟运营 开放平台项目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883" w:val="left" w:leader="none"/>
        </w:tabs>
        <w:spacing w:line="240" w:lineRule="auto" w:before="127"/>
        <w:ind w:left="468" w:right="0"/>
        <w:jc w:val="left"/>
      </w:pPr>
      <w:r>
        <w:rPr>
          <w:rFonts w:ascii="Times New Roman" w:hAnsi="Times New Roman" w:cs="Times New Roman" w:eastAsia="Times New Roman" w:hint="default"/>
        </w:rPr>
        <w:t>8</w:t>
        <w:tab/>
      </w:r>
      <w:r>
        <w:rPr/>
        <w:t>中国联通</w:t>
      </w:r>
    </w:p>
    <w:p>
      <w:pPr>
        <w:pStyle w:val="BodyText"/>
        <w:spacing w:line="240" w:lineRule="auto" w:before="63"/>
        <w:ind w:left="884" w:right="0"/>
        <w:jc w:val="left"/>
      </w:pPr>
      <w:r>
        <w:rPr>
          <w:rFonts w:ascii="Times New Roman" w:hAnsi="Times New Roman" w:cs="Times New Roman" w:eastAsia="Times New Roman" w:hint="default"/>
        </w:rPr>
        <w:t>NGBSS5.0</w:t>
      </w:r>
      <w:r>
        <w:rPr/>
        <w:t>版本研</w:t>
      </w:r>
    </w:p>
    <w:p>
      <w:pPr>
        <w:pStyle w:val="BodyText"/>
        <w:spacing w:line="240" w:lineRule="auto" w:before="63"/>
        <w:ind w:left="865" w:right="879"/>
        <w:jc w:val="center"/>
      </w:pPr>
      <w:r>
        <w:rPr/>
        <w:t>发项目</w:t>
      </w:r>
    </w:p>
    <w:p>
      <w:pPr>
        <w:pStyle w:val="BodyText"/>
        <w:tabs>
          <w:tab w:pos="5940" w:val="left" w:leader="none"/>
        </w:tabs>
        <w:spacing w:line="309" w:lineRule="auto" w:before="46"/>
        <w:ind w:left="1120" w:right="1280" w:hanging="1060"/>
        <w:jc w:val="left"/>
      </w:pPr>
      <w:r>
        <w:rPr/>
        <w:br w:type="column"/>
      </w:r>
      <w:r>
        <w:rPr/>
        <w:t>开发、测试</w:t>
      </w:r>
      <w:r>
        <w:rPr>
          <w:spacing w:val="67"/>
        </w:rPr>
        <w:t> </w:t>
      </w:r>
      <w:r>
        <w:rPr/>
        <w:t>本产品实现运营商</w:t>
      </w:r>
      <w:r>
        <w:rPr>
          <w:rFonts w:ascii="Times New Roman" w:hAnsi="Times New Roman" w:cs="Times New Roman" w:eastAsia="Times New Roman" w:hint="default"/>
        </w:rPr>
        <w:t>ONEIT</w:t>
      </w:r>
      <w:r>
        <w:rPr/>
        <w:t>的支撑系统架构，极大提升运营</w:t>
        <w:tab/>
        <w:t>电信</w:t>
      </w:r>
      <w:r>
        <w:rPr>
          <w:w w:val="99"/>
        </w:rPr>
        <w:t> </w:t>
      </w:r>
      <w:r>
        <w:rPr/>
        <w:t>商全国统一服务标准的能力。系统对</w:t>
      </w:r>
      <w:r>
        <w:rPr>
          <w:rFonts w:ascii="Times New Roman" w:hAnsi="Times New Roman" w:cs="Times New Roman" w:eastAsia="Times New Roman" w:hint="default"/>
        </w:rPr>
        <w:t>4G</w:t>
      </w:r>
      <w:r>
        <w:rPr/>
        <w:t>业务的智能管道也 提出解决方案，帮助中国电信建设智能的管道，在后期</w:t>
      </w:r>
      <w:r>
        <w:rPr>
          <w:rFonts w:ascii="Times New Roman" w:hAnsi="Times New Roman" w:cs="Times New Roman" w:eastAsia="Times New Roman" w:hint="default"/>
        </w:rPr>
        <w:t>4G</w:t>
      </w:r>
      <w:r>
        <w:rPr>
          <w:rFonts w:ascii="Times New Roman" w:hAnsi="Times New Roman" w:cs="Times New Roman" w:eastAsia="Times New Roman" w:hint="default"/>
          <w:w w:val="99"/>
        </w:rPr>
        <w:t> </w:t>
      </w:r>
      <w:r>
        <w:rPr/>
        <w:t>业务中智能管道产品提供平台支撑。本系统也是一个开放 的平台，可提供计费服务供第三方使用，帮助中小企业解 决计费问题，也可以供开发者根据运营商的要求来定制一 些服务能力在本产品上运营，帮助运营商成为计费能力服 务提供商。</w:t>
      </w:r>
    </w:p>
    <w:p>
      <w:pPr>
        <w:pStyle w:val="BodyText"/>
        <w:tabs>
          <w:tab w:pos="5940" w:val="left" w:leader="none"/>
        </w:tabs>
        <w:spacing w:line="316" w:lineRule="auto" w:before="49"/>
        <w:ind w:left="1120" w:right="1280" w:hanging="1060"/>
        <w:jc w:val="left"/>
      </w:pPr>
      <w:r>
        <w:rPr/>
        <w:t>开发、测试</w:t>
      </w:r>
      <w:r>
        <w:rPr>
          <w:spacing w:val="69"/>
        </w:rPr>
        <w:t> </w:t>
      </w:r>
      <w:r>
        <w:rPr/>
        <w:t>以开源技术架构海量大数据并行计算、巨量存储、实时统</w:t>
        <w:tab/>
        <w:t>电信</w:t>
      </w:r>
      <w:r>
        <w:rPr/>
        <w:t> 计分析的平台，满足各行业客户日益增长的对大数据的分 析挖掘和需求。</w:t>
      </w:r>
    </w:p>
    <w:p>
      <w:pPr>
        <w:pStyle w:val="BodyText"/>
        <w:tabs>
          <w:tab w:pos="1120" w:val="left" w:leader="none"/>
          <w:tab w:pos="5940" w:val="left" w:leader="none"/>
        </w:tabs>
        <w:spacing w:line="304" w:lineRule="auto" w:before="44"/>
        <w:ind w:left="1120" w:right="1280" w:hanging="1060"/>
        <w:jc w:val="left"/>
      </w:pPr>
      <w:r>
        <w:rPr/>
        <w:t>已结项</w:t>
        <w:tab/>
      </w:r>
      <w:r>
        <w:rPr>
          <w:spacing w:val="-1"/>
        </w:rPr>
        <w:t>完成虚拟运营开放平台的三大基本模块</w:t>
      </w:r>
      <w:r>
        <w:rPr>
          <w:rFonts w:ascii="Times New Roman" w:hAnsi="Times New Roman" w:cs="Times New Roman" w:eastAsia="Times New Roman" w:hint="default"/>
          <w:spacing w:val="-1"/>
        </w:rPr>
        <w:t>API</w:t>
      </w:r>
      <w:r>
        <w:rPr>
          <w:spacing w:val="-1"/>
        </w:rPr>
        <w:t>接入、运营服</w:t>
        <w:tab/>
      </w:r>
      <w:r>
        <w:rPr/>
        <w:t>电信 务、结算计费的开发，完成内部测试、外部联调，并成功 </w:t>
      </w:r>
      <w:r>
        <w:rPr>
          <w:spacing w:val="-3"/>
        </w:rPr>
        <w:t>上线通过试运行。满足了中国联通关于开放平台的</w:t>
      </w:r>
      <w:r>
        <w:rPr>
          <w:rFonts w:ascii="Times New Roman" w:hAnsi="Times New Roman" w:cs="Times New Roman" w:eastAsia="Times New Roman" w:hint="default"/>
          <w:spacing w:val="-3"/>
        </w:rPr>
        <w:t>“</w:t>
      </w:r>
      <w:r>
        <w:rPr>
          <w:spacing w:val="-3"/>
        </w:rPr>
        <w:t>采用互</w:t>
      </w:r>
      <w:r>
        <w:rPr/>
        <w:t> </w:t>
      </w:r>
      <w:r>
        <w:rPr>
          <w:spacing w:val="-3"/>
        </w:rPr>
        <w:t>联网开放平台模式，对内整合</w:t>
      </w:r>
      <w:r>
        <w:rPr>
          <w:rFonts w:ascii="Times New Roman" w:hAnsi="Times New Roman" w:cs="Times New Roman" w:eastAsia="Times New Roman" w:hint="default"/>
          <w:spacing w:val="-3"/>
        </w:rPr>
        <w:t>IT</w:t>
      </w:r>
      <w:r>
        <w:rPr>
          <w:spacing w:val="-3"/>
        </w:rPr>
        <w:t>能力，对外实现一点接入、</w:t>
      </w:r>
      <w:r>
        <w:rPr/>
        <w:t> </w:t>
      </w:r>
      <w:r>
        <w:rPr>
          <w:spacing w:val="-3"/>
        </w:rPr>
        <w:t>集中管理、统一服务</w:t>
      </w:r>
      <w:r>
        <w:rPr>
          <w:rFonts w:ascii="Times New Roman" w:hAnsi="Times New Roman" w:cs="Times New Roman" w:eastAsia="Times New Roman" w:hint="default"/>
          <w:spacing w:val="-3"/>
        </w:rPr>
        <w:t>”</w:t>
      </w:r>
      <w:r>
        <w:rPr>
          <w:spacing w:val="-3"/>
        </w:rPr>
        <w:t>的系统建设要求，圆满支撑了当前一</w:t>
      </w:r>
      <w:r>
        <w:rPr/>
        <w:t> 阶段虚商业务的发展需求。</w:t>
      </w:r>
    </w:p>
    <w:p>
      <w:pPr>
        <w:pStyle w:val="BodyText"/>
        <w:tabs>
          <w:tab w:pos="5940" w:val="left" w:leader="none"/>
        </w:tabs>
        <w:spacing w:line="309" w:lineRule="auto" w:before="53"/>
        <w:ind w:left="1120" w:right="1280" w:hanging="1060"/>
        <w:jc w:val="left"/>
      </w:pPr>
      <w:r>
        <w:rPr/>
        <w:t>需求、设计</w:t>
      </w:r>
      <w:r>
        <w:rPr>
          <w:spacing w:val="69"/>
        </w:rPr>
        <w:t> </w:t>
      </w:r>
      <w:r>
        <w:rPr/>
        <w:t>完成系统的技术架构设计、技术选型以及支撑系统的</w:t>
        <w:tab/>
        <w:t>电信</w:t>
      </w:r>
      <w:r>
        <w:rPr/>
        <w:t> </w:t>
      </w:r>
      <w:r>
        <w:rPr>
          <w:rFonts w:ascii="Times New Roman" w:hAnsi="Times New Roman" w:cs="Times New Roman" w:eastAsia="Times New Roman" w:hint="default"/>
        </w:rPr>
        <w:t>level-1</w:t>
      </w:r>
      <w:r>
        <w:rPr/>
        <w:t>级业务需求和业务逻辑架构设计，并利用选定技术 完成代表性业务的</w:t>
      </w:r>
      <w:r>
        <w:rPr>
          <w:rFonts w:ascii="Times New Roman" w:hAnsi="Times New Roman" w:cs="Times New Roman" w:eastAsia="Times New Roman" w:hint="default"/>
        </w:rPr>
        <w:t>DEMO</w:t>
      </w:r>
      <w:r>
        <w:rPr/>
        <w:t>设计和开发。</w:t>
      </w:r>
    </w:p>
    <w:p>
      <w:pPr>
        <w:spacing w:after="0" w:line="309" w:lineRule="auto"/>
        <w:jc w:val="left"/>
        <w:sectPr>
          <w:type w:val="continuous"/>
          <w:pgSz w:w="11910" w:h="16840"/>
          <w:pgMar w:top="1060" w:bottom="1160" w:left="980" w:right="980"/>
          <w:cols w:num="2" w:equalWidth="0">
            <w:col w:w="2325" w:space="40"/>
            <w:col w:w="7585"/>
          </w:cols>
        </w:sectPr>
      </w:pPr>
    </w:p>
    <w:p>
      <w:pPr>
        <w:pStyle w:val="BodyText"/>
        <w:tabs>
          <w:tab w:pos="883" w:val="left" w:leader="none"/>
          <w:tab w:pos="8304" w:val="left" w:leader="none"/>
        </w:tabs>
        <w:spacing w:line="240" w:lineRule="auto" w:before="30"/>
        <w:ind w:left="468" w:right="0"/>
        <w:jc w:val="left"/>
      </w:pPr>
      <w:r>
        <w:rPr>
          <w:rFonts w:ascii="Times New Roman" w:hAnsi="Times New Roman" w:cs="Times New Roman" w:eastAsia="Times New Roman" w:hint="default"/>
        </w:rPr>
        <w:t>9</w:t>
        <w:tab/>
      </w:r>
      <w:r>
        <w:rPr/>
        <w:t>中国联通</w:t>
      </w:r>
      <w:r>
        <w:rPr>
          <w:rFonts w:ascii="Times New Roman" w:hAnsi="Times New Roman" w:cs="Times New Roman" w:eastAsia="Times New Roman" w:hint="default"/>
        </w:rPr>
        <w:t>4G</w:t>
      </w:r>
      <w:r>
        <w:rPr/>
        <w:t>业务支 试运行阶段</w:t>
      </w:r>
      <w:r>
        <w:rPr>
          <w:spacing w:val="16"/>
        </w:rPr>
        <w:t> </w:t>
      </w:r>
      <w:r>
        <w:rPr/>
        <w:t>完成对</w:t>
      </w:r>
      <w:r>
        <w:rPr>
          <w:rFonts w:ascii="Times New Roman" w:hAnsi="Times New Roman" w:cs="Times New Roman" w:eastAsia="Times New Roman" w:hint="default"/>
        </w:rPr>
        <w:t>4G</w:t>
      </w:r>
      <w:r>
        <w:rPr/>
        <w:t>移动业务的业务运营及管理支撑能力的开发，完</w:t>
        <w:tab/>
        <w:t>电信</w:t>
      </w:r>
    </w:p>
    <w:p>
      <w:pPr>
        <w:spacing w:after="0" w:line="240" w:lineRule="auto"/>
        <w:jc w:val="left"/>
        <w:sectPr>
          <w:type w:val="continuous"/>
          <w:pgSz w:w="11910" w:h="16840"/>
          <w:pgMar w:top="1060" w:bottom="1160" w:left="980" w:right="980"/>
        </w:sectPr>
      </w:pPr>
    </w:p>
    <w:p>
      <w:pPr>
        <w:pStyle w:val="BodyText"/>
        <w:spacing w:line="240" w:lineRule="auto" w:before="63"/>
        <w:ind w:left="884" w:right="0"/>
        <w:jc w:val="left"/>
      </w:pPr>
      <w:r>
        <w:rPr/>
        <w:pict>
          <v:group style="position:absolute;margin-left:55.620014pt;margin-top:71.639984pt;width:441.5pt;height:685.8pt;mso-position-horizontal-relative:page;mso-position-vertical-relative:page;z-index:-1020880" coordorigin="1112,1433" coordsize="8830,13716">
            <v:group style="position:absolute;left:1134;top:1445;width:714;height:2" coordorigin="1134,1445" coordsize="714,2">
              <v:shape style="position:absolute;left:1134;top:1445;width:714;height:2" coordorigin="1134,1445" coordsize="714,0" path="m1134,1445l1847,1445e" filled="false" stroked="true" strokeweight=".48pt" strokecolor="#a6a6a6">
                <v:path arrowok="t"/>
              </v:shape>
            </v:group>
            <v:group style="position:absolute;left:1139;top:1450;width:2;height:312" coordorigin="1139,1450" coordsize="2,312">
              <v:shape style="position:absolute;left:1139;top:1450;width:2;height:312" coordorigin="1139,1450" coordsize="0,312" path="m1139,1450l1139,1762e" filled="false" stroked="true" strokeweight=".48pt" strokecolor="#a6a6a6">
                <v:path arrowok="t"/>
              </v:shape>
            </v:group>
            <v:group style="position:absolute;left:1846;top:1450;width:2;height:312" coordorigin="1846,1450" coordsize="2,312">
              <v:shape style="position:absolute;left:1846;top:1450;width:2;height:312" coordorigin="1846,1450" coordsize="0,312" path="m1846,1450l1846,1762e" filled="false" stroked="true" strokeweight=".12pt" strokecolor="#a6a6a6">
                <v:path arrowok="t"/>
              </v:shape>
            </v:group>
            <v:group style="position:absolute;left:1134;top:1762;width:714;height:322" coordorigin="1134,1762" coordsize="714,322">
              <v:shape style="position:absolute;left:1134;top:1762;width:714;height:322" coordorigin="1134,1762" coordsize="714,322" path="m1134,2083l1847,2083,1847,1762,1134,1762,1134,2083xe" filled="true" fillcolor="#a6a6a6" stroked="false">
                <v:path arrowok="t"/>
                <v:fill type="solid"/>
              </v:shape>
            </v:group>
            <v:group style="position:absolute;left:1144;top:1450;width:702;height:312" coordorigin="1144,1450" coordsize="702,312">
              <v:shape style="position:absolute;left:1144;top:1450;width:702;height:312" coordorigin="1144,1450" coordsize="702,312" path="m1144,1762l1845,1762,1845,1450,1144,1450,1144,1762xe" filled="true" fillcolor="#a6a6a6" stroked="false">
                <v:path arrowok="t"/>
                <v:fill type="solid"/>
              </v:shape>
            </v:group>
            <v:group style="position:absolute;left:1854;top:1445;width:1533;height:2" coordorigin="1854,1445" coordsize="1533,2">
              <v:shape style="position:absolute;left:1854;top:1445;width:1533;height:2" coordorigin="1854,1445" coordsize="1533,0" path="m1854,1445l3387,1445e" filled="false" stroked="true" strokeweight=".48pt" strokecolor="#a6a6a6">
                <v:path arrowok="t"/>
              </v:shape>
            </v:group>
            <v:group style="position:absolute;left:1859;top:1450;width:2;height:312" coordorigin="1859,1450" coordsize="2,312">
              <v:shape style="position:absolute;left:1859;top:1450;width:2;height:312" coordorigin="1859,1450" coordsize="0,312" path="m1859,1450l1859,1762e" filled="false" stroked="true" strokeweight=".48pt" strokecolor="#a6a6a6">
                <v:path arrowok="t"/>
              </v:shape>
            </v:group>
            <v:group style="position:absolute;left:3386;top:1450;width:2;height:312" coordorigin="3386,1450" coordsize="2,312">
              <v:shape style="position:absolute;left:3386;top:1450;width:2;height:312" coordorigin="3386,1450" coordsize="0,312" path="m3386,1450l3386,1762e" filled="false" stroked="true" strokeweight=".12pt" strokecolor="#a6a6a6">
                <v:path arrowok="t"/>
              </v:shape>
            </v:group>
            <v:group style="position:absolute;left:1854;top:1762;width:1533;height:322" coordorigin="1854,1762" coordsize="1533,322">
              <v:shape style="position:absolute;left:1854;top:1762;width:1533;height:322" coordorigin="1854,1762" coordsize="1533,322" path="m1854,2083l3387,2083,3387,1762,1854,1762,1854,2083xe" filled="true" fillcolor="#a6a6a6" stroked="false">
                <v:path arrowok="t"/>
                <v:fill type="solid"/>
              </v:shape>
            </v:group>
            <v:group style="position:absolute;left:1864;top:1450;width:1521;height:312" coordorigin="1864,1450" coordsize="1521,312">
              <v:shape style="position:absolute;left:1864;top:1450;width:1521;height:312" coordorigin="1864,1450" coordsize="1521,312" path="m1864,1762l3384,1762,3384,1450,1864,1450,1864,1762xe" filled="true" fillcolor="#a6a6a6" stroked="false">
                <v:path arrowok="t"/>
                <v:fill type="solid"/>
              </v:shape>
            </v:group>
            <v:group style="position:absolute;left:3394;top:1445;width:1054;height:2" coordorigin="3394,1445" coordsize="1054,2">
              <v:shape style="position:absolute;left:3394;top:1445;width:1054;height:2" coordorigin="3394,1445" coordsize="1054,0" path="m3394,1445l4448,1445e" filled="false" stroked="true" strokeweight=".48pt" strokecolor="#a6a6a6">
                <v:path arrowok="t"/>
              </v:shape>
            </v:group>
            <v:group style="position:absolute;left:3399;top:1450;width:2;height:624" coordorigin="3399,1450" coordsize="2,624">
              <v:shape style="position:absolute;left:3399;top:1450;width:2;height:624" coordorigin="3399,1450" coordsize="0,624" path="m3399,1450l3399,2074e" filled="false" stroked="true" strokeweight=".53999pt" strokecolor="#a6a6a6">
                <v:path arrowok="t"/>
              </v:shape>
            </v:group>
            <v:group style="position:absolute;left:4446;top:1450;width:2;height:624" coordorigin="4446,1450" coordsize="2,624">
              <v:shape style="position:absolute;left:4446;top:1450;width:2;height:624" coordorigin="4446,1450" coordsize="0,624" path="m4446,1450l4446,2074e" filled="false" stroked="true" strokeweight=".17999pt" strokecolor="#a6a6a6">
                <v:path arrowok="t"/>
              </v:shape>
            </v:group>
            <v:group style="position:absolute;left:3394;top:2078;width:1054;height:2" coordorigin="3394,2078" coordsize="1054,2">
              <v:shape style="position:absolute;left:3394;top:2078;width:1054;height:2" coordorigin="3394,2078" coordsize="1054,0" path="m3394,2078l4448,2078e" filled="false" stroked="true" strokeweight=".48pt" strokecolor="#a6a6a6">
                <v:path arrowok="t"/>
              </v:shape>
            </v:group>
            <v:group style="position:absolute;left:3405;top:1450;width:1040;height:312" coordorigin="3405,1450" coordsize="1040,312">
              <v:shape style="position:absolute;left:3405;top:1450;width:1040;height:312" coordorigin="3405,1450" coordsize="1040,312" path="m3405,1762l4444,1762,4444,1450,3405,1450,3405,1762xe" filled="true" fillcolor="#a6a6a6" stroked="false">
                <v:path arrowok="t"/>
                <v:fill type="solid"/>
              </v:shape>
            </v:group>
            <v:group style="position:absolute;left:3405;top:1762;width:1040;height:312" coordorigin="3405,1762" coordsize="1040,312">
              <v:shape style="position:absolute;left:3405;top:1762;width:1040;height:312" coordorigin="3405,1762" coordsize="1040,312" path="m3405,2074l4444,2074,4444,1762,3405,1762,3405,2074xe" filled="true" fillcolor="#a6a6a6" stroked="false">
                <v:path arrowok="t"/>
                <v:fill type="solid"/>
              </v:shape>
            </v:group>
            <v:group style="position:absolute;left:4455;top:1445;width:4534;height:2" coordorigin="4455,1445" coordsize="4534,2">
              <v:shape style="position:absolute;left:4455;top:1445;width:4534;height:2" coordorigin="4455,1445" coordsize="4534,0" path="m4455,1445l8988,1445e" filled="false" stroked="true" strokeweight=".48pt" strokecolor="#a6a6a6">
                <v:path arrowok="t"/>
              </v:shape>
            </v:group>
            <v:group style="position:absolute;left:4460;top:1450;width:2;height:312" coordorigin="4460,1450" coordsize="2,312">
              <v:shape style="position:absolute;left:4460;top:1450;width:2;height:312" coordorigin="4460,1450" coordsize="0,312" path="m4460,1450l4460,1762e" filled="false" stroked="true" strokeweight=".48001pt" strokecolor="#a6a6a6">
                <v:path arrowok="t"/>
              </v:shape>
            </v:group>
            <v:group style="position:absolute;left:8987;top:1450;width:2;height:312" coordorigin="8987,1450" coordsize="2,312">
              <v:shape style="position:absolute;left:8987;top:1450;width:2;height:312" coordorigin="8987,1450" coordsize="0,312" path="m8987,1450l8987,1762e" filled="false" stroked="true" strokeweight=".12pt" strokecolor="#a6a6a6">
                <v:path arrowok="t"/>
              </v:shape>
            </v:group>
            <v:group style="position:absolute;left:4455;top:1762;width:4534;height:322" coordorigin="4455,1762" coordsize="4534,322">
              <v:shape style="position:absolute;left:4455;top:1762;width:4534;height:322" coordorigin="4455,1762" coordsize="4534,322" path="m4455,2083l8988,2083,8988,1762,4455,1762,4455,2083xe" filled="true" fillcolor="#a6a6a6" stroked="false">
                <v:path arrowok="t"/>
                <v:fill type="solid"/>
              </v:shape>
            </v:group>
            <v:group style="position:absolute;left:4464;top:1450;width:4522;height:312" coordorigin="4464,1450" coordsize="4522,312">
              <v:shape style="position:absolute;left:4464;top:1450;width:4522;height:312" coordorigin="4464,1450" coordsize="4522,312" path="m4464,1762l8986,1762,8986,1450,4464,1450,4464,1762xe" filled="true" fillcolor="#a6a6a6" stroked="false">
                <v:path arrowok="t"/>
                <v:fill type="solid"/>
              </v:shape>
            </v:group>
            <v:group style="position:absolute;left:8995;top:1445;width:933;height:2" coordorigin="8995,1445" coordsize="933,2">
              <v:shape style="position:absolute;left:8995;top:1445;width:933;height:2" coordorigin="8995,1445" coordsize="933,0" path="m8995,1445l9928,1445e" filled="false" stroked="true" strokeweight=".48pt" strokecolor="#a6a6a6">
                <v:path arrowok="t"/>
              </v:shape>
            </v:group>
            <v:group style="position:absolute;left:9000;top:1450;width:2;height:312" coordorigin="9000,1450" coordsize="2,312">
              <v:shape style="position:absolute;left:9000;top:1450;width:2;height:312" coordorigin="9000,1450" coordsize="0,312" path="m9000,1450l9000,1762e" filled="false" stroked="true" strokeweight=".48001pt" strokecolor="#a6a6a6">
                <v:path arrowok="t"/>
              </v:shape>
            </v:group>
            <v:group style="position:absolute;left:9926;top:1450;width:2;height:312" coordorigin="9926,1450" coordsize="2,312">
              <v:shape style="position:absolute;left:9926;top:1450;width:2;height:312" coordorigin="9926,1450" coordsize="0,312" path="m9926,1450l9926,1762e" filled="false" stroked="true" strokeweight=".12pt" strokecolor="#a6a6a6">
                <v:path arrowok="t"/>
              </v:shape>
            </v:group>
            <v:group style="position:absolute;left:8995;top:1762;width:933;height:322" coordorigin="8995,1762" coordsize="933,322">
              <v:shape style="position:absolute;left:8995;top:1762;width:933;height:322" coordorigin="8995,1762" coordsize="933,322" path="m8995,2083l9928,2083,9928,1762,8995,1762,8995,2083xe" filled="true" fillcolor="#a6a6a6" stroked="false">
                <v:path arrowok="t"/>
                <v:fill type="solid"/>
              </v:shape>
            </v:group>
            <v:group style="position:absolute;left:9005;top:1450;width:921;height:312" coordorigin="9005,1450" coordsize="921,312">
              <v:shape style="position:absolute;left:9005;top:1450;width:921;height:312" coordorigin="9005,1450" coordsize="921,312" path="m9005,1762l9925,1762,9925,1450,9005,1450,9005,1762xe" filled="true" fillcolor="#a6a6a6" stroked="false">
                <v:path arrowok="t"/>
                <v:fill type="solid"/>
              </v:shape>
            </v:group>
            <v:group style="position:absolute;left:1134;top:1445;width:714;height:2" coordorigin="1134,1445" coordsize="714,2">
              <v:shape style="position:absolute;left:1134;top:1445;width:714;height:2" coordorigin="1134,1445" coordsize="714,0" path="m1134,1445l1847,1445e" filled="false" stroked="true" strokeweight=".48pt" strokecolor="#a6a6a6">
                <v:path arrowok="t"/>
              </v:shape>
            </v:group>
            <v:group style="position:absolute;left:1847;top:1445;width:1540;height:2" coordorigin="1847,1445" coordsize="1540,2">
              <v:shape style="position:absolute;left:1847;top:1445;width:1540;height:2" coordorigin="1847,1445" coordsize="1540,0" path="m1847,1445l3387,1445e" filled="false" stroked="true" strokeweight=".48pt" strokecolor="#a6a6a6">
                <v:path arrowok="t"/>
              </v:shape>
            </v:group>
            <v:group style="position:absolute;left:3387;top:1445;width:1061;height:2" coordorigin="3387,1445" coordsize="1061,2">
              <v:shape style="position:absolute;left:3387;top:1445;width:1061;height:2" coordorigin="3387,1445" coordsize="1061,0" path="m3387,1445l4448,1445e" filled="false" stroked="true" strokeweight=".48pt" strokecolor="#a6a6a6">
                <v:path arrowok="t"/>
              </v:shape>
            </v:group>
            <v:group style="position:absolute;left:4448;top:1445;width:4541;height:2" coordorigin="4448,1445" coordsize="4541,2">
              <v:shape style="position:absolute;left:4448;top:1445;width:4541;height:2" coordorigin="4448,1445" coordsize="4541,0" path="m4448,1445l8988,1445e" filled="false" stroked="true" strokeweight=".48pt" strokecolor="#a6a6a6">
                <v:path arrowok="t"/>
              </v:shape>
            </v:group>
            <v:group style="position:absolute;left:8988;top:1445;width:940;height:2" coordorigin="8988,1445" coordsize="940,2">
              <v:shape style="position:absolute;left:8988;top:1445;width:940;height:2" coordorigin="8988,1445" coordsize="940,0" path="m8988,1445l9928,1445e" filled="false" stroked="true" strokeweight=".48pt" strokecolor="#a6a6a6">
                <v:path arrowok="t"/>
              </v:shape>
            </v:group>
            <v:group style="position:absolute;left:1134;top:2078;width:721;height:2" coordorigin="1134,2078" coordsize="721,2">
              <v:shape style="position:absolute;left:1134;top:2078;width:721;height:2" coordorigin="1134,2078" coordsize="721,0" path="m1134,2078l1854,2078e" filled="false" stroked="true" strokeweight=".48pt" strokecolor="#a6a6a6">
                <v:path arrowok="t"/>
              </v:shape>
            </v:group>
            <v:group style="position:absolute;left:1854;top:2078;width:1540;height:2" coordorigin="1854,2078" coordsize="1540,2">
              <v:shape style="position:absolute;left:1854;top:2078;width:1540;height:2" coordorigin="1854,2078" coordsize="1540,0" path="m1854,2078l3394,2078e" filled="false" stroked="true" strokeweight=".48pt" strokecolor="#a6a6a6">
                <v:path arrowok="t"/>
              </v:shape>
            </v:group>
            <v:group style="position:absolute;left:3395;top:2078;width:1059;height:2" coordorigin="3395,2078" coordsize="1059,2">
              <v:shape style="position:absolute;left:3395;top:2078;width:1059;height:2" coordorigin="3395,2078" coordsize="1059,0" path="m3395,2078l4454,2078e" filled="false" stroked="true" strokeweight=".48pt" strokecolor="#a6a6a6">
                <v:path arrowok="t"/>
              </v:shape>
            </v:group>
            <v:group style="position:absolute;left:4455;top:2078;width:4541;height:2" coordorigin="4455,2078" coordsize="4541,2">
              <v:shape style="position:absolute;left:4455;top:2078;width:4541;height:2" coordorigin="4455,2078" coordsize="4541,0" path="m4455,2078l8995,2078e" filled="false" stroked="true" strokeweight=".48pt" strokecolor="#a6a6a6">
                <v:path arrowok="t"/>
              </v:shape>
            </v:group>
            <v:group style="position:absolute;left:8995;top:2078;width:940;height:2" coordorigin="8995,2078" coordsize="940,2">
              <v:shape style="position:absolute;left:8995;top:2078;width:940;height:2" coordorigin="8995,2078" coordsize="940,0" path="m8995,2078l9935,2078e" filled="false" stroked="true" strokeweight=".48pt" strokecolor="#a6a6a6">
                <v:path arrowok="t"/>
              </v:shape>
            </v:group>
            <v:group style="position:absolute;left:1134;top:2092;width:714;height:2" coordorigin="1134,2092" coordsize="714,2">
              <v:shape style="position:absolute;left:1134;top:2092;width:714;height:2" coordorigin="1134,2092" coordsize="714,0" path="m1134,2092l1847,2092e" filled="false" stroked="true" strokeweight=".71999pt" strokecolor="#000000">
                <v:path arrowok="t"/>
              </v:shape>
            </v:group>
            <v:group style="position:absolute;left:1862;top:2092;width:1526;height:2" coordorigin="1862,2092" coordsize="1526,2">
              <v:shape style="position:absolute;left:1862;top:2092;width:1526;height:2" coordorigin="1862,2092" coordsize="1526,0" path="m1862,2092l3387,2092e" filled="false" stroked="true" strokeweight=".71999pt" strokecolor="#000000">
                <v:path arrowok="t"/>
              </v:shape>
            </v:group>
            <v:group style="position:absolute;left:3401;top:2092;width:1047;height:2" coordorigin="3401,2092" coordsize="1047,2">
              <v:shape style="position:absolute;left:3401;top:2092;width:1047;height:2" coordorigin="3401,2092" coordsize="1047,0" path="m3401,2092l4448,2092e" filled="false" stroked="true" strokeweight=".71999pt" strokecolor="#000000">
                <v:path arrowok="t"/>
              </v:shape>
            </v:group>
            <v:group style="position:absolute;left:4462;top:2092;width:4526;height:2" coordorigin="4462,2092" coordsize="4526,2">
              <v:shape style="position:absolute;left:4462;top:2092;width:4526;height:2" coordorigin="4462,2092" coordsize="4526,0" path="m4462,2092l8988,2092e" filled="false" stroked="true" strokeweight=".71999pt" strokecolor="#000000">
                <v:path arrowok="t"/>
              </v:shape>
            </v:group>
            <v:group style="position:absolute;left:9002;top:2092;width:926;height:2" coordorigin="9002,2092" coordsize="926,2">
              <v:shape style="position:absolute;left:9002;top:2092;width:926;height:2" coordorigin="9002,2092" coordsize="926,0" path="m9002,2092l9928,2092e" filled="false" stroked="true" strokeweight=".71999pt" strokecolor="#000000">
                <v:path arrowok="t"/>
              </v:shape>
            </v:group>
            <v:group style="position:absolute;left:1134;top:3052;width:714;height:2" coordorigin="1134,3052" coordsize="714,2">
              <v:shape style="position:absolute;left:1134;top:3052;width:714;height:2" coordorigin="1134,3052" coordsize="714,0" path="m1134,3052l1847,3052e" filled="false" stroked="true" strokeweight=".72pt" strokecolor="#000000">
                <v:path arrowok="t"/>
              </v:shape>
            </v:group>
            <v:group style="position:absolute;left:1862;top:3052;width:1526;height:2" coordorigin="1862,3052" coordsize="1526,2">
              <v:shape style="position:absolute;left:1862;top:3052;width:1526;height:2" coordorigin="1862,3052" coordsize="1526,0" path="m1862,3052l3387,3052e" filled="false" stroked="true" strokeweight=".72pt" strokecolor="#000000">
                <v:path arrowok="t"/>
              </v:shape>
            </v:group>
            <v:group style="position:absolute;left:3401;top:3052;width:1047;height:2" coordorigin="3401,3052" coordsize="1047,2">
              <v:shape style="position:absolute;left:3401;top:3052;width:1047;height:2" coordorigin="3401,3052" coordsize="1047,0" path="m3401,3052l4448,3052e" filled="false" stroked="true" strokeweight=".72pt" strokecolor="#000000">
                <v:path arrowok="t"/>
              </v:shape>
            </v:group>
            <v:group style="position:absolute;left:4462;top:3052;width:4526;height:2" coordorigin="4462,3052" coordsize="4526,2">
              <v:shape style="position:absolute;left:4462;top:3052;width:4526;height:2" coordorigin="4462,3052" coordsize="4526,0" path="m4462,3052l8988,3052e" filled="false" stroked="true" strokeweight=".72pt" strokecolor="#000000">
                <v:path arrowok="t"/>
              </v:shape>
            </v:group>
            <v:group style="position:absolute;left:9002;top:3052;width:926;height:2" coordorigin="9002,3052" coordsize="926,2">
              <v:shape style="position:absolute;left:9002;top:3052;width:926;height:2" coordorigin="9002,3052" coordsize="926,0" path="m9002,3052l9928,3052e" filled="false" stroked="true" strokeweight=".72pt" strokecolor="#000000">
                <v:path arrowok="t"/>
              </v:shape>
            </v:group>
            <v:group style="position:absolute;left:1134;top:3701;width:714;height:2" coordorigin="1134,3701" coordsize="714,2">
              <v:shape style="position:absolute;left:1134;top:3701;width:714;height:2" coordorigin="1134,3701" coordsize="714,0" path="m1134,3701l1847,3701e" filled="false" stroked="true" strokeweight=".72pt" strokecolor="#000000">
                <v:path arrowok="t"/>
              </v:shape>
            </v:group>
            <v:group style="position:absolute;left:1862;top:3701;width:1526;height:2" coordorigin="1862,3701" coordsize="1526,2">
              <v:shape style="position:absolute;left:1862;top:3701;width:1526;height:2" coordorigin="1862,3701" coordsize="1526,0" path="m1862,3701l3387,3701e" filled="false" stroked="true" strokeweight=".72pt" strokecolor="#000000">
                <v:path arrowok="t"/>
              </v:shape>
            </v:group>
            <v:group style="position:absolute;left:3401;top:3701;width:1047;height:2" coordorigin="3401,3701" coordsize="1047,2">
              <v:shape style="position:absolute;left:3401;top:3701;width:1047;height:2" coordorigin="3401,3701" coordsize="1047,0" path="m3401,3701l4448,3701e" filled="false" stroked="true" strokeweight=".72pt" strokecolor="#000000">
                <v:path arrowok="t"/>
              </v:shape>
            </v:group>
            <v:group style="position:absolute;left:4462;top:3701;width:4526;height:2" coordorigin="4462,3701" coordsize="4526,2">
              <v:shape style="position:absolute;left:4462;top:3701;width:4526;height:2" coordorigin="4462,3701" coordsize="4526,0" path="m4462,3701l8988,3701e" filled="false" stroked="true" strokeweight=".72pt" strokecolor="#000000">
                <v:path arrowok="t"/>
              </v:shape>
            </v:group>
            <v:group style="position:absolute;left:9002;top:3701;width:926;height:2" coordorigin="9002,3701" coordsize="926,2">
              <v:shape style="position:absolute;left:9002;top:3701;width:926;height:2" coordorigin="9002,3701" coordsize="926,0" path="m9002,3701l9928,3701e" filled="false" stroked="true" strokeweight=".72pt" strokecolor="#000000">
                <v:path arrowok="t"/>
              </v:shape>
            </v:group>
            <v:group style="position:absolute;left:1134;top:4662;width:714;height:2" coordorigin="1134,4662" coordsize="714,2">
              <v:shape style="position:absolute;left:1134;top:4662;width:714;height:2" coordorigin="1134,4662" coordsize="714,0" path="m1134,4662l1847,4662e" filled="false" stroked="true" strokeweight=".72pt" strokecolor="#000000">
                <v:path arrowok="t"/>
              </v:shape>
            </v:group>
            <v:group style="position:absolute;left:1862;top:4662;width:1526;height:2" coordorigin="1862,4662" coordsize="1526,2">
              <v:shape style="position:absolute;left:1862;top:4662;width:1526;height:2" coordorigin="1862,4662" coordsize="1526,0" path="m1862,4662l3387,4662e" filled="false" stroked="true" strokeweight=".72pt" strokecolor="#000000">
                <v:path arrowok="t"/>
              </v:shape>
            </v:group>
            <v:group style="position:absolute;left:3401;top:4662;width:1047;height:2" coordorigin="3401,4662" coordsize="1047,2">
              <v:shape style="position:absolute;left:3401;top:4662;width:1047;height:2" coordorigin="3401,4662" coordsize="1047,0" path="m3401,4662l4448,4662e" filled="false" stroked="true" strokeweight=".72pt" strokecolor="#000000">
                <v:path arrowok="t"/>
              </v:shape>
            </v:group>
            <v:group style="position:absolute;left:4462;top:4662;width:4526;height:2" coordorigin="4462,4662" coordsize="4526,2">
              <v:shape style="position:absolute;left:4462;top:4662;width:4526;height:2" coordorigin="4462,4662" coordsize="4526,0" path="m4462,4662l8988,4662e" filled="false" stroked="true" strokeweight=".72pt" strokecolor="#000000">
                <v:path arrowok="t"/>
              </v:shape>
            </v:group>
            <v:group style="position:absolute;left:9002;top:4662;width:926;height:2" coordorigin="9002,4662" coordsize="926,2">
              <v:shape style="position:absolute;left:9002;top:4662;width:926;height:2" coordorigin="9002,4662" coordsize="926,0" path="m9002,4662l9928,4662e" filled="false" stroked="true" strokeweight=".72pt" strokecolor="#000000">
                <v:path arrowok="t"/>
              </v:shape>
            </v:group>
            <v:group style="position:absolute;left:1134;top:6248;width:714;height:2" coordorigin="1134,6248" coordsize="714,2">
              <v:shape style="position:absolute;left:1134;top:6248;width:714;height:2" coordorigin="1134,6248" coordsize="714,0" path="m1134,6248l1847,6248e" filled="false" stroked="true" strokeweight=".72pt" strokecolor="#000000">
                <v:path arrowok="t"/>
              </v:shape>
            </v:group>
            <v:group style="position:absolute;left:1862;top:6248;width:1526;height:2" coordorigin="1862,6248" coordsize="1526,2">
              <v:shape style="position:absolute;left:1862;top:6248;width:1526;height:2" coordorigin="1862,6248" coordsize="1526,0" path="m1862,6248l3387,6248e" filled="false" stroked="true" strokeweight=".72pt" strokecolor="#000000">
                <v:path arrowok="t"/>
              </v:shape>
            </v:group>
            <v:group style="position:absolute;left:3401;top:6248;width:1047;height:2" coordorigin="3401,6248" coordsize="1047,2">
              <v:shape style="position:absolute;left:3401;top:6248;width:1047;height:2" coordorigin="3401,6248" coordsize="1047,0" path="m3401,6248l4448,6248e" filled="false" stroked="true" strokeweight=".72pt" strokecolor="#000000">
                <v:path arrowok="t"/>
              </v:shape>
            </v:group>
            <v:group style="position:absolute;left:4462;top:6248;width:4526;height:2" coordorigin="4462,6248" coordsize="4526,2">
              <v:shape style="position:absolute;left:4462;top:6248;width:4526;height:2" coordorigin="4462,6248" coordsize="4526,0" path="m4462,6248l8988,6248e" filled="false" stroked="true" strokeweight=".72pt" strokecolor="#000000">
                <v:path arrowok="t"/>
              </v:shape>
            </v:group>
            <v:group style="position:absolute;left:9002;top:6248;width:926;height:2" coordorigin="9002,6248" coordsize="926,2">
              <v:shape style="position:absolute;left:9002;top:6248;width:926;height:2" coordorigin="9002,6248" coordsize="926,0" path="m9002,6248l9928,6248e" filled="false" stroked="true" strokeweight=".72pt" strokecolor="#000000">
                <v:path arrowok="t"/>
              </v:shape>
            </v:group>
            <v:group style="position:absolute;left:1134;top:8769;width:714;height:2" coordorigin="1134,8769" coordsize="714,2">
              <v:shape style="position:absolute;left:1134;top:8769;width:714;height:2" coordorigin="1134,8769" coordsize="714,0" path="m1134,8769l1847,8769e" filled="false" stroked="true" strokeweight=".72pt" strokecolor="#000000">
                <v:path arrowok="t"/>
              </v:shape>
            </v:group>
            <v:group style="position:absolute;left:1862;top:8769;width:1526;height:2" coordorigin="1862,8769" coordsize="1526,2">
              <v:shape style="position:absolute;left:1862;top:8769;width:1526;height:2" coordorigin="1862,8769" coordsize="1526,0" path="m1862,8769l3387,8769e" filled="false" stroked="true" strokeweight=".72pt" strokecolor="#000000">
                <v:path arrowok="t"/>
              </v:shape>
            </v:group>
            <v:group style="position:absolute;left:3401;top:8769;width:1047;height:2" coordorigin="3401,8769" coordsize="1047,2">
              <v:shape style="position:absolute;left:3401;top:8769;width:1047;height:2" coordorigin="3401,8769" coordsize="1047,0" path="m3401,8769l4448,8769e" filled="false" stroked="true" strokeweight=".72pt" strokecolor="#000000">
                <v:path arrowok="t"/>
              </v:shape>
            </v:group>
            <v:group style="position:absolute;left:4462;top:8769;width:4526;height:2" coordorigin="4462,8769" coordsize="4526,2">
              <v:shape style="position:absolute;left:4462;top:8769;width:4526;height:2" coordorigin="4462,8769" coordsize="4526,0" path="m4462,8769l8988,8769e" filled="false" stroked="true" strokeweight=".72pt" strokecolor="#000000">
                <v:path arrowok="t"/>
              </v:shape>
            </v:group>
            <v:group style="position:absolute;left:9002;top:8769;width:926;height:2" coordorigin="9002,8769" coordsize="926,2">
              <v:shape style="position:absolute;left:9002;top:8769;width:926;height:2" coordorigin="9002,8769" coordsize="926,0" path="m9002,8769l9928,8769e" filled="false" stroked="true" strokeweight=".72pt" strokecolor="#000000">
                <v:path arrowok="t"/>
              </v:shape>
            </v:group>
            <v:group style="position:absolute;left:1134;top:9730;width:714;height:2" coordorigin="1134,9730" coordsize="714,2">
              <v:shape style="position:absolute;left:1134;top:9730;width:714;height:2" coordorigin="1134,9730" coordsize="714,0" path="m1134,9730l1847,9730e" filled="false" stroked="true" strokeweight=".71997pt" strokecolor="#000000">
                <v:path arrowok="t"/>
              </v:shape>
            </v:group>
            <v:group style="position:absolute;left:1862;top:9730;width:1526;height:2" coordorigin="1862,9730" coordsize="1526,2">
              <v:shape style="position:absolute;left:1862;top:9730;width:1526;height:2" coordorigin="1862,9730" coordsize="1526,0" path="m1862,9730l3387,9730e" filled="false" stroked="true" strokeweight=".71997pt" strokecolor="#000000">
                <v:path arrowok="t"/>
              </v:shape>
            </v:group>
            <v:group style="position:absolute;left:3401;top:9730;width:1047;height:2" coordorigin="3401,9730" coordsize="1047,2">
              <v:shape style="position:absolute;left:3401;top:9730;width:1047;height:2" coordorigin="3401,9730" coordsize="1047,0" path="m3401,9730l4448,9730e" filled="false" stroked="true" strokeweight=".71997pt" strokecolor="#000000">
                <v:path arrowok="t"/>
              </v:shape>
            </v:group>
            <v:group style="position:absolute;left:4462;top:9730;width:4526;height:2" coordorigin="4462,9730" coordsize="4526,2">
              <v:shape style="position:absolute;left:4462;top:9730;width:4526;height:2" coordorigin="4462,9730" coordsize="4526,0" path="m4462,9730l8988,9730e" filled="false" stroked="true" strokeweight=".71997pt" strokecolor="#000000">
                <v:path arrowok="t"/>
              </v:shape>
            </v:group>
            <v:group style="position:absolute;left:9002;top:9730;width:926;height:2" coordorigin="9002,9730" coordsize="926,2">
              <v:shape style="position:absolute;left:9002;top:9730;width:926;height:2" coordorigin="9002,9730" coordsize="926,0" path="m9002,9730l9928,9730e" filled="false" stroked="true" strokeweight=".71997pt" strokecolor="#000000">
                <v:path arrowok="t"/>
              </v:shape>
            </v:group>
            <v:group style="position:absolute;left:1134;top:11626;width:714;height:2" coordorigin="1134,11626" coordsize="714,2">
              <v:shape style="position:absolute;left:1134;top:11626;width:714;height:2" coordorigin="1134,11626" coordsize="714,0" path="m1134,11626l1847,11626e" filled="false" stroked="true" strokeweight=".72003pt" strokecolor="#000000">
                <v:path arrowok="t"/>
              </v:shape>
            </v:group>
            <v:group style="position:absolute;left:1862;top:11626;width:1526;height:2" coordorigin="1862,11626" coordsize="1526,2">
              <v:shape style="position:absolute;left:1862;top:11626;width:1526;height:2" coordorigin="1862,11626" coordsize="1526,0" path="m1862,11626l3387,11626e" filled="false" stroked="true" strokeweight=".72003pt" strokecolor="#000000">
                <v:path arrowok="t"/>
              </v:shape>
            </v:group>
            <v:group style="position:absolute;left:3401;top:11626;width:1047;height:2" coordorigin="3401,11626" coordsize="1047,2">
              <v:shape style="position:absolute;left:3401;top:11626;width:1047;height:2" coordorigin="3401,11626" coordsize="1047,0" path="m3401,11626l4448,11626e" filled="false" stroked="true" strokeweight=".72003pt" strokecolor="#000000">
                <v:path arrowok="t"/>
              </v:shape>
            </v:group>
            <v:group style="position:absolute;left:4462;top:11626;width:4526;height:2" coordorigin="4462,11626" coordsize="4526,2">
              <v:shape style="position:absolute;left:4462;top:11626;width:4526;height:2" coordorigin="4462,11626" coordsize="4526,0" path="m4462,11626l8988,11626e" filled="false" stroked="true" strokeweight=".72003pt" strokecolor="#000000">
                <v:path arrowok="t"/>
              </v:shape>
            </v:group>
            <v:group style="position:absolute;left:9002;top:11626;width:926;height:2" coordorigin="9002,11626" coordsize="926,2">
              <v:shape style="position:absolute;left:9002;top:11626;width:926;height:2" coordorigin="9002,11626" coordsize="926,0" path="m9002,11626l9928,11626e" filled="false" stroked="true" strokeweight=".72003pt" strokecolor="#000000">
                <v:path arrowok="t"/>
              </v:shape>
            </v:group>
            <v:group style="position:absolute;left:1134;top:12588;width:714;height:2" coordorigin="1134,12588" coordsize="714,2">
              <v:shape style="position:absolute;left:1134;top:12588;width:714;height:2" coordorigin="1134,12588" coordsize="714,0" path="m1134,12588l1847,12588e" filled="false" stroked="true" strokeweight=".72003pt" strokecolor="#000000">
                <v:path arrowok="t"/>
              </v:shape>
            </v:group>
            <v:group style="position:absolute;left:1862;top:12588;width:1526;height:2" coordorigin="1862,12588" coordsize="1526,2">
              <v:shape style="position:absolute;left:1862;top:12588;width:1526;height:2" coordorigin="1862,12588" coordsize="1526,0" path="m1862,12588l3387,12588e" filled="false" stroked="true" strokeweight=".72003pt" strokecolor="#000000">
                <v:path arrowok="t"/>
              </v:shape>
            </v:group>
            <v:group style="position:absolute;left:3401;top:12588;width:1047;height:2" coordorigin="3401,12588" coordsize="1047,2">
              <v:shape style="position:absolute;left:3401;top:12588;width:1047;height:2" coordorigin="3401,12588" coordsize="1047,0" path="m3401,12588l4448,12588e" filled="false" stroked="true" strokeweight=".72003pt" strokecolor="#000000">
                <v:path arrowok="t"/>
              </v:shape>
            </v:group>
            <v:group style="position:absolute;left:4462;top:12588;width:4526;height:2" coordorigin="4462,12588" coordsize="4526,2">
              <v:shape style="position:absolute;left:4462;top:12588;width:4526;height:2" coordorigin="4462,12588" coordsize="4526,0" path="m4462,12588l8988,12588e" filled="false" stroked="true" strokeweight=".72003pt" strokecolor="#000000">
                <v:path arrowok="t"/>
              </v:shape>
            </v:group>
            <v:group style="position:absolute;left:9002;top:12588;width:926;height:2" coordorigin="9002,12588" coordsize="926,2">
              <v:shape style="position:absolute;left:9002;top:12588;width:926;height:2" coordorigin="9002,12588" coordsize="926,0" path="m9002,12588l9928,12588e" filled="false" stroked="true" strokeweight=".72003pt" strokecolor="#000000">
                <v:path arrowok="t"/>
              </v:shape>
            </v:group>
            <v:group style="position:absolute;left:1134;top:13549;width:714;height:2" coordorigin="1134,13549" coordsize="714,2">
              <v:shape style="position:absolute;left:1134;top:13549;width:714;height:2" coordorigin="1134,13549" coordsize="714,0" path="m1134,13549l1847,13549e" filled="false" stroked="true" strokeweight=".72003pt" strokecolor="#000000">
                <v:path arrowok="t"/>
              </v:shape>
            </v:group>
            <v:group style="position:absolute;left:1862;top:13549;width:1526;height:2" coordorigin="1862,13549" coordsize="1526,2">
              <v:shape style="position:absolute;left:1862;top:13549;width:1526;height:2" coordorigin="1862,13549" coordsize="1526,0" path="m1862,13549l3387,13549e" filled="false" stroked="true" strokeweight=".72003pt" strokecolor="#000000">
                <v:path arrowok="t"/>
              </v:shape>
            </v:group>
            <v:group style="position:absolute;left:3401;top:13549;width:1047;height:2" coordorigin="3401,13549" coordsize="1047,2">
              <v:shape style="position:absolute;left:3401;top:13549;width:1047;height:2" coordorigin="3401,13549" coordsize="1047,0" path="m3401,13549l4448,13549e" filled="false" stroked="true" strokeweight=".72003pt" strokecolor="#000000">
                <v:path arrowok="t"/>
              </v:shape>
            </v:group>
            <v:group style="position:absolute;left:4462;top:13549;width:4526;height:2" coordorigin="4462,13549" coordsize="4526,2">
              <v:shape style="position:absolute;left:4462;top:13549;width:4526;height:2" coordorigin="4462,13549" coordsize="4526,0" path="m4462,13549l8988,13549e" filled="false" stroked="true" strokeweight=".72003pt" strokecolor="#000000">
                <v:path arrowok="t"/>
              </v:shape>
            </v:group>
            <v:group style="position:absolute;left:9002;top:13549;width:926;height:2" coordorigin="9002,13549" coordsize="926,2">
              <v:shape style="position:absolute;left:9002;top:13549;width:926;height:2" coordorigin="9002,13549" coordsize="926,0" path="m9002,13549l9928,13549e" filled="false" stroked="true" strokeweight=".72003pt" strokecolor="#000000">
                <v:path arrowok="t"/>
              </v:shape>
            </v:group>
            <v:group style="position:absolute;left:1120;top:15134;width:728;height:2" coordorigin="1120,15134" coordsize="728,2">
              <v:shape style="position:absolute;left:1120;top:15134;width:728;height:2" coordorigin="1120,15134" coordsize="728,0" path="m1120,15134l1847,15134e" filled="false" stroked="true" strokeweight=".71997pt" strokecolor="#000000">
                <v:path arrowok="t"/>
              </v:shape>
            </v:group>
            <v:group style="position:absolute;left:1854;top:1440;width:2;height:13702" coordorigin="1854,1440" coordsize="2,13702">
              <v:shape style="position:absolute;left:1854;top:1440;width:2;height:13702" coordorigin="1854,1440" coordsize="0,13702" path="m1854,1440l1854,15142e" filled="false" stroked="true" strokeweight=".71999pt" strokecolor="#000000">
                <v:path arrowok="t"/>
              </v:shape>
            </v:group>
            <v:group style="position:absolute;left:1862;top:15134;width:1526;height:2" coordorigin="1862,15134" coordsize="1526,2">
              <v:shape style="position:absolute;left:1862;top:15134;width:1526;height:2" coordorigin="1862,15134" coordsize="1526,0" path="m1862,15134l3387,15134e" filled="false" stroked="true" strokeweight=".71997pt" strokecolor="#000000">
                <v:path arrowok="t"/>
              </v:shape>
            </v:group>
            <v:group style="position:absolute;left:3394;top:1440;width:2;height:13702" coordorigin="3394,1440" coordsize="2,13702">
              <v:shape style="position:absolute;left:3394;top:1440;width:2;height:13702" coordorigin="3394,1440" coordsize="0,13702" path="m3394,1440l3394,15142e" filled="false" stroked="true" strokeweight=".72pt" strokecolor="#000000">
                <v:path arrowok="t"/>
              </v:shape>
            </v:group>
            <v:group style="position:absolute;left:3401;top:15134;width:1047;height:2" coordorigin="3401,15134" coordsize="1047,2">
              <v:shape style="position:absolute;left:3401;top:15134;width:1047;height:2" coordorigin="3401,15134" coordsize="1047,0" path="m3401,15134l4448,15134e" filled="false" stroked="true" strokeweight=".71997pt" strokecolor="#000000">
                <v:path arrowok="t"/>
              </v:shape>
            </v:group>
            <v:group style="position:absolute;left:4455;top:1440;width:2;height:13702" coordorigin="4455,1440" coordsize="2,13702">
              <v:shape style="position:absolute;left:4455;top:1440;width:2;height:13702" coordorigin="4455,1440" coordsize="0,13702" path="m4455,1440l4455,15142e" filled="false" stroked="true" strokeweight=".72pt" strokecolor="#000000">
                <v:path arrowok="t"/>
              </v:shape>
            </v:group>
            <v:group style="position:absolute;left:4462;top:15134;width:4526;height:2" coordorigin="4462,15134" coordsize="4526,2">
              <v:shape style="position:absolute;left:4462;top:15134;width:4526;height:2" coordorigin="4462,15134" coordsize="4526,0" path="m4462,15134l8988,15134e" filled="false" stroked="true" strokeweight=".71997pt" strokecolor="#000000">
                <v:path arrowok="t"/>
              </v:shape>
            </v:group>
            <v:group style="position:absolute;left:8995;top:1440;width:2;height:13702" coordorigin="8995,1440" coordsize="2,13702">
              <v:shape style="position:absolute;left:8995;top:1440;width:2;height:13702" coordorigin="8995,1440" coordsize="0,13702" path="m8995,1440l8995,15142e" filled="false" stroked="true" strokeweight=".72pt" strokecolor="#000000">
                <v:path arrowok="t"/>
              </v:shape>
            </v:group>
            <v:group style="position:absolute;left:9002;top:15134;width:926;height:2" coordorigin="9002,15134" coordsize="926,2">
              <v:shape style="position:absolute;left:9002;top:15134;width:926;height:2" coordorigin="9002,15134" coordsize="926,0" path="m9002,15134l9928,15134e" filled="false" stroked="true" strokeweight=".71997pt" strokecolor="#000000">
                <v:path arrowok="t"/>
              </v:shape>
            </v:group>
            <v:group style="position:absolute;left:9935;top:1440;width:2;height:13702" coordorigin="9935,1440" coordsize="2,13702">
              <v:shape style="position:absolute;left:9935;top:1440;width:2;height:13702" coordorigin="9935,1440" coordsize="0,13702" path="m9935,1440l9935,15142e" filled="false" stroked="true" strokeweight=".72pt" strokecolor="#000000">
                <v:path arrowok="t"/>
              </v:shape>
            </v:group>
            <w10:wrap type="none"/>
          </v:group>
        </w:pict>
      </w:r>
      <w:r>
        <w:rPr/>
        <w:t>撑系统研发项目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tabs>
          <w:tab w:pos="883" w:val="left" w:leader="none"/>
        </w:tabs>
        <w:spacing w:line="300" w:lineRule="auto"/>
        <w:ind w:left="884" w:right="0" w:hanging="462"/>
        <w:jc w:val="left"/>
      </w:pPr>
      <w:r>
        <w:rPr>
          <w:rFonts w:ascii="Times New Roman" w:hAnsi="Times New Roman" w:cs="Times New Roman" w:eastAsia="Times New Roman" w:hint="default"/>
        </w:rPr>
        <w:t>10</w:t>
        <w:tab/>
      </w:r>
      <w:r>
        <w:rPr/>
        <w:t>中国联通智能营销 系统研发项目</w:t>
      </w:r>
    </w:p>
    <w:p>
      <w:pPr>
        <w:pStyle w:val="BodyText"/>
        <w:spacing w:line="300" w:lineRule="auto" w:before="63"/>
        <w:ind w:left="1120" w:right="2082"/>
        <w:jc w:val="left"/>
      </w:pPr>
      <w:r>
        <w:rPr/>
        <w:br w:type="column"/>
      </w:r>
      <w:r>
        <w:rPr/>
        <w:t>成对</w:t>
      </w:r>
      <w:r>
        <w:rPr>
          <w:rFonts w:ascii="Times New Roman" w:hAnsi="Times New Roman" w:cs="Times New Roman" w:eastAsia="Times New Roman" w:hint="default"/>
        </w:rPr>
        <w:t>4G</w:t>
      </w:r>
      <w:r>
        <w:rPr/>
        <w:t>业务的计费能力开发并实现不同业务的计费流程 统一。</w:t>
      </w:r>
    </w:p>
    <w:p>
      <w:pPr>
        <w:pStyle w:val="BodyText"/>
        <w:tabs>
          <w:tab w:pos="5940" w:val="left" w:leader="none"/>
        </w:tabs>
        <w:spacing w:line="319" w:lineRule="auto" w:before="56"/>
        <w:ind w:left="1120" w:right="1280" w:hanging="1060"/>
        <w:jc w:val="left"/>
      </w:pPr>
      <w:r>
        <w:rPr/>
        <w:t>试运行阶段</w:t>
      </w:r>
      <w:r>
        <w:rPr>
          <w:spacing w:val="69"/>
        </w:rPr>
        <w:t> </w:t>
      </w:r>
      <w:r>
        <w:rPr/>
        <w:t>以大数据为基础，以用户行为为导向，建立一个以数据分</w:t>
        <w:tab/>
        <w:t>电信</w:t>
      </w:r>
      <w:r>
        <w:rPr/>
        <w:t> 析为支撑的营销服务系统，确保在用户服务过程中的精准 性和良好的用户体验性实现数据多点并发采集入库，项目 研发实现了全业务数据采集分析、用户行为的实时分析比 对以及数据分析的自我修正，改进等。</w:t>
      </w:r>
    </w:p>
    <w:p>
      <w:pPr>
        <w:spacing w:after="0" w:line="319" w:lineRule="auto"/>
        <w:jc w:val="left"/>
        <w:sectPr>
          <w:type w:val="continuous"/>
          <w:pgSz w:w="11910" w:h="16840"/>
          <w:pgMar w:top="1060" w:bottom="1160" w:left="980" w:right="980"/>
          <w:cols w:num="2" w:equalWidth="0">
            <w:col w:w="2325" w:space="40"/>
            <w:col w:w="7585"/>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735"/>
        <w:gridCol w:w="1540"/>
        <w:gridCol w:w="1061"/>
        <w:gridCol w:w="4540"/>
        <w:gridCol w:w="940"/>
      </w:tblGrid>
      <w:tr>
        <w:trPr>
          <w:trHeight w:val="1276" w:hRule="exact"/>
        </w:trPr>
        <w:tc>
          <w:tcPr>
            <w:tcW w:w="735" w:type="dxa"/>
            <w:tcBorders>
              <w:top w:val="nil" w:sz="6" w:space="0" w:color="auto"/>
              <w:left w:val="nil" w:sz="6" w:space="0" w:color="auto"/>
              <w:bottom w:val="single" w:sz="6" w:space="0" w:color="000000"/>
              <w:right w:val="single" w:sz="6" w:space="0" w:color="000000"/>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sz w:val="18"/>
              </w:rPr>
              <w:t>11</w:t>
            </w:r>
          </w:p>
        </w:tc>
        <w:tc>
          <w:tcPr>
            <w:tcW w:w="1540"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20"/>
              <w:ind w:left="2" w:right="80"/>
              <w:jc w:val="left"/>
              <w:rPr>
                <w:rFonts w:ascii="宋体" w:hAnsi="宋体" w:cs="宋体" w:eastAsia="宋体" w:hint="default"/>
                <w:sz w:val="18"/>
                <w:szCs w:val="18"/>
              </w:rPr>
            </w:pPr>
            <w:r>
              <w:rPr>
                <w:rFonts w:ascii="宋体" w:hAnsi="宋体" w:cs="宋体" w:eastAsia="宋体" w:hint="default"/>
                <w:sz w:val="18"/>
                <w:szCs w:val="18"/>
              </w:rPr>
              <w:t>中国移动财务预算 管理系统研发项目</w:t>
            </w:r>
          </w:p>
        </w:tc>
        <w:tc>
          <w:tcPr>
            <w:tcW w:w="106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试运行阶段</w:t>
            </w:r>
          </w:p>
        </w:tc>
        <w:tc>
          <w:tcPr>
            <w:tcW w:w="4540"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20"/>
              <w:ind w:left="2" w:right="21"/>
              <w:jc w:val="both"/>
              <w:rPr>
                <w:rFonts w:ascii="宋体" w:hAnsi="宋体" w:cs="宋体" w:eastAsia="宋体" w:hint="default"/>
                <w:sz w:val="18"/>
                <w:szCs w:val="18"/>
              </w:rPr>
            </w:pPr>
            <w:r>
              <w:rPr>
                <w:rFonts w:ascii="宋体" w:hAnsi="宋体" w:cs="宋体" w:eastAsia="宋体" w:hint="default"/>
                <w:sz w:val="18"/>
                <w:szCs w:val="18"/>
              </w:rPr>
              <w:t>搭建以业务项目为核心的中国移动财务预算管理系统，构 建业务财务一体化管控体系，建立完整的涵盖预算编制与 预算管控相关业务流程的信息系统支撑，从而提升全面预 算管理组织运作的有效性。</w:t>
            </w:r>
          </w:p>
        </w:tc>
        <w:tc>
          <w:tcPr>
            <w:tcW w:w="9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宋体" w:hAnsi="宋体" w:cs="宋体" w:eastAsia="宋体" w:hint="default"/>
                <w:sz w:val="18"/>
                <w:szCs w:val="18"/>
              </w:rPr>
              <w:t>电信</w:t>
            </w:r>
          </w:p>
        </w:tc>
      </w:tr>
      <w:tr>
        <w:trPr>
          <w:trHeight w:val="2520"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12</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left"/>
              <w:rPr>
                <w:rFonts w:ascii="宋体" w:hAnsi="宋体" w:cs="宋体" w:eastAsia="宋体" w:hint="default"/>
                <w:sz w:val="18"/>
                <w:szCs w:val="18"/>
              </w:rPr>
            </w:pPr>
            <w:r>
              <w:rPr>
                <w:rFonts w:ascii="宋体" w:hAnsi="宋体" w:cs="宋体" w:eastAsia="宋体" w:hint="default"/>
                <w:sz w:val="18"/>
                <w:szCs w:val="18"/>
              </w:rPr>
              <w:t>网上业务平台系统 架构升级项目</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2" w:right="3"/>
              <w:jc w:val="both"/>
              <w:rPr>
                <w:rFonts w:ascii="宋体" w:hAnsi="宋体" w:cs="宋体" w:eastAsia="宋体" w:hint="default"/>
                <w:sz w:val="18"/>
                <w:szCs w:val="18"/>
              </w:rPr>
            </w:pPr>
            <w:r>
              <w:rPr>
                <w:rFonts w:ascii="宋体" w:hAnsi="宋体" w:cs="宋体" w:eastAsia="宋体" w:hint="default"/>
                <w:spacing w:val="-4"/>
                <w:sz w:val="18"/>
                <w:szCs w:val="18"/>
              </w:rPr>
              <w:t>规划定义深交所</w:t>
            </w:r>
            <w:r>
              <w:rPr>
                <w:rFonts w:ascii="Times New Roman" w:hAnsi="Times New Roman" w:cs="Times New Roman" w:eastAsia="Times New Roman" w:hint="default"/>
                <w:spacing w:val="-4"/>
                <w:sz w:val="18"/>
                <w:szCs w:val="18"/>
              </w:rPr>
              <w:t>Java</w:t>
            </w:r>
            <w:r>
              <w:rPr>
                <w:rFonts w:ascii="宋体" w:hAnsi="宋体" w:cs="宋体" w:eastAsia="宋体" w:hint="default"/>
                <w:spacing w:val="-4"/>
                <w:sz w:val="18"/>
                <w:szCs w:val="18"/>
              </w:rPr>
              <w:t>技术平台未来</w:t>
            </w:r>
            <w:r>
              <w:rPr>
                <w:rFonts w:ascii="Times New Roman" w:hAnsi="Times New Roman" w:cs="Times New Roman" w:eastAsia="Times New Roman" w:hint="default"/>
                <w:spacing w:val="-4"/>
                <w:sz w:val="18"/>
                <w:szCs w:val="18"/>
              </w:rPr>
              <w:t>5-10</w:t>
            </w:r>
            <w:r>
              <w:rPr>
                <w:rFonts w:ascii="宋体" w:hAnsi="宋体" w:cs="宋体" w:eastAsia="宋体" w:hint="default"/>
                <w:spacing w:val="-4"/>
                <w:sz w:val="18"/>
                <w:szCs w:val="18"/>
              </w:rPr>
              <w:t>年内的技术需求，规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划网上业务平台系统愿景、系统架构，提出技术需求设计 方案，以及技术平台和相关产品的选型建议，制定项目实 </w:t>
            </w:r>
            <w:r>
              <w:rPr>
                <w:rFonts w:ascii="宋体" w:hAnsi="宋体" w:cs="宋体" w:eastAsia="宋体" w:hint="default"/>
                <w:spacing w:val="-2"/>
                <w:sz w:val="18"/>
                <w:szCs w:val="18"/>
              </w:rPr>
              <w:t>施方案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进行网上业务平台架构升级工程实施，完成网上业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务平台架构升级规划和基础平台实施，完成典型业务场景 的实现验证，在架构层面统一</w:t>
            </w:r>
            <w:r>
              <w:rPr>
                <w:rFonts w:ascii="Times New Roman" w:hAnsi="Times New Roman" w:cs="Times New Roman" w:eastAsia="Times New Roman" w:hint="default"/>
                <w:sz w:val="18"/>
                <w:szCs w:val="18"/>
              </w:rPr>
              <w:t>Java</w:t>
            </w:r>
            <w:r>
              <w:rPr>
                <w:rFonts w:ascii="宋体" w:hAnsi="宋体" w:cs="宋体" w:eastAsia="宋体" w:hint="default"/>
                <w:sz w:val="18"/>
                <w:szCs w:val="18"/>
              </w:rPr>
              <w:t>技术平台基础架构和开 发框架，实现技术架构自主可控，全面提升网上业务平台 的易用性、安全性、可用性、可扩展性。</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金融</w:t>
            </w:r>
          </w:p>
        </w:tc>
      </w:tr>
      <w:tr>
        <w:trPr>
          <w:trHeight w:val="1585"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62"/>
              <w:jc w:val="right"/>
              <w:rPr>
                <w:rFonts w:ascii="Times New Roman" w:hAnsi="Times New Roman" w:cs="Times New Roman" w:eastAsia="Times New Roman" w:hint="default"/>
                <w:sz w:val="18"/>
                <w:szCs w:val="18"/>
              </w:rPr>
            </w:pPr>
            <w:r>
              <w:rPr>
                <w:rFonts w:ascii="Times New Roman"/>
                <w:sz w:val="18"/>
              </w:rPr>
              <w:t>13</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left"/>
              <w:rPr>
                <w:rFonts w:ascii="宋体" w:hAnsi="宋体" w:cs="宋体" w:eastAsia="宋体" w:hint="default"/>
                <w:sz w:val="18"/>
                <w:szCs w:val="18"/>
              </w:rPr>
            </w:pPr>
            <w:r>
              <w:rPr>
                <w:rFonts w:ascii="宋体" w:hAnsi="宋体" w:cs="宋体" w:eastAsia="宋体" w:hint="default"/>
                <w:sz w:val="18"/>
                <w:szCs w:val="18"/>
              </w:rPr>
              <w:t>全过程管理综合服 务平台建设项目</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试运行</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完善信息化资产管理和运行维护体系，确保系统的稳定、 高效、安全运行，实现对信息化资产的全面管理，充分发 挥已有系统的效能，确保项目建设和运行维护工作质量， 加强信息化、智能化项目全过程管理，全面提升信息化、 智能化项目的管理水平，为</w:t>
            </w:r>
            <w:r>
              <w:rPr>
                <w:rFonts w:ascii="Times New Roman" w:hAnsi="Times New Roman" w:cs="Times New Roman" w:eastAsia="Times New Roman" w:hint="default"/>
                <w:sz w:val="18"/>
                <w:szCs w:val="18"/>
              </w:rPr>
              <w:t>“</w:t>
            </w:r>
            <w:r>
              <w:rPr>
                <w:rFonts w:ascii="宋体" w:hAnsi="宋体" w:cs="宋体" w:eastAsia="宋体" w:hint="default"/>
                <w:sz w:val="18"/>
                <w:szCs w:val="18"/>
              </w:rPr>
              <w:t>智慧交通</w:t>
            </w:r>
            <w:r>
              <w:rPr>
                <w:rFonts w:ascii="Times New Roman" w:hAnsi="Times New Roman" w:cs="Times New Roman" w:eastAsia="Times New Roman" w:hint="default"/>
                <w:sz w:val="18"/>
                <w:szCs w:val="18"/>
              </w:rPr>
              <w:t>”</w:t>
            </w:r>
            <w:r>
              <w:rPr>
                <w:rFonts w:ascii="宋体" w:hAnsi="宋体" w:cs="宋体" w:eastAsia="宋体" w:hint="default"/>
                <w:sz w:val="18"/>
                <w:szCs w:val="18"/>
              </w:rPr>
              <w:t>的发展保驾护航。</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交通</w:t>
            </w:r>
          </w:p>
        </w:tc>
      </w:tr>
      <w:tr>
        <w:trPr>
          <w:trHeight w:val="1585"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62"/>
              <w:jc w:val="right"/>
              <w:rPr>
                <w:rFonts w:ascii="Times New Roman" w:hAnsi="Times New Roman" w:cs="Times New Roman" w:eastAsia="Times New Roman" w:hint="default"/>
                <w:sz w:val="18"/>
                <w:szCs w:val="18"/>
              </w:rPr>
            </w:pPr>
            <w:r>
              <w:rPr>
                <w:rFonts w:ascii="Times New Roman"/>
                <w:sz w:val="18"/>
              </w:rPr>
              <w:t>14</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left"/>
              <w:rPr>
                <w:rFonts w:ascii="宋体" w:hAnsi="宋体" w:cs="宋体" w:eastAsia="宋体" w:hint="default"/>
                <w:sz w:val="18"/>
                <w:szCs w:val="18"/>
              </w:rPr>
            </w:pPr>
            <w:r>
              <w:rPr>
                <w:rFonts w:ascii="宋体" w:hAnsi="宋体" w:cs="宋体" w:eastAsia="宋体" w:hint="default"/>
                <w:sz w:val="18"/>
                <w:szCs w:val="18"/>
              </w:rPr>
              <w:t>天源迪科大数据平 台</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上线</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2" w:right="0"/>
              <w:jc w:val="both"/>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Hadoop</w:t>
            </w:r>
            <w:r>
              <w:rPr>
                <w:rFonts w:ascii="宋体" w:hAnsi="宋体" w:cs="宋体" w:eastAsia="宋体" w:hint="default"/>
                <w:sz w:val="18"/>
                <w:szCs w:val="18"/>
              </w:rPr>
              <w:t>的基础之上进行二次开发，对数据进行分层式存 储和云平台管理，并提供数据操作接口，实现海量数据的 入库、查询检索、运维管理等功能需求，并对资源群二期 的一些功能进行升级改造，实现资源群平台和大数据平台 的融合。</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公安</w:t>
            </w:r>
          </w:p>
        </w:tc>
      </w:tr>
      <w:tr>
        <w:trPr>
          <w:trHeight w:val="1273"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62"/>
              <w:jc w:val="right"/>
              <w:rPr>
                <w:rFonts w:ascii="Times New Roman" w:hAnsi="Times New Roman" w:cs="Times New Roman" w:eastAsia="Times New Roman" w:hint="default"/>
                <w:sz w:val="18"/>
                <w:szCs w:val="18"/>
              </w:rPr>
            </w:pPr>
            <w:r>
              <w:rPr>
                <w:rFonts w:ascii="Times New Roman"/>
                <w:sz w:val="18"/>
              </w:rPr>
              <w:t>15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left"/>
              <w:rPr>
                <w:rFonts w:ascii="宋体" w:hAnsi="宋体" w:cs="宋体" w:eastAsia="宋体" w:hint="default"/>
                <w:sz w:val="18"/>
                <w:szCs w:val="18"/>
              </w:rPr>
            </w:pPr>
            <w:r>
              <w:rPr>
                <w:rFonts w:ascii="宋体" w:hAnsi="宋体" w:cs="宋体" w:eastAsia="宋体" w:hint="default"/>
                <w:sz w:val="18"/>
                <w:szCs w:val="18"/>
              </w:rPr>
              <w:t>地铁公安综合应用 平台</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地铁公安综合应用平台是整合及运用公安和地铁的各种信 息资源，实现多方位的信息交流，为地铁日常治安管理、 侦查办案、应急指挥提供强有力的保障。建设内容包括基 础警务管理、应急指挥、情报分析等三大核心功能。</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公安</w:t>
            </w:r>
          </w:p>
        </w:tc>
      </w:tr>
      <w:tr>
        <w:trPr>
          <w:trHeight w:val="1273"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16</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0"/>
              <w:jc w:val="left"/>
              <w:rPr>
                <w:rFonts w:ascii="宋体" w:hAnsi="宋体" w:cs="宋体" w:eastAsia="宋体" w:hint="default"/>
                <w:sz w:val="18"/>
                <w:szCs w:val="18"/>
              </w:rPr>
            </w:pPr>
            <w:r>
              <w:rPr>
                <w:rFonts w:ascii="宋体" w:hAnsi="宋体" w:cs="宋体" w:eastAsia="宋体" w:hint="default"/>
                <w:sz w:val="18"/>
                <w:szCs w:val="18"/>
              </w:rPr>
              <w:t>综合数据研判软件 项目</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21"/>
              <w:jc w:val="both"/>
              <w:rPr>
                <w:rFonts w:ascii="宋体" w:hAnsi="宋体" w:cs="宋体" w:eastAsia="宋体" w:hint="default"/>
                <w:sz w:val="18"/>
                <w:szCs w:val="18"/>
              </w:rPr>
            </w:pPr>
            <w:r>
              <w:rPr>
                <w:rFonts w:ascii="宋体" w:hAnsi="宋体" w:cs="宋体" w:eastAsia="宋体" w:hint="default"/>
                <w:sz w:val="18"/>
                <w:szCs w:val="18"/>
              </w:rPr>
              <w:t>为信息部门提供融合智能查询、全业务比对、综合研判、 业务支撑、数据管理为一体的综合综合解决方案，实现对 海量数据的高性能处理，提供线索主动挖掘和智能推荐应 用，满足一线实战单位对数据日益增长的使用需求。</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公安</w:t>
            </w:r>
          </w:p>
        </w:tc>
      </w:tr>
      <w:tr>
        <w:trPr>
          <w:trHeight w:val="3458"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17</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0"/>
              <w:jc w:val="left"/>
              <w:rPr>
                <w:rFonts w:ascii="宋体" w:hAnsi="宋体" w:cs="宋体" w:eastAsia="宋体" w:hint="default"/>
                <w:sz w:val="18"/>
                <w:szCs w:val="18"/>
              </w:rPr>
            </w:pPr>
            <w:r>
              <w:rPr>
                <w:rFonts w:ascii="宋体" w:hAnsi="宋体" w:cs="宋体" w:eastAsia="宋体" w:hint="default"/>
                <w:sz w:val="18"/>
                <w:szCs w:val="18"/>
              </w:rPr>
              <w:t>城市道路交通流采 集分析软件</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试运行</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21"/>
              <w:jc w:val="left"/>
              <w:rPr>
                <w:rFonts w:ascii="宋体" w:hAnsi="宋体" w:cs="宋体" w:eastAsia="宋体" w:hint="default"/>
                <w:sz w:val="18"/>
                <w:szCs w:val="18"/>
              </w:rPr>
            </w:pPr>
            <w:r>
              <w:rPr>
                <w:rFonts w:ascii="宋体" w:hAnsi="宋体" w:cs="宋体" w:eastAsia="宋体" w:hint="default"/>
                <w:sz w:val="18"/>
                <w:szCs w:val="18"/>
              </w:rPr>
              <w:t>汇集大量交通流数据（例如：流量、车速、占有率等）， 结合道路交通网数据以及道路交通参与者出行行为进行综 合分析，形成可以评价道路交通状况的标准与依据，并依 托智能展示媒介（例如：诱导板、手机、网站等）对公众 进行播报，最终实现交通流在路网中各个路段上的合理分 配，从而达到减少车辆在道路上的逗留时间，缓解道路交 通压力，加快市民出行效率。 集成智能交通流采集设备，实时收集交通流数据，采用滤 </w:t>
            </w:r>
            <w:r>
              <w:rPr>
                <w:rFonts w:ascii="宋体" w:hAnsi="宋体" w:cs="宋体" w:eastAsia="宋体" w:hint="default"/>
                <w:spacing w:val="-3"/>
                <w:sz w:val="18"/>
                <w:szCs w:val="18"/>
              </w:rPr>
              <w:t>波算法进行数据筛选，以时间、空间为维度进行综合分析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评估交通流态势，形成实时道路交通状况。应用消息推送 </w:t>
            </w:r>
            <w:r>
              <w:rPr>
                <w:rFonts w:ascii="宋体" w:hAnsi="宋体" w:cs="宋体" w:eastAsia="宋体" w:hint="default"/>
                <w:spacing w:val="-3"/>
                <w:sz w:val="18"/>
                <w:szCs w:val="18"/>
              </w:rPr>
              <w:t>技术，将实时路况发布至诱导板、手机、网站等诱导媒介</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公安</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61"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18</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交通诱导系统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试运行</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21"/>
              <w:jc w:val="both"/>
              <w:rPr>
                <w:rFonts w:ascii="宋体" w:hAnsi="宋体" w:cs="宋体" w:eastAsia="宋体" w:hint="default"/>
                <w:sz w:val="18"/>
                <w:szCs w:val="18"/>
              </w:rPr>
            </w:pPr>
            <w:r>
              <w:rPr>
                <w:rFonts w:ascii="宋体" w:hAnsi="宋体" w:cs="宋体" w:eastAsia="宋体" w:hint="default"/>
                <w:sz w:val="18"/>
                <w:szCs w:val="18"/>
              </w:rPr>
              <w:t>通过交通流量监测器、人工采集流量信息，经过流量数据 分析，形成交通实时路况、文字信息，并依托各类显示介 质发布诱导信息，把人、车、路综合起来考虑，通过诱导</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公安</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6" w:lineRule="auto"/>
        <w:ind w:left="3484" w:right="1959"/>
        <w:jc w:val="both"/>
      </w:pPr>
      <w:r>
        <w:rPr/>
        <w:t>道路使用者的出行行为来改善路面交通系统，防止交通阻 塞的发生，减少车辆在道路上的逗留时间，并且最终实现 交通流在路网中各个路段上的合理分配。</w:t>
      </w:r>
    </w:p>
    <w:p>
      <w:pPr>
        <w:pStyle w:val="BodyText"/>
        <w:tabs>
          <w:tab w:pos="883" w:val="left" w:leader="none"/>
          <w:tab w:pos="8304" w:val="left" w:leader="none"/>
        </w:tabs>
        <w:spacing w:line="240" w:lineRule="auto" w:before="44"/>
        <w:ind w:left="422" w:right="0"/>
        <w:jc w:val="left"/>
      </w:pPr>
      <w:r>
        <w:rPr>
          <w:rFonts w:ascii="Times New Roman" w:hAnsi="Times New Roman" w:cs="Times New Roman" w:eastAsia="Times New Roman" w:hint="default"/>
        </w:rPr>
        <w:t>19</w:t>
        <w:tab/>
      </w:r>
      <w:r>
        <w:rPr/>
        <w:t>五心养老服务平台 开发、上线</w:t>
      </w:r>
      <w:r>
        <w:rPr>
          <w:spacing w:val="87"/>
        </w:rPr>
        <w:t> </w:t>
      </w:r>
      <w:r>
        <w:rPr>
          <w:spacing w:val="-3"/>
        </w:rPr>
        <w:t>基于大数据时代的物联网技术，以新一代智能腕表为载体，</w:t>
        <w:tab/>
      </w:r>
      <w:r>
        <w:rPr/>
        <w:t>其他</w:t>
      </w:r>
    </w:p>
    <w:p>
      <w:pPr>
        <w:pStyle w:val="BodyText"/>
        <w:spacing w:line="314" w:lineRule="auto" w:before="63"/>
        <w:ind w:left="3484" w:right="1959"/>
        <w:jc w:val="both"/>
      </w:pPr>
      <w:r>
        <w:rPr/>
        <w:t>研究和改善当今老龄化社会的养老难的问题。通过监控老 人的身体心率，血压，血氧等健康数据，和</w:t>
      </w:r>
      <w:r>
        <w:rPr>
          <w:rFonts w:ascii="Times New Roman" w:hAnsi="Times New Roman" w:cs="Times New Roman" w:eastAsia="Times New Roman" w:hint="default"/>
        </w:rPr>
        <w:t>7*24</w:t>
      </w:r>
      <w:r>
        <w:rPr/>
        <w:t>小时的位 置数据，配合强大的后台服务中心，呼叫中西和第三方机 构组成的服务网，实现对老年用户的健康，心理，安全， 生活起居等全方位的服务与关怀。</w:t>
      </w:r>
    </w:p>
    <w:p>
      <w:pPr>
        <w:spacing w:after="0" w:line="314" w:lineRule="auto"/>
        <w:jc w:val="both"/>
        <w:sectPr>
          <w:pgSz w:w="11910" w:h="16840"/>
          <w:pgMar w:header="747" w:footer="979" w:top="1060" w:bottom="1160" w:left="980" w:right="980"/>
        </w:sectPr>
      </w:pPr>
    </w:p>
    <w:p>
      <w:pPr>
        <w:pStyle w:val="BodyText"/>
        <w:tabs>
          <w:tab w:pos="883" w:val="left" w:leader="none"/>
        </w:tabs>
        <w:spacing w:line="300" w:lineRule="auto" w:before="46"/>
        <w:ind w:left="884" w:right="0" w:hanging="462"/>
        <w:jc w:val="left"/>
      </w:pPr>
      <w:r>
        <w:rPr>
          <w:rFonts w:ascii="Times New Roman" w:hAnsi="Times New Roman" w:cs="Times New Roman" w:eastAsia="Times New Roman" w:hint="default"/>
        </w:rPr>
        <w:t>20</w:t>
        <w:tab/>
      </w:r>
      <w:r>
        <w:rPr/>
        <w:t>永城保险非车险理 赔</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tabs>
          <w:tab w:pos="883" w:val="left" w:leader="none"/>
        </w:tabs>
        <w:spacing w:line="300" w:lineRule="auto"/>
        <w:ind w:left="884" w:right="0" w:hanging="462"/>
        <w:jc w:val="left"/>
      </w:pPr>
      <w:r>
        <w:rPr>
          <w:rFonts w:ascii="Times New Roman" w:hAnsi="Times New Roman" w:cs="Times New Roman" w:eastAsia="Times New Roman" w:hint="default"/>
        </w:rPr>
        <w:t>21</w:t>
        <w:tab/>
      </w:r>
      <w:r>
        <w:rPr/>
        <w:t>慧通时代机动车安 检</w:t>
      </w:r>
    </w:p>
    <w:p>
      <w:pPr>
        <w:pStyle w:val="BodyText"/>
        <w:tabs>
          <w:tab w:pos="1120" w:val="left" w:leader="none"/>
          <w:tab w:pos="5940" w:val="left" w:leader="none"/>
        </w:tabs>
        <w:spacing w:line="316" w:lineRule="auto" w:before="46"/>
        <w:ind w:left="1120" w:right="1280" w:hanging="1060"/>
        <w:jc w:val="left"/>
      </w:pPr>
      <w:r>
        <w:rPr/>
        <w:br w:type="column"/>
      </w:r>
      <w:r>
        <w:rPr/>
        <w:t>试运行</w:t>
        <w:tab/>
        <w:t>为永诚保险设计和实现基于移动互联网的新一代理赔解决</w:t>
        <w:tab/>
        <w:t>金融 方案，解决客户等待时间长，工作分配不均衡，工作强度 较大，资源浪费严重等问题。并借此机会形成保险行业内 </w:t>
      </w:r>
      <w:r>
        <w:rPr>
          <w:spacing w:val="-3"/>
        </w:rPr>
        <w:t>适应与各类险种的统一受理平台，并实现险种可灵活扩展，</w:t>
      </w:r>
      <w:r>
        <w:rPr/>
        <w:t> 办理流程可统一配置，统一管理，统一发布的目标。</w:t>
      </w:r>
    </w:p>
    <w:p>
      <w:pPr>
        <w:pStyle w:val="BodyText"/>
        <w:tabs>
          <w:tab w:pos="1120" w:val="left" w:leader="none"/>
          <w:tab w:pos="5940" w:val="left" w:leader="none"/>
        </w:tabs>
        <w:spacing w:line="316" w:lineRule="auto" w:before="44"/>
        <w:ind w:left="1120" w:right="1280" w:hanging="1060"/>
        <w:jc w:val="left"/>
      </w:pPr>
      <w:r>
        <w:rPr/>
        <w:t>试运行</w:t>
        <w:tab/>
        <w:t>本着节省警力资源、规范民警队伍、方便群众、加强对机</w:t>
        <w:tab/>
        <w:t>公安 </w:t>
      </w:r>
      <w:r>
        <w:rPr>
          <w:spacing w:val="-3"/>
        </w:rPr>
        <w:t>动车安全技术检验机构的监管力度的原则，拟实施本项目。</w:t>
      </w:r>
      <w:r>
        <w:rPr/>
        <w:t> 并定于湖北省各地市车管所建立机动车检验监管中心，安 装机动车安全技术检验监管平台，通过机动车安全技术检 测机构与公安交通管理部门公安信息网络联网，运用技术 </w:t>
      </w:r>
      <w:r>
        <w:rPr>
          <w:spacing w:val="-3"/>
        </w:rPr>
        <w:t>手段，实现机动车安全技术检验和查验过程全程视频监控、</w:t>
      </w:r>
      <w:r>
        <w:rPr/>
        <w:t> 车辆外观远程查验、检测数据实时传输、检验合格标志远 程打印、核发。</w:t>
      </w:r>
    </w:p>
    <w:p>
      <w:pPr>
        <w:spacing w:after="0" w:line="316" w:lineRule="auto"/>
        <w:jc w:val="left"/>
        <w:sectPr>
          <w:type w:val="continuous"/>
          <w:pgSz w:w="11910" w:h="16840"/>
          <w:pgMar w:top="1060" w:bottom="1160" w:left="980" w:right="980"/>
          <w:cols w:num="2" w:equalWidth="0">
            <w:col w:w="2325" w:space="40"/>
            <w:col w:w="7585"/>
          </w:cols>
        </w:sectPr>
      </w:pPr>
    </w:p>
    <w:p>
      <w:pPr>
        <w:pStyle w:val="BodyText"/>
        <w:tabs>
          <w:tab w:pos="883" w:val="left" w:leader="none"/>
          <w:tab w:pos="2424" w:val="left" w:leader="none"/>
          <w:tab w:pos="3484" w:val="left" w:leader="none"/>
          <w:tab w:pos="8304" w:val="left" w:leader="none"/>
        </w:tabs>
        <w:spacing w:line="240" w:lineRule="auto" w:before="44"/>
        <w:ind w:left="422" w:right="0"/>
        <w:jc w:val="left"/>
      </w:pPr>
      <w:r>
        <w:rPr>
          <w:rFonts w:ascii="Times New Roman" w:hAnsi="Times New Roman" w:cs="Times New Roman" w:eastAsia="Times New Roman" w:hint="default"/>
        </w:rPr>
        <w:t>22</w:t>
        <w:tab/>
      </w:r>
      <w:r>
        <w:rPr/>
        <w:t>税务综合应用类</w:t>
        <w:tab/>
        <w:t>开发</w:t>
        <w:tab/>
        <w:t>主要围绕税务行业综合应用类项目进一步升级的需求，提</w:t>
        <w:tab/>
        <w:t>税务</w:t>
      </w:r>
    </w:p>
    <w:p>
      <w:pPr>
        <w:pStyle w:val="BodyText"/>
        <w:spacing w:line="316" w:lineRule="auto" w:before="63"/>
        <w:ind w:left="3484" w:right="1959"/>
        <w:jc w:val="both"/>
      </w:pPr>
      <w:r>
        <w:rPr/>
        <w:t>供全方位信息化应用服务和信息技术手段，满足对网上报 税进行二期升级开发、两税比对项目整改、绩效管理优化 验收、项目预算管理二期建设维护管理、政务门户维护管 理等综合信息化升级优化管理。以此适应日益增长的业务 需求和规范内部的流程管理，提高业务处理能力和管理能 力，完善税务服务与管理机制，优化纳税服务，增强税务 绩效管理和工作创新，加强税务监管力度，切实提升税务 单位行政执行力、服务效能与质量及纳税人满意度。</w:t>
      </w:r>
    </w:p>
    <w:p>
      <w:pPr>
        <w:spacing w:after="0" w:line="316" w:lineRule="auto"/>
        <w:jc w:val="both"/>
        <w:sectPr>
          <w:type w:val="continuous"/>
          <w:pgSz w:w="11910" w:h="16840"/>
          <w:pgMar w:top="1060" w:bottom="1160" w:left="980" w:right="980"/>
        </w:sectPr>
      </w:pPr>
    </w:p>
    <w:p>
      <w:pPr>
        <w:pStyle w:val="BodyText"/>
        <w:tabs>
          <w:tab w:pos="883" w:val="left" w:leader="none"/>
        </w:tabs>
        <w:spacing w:line="300" w:lineRule="auto" w:before="43"/>
        <w:ind w:left="884" w:right="0" w:hanging="462"/>
        <w:jc w:val="left"/>
      </w:pPr>
      <w:r>
        <w:rPr/>
        <w:pict>
          <v:group style="position:absolute;margin-left:55.620014pt;margin-top:71.639984pt;width:441.5pt;height:697.7pt;mso-position-horizontal-relative:page;mso-position-vertical-relative:page;z-index:-1020856" coordorigin="1112,1433" coordsize="8830,13954">
            <v:group style="position:absolute;left:1134;top:2404;width:714;height:2" coordorigin="1134,2404" coordsize="714,2">
              <v:shape style="position:absolute;left:1134;top:2404;width:714;height:2" coordorigin="1134,2404" coordsize="714,0" path="m1134,2404l1847,2404e" filled="false" stroked="true" strokeweight=".72pt" strokecolor="#000000">
                <v:path arrowok="t"/>
              </v:shape>
            </v:group>
            <v:group style="position:absolute;left:1862;top:2404;width:1526;height:2" coordorigin="1862,2404" coordsize="1526,2">
              <v:shape style="position:absolute;left:1862;top:2404;width:1526;height:2" coordorigin="1862,2404" coordsize="1526,0" path="m1862,2404l3387,2404e" filled="false" stroked="true" strokeweight=".72pt" strokecolor="#000000">
                <v:path arrowok="t"/>
              </v:shape>
            </v:group>
            <v:group style="position:absolute;left:3401;top:2404;width:1047;height:2" coordorigin="3401,2404" coordsize="1047,2">
              <v:shape style="position:absolute;left:3401;top:2404;width:1047;height:2" coordorigin="3401,2404" coordsize="1047,0" path="m3401,2404l4448,2404e" filled="false" stroked="true" strokeweight=".72pt" strokecolor="#000000">
                <v:path arrowok="t"/>
              </v:shape>
            </v:group>
            <v:group style="position:absolute;left:4462;top:2404;width:4526;height:2" coordorigin="4462,2404" coordsize="4526,2">
              <v:shape style="position:absolute;left:4462;top:2404;width:4526;height:2" coordorigin="4462,2404" coordsize="4526,0" path="m4462,2404l8988,2404e" filled="false" stroked="true" strokeweight=".72pt" strokecolor="#000000">
                <v:path arrowok="t"/>
              </v:shape>
            </v:group>
            <v:group style="position:absolute;left:9002;top:2404;width:926;height:2" coordorigin="9002,2404" coordsize="926,2">
              <v:shape style="position:absolute;left:9002;top:2404;width:926;height:2" coordorigin="9002,2404" coordsize="926,0" path="m9002,2404l9928,2404e" filled="false" stroked="true" strokeweight=".72pt" strokecolor="#000000">
                <v:path arrowok="t"/>
              </v:shape>
            </v:group>
            <v:group style="position:absolute;left:1134;top:4300;width:714;height:2" coordorigin="1134,4300" coordsize="714,2">
              <v:shape style="position:absolute;left:1134;top:4300;width:714;height:2" coordorigin="1134,4300" coordsize="714,0" path="m1134,4300l1847,4300e" filled="false" stroked="true" strokeweight=".72pt" strokecolor="#000000">
                <v:path arrowok="t"/>
              </v:shape>
            </v:group>
            <v:group style="position:absolute;left:1862;top:4300;width:1526;height:2" coordorigin="1862,4300" coordsize="1526,2">
              <v:shape style="position:absolute;left:1862;top:4300;width:1526;height:2" coordorigin="1862,4300" coordsize="1526,0" path="m1862,4300l3387,4300e" filled="false" stroked="true" strokeweight=".72pt" strokecolor="#000000">
                <v:path arrowok="t"/>
              </v:shape>
            </v:group>
            <v:group style="position:absolute;left:3401;top:4300;width:1047;height:2" coordorigin="3401,4300" coordsize="1047,2">
              <v:shape style="position:absolute;left:3401;top:4300;width:1047;height:2" coordorigin="3401,4300" coordsize="1047,0" path="m3401,4300l4448,4300e" filled="false" stroked="true" strokeweight=".72pt" strokecolor="#000000">
                <v:path arrowok="t"/>
              </v:shape>
            </v:group>
            <v:group style="position:absolute;left:4462;top:4300;width:4526;height:2" coordorigin="4462,4300" coordsize="4526,2">
              <v:shape style="position:absolute;left:4462;top:4300;width:4526;height:2" coordorigin="4462,4300" coordsize="4526,0" path="m4462,4300l8988,4300e" filled="false" stroked="true" strokeweight=".72pt" strokecolor="#000000">
                <v:path arrowok="t"/>
              </v:shape>
            </v:group>
            <v:group style="position:absolute;left:9002;top:4300;width:926;height:2" coordorigin="9002,4300" coordsize="926,2">
              <v:shape style="position:absolute;left:9002;top:4300;width:926;height:2" coordorigin="9002,4300" coordsize="926,0" path="m9002,4300l9928,4300e" filled="false" stroked="true" strokeweight=".72pt" strokecolor="#000000">
                <v:path arrowok="t"/>
              </v:shape>
            </v:group>
            <v:group style="position:absolute;left:1134;top:5885;width:714;height:2" coordorigin="1134,5885" coordsize="714,2">
              <v:shape style="position:absolute;left:1134;top:5885;width:714;height:2" coordorigin="1134,5885" coordsize="714,0" path="m1134,5885l1847,5885e" filled="false" stroked="true" strokeweight=".72pt" strokecolor="#000000">
                <v:path arrowok="t"/>
              </v:shape>
            </v:group>
            <v:group style="position:absolute;left:1862;top:5885;width:1526;height:2" coordorigin="1862,5885" coordsize="1526,2">
              <v:shape style="position:absolute;left:1862;top:5885;width:1526;height:2" coordorigin="1862,5885" coordsize="1526,0" path="m1862,5885l3387,5885e" filled="false" stroked="true" strokeweight=".72pt" strokecolor="#000000">
                <v:path arrowok="t"/>
              </v:shape>
            </v:group>
            <v:group style="position:absolute;left:3401;top:5885;width:1047;height:2" coordorigin="3401,5885" coordsize="1047,2">
              <v:shape style="position:absolute;left:3401;top:5885;width:1047;height:2" coordorigin="3401,5885" coordsize="1047,0" path="m3401,5885l4448,5885e" filled="false" stroked="true" strokeweight=".72pt" strokecolor="#000000">
                <v:path arrowok="t"/>
              </v:shape>
            </v:group>
            <v:group style="position:absolute;left:4462;top:5885;width:4526;height:2" coordorigin="4462,5885" coordsize="4526,2">
              <v:shape style="position:absolute;left:4462;top:5885;width:4526;height:2" coordorigin="4462,5885" coordsize="4526,0" path="m4462,5885l8988,5885e" filled="false" stroked="true" strokeweight=".72pt" strokecolor="#000000">
                <v:path arrowok="t"/>
              </v:shape>
            </v:group>
            <v:group style="position:absolute;left:9002;top:5885;width:926;height:2" coordorigin="9002,5885" coordsize="926,2">
              <v:shape style="position:absolute;left:9002;top:5885;width:926;height:2" coordorigin="9002,5885" coordsize="926,0" path="m9002,5885l9928,5885e" filled="false" stroked="true" strokeweight=".72pt" strokecolor="#000000">
                <v:path arrowok="t"/>
              </v:shape>
            </v:group>
            <v:group style="position:absolute;left:1134;top:8407;width:714;height:2" coordorigin="1134,8407" coordsize="714,2">
              <v:shape style="position:absolute;left:1134;top:8407;width:714;height:2" coordorigin="1134,8407" coordsize="714,0" path="m1134,8407l1847,8407e" filled="false" stroked="true" strokeweight=".73999pt" strokecolor="#000000">
                <v:path arrowok="t"/>
              </v:shape>
            </v:group>
            <v:group style="position:absolute;left:1862;top:8407;width:1526;height:2" coordorigin="1862,8407" coordsize="1526,2">
              <v:shape style="position:absolute;left:1862;top:8407;width:1526;height:2" coordorigin="1862,8407" coordsize="1526,0" path="m1862,8407l3387,8407e" filled="false" stroked="true" strokeweight=".73999pt" strokecolor="#000000">
                <v:path arrowok="t"/>
              </v:shape>
            </v:group>
            <v:group style="position:absolute;left:3401;top:8407;width:1047;height:2" coordorigin="3401,8407" coordsize="1047,2">
              <v:shape style="position:absolute;left:3401;top:8407;width:1047;height:2" coordorigin="3401,8407" coordsize="1047,0" path="m3401,8407l4448,8407e" filled="false" stroked="true" strokeweight=".73999pt" strokecolor="#000000">
                <v:path arrowok="t"/>
              </v:shape>
            </v:group>
            <v:group style="position:absolute;left:4462;top:8407;width:4526;height:2" coordorigin="4462,8407" coordsize="4526,2">
              <v:shape style="position:absolute;left:4462;top:8407;width:4526;height:2" coordorigin="4462,8407" coordsize="4526,0" path="m4462,8407l8988,8407e" filled="false" stroked="true" strokeweight=".73999pt" strokecolor="#000000">
                <v:path arrowok="t"/>
              </v:shape>
            </v:group>
            <v:group style="position:absolute;left:9002;top:8407;width:926;height:2" coordorigin="9002,8407" coordsize="926,2">
              <v:shape style="position:absolute;left:9002;top:8407;width:926;height:2" coordorigin="9002,8407" coordsize="926,0" path="m9002,8407l9928,8407e" filled="false" stroked="true" strokeweight=".73999pt" strokecolor="#000000">
                <v:path arrowok="t"/>
              </v:shape>
            </v:group>
            <v:group style="position:absolute;left:1134;top:11240;width:714;height:2" coordorigin="1134,11240" coordsize="714,2">
              <v:shape style="position:absolute;left:1134;top:11240;width:714;height:2" coordorigin="1134,11240" coordsize="714,0" path="m1134,11240l1847,11240e" filled="false" stroked="true" strokeweight=".71997pt" strokecolor="#000000">
                <v:path arrowok="t"/>
              </v:shape>
            </v:group>
            <v:group style="position:absolute;left:1862;top:11240;width:1526;height:2" coordorigin="1862,11240" coordsize="1526,2">
              <v:shape style="position:absolute;left:1862;top:11240;width:1526;height:2" coordorigin="1862,11240" coordsize="1526,0" path="m1862,11240l3387,11240e" filled="false" stroked="true" strokeweight=".71997pt" strokecolor="#000000">
                <v:path arrowok="t"/>
              </v:shape>
            </v:group>
            <v:group style="position:absolute;left:3401;top:11240;width:1047;height:2" coordorigin="3401,11240" coordsize="1047,2">
              <v:shape style="position:absolute;left:3401;top:11240;width:1047;height:2" coordorigin="3401,11240" coordsize="1047,0" path="m3401,11240l4448,11240e" filled="false" stroked="true" strokeweight=".71997pt" strokecolor="#000000">
                <v:path arrowok="t"/>
              </v:shape>
            </v:group>
            <v:group style="position:absolute;left:4462;top:11240;width:4526;height:2" coordorigin="4462,11240" coordsize="4526,2">
              <v:shape style="position:absolute;left:4462;top:11240;width:4526;height:2" coordorigin="4462,11240" coordsize="4526,0" path="m4462,11240l8988,11240e" filled="false" stroked="true" strokeweight=".71997pt" strokecolor="#000000">
                <v:path arrowok="t"/>
              </v:shape>
            </v:group>
            <v:group style="position:absolute;left:9002;top:11240;width:926;height:2" coordorigin="9002,11240" coordsize="926,2">
              <v:shape style="position:absolute;left:9002;top:11240;width:926;height:2" coordorigin="9002,11240" coordsize="926,0" path="m9002,11240l9928,11240e" filled="false" stroked="true" strokeweight=".71997pt" strokecolor="#000000">
                <v:path arrowok="t"/>
              </v:shape>
            </v:group>
            <v:group style="position:absolute;left:1134;top:12513;width:714;height:2" coordorigin="1134,12513" coordsize="714,2">
              <v:shape style="position:absolute;left:1134;top:12513;width:714;height:2" coordorigin="1134,12513" coordsize="714,0" path="m1134,12513l1847,12513e" filled="false" stroked="true" strokeweight=".71997pt" strokecolor="#000000">
                <v:path arrowok="t"/>
              </v:shape>
            </v:group>
            <v:group style="position:absolute;left:1862;top:12513;width:1526;height:2" coordorigin="1862,12513" coordsize="1526,2">
              <v:shape style="position:absolute;left:1862;top:12513;width:1526;height:2" coordorigin="1862,12513" coordsize="1526,0" path="m1862,12513l3387,12513e" filled="false" stroked="true" strokeweight=".71997pt" strokecolor="#000000">
                <v:path arrowok="t"/>
              </v:shape>
            </v:group>
            <v:group style="position:absolute;left:3401;top:12513;width:1047;height:2" coordorigin="3401,12513" coordsize="1047,2">
              <v:shape style="position:absolute;left:3401;top:12513;width:1047;height:2" coordorigin="3401,12513" coordsize="1047,0" path="m3401,12513l4448,12513e" filled="false" stroked="true" strokeweight=".71997pt" strokecolor="#000000">
                <v:path arrowok="t"/>
              </v:shape>
            </v:group>
            <v:group style="position:absolute;left:4462;top:12513;width:4526;height:2" coordorigin="4462,12513" coordsize="4526,2">
              <v:shape style="position:absolute;left:4462;top:12513;width:4526;height:2" coordorigin="4462,12513" coordsize="4526,0" path="m4462,12513l8988,12513e" filled="false" stroked="true" strokeweight=".71997pt" strokecolor="#000000">
                <v:path arrowok="t"/>
              </v:shape>
            </v:group>
            <v:group style="position:absolute;left:9002;top:12513;width:926;height:2" coordorigin="9002,12513" coordsize="926,2">
              <v:shape style="position:absolute;left:9002;top:12513;width:926;height:2" coordorigin="9002,12513" coordsize="926,0" path="m9002,12513l9928,12513e" filled="false" stroked="true" strokeweight=".71997pt" strokecolor="#000000">
                <v:path arrowok="t"/>
              </v:shape>
            </v:group>
            <v:group style="position:absolute;left:1134;top:14723;width:714;height:2" coordorigin="1134,14723" coordsize="714,2">
              <v:shape style="position:absolute;left:1134;top:14723;width:714;height:2" coordorigin="1134,14723" coordsize="714,0" path="m1134,14723l1847,14723e" filled="false" stroked="true" strokeweight=".72003pt" strokecolor="#000000">
                <v:path arrowok="t"/>
              </v:shape>
            </v:group>
            <v:group style="position:absolute;left:1862;top:14723;width:1526;height:2" coordorigin="1862,14723" coordsize="1526,2">
              <v:shape style="position:absolute;left:1862;top:14723;width:1526;height:2" coordorigin="1862,14723" coordsize="1526,0" path="m1862,14723l3387,14723e" filled="false" stroked="true" strokeweight=".72003pt" strokecolor="#000000">
                <v:path arrowok="t"/>
              </v:shape>
            </v:group>
            <v:group style="position:absolute;left:3401;top:14723;width:1047;height:2" coordorigin="3401,14723" coordsize="1047,2">
              <v:shape style="position:absolute;left:3401;top:14723;width:1047;height:2" coordorigin="3401,14723" coordsize="1047,0" path="m3401,14723l4448,14723e" filled="false" stroked="true" strokeweight=".72003pt" strokecolor="#000000">
                <v:path arrowok="t"/>
              </v:shape>
            </v:group>
            <v:group style="position:absolute;left:4462;top:14723;width:4526;height:2" coordorigin="4462,14723" coordsize="4526,2">
              <v:shape style="position:absolute;left:4462;top:14723;width:4526;height:2" coordorigin="4462,14723" coordsize="4526,0" path="m4462,14723l8988,14723e" filled="false" stroked="true" strokeweight=".72003pt" strokecolor="#000000">
                <v:path arrowok="t"/>
              </v:shape>
            </v:group>
            <v:group style="position:absolute;left:9002;top:14723;width:926;height:2" coordorigin="9002,14723" coordsize="926,2">
              <v:shape style="position:absolute;left:9002;top:14723;width:926;height:2" coordorigin="9002,14723" coordsize="926,0" path="m9002,14723l9928,14723e" filled="false" stroked="true" strokeweight=".72003pt" strokecolor="#000000">
                <v:path arrowok="t"/>
              </v:shape>
            </v:group>
            <v:group style="position:absolute;left:1120;top:15372;width:728;height:2" coordorigin="1120,15372" coordsize="728,2">
              <v:shape style="position:absolute;left:1120;top:15372;width:728;height:2" coordorigin="1120,15372" coordsize="728,0" path="m1120,15372l1847,15372e" filled="false" stroked="true" strokeweight=".71997pt" strokecolor="#000000">
                <v:path arrowok="t"/>
              </v:shape>
            </v:group>
            <v:group style="position:absolute;left:1854;top:1440;width:2;height:13940" coordorigin="1854,1440" coordsize="2,13940">
              <v:shape style="position:absolute;left:1854;top:1440;width:2;height:13940" coordorigin="1854,1440" coordsize="0,13940" path="m1854,1440l1854,15379e" filled="false" stroked="true" strokeweight=".71999pt" strokecolor="#000000">
                <v:path arrowok="t"/>
              </v:shape>
            </v:group>
            <v:group style="position:absolute;left:1862;top:15372;width:1526;height:2" coordorigin="1862,15372" coordsize="1526,2">
              <v:shape style="position:absolute;left:1862;top:15372;width:1526;height:2" coordorigin="1862,15372" coordsize="1526,0" path="m1862,15372l3387,15372e" filled="false" stroked="true" strokeweight=".71997pt" strokecolor="#000000">
                <v:path arrowok="t"/>
              </v:shape>
            </v:group>
            <v:group style="position:absolute;left:3394;top:1440;width:2;height:13940" coordorigin="3394,1440" coordsize="2,13940">
              <v:shape style="position:absolute;left:3394;top:1440;width:2;height:13940" coordorigin="3394,1440" coordsize="0,13940" path="m3394,1440l3394,15379e" filled="false" stroked="true" strokeweight=".72pt" strokecolor="#000000">
                <v:path arrowok="t"/>
              </v:shape>
            </v:group>
            <v:group style="position:absolute;left:3401;top:15372;width:1047;height:2" coordorigin="3401,15372" coordsize="1047,2">
              <v:shape style="position:absolute;left:3401;top:15372;width:1047;height:2" coordorigin="3401,15372" coordsize="1047,0" path="m3401,15372l4448,15372e" filled="false" stroked="true" strokeweight=".71997pt" strokecolor="#000000">
                <v:path arrowok="t"/>
              </v:shape>
            </v:group>
            <v:group style="position:absolute;left:4455;top:1440;width:2;height:13940" coordorigin="4455,1440" coordsize="2,13940">
              <v:shape style="position:absolute;left:4455;top:1440;width:2;height:13940" coordorigin="4455,1440" coordsize="0,13940" path="m4455,1440l4455,15379e" filled="false" stroked="true" strokeweight=".72pt" strokecolor="#000000">
                <v:path arrowok="t"/>
              </v:shape>
            </v:group>
            <v:group style="position:absolute;left:4462;top:15372;width:4526;height:2" coordorigin="4462,15372" coordsize="4526,2">
              <v:shape style="position:absolute;left:4462;top:15372;width:4526;height:2" coordorigin="4462,15372" coordsize="4526,0" path="m4462,15372l8988,15372e" filled="false" stroked="true" strokeweight=".71997pt" strokecolor="#000000">
                <v:path arrowok="t"/>
              </v:shape>
            </v:group>
            <v:group style="position:absolute;left:8995;top:1440;width:2;height:13940" coordorigin="8995,1440" coordsize="2,13940">
              <v:shape style="position:absolute;left:8995;top:1440;width:2;height:13940" coordorigin="8995,1440" coordsize="0,13940" path="m8995,1440l8995,15379e" filled="false" stroked="true" strokeweight=".72pt" strokecolor="#000000">
                <v:path arrowok="t"/>
              </v:shape>
            </v:group>
            <v:group style="position:absolute;left:9002;top:15372;width:926;height:2" coordorigin="9002,15372" coordsize="926,2">
              <v:shape style="position:absolute;left:9002;top:15372;width:926;height:2" coordorigin="9002,15372" coordsize="926,0" path="m9002,15372l9928,15372e" filled="false" stroked="true" strokeweight=".71997pt" strokecolor="#000000">
                <v:path arrowok="t"/>
              </v:shape>
            </v:group>
            <v:group style="position:absolute;left:9935;top:1440;width:2;height:13940" coordorigin="9935,1440" coordsize="2,13940">
              <v:shape style="position:absolute;left:9935;top:1440;width:2;height:13940" coordorigin="9935,1440" coordsize="0,13940" path="m9935,1440l9935,15379e" filled="false" stroked="true" strokeweight=".72pt" strokecolor="#000000">
                <v:path arrowok="t"/>
              </v:shape>
            </v:group>
            <w10:wrap type="none"/>
          </v:group>
        </w:pict>
      </w:r>
      <w:r>
        <w:rPr>
          <w:rFonts w:ascii="Times New Roman" w:hAnsi="Times New Roman" w:cs="Times New Roman" w:eastAsia="Times New Roman" w:hint="default"/>
        </w:rPr>
        <w:t>23</w:t>
        <w:tab/>
      </w:r>
      <w:r>
        <w:rPr/>
        <w:t>基于互联网的用户 积分管理系统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tabs>
          <w:tab w:pos="883" w:val="left" w:leader="none"/>
        </w:tabs>
        <w:spacing w:line="300" w:lineRule="auto"/>
        <w:ind w:left="884" w:right="0" w:hanging="462"/>
        <w:jc w:val="left"/>
      </w:pPr>
      <w:r>
        <w:rPr>
          <w:rFonts w:ascii="Times New Roman" w:hAnsi="Times New Roman" w:cs="Times New Roman" w:eastAsia="Times New Roman" w:hint="default"/>
        </w:rPr>
        <w:t>24</w:t>
        <w:tab/>
        <w:t>WLAN</w:t>
      </w:r>
      <w:r>
        <w:rPr/>
        <w:t>智能拨号系 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tabs>
          <w:tab w:pos="883" w:val="left" w:leader="none"/>
        </w:tabs>
        <w:spacing w:line="300" w:lineRule="auto"/>
        <w:ind w:left="884" w:right="0" w:hanging="462"/>
        <w:jc w:val="left"/>
      </w:pPr>
      <w:r>
        <w:rPr>
          <w:rFonts w:ascii="Times New Roman" w:hAnsi="Times New Roman" w:cs="Times New Roman" w:eastAsia="Times New Roman" w:hint="default"/>
        </w:rPr>
        <w:t>25</w:t>
        <w:tab/>
      </w:r>
      <w:r>
        <w:rPr/>
        <w:t>互联网统一消息推 送软件</w:t>
      </w:r>
    </w:p>
    <w:p>
      <w:pPr>
        <w:pStyle w:val="BodyText"/>
        <w:tabs>
          <w:tab w:pos="1120" w:val="left" w:leader="none"/>
          <w:tab w:pos="5940" w:val="left" w:leader="none"/>
        </w:tabs>
        <w:spacing w:line="316" w:lineRule="auto" w:before="43"/>
        <w:ind w:left="1120" w:right="1280" w:hanging="1060"/>
        <w:jc w:val="left"/>
      </w:pPr>
      <w:r>
        <w:rPr/>
        <w:br w:type="column"/>
      </w:r>
      <w:r>
        <w:rPr/>
        <w:t>试运行</w:t>
        <w:tab/>
        <w:t>系统需求主要针对联通老用户特惠区的活动专区规划做设</w:t>
        <w:tab/>
        <w:t>联通 </w:t>
      </w:r>
      <w:r>
        <w:rPr>
          <w:spacing w:val="-3"/>
        </w:rPr>
        <w:t>计，其中包括尊享活动、生活特权、积分专区、一号百通；</w:t>
      </w:r>
      <w:r>
        <w:rPr/>
        <w:t> 其中一期主要完成尊享活动、生活特权和积分专区的设计 和开发。</w:t>
      </w:r>
    </w:p>
    <w:p>
      <w:pPr>
        <w:pStyle w:val="BodyText"/>
        <w:tabs>
          <w:tab w:pos="1120" w:val="left" w:leader="none"/>
          <w:tab w:pos="5940" w:val="left" w:leader="none"/>
        </w:tabs>
        <w:spacing w:line="300" w:lineRule="auto" w:before="44"/>
        <w:ind w:left="1120" w:right="1280" w:hanging="1060"/>
        <w:jc w:val="left"/>
      </w:pPr>
      <w:r>
        <w:rPr/>
        <w:t>试运行</w:t>
        <w:tab/>
      </w:r>
      <w:r>
        <w:rPr>
          <w:rFonts w:ascii="Times New Roman" w:hAnsi="Times New Roman" w:cs="Times New Roman" w:eastAsia="Times New Roman" w:hint="default"/>
          <w:w w:val="95"/>
        </w:rPr>
        <w:t>WLAN</w:t>
      </w:r>
      <w:r>
        <w:rPr>
          <w:w w:val="95"/>
        </w:rPr>
        <w:t>自动鉴权登录方式研究，以开放联通核心能力为业</w:t>
        <w:tab/>
      </w:r>
      <w:r>
        <w:rPr/>
        <w:t>联通</w:t>
      </w:r>
      <w:r>
        <w:rPr/>
        <w:t> 务目标。本期工程建设一套开放的鉴权</w:t>
      </w:r>
      <w:r>
        <w:rPr>
          <w:rFonts w:ascii="Times New Roman" w:hAnsi="Times New Roman" w:cs="Times New Roman" w:eastAsia="Times New Roman" w:hint="default"/>
        </w:rPr>
        <w:t>SDK</w:t>
      </w:r>
      <w:r>
        <w:rPr/>
        <w:t>及客户端业务 系统，实现一个基于</w:t>
      </w:r>
      <w:r>
        <w:rPr>
          <w:rFonts w:ascii="Times New Roman" w:hAnsi="Times New Roman" w:cs="Times New Roman" w:eastAsia="Times New Roman" w:hint="default"/>
        </w:rPr>
        <w:t>UID</w:t>
      </w:r>
      <w:r>
        <w:rPr/>
        <w:t>能力共享平台业务模式的</w:t>
      </w:r>
      <w:r>
        <w:rPr>
          <w:rFonts w:ascii="Times New Roman" w:hAnsi="Times New Roman" w:cs="Times New Roman" w:eastAsia="Times New Roman" w:hint="default"/>
        </w:rPr>
        <w:t>WLAN</w:t>
      </w:r>
      <w:r>
        <w:rPr>
          <w:rFonts w:ascii="Times New Roman" w:hAnsi="Times New Roman" w:cs="Times New Roman" w:eastAsia="Times New Roman" w:hint="default"/>
          <w:w w:val="99"/>
        </w:rPr>
        <w:t> </w:t>
      </w:r>
      <w:r>
        <w:rPr/>
        <w:t>自动登录鉴权</w:t>
      </w:r>
      <w:r>
        <w:rPr>
          <w:rFonts w:ascii="Times New Roman" w:hAnsi="Times New Roman" w:cs="Times New Roman" w:eastAsia="Times New Roman" w:hint="default"/>
        </w:rPr>
        <w:t>SDK</w:t>
      </w:r>
      <w:r>
        <w:rPr/>
        <w:t>业务模块。其中包含开发者管理、账户 管理、</w:t>
      </w:r>
      <w:r>
        <w:rPr>
          <w:rFonts w:ascii="Times New Roman" w:hAnsi="Times New Roman" w:cs="Times New Roman" w:eastAsia="Times New Roman" w:hint="default"/>
        </w:rPr>
        <w:t>SDK</w:t>
      </w:r>
      <w:r>
        <w:rPr/>
        <w:t>安全管理机制、平台融合等子平台系统与技术 方案组成。通过</w:t>
      </w:r>
      <w:r>
        <w:rPr>
          <w:rFonts w:ascii="Times New Roman" w:hAnsi="Times New Roman" w:cs="Times New Roman" w:eastAsia="Times New Roman" w:hint="default"/>
        </w:rPr>
        <w:t>SDK</w:t>
      </w:r>
      <w:r>
        <w:rPr/>
        <w:t>等业务模式为广大移动互联网开发者 提供联通账户登录鉴权能力的开放与管控。</w:t>
      </w:r>
    </w:p>
    <w:p>
      <w:pPr>
        <w:pStyle w:val="BodyText"/>
        <w:tabs>
          <w:tab w:pos="1120" w:val="left" w:leader="none"/>
          <w:tab w:pos="5940" w:val="left" w:leader="none"/>
        </w:tabs>
        <w:spacing w:line="316" w:lineRule="auto" w:before="56"/>
        <w:ind w:left="1120" w:right="1280" w:hanging="1060"/>
        <w:jc w:val="left"/>
      </w:pPr>
      <w:r>
        <w:rPr/>
        <w:t>试运行</w:t>
        <w:tab/>
        <w:t>平台将采用一种融合消息推送机制，在解决了移动终端耗</w:t>
        <w:tab/>
        <w:t>联通 电量和流量问题的同时，也提供了一种综合消息（非针对</w:t>
      </w:r>
    </w:p>
    <w:p>
      <w:pPr>
        <w:spacing w:after="0" w:line="316" w:lineRule="auto"/>
        <w:jc w:val="left"/>
        <w:sectPr>
          <w:type w:val="continuous"/>
          <w:pgSz w:w="11910" w:h="16840"/>
          <w:pgMar w:top="1060" w:bottom="1160" w:left="980" w:right="980"/>
          <w:cols w:num="2" w:equalWidth="0">
            <w:col w:w="2325" w:space="40"/>
            <w:col w:w="7585"/>
          </w:cols>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735"/>
        <w:gridCol w:w="1540"/>
        <w:gridCol w:w="1061"/>
        <w:gridCol w:w="4540"/>
        <w:gridCol w:w="940"/>
      </w:tblGrid>
      <w:tr>
        <w:trPr>
          <w:trHeight w:val="340" w:hRule="exact"/>
        </w:trPr>
        <w:tc>
          <w:tcPr>
            <w:tcW w:w="735" w:type="dxa"/>
            <w:tcBorders>
              <w:top w:val="nil" w:sz="6" w:space="0" w:color="auto"/>
              <w:left w:val="nil" w:sz="6" w:space="0" w:color="auto"/>
              <w:bottom w:val="single" w:sz="6" w:space="0" w:color="000000"/>
              <w:right w:val="single" w:sz="6" w:space="0" w:color="000000"/>
            </w:tcBorders>
          </w:tcPr>
          <w:p>
            <w:pPr/>
          </w:p>
        </w:tc>
        <w:tc>
          <w:tcPr>
            <w:tcW w:w="1540"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45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）的 </w:t>
            </w:r>
            <w:r>
              <w:rPr>
                <w:rFonts w:ascii="Times New Roman" w:hAnsi="Times New Roman" w:cs="Times New Roman" w:eastAsia="Times New Roman" w:hint="default"/>
                <w:sz w:val="18"/>
                <w:szCs w:val="18"/>
              </w:rPr>
              <w:t>PUSH</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机制。</w:t>
            </w:r>
          </w:p>
        </w:tc>
        <w:tc>
          <w:tcPr>
            <w:tcW w:w="940" w:type="dxa"/>
            <w:tcBorders>
              <w:top w:val="nil" w:sz="6" w:space="0" w:color="auto"/>
              <w:left w:val="single" w:sz="6" w:space="0" w:color="000000"/>
              <w:bottom w:val="single" w:sz="6" w:space="0" w:color="000000"/>
              <w:right w:val="single" w:sz="6" w:space="0" w:color="000000"/>
            </w:tcBorders>
          </w:tcPr>
          <w:p>
            <w:pPr/>
          </w:p>
        </w:tc>
      </w:tr>
      <w:tr>
        <w:trPr>
          <w:trHeight w:val="2208"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26</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基于移动互联网的</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ITS</w:t>
            </w:r>
            <w:r>
              <w:rPr>
                <w:rFonts w:ascii="宋体" w:hAnsi="宋体" w:cs="宋体" w:eastAsia="宋体" w:hint="default"/>
                <w:sz w:val="18"/>
                <w:szCs w:val="18"/>
              </w:rPr>
              <w:t>智能交通系统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试运行</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0"/>
              <w:ind w:left="2" w:right="21"/>
              <w:jc w:val="left"/>
              <w:rPr>
                <w:rFonts w:ascii="宋体" w:hAnsi="宋体" w:cs="宋体" w:eastAsia="宋体" w:hint="default"/>
                <w:sz w:val="18"/>
                <w:szCs w:val="18"/>
              </w:rPr>
            </w:pPr>
            <w:r>
              <w:rPr>
                <w:rFonts w:ascii="宋体" w:hAnsi="宋体" w:cs="宋体" w:eastAsia="宋体" w:hint="default"/>
                <w:sz w:val="18"/>
                <w:szCs w:val="18"/>
              </w:rPr>
              <w:t>此项目研究是、基于我国自主研制的北斗导航定位系统系 统、北斗无线通信技术、</w:t>
            </w:r>
            <w:r>
              <w:rPr>
                <w:rFonts w:ascii="Times New Roman" w:hAnsi="Times New Roman" w:cs="Times New Roman" w:eastAsia="Times New Roman" w:hint="default"/>
                <w:sz w:val="18"/>
                <w:szCs w:val="18"/>
              </w:rPr>
              <w:t>GIS</w:t>
            </w:r>
            <w:r>
              <w:rPr>
                <w:rFonts w:ascii="宋体" w:hAnsi="宋体" w:cs="宋体" w:eastAsia="宋体" w:hint="default"/>
                <w:sz w:val="18"/>
                <w:szCs w:val="18"/>
              </w:rPr>
              <w:t>技术、网络技术及计算机技 术构建智能化的运输车辆监控平台。同时能更有效的整合 现有的客户资源，满足不同行业不断提升的业务需求，实 现基于位置服务的产业价值链的最大化，推动网络的增值 应用，提升企业的品牌效应，建立为一个基于定位业务的 综合支撑平台。</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交通</w:t>
            </w:r>
          </w:p>
        </w:tc>
      </w:tr>
      <w:tr>
        <w:trPr>
          <w:trHeight w:val="961"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62"/>
              <w:jc w:val="right"/>
              <w:rPr>
                <w:rFonts w:ascii="Times New Roman" w:hAnsi="Times New Roman" w:cs="Times New Roman" w:eastAsia="Times New Roman" w:hint="default"/>
                <w:sz w:val="18"/>
                <w:szCs w:val="18"/>
              </w:rPr>
            </w:pPr>
            <w:r>
              <w:rPr>
                <w:rFonts w:ascii="Times New Roman"/>
                <w:sz w:val="18"/>
              </w:rPr>
              <w:t>27</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both"/>
              <w:rPr>
                <w:rFonts w:ascii="宋体" w:hAnsi="宋体" w:cs="宋体" w:eastAsia="宋体" w:hint="default"/>
                <w:sz w:val="18"/>
                <w:szCs w:val="18"/>
              </w:rPr>
            </w:pPr>
            <w:r>
              <w:rPr>
                <w:rFonts w:ascii="宋体" w:hAnsi="宋体" w:cs="宋体" w:eastAsia="宋体" w:hint="default"/>
                <w:sz w:val="18"/>
                <w:szCs w:val="18"/>
              </w:rPr>
              <w:t>基于地理信息的低 压配电网建模及结 构优化软件</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拟应用日益成熟的地理信息技术和卫星导航技术，研发可 支持对旧有电网建模和优化仿真的信息系统，为电网改造 方案设计提供辅助平台。</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电力</w:t>
            </w:r>
          </w:p>
        </w:tc>
      </w:tr>
      <w:tr>
        <w:trPr>
          <w:trHeight w:val="1273"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62"/>
              <w:jc w:val="right"/>
              <w:rPr>
                <w:rFonts w:ascii="Times New Roman" w:hAnsi="Times New Roman" w:cs="Times New Roman" w:eastAsia="Times New Roman" w:hint="default"/>
                <w:sz w:val="18"/>
                <w:szCs w:val="18"/>
              </w:rPr>
            </w:pPr>
            <w:r>
              <w:rPr>
                <w:rFonts w:ascii="Times New Roman"/>
                <w:sz w:val="18"/>
              </w:rPr>
              <w:t>28</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left"/>
              <w:rPr>
                <w:rFonts w:ascii="宋体" w:hAnsi="宋体" w:cs="宋体" w:eastAsia="宋体" w:hint="default"/>
                <w:sz w:val="18"/>
                <w:szCs w:val="18"/>
              </w:rPr>
            </w:pPr>
            <w:r>
              <w:rPr>
                <w:rFonts w:ascii="宋体" w:hAnsi="宋体" w:cs="宋体" w:eastAsia="宋体" w:hint="default"/>
                <w:sz w:val="18"/>
                <w:szCs w:val="18"/>
              </w:rPr>
              <w:t>基于移动互联网隐 信系统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为了满足手机用户保护个人隐私需求，，结合中国联通、 中国电信的网络资源和用户资源，提供了：分群管理易、 无痕通信易、智能通信易、文件私密易和云备份简易等功 能服务。</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联通</w:t>
            </w:r>
          </w:p>
        </w:tc>
      </w:tr>
      <w:tr>
        <w:trPr>
          <w:trHeight w:val="1585"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62"/>
              <w:jc w:val="right"/>
              <w:rPr>
                <w:rFonts w:ascii="Times New Roman" w:hAnsi="Times New Roman" w:cs="Times New Roman" w:eastAsia="Times New Roman" w:hint="default"/>
                <w:sz w:val="18"/>
                <w:szCs w:val="18"/>
              </w:rPr>
            </w:pPr>
            <w:r>
              <w:rPr>
                <w:rFonts w:ascii="Times New Roman"/>
                <w:sz w:val="18"/>
              </w:rPr>
              <w:t>29</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80"/>
              <w:jc w:val="left"/>
              <w:rPr>
                <w:rFonts w:ascii="宋体" w:hAnsi="宋体" w:cs="宋体" w:eastAsia="宋体" w:hint="default"/>
                <w:sz w:val="18"/>
                <w:szCs w:val="18"/>
              </w:rPr>
            </w:pPr>
            <w:r>
              <w:rPr>
                <w:rFonts w:ascii="宋体" w:hAnsi="宋体" w:cs="宋体" w:eastAsia="宋体" w:hint="default"/>
                <w:sz w:val="18"/>
                <w:szCs w:val="18"/>
              </w:rPr>
              <w:t>互联网内容聚合分 发系统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平台计划实现互联网海量内容的聚合，打造当下最大、最 全的移动互联网智能内容库，并为所有的合作伙伴和联通 其他省市，提供当下最新、最热的全媒体营销内容支撑， 结合大数据挖掘及用户画像智能匹配的支撑，将精品内容 进行精细化、个性化的分发投放。</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1"/>
              <w:jc w:val="right"/>
              <w:rPr>
                <w:rFonts w:ascii="宋体" w:hAnsi="宋体" w:cs="宋体" w:eastAsia="宋体" w:hint="default"/>
                <w:sz w:val="18"/>
                <w:szCs w:val="18"/>
              </w:rPr>
            </w:pPr>
            <w:r>
              <w:rPr>
                <w:rFonts w:ascii="宋体" w:hAnsi="宋体" w:cs="宋体" w:eastAsia="宋体" w:hint="default"/>
                <w:sz w:val="18"/>
                <w:szCs w:val="18"/>
              </w:rPr>
              <w:t>联通</w:t>
            </w:r>
          </w:p>
        </w:tc>
      </w:tr>
      <w:tr>
        <w:trPr>
          <w:trHeight w:val="2522"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30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0"/>
              <w:jc w:val="left"/>
              <w:rPr>
                <w:rFonts w:ascii="宋体" w:hAnsi="宋体" w:cs="宋体" w:eastAsia="宋体" w:hint="default"/>
                <w:sz w:val="18"/>
                <w:szCs w:val="18"/>
              </w:rPr>
            </w:pPr>
            <w:r>
              <w:rPr>
                <w:rFonts w:ascii="宋体" w:hAnsi="宋体" w:cs="宋体" w:eastAsia="宋体" w:hint="default"/>
                <w:sz w:val="18"/>
                <w:szCs w:val="18"/>
              </w:rPr>
              <w:t>基于互联网的商品 预约系统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试运行</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0"/>
              <w:ind w:left="2" w:right="21"/>
              <w:jc w:val="both"/>
              <w:rPr>
                <w:rFonts w:ascii="宋体" w:hAnsi="宋体" w:cs="宋体" w:eastAsia="宋体" w:hint="default"/>
                <w:sz w:val="18"/>
                <w:szCs w:val="18"/>
              </w:rPr>
            </w:pPr>
            <w:r>
              <w:rPr>
                <w:rFonts w:ascii="宋体" w:hAnsi="宋体" w:cs="宋体" w:eastAsia="宋体" w:hint="default"/>
                <w:sz w:val="18"/>
                <w:szCs w:val="18"/>
              </w:rPr>
              <w:t>根据运营商对商品预售的运营要求，提供在线自助预约热 销商品功能</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增加商品模板预约商品和预购商品，可通过 选择预约或预购商品，渠道销售商品新增数量购买限制， 可限制单个身份证购买数量和渠道购买数量限制，避免代 理商囤货，正式订单和预约订单关联，根据预约订单状态 同步正式订单状态，预约资格需进行校验，预约号网点需 进行校验，预约号充值资格需校验，老用户专区开通充值 功能。</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联通</w:t>
            </w:r>
          </w:p>
        </w:tc>
      </w:tr>
      <w:tr>
        <w:trPr>
          <w:trHeight w:val="337"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31</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移动查勘系统项目</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优化视频功能，增加多终端监控、多方视频通话等功能。</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保险</w:t>
            </w:r>
          </w:p>
        </w:tc>
      </w:tr>
      <w:tr>
        <w:trPr>
          <w:trHeight w:val="1273" w:hRule="exact"/>
        </w:trPr>
        <w:tc>
          <w:tcPr>
            <w:tcW w:w="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sz w:val="18"/>
              </w:rPr>
              <w:t>32</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移动销售系统项目</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4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21"/>
              <w:jc w:val="both"/>
              <w:rPr>
                <w:rFonts w:ascii="宋体" w:hAnsi="宋体" w:cs="宋体" w:eastAsia="宋体" w:hint="default"/>
                <w:sz w:val="18"/>
                <w:szCs w:val="18"/>
              </w:rPr>
            </w:pPr>
            <w:r>
              <w:rPr>
                <w:rFonts w:ascii="宋体" w:hAnsi="宋体" w:cs="宋体" w:eastAsia="宋体" w:hint="default"/>
                <w:sz w:val="18"/>
                <w:szCs w:val="18"/>
              </w:rPr>
              <w:t>针对保险营销团队，在原有移动销售系统的基础，增加精 确报价、移动支付等功能，在易用性方面、可配置方面进 一步优化，以便及时响应销售团队需求，提高出单效率和 最终客户体验。</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保险</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158,939,860.64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150,219,075.63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133,685,130.39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77,122,669.69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73,361,265.02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68,466,386.67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研发投入资本化率大幅变动的原因及其合理性说明</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4115" w:space="4805"/>
            <w:col w:w="103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1,244,887,293.54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988,050,167.80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1,371,613,154.44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1,007,182,669.67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-126,725,860.90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-19,132,501.87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-562.36%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48,753.95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153,492,419.24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160,891,006.44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-153,481,632.33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-160,842,252.49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950,317,346.36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476,181,542.27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681,595,532.47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305,573,315.63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268,721,813.89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170,608,226.64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-11,485,679.34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-9,366,527.72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-22.62%</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290"/>
        <w:jc w:val="left"/>
      </w:pPr>
      <w:r>
        <w:rPr>
          <w:spacing w:val="-1"/>
        </w:rPr>
        <w:t>经营活动产生的现金流量净额</w:t>
      </w:r>
      <w:r>
        <w:rPr>
          <w:rFonts w:ascii="Times New Roman" w:hAnsi="Times New Roman" w:cs="Times New Roman" w:eastAsia="Times New Roman" w:hint="default"/>
          <w:spacing w:val="-1"/>
        </w:rPr>
        <w:t>2014</w:t>
      </w:r>
      <w:r>
        <w:rPr>
          <w:spacing w:val="-1"/>
        </w:rPr>
        <w:t>年度发生数为</w:t>
      </w:r>
      <w:r>
        <w:rPr>
          <w:rFonts w:ascii="Times New Roman" w:hAnsi="Times New Roman" w:cs="Times New Roman" w:eastAsia="Times New Roman" w:hint="default"/>
          <w:spacing w:val="-1"/>
        </w:rPr>
        <w:t>-126,725,860.90</w:t>
      </w:r>
      <w:r>
        <w:rPr>
          <w:spacing w:val="-1"/>
        </w:rPr>
        <w:t>元，上年同期为</w:t>
      </w:r>
      <w:r>
        <w:rPr>
          <w:rFonts w:ascii="Times New Roman" w:hAnsi="Times New Roman" w:cs="Times New Roman" w:eastAsia="Times New Roman" w:hint="default"/>
          <w:spacing w:val="-1"/>
        </w:rPr>
        <w:t>-19,132,501.87</w:t>
      </w:r>
      <w:r>
        <w:rPr>
          <w:spacing w:val="-1"/>
        </w:rPr>
        <w:t>元，其主要原因是本公司</w:t>
      </w:r>
      <w:r>
        <w:rPr/>
        <w:t> 应收账款增加及子公司金华威公司采购备货付款影响所致。</w:t>
      </w:r>
    </w:p>
    <w:p>
      <w:pPr>
        <w:pStyle w:val="BodyText"/>
        <w:spacing w:line="300" w:lineRule="auto" w:before="31"/>
        <w:ind w:right="0" w:firstLine="290"/>
        <w:jc w:val="left"/>
      </w:pPr>
      <w:r>
        <w:rPr>
          <w:spacing w:val="-2"/>
        </w:rPr>
        <w:t>筹资活动产生的现金流量净额</w:t>
      </w:r>
      <w:r>
        <w:rPr>
          <w:rFonts w:ascii="Times New Roman" w:hAnsi="Times New Roman" w:cs="Times New Roman" w:eastAsia="Times New Roman" w:hint="default"/>
          <w:spacing w:val="-2"/>
        </w:rPr>
        <w:t>2014</w:t>
      </w:r>
      <w:r>
        <w:rPr>
          <w:spacing w:val="-2"/>
        </w:rPr>
        <w:t>年度发生数为</w:t>
      </w:r>
      <w:r>
        <w:rPr>
          <w:rFonts w:ascii="Times New Roman" w:hAnsi="Times New Roman" w:cs="Times New Roman" w:eastAsia="Times New Roman" w:hint="default"/>
          <w:spacing w:val="-2"/>
        </w:rPr>
        <w:t>268,721,813.89</w:t>
      </w:r>
      <w:r>
        <w:rPr>
          <w:spacing w:val="-2"/>
        </w:rPr>
        <w:t>元，比上年同期增加</w:t>
      </w:r>
      <w:r>
        <w:rPr>
          <w:rFonts w:ascii="Times New Roman" w:hAnsi="Times New Roman" w:cs="Times New Roman" w:eastAsia="Times New Roman" w:hint="default"/>
          <w:spacing w:val="-2"/>
        </w:rPr>
        <w:t>57.51%</w:t>
      </w:r>
      <w:r>
        <w:rPr>
          <w:spacing w:val="-2"/>
        </w:rPr>
        <w:t>，其主要原因是本期新增流动</w:t>
      </w:r>
      <w:r>
        <w:rPr/>
        <w:t> 资金短期借款及合肥基建长期借款所致。</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报告期内公司经营活动的现金流量与本年度净利润存在重大差异的原因说明</w:t>
      </w:r>
    </w:p>
    <w:p>
      <w:pPr>
        <w:pStyle w:val="BodyText"/>
        <w:spacing w:line="338" w:lineRule="auto" w:before="117"/>
        <w:ind w:right="73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141,800,161.51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11.95%</w:t>
            </w:r>
          </w:p>
        </w:tc>
      </w:tr>
    </w:tbl>
    <w:p>
      <w:pPr>
        <w:pStyle w:val="BodyText"/>
        <w:spacing w:line="240" w:lineRule="auto" w:before="51"/>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665,150,290.56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2"/>
        <w:gridCol w:w="2086"/>
        <w:gridCol w:w="2820"/>
        <w:gridCol w:w="2820"/>
      </w:tblGrid>
      <w:tr>
        <w:trPr>
          <w:trHeight w:val="71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4" w:right="54" w:hanging="631"/>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采购金额或比例与以前年度相比发 生较大变化的说明</w:t>
            </w:r>
          </w:p>
        </w:tc>
      </w:tr>
      <w:tr>
        <w:trPr>
          <w:trHeight w:val="714"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华为数字技术有限公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472,159,618.34</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48.12%</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金华威公司增加采购华为公司网络 产品，并新增数据通信产品。</w:t>
            </w:r>
          </w:p>
        </w:tc>
      </w:tr>
      <w:tr>
        <w:trPr>
          <w:trHeight w:val="402"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472,159,618.34</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48.12%</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right="401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8" w:lineRule="auto" w:before="40"/>
        <w:ind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前期披露的发展战略和经营计划在报告期内的进展情况 无</w:t>
      </w:r>
    </w:p>
    <w:p>
      <w:pPr>
        <w:pStyle w:val="BodyText"/>
        <w:spacing w:line="240" w:lineRule="auto" w:before="36"/>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408,255,240.58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182,496,728.18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99,415,326.80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39,492,294.10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678,973,928.82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81,741,560.91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370,634,873.40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172,904,475.98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110,264,718.82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53,653,016.79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14,675,151.59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10,060,597.57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63,625,458.20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8,851,398.72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网络产品分销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627,444,294.19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58,261,094.13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199,626,821.73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46,945,938.33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276,679,715.05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73,784,476.12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193,306,584.75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54,550,928.19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306,259,297.93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65,575,540.21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196,518,717.72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56,142,763.14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14,253,359.02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6,730,937.20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pStyle w:val="BodyText"/>
        <w:spacing w:line="240" w:lineRule="auto" w:before="44"/>
        <w:ind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3499" w:space="542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408,255,240.58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225,758,512.40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99,415,326.80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59,923,032.70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678,973,928.82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597,232,367.91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370,634,873.40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197,730,397.42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110,264,718.82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56,611,702.03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14,675,151.59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4,614,554.02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63,625,458.20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54,774,059.48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网络产品分销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627,444,294.19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569,183,200.06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199,626,821.73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152,680,883.40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276,679,715.05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202,895,238.93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193,306,584.75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138,755,656.56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306,259,297.93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240,683,757.72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196,518,717.72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140,375,954.58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14,253,359.02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7,522,421.82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r>
    </w:tbl>
    <w:p>
      <w:pPr>
        <w:pStyle w:val="BodyText"/>
        <w:spacing w:line="240" w:lineRule="auto" w:before="51"/>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259,417,405.8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236,947,072.37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-1.43%</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573,644,404.8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507,513,147.99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-2.13%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4" w:right="0"/>
              <w:jc w:val="left"/>
              <w:rPr>
                <w:rFonts w:ascii="Times New Roman" w:hAnsi="Times New Roman" w:cs="Times New Roman" w:eastAsia="Times New Roman" w:hint="default"/>
                <w:sz w:val="18"/>
                <w:szCs w:val="18"/>
              </w:rPr>
            </w:pPr>
            <w:r>
              <w:rPr>
                <w:rFonts w:ascii="Times New Roman"/>
                <w:sz w:val="18"/>
              </w:rPr>
              <w:t>276,699,296.0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195,924,178.81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12.43%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主要是网络分销产品备货增加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60,067,439.63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58,579,224.17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139,364,817.3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72,543,778.05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主要是合肥研发基地部分工程完工 结转</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159,978,374.9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178,576,116.35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210,937,018.00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7.01%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主要是流动资金需要银行贷款增加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30,650,000.00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48,560,000.00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3.08%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主要是一年内到期银行贷款重分类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right="-2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2765" w:space="615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80"/>
        <w:gridCol w:w="1167"/>
        <w:gridCol w:w="1149"/>
        <w:gridCol w:w="1153"/>
        <w:gridCol w:w="1148"/>
        <w:gridCol w:w="1161"/>
        <w:gridCol w:w="1153"/>
        <w:gridCol w:w="1154"/>
      </w:tblGrid>
      <w:tr>
        <w:trPr>
          <w:trHeight w:val="161" w:hRule="exact"/>
        </w:trPr>
        <w:tc>
          <w:tcPr>
            <w:tcW w:w="1480"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80"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3" w:hRule="exact"/>
        </w:trPr>
        <w:tc>
          <w:tcPr>
            <w:tcW w:w="14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80"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80"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514" w:right="131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公司的核心竞争能力主要体现在无形资产，公司无形资产包括商标、计算机软件著作权、科研成果等。 报告期内，公司无形资产更新情况如下：</w:t>
      </w:r>
    </w:p>
    <w:p>
      <w:pPr>
        <w:pStyle w:val="Heading5"/>
        <w:spacing w:line="240" w:lineRule="auto" w:before="36"/>
        <w:ind w:left="514" w:right="0"/>
        <w:jc w:val="left"/>
        <w:rPr>
          <w:b w:val="0"/>
          <w:bCs w:val="0"/>
        </w:rPr>
      </w:pPr>
      <w:r>
        <w:rPr/>
        <w:t>一、母公司无形资产情况</w:t>
      </w:r>
      <w:r>
        <w:rPr>
          <w:b w:val="0"/>
          <w:bCs w:val="0"/>
        </w:rPr>
      </w:r>
    </w:p>
    <w:p>
      <w:pPr>
        <w:pStyle w:val="BodyText"/>
        <w:spacing w:line="338" w:lineRule="auto" w:before="116"/>
        <w:ind w:left="514" w:right="329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）商标</w:t>
      </w:r>
      <w:r>
        <w:rPr>
          <w:rFonts w:ascii="宋体" w:hAnsi="宋体" w:cs="宋体" w:eastAsia="宋体" w:hint="default"/>
          <w:b/>
          <w:bCs/>
          <w:w w:val="99"/>
        </w:rPr>
        <w:t> </w:t>
      </w:r>
      <w:r>
        <w:rPr/>
        <w:t>本公司使用的商标均已在国家工商行政管理总局商标局注册，具体情况如下：</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44"/>
        <w:gridCol w:w="2268"/>
        <w:gridCol w:w="1134"/>
        <w:gridCol w:w="2126"/>
        <w:gridCol w:w="2135"/>
      </w:tblGrid>
      <w:tr>
        <w:trPr>
          <w:trHeight w:val="409" w:hRule="exact"/>
        </w:trPr>
        <w:tc>
          <w:tcPr>
            <w:tcW w:w="1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03" w:right="0"/>
              <w:jc w:val="left"/>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87"/>
              <w:jc w:val="right"/>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2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核定服务项目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类别</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3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7"/>
                <w:szCs w:val="7"/>
              </w:rPr>
            </w:pPr>
          </w:p>
          <w:p>
            <w:pPr>
              <w:pStyle w:val="TableParagraph"/>
              <w:spacing w:line="451" w:lineRule="exact"/>
              <w:ind w:left="588"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51194" cy="28670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51194" cy="286702"/>
                          </a:xfrm>
                          <a:prstGeom prst="rect">
                            <a:avLst/>
                          </a:prstGeom>
                        </pic:spPr>
                      </pic:pic>
                    </a:graphicData>
                  </a:graphic>
                </wp:inline>
              </w:drawing>
            </w:r>
            <w:r>
              <w:rPr>
                <w:rFonts w:ascii="宋体" w:hAnsi="宋体" w:cs="宋体" w:eastAsia="宋体" w:hint="default"/>
                <w:position w:val="-8"/>
                <w:sz w:val="20"/>
                <w:szCs w:val="20"/>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45"/>
              <w:jc w:val="right"/>
              <w:rPr>
                <w:rFonts w:ascii="Times New Roman" w:hAnsi="Times New Roman" w:cs="Times New Roman" w:eastAsia="Times New Roman" w:hint="default"/>
                <w:sz w:val="18"/>
                <w:szCs w:val="18"/>
              </w:rPr>
            </w:pPr>
            <w:r>
              <w:rPr>
                <w:rFonts w:ascii="Times New Roman"/>
                <w:sz w:val="18"/>
              </w:rPr>
              <w:t>1159731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2008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14</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42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3"/>
                <w:szCs w:val="3"/>
              </w:rPr>
            </w:pPr>
          </w:p>
          <w:p>
            <w:pPr>
              <w:pStyle w:val="TableParagraph"/>
              <w:spacing w:line="238" w:lineRule="exact"/>
              <w:ind w:left="378"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2485" cy="15154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612485" cy="151542"/>
                          </a:xfrm>
                          <a:prstGeom prst="rect">
                            <a:avLst/>
                          </a:prstGeom>
                        </pic:spPr>
                      </pic:pic>
                    </a:graphicData>
                  </a:graphic>
                </wp:inline>
              </w:drawing>
            </w:r>
            <w:r>
              <w:rPr>
                <w:rFonts w:ascii="宋体" w:hAnsi="宋体" w:cs="宋体" w:eastAsia="宋体" w:hint="default"/>
                <w:position w:val="-4"/>
                <w:sz w:val="20"/>
                <w:szCs w:val="20"/>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6055545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日至</w:t>
            </w:r>
            <w:r>
              <w:rPr>
                <w:rFonts w:ascii="Times New Roman" w:hAnsi="Times New Roman" w:cs="Times New Roman" w:eastAsia="Times New Roman" w:hint="default"/>
                <w:spacing w:val="6"/>
                <w:sz w:val="18"/>
                <w:szCs w:val="18"/>
              </w:rPr>
              <w:t>2020</w:t>
            </w:r>
            <w:r>
              <w:rPr>
                <w:rFonts w:ascii="宋体" w:hAnsi="宋体" w:cs="宋体" w:eastAsia="宋体" w:hint="default"/>
                <w:spacing w:val="6"/>
                <w:sz w:val="18"/>
                <w:szCs w:val="18"/>
              </w:rPr>
              <w:t>年</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744"/>
        <w:gridCol w:w="2268"/>
        <w:gridCol w:w="1134"/>
        <w:gridCol w:w="2126"/>
        <w:gridCol w:w="2135"/>
      </w:tblGrid>
      <w:tr>
        <w:trPr>
          <w:trHeight w:val="386" w:hRule="exact"/>
        </w:trPr>
        <w:tc>
          <w:tcPr>
            <w:tcW w:w="1744"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Times New Roman" w:hAnsi="Times New Roman" w:cs="Times New Roman" w:eastAsia="Times New Roman" w:hint="default"/>
                <w:sz w:val="24"/>
                <w:szCs w:val="24"/>
              </w:rPr>
            </w:pPr>
            <w:r>
              <w:rPr>
                <w:rFonts w:ascii="Times New Roman"/>
                <w:b/>
                <w:sz w:val="24"/>
              </w:rPr>
              <w:t>DIC</w:t>
            </w:r>
            <w:r>
              <w:rPr>
                <w:rFonts w:ascii="Times New Roman"/>
                <w:sz w:val="24"/>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3" w:right="0"/>
              <w:jc w:val="left"/>
              <w:rPr>
                <w:rFonts w:ascii="Times New Roman" w:hAnsi="Times New Roman" w:cs="Times New Roman" w:eastAsia="Times New Roman" w:hint="default"/>
                <w:sz w:val="18"/>
                <w:szCs w:val="18"/>
              </w:rPr>
            </w:pPr>
            <w:r>
              <w:rPr>
                <w:rFonts w:ascii="Times New Roman"/>
                <w:sz w:val="18"/>
              </w:rPr>
              <w:t>8589719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28</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41"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Times New Roman" w:hAnsi="Times New Roman" w:cs="Times New Roman" w:eastAsia="Times New Roman" w:hint="default"/>
                <w:sz w:val="24"/>
                <w:szCs w:val="24"/>
              </w:rPr>
            </w:pPr>
            <w:r>
              <w:rPr>
                <w:rFonts w:ascii="Times New Roman"/>
                <w:b/>
                <w:sz w:val="24"/>
              </w:rPr>
              <w:t>TYDIC</w:t>
            </w:r>
            <w:r>
              <w:rPr>
                <w:rFonts w:ascii="Times New Roman"/>
                <w:sz w:val="24"/>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3" w:right="0"/>
              <w:jc w:val="left"/>
              <w:rPr>
                <w:rFonts w:ascii="Times New Roman" w:hAnsi="Times New Roman" w:cs="Times New Roman" w:eastAsia="Times New Roman" w:hint="default"/>
                <w:sz w:val="18"/>
                <w:szCs w:val="18"/>
              </w:rPr>
            </w:pPr>
            <w:r>
              <w:rPr>
                <w:rFonts w:ascii="Times New Roman"/>
                <w:sz w:val="18"/>
              </w:rPr>
              <w:t>7314608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28</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bl>
    <w:p>
      <w:pPr>
        <w:pStyle w:val="BodyText"/>
        <w:spacing w:line="338" w:lineRule="auto" w:before="51"/>
        <w:ind w:left="514"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）计算机软件著作权</w:t>
      </w:r>
      <w:r>
        <w:rPr>
          <w:rFonts w:ascii="宋体" w:hAnsi="宋体" w:cs="宋体" w:eastAsia="宋体" w:hint="default"/>
          <w:b/>
          <w:bCs/>
          <w:w w:val="99"/>
        </w:rPr>
        <w:t> </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日，公司获得国家版权局计算机软件著作权登记</w:t>
      </w:r>
      <w:r>
        <w:rPr>
          <w:rFonts w:ascii="Times New Roman" w:hAnsi="Times New Roman" w:cs="Times New Roman" w:eastAsia="Times New Roman" w:hint="default"/>
          <w:spacing w:val="-2"/>
        </w:rPr>
        <w:t>133</w:t>
      </w:r>
      <w:r>
        <w:rPr>
          <w:spacing w:val="-2"/>
        </w:rPr>
        <w:t>项（</w:t>
      </w:r>
      <w:r>
        <w:rPr>
          <w:rFonts w:ascii="Times New Roman" w:hAnsi="Times New Roman" w:cs="Times New Roman" w:eastAsia="Times New Roman" w:hint="default"/>
          <w:spacing w:val="-2"/>
        </w:rPr>
        <w:t>2013</w:t>
      </w:r>
      <w:r>
        <w:rPr>
          <w:spacing w:val="-2"/>
        </w:rPr>
        <w:t>年有</w:t>
      </w:r>
      <w:r>
        <w:rPr>
          <w:rFonts w:ascii="Times New Roman" w:hAnsi="Times New Roman" w:cs="Times New Roman" w:eastAsia="Times New Roman" w:hint="default"/>
          <w:spacing w:val="-2"/>
        </w:rPr>
        <w:t>2</w:t>
      </w:r>
      <w:r>
        <w:rPr>
          <w:spacing w:val="-2"/>
        </w:rPr>
        <w:t>项证书已转让，不归纳到获取的证</w:t>
      </w:r>
    </w:p>
    <w:p>
      <w:pPr>
        <w:pStyle w:val="BodyText"/>
        <w:spacing w:line="231" w:lineRule="exact"/>
        <w:ind w:right="0"/>
        <w:jc w:val="left"/>
      </w:pPr>
      <w:r>
        <w:rPr/>
        <w:t>书之内），这些软件产品属于公司自主知识产权的软件成果，其中</w:t>
      </w:r>
      <w:r>
        <w:rPr>
          <w:rFonts w:ascii="Times New Roman" w:hAnsi="Times New Roman" w:cs="Times New Roman" w:eastAsia="Times New Roman" w:hint="default"/>
        </w:rPr>
        <w:t>2014</w:t>
      </w:r>
      <w:r>
        <w:rPr/>
        <w:t>年度新增的计算机软件著作权见下表：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68"/>
        <w:gridCol w:w="3544"/>
        <w:gridCol w:w="709"/>
        <w:gridCol w:w="1559"/>
        <w:gridCol w:w="1560"/>
        <w:gridCol w:w="1559"/>
      </w:tblGrid>
      <w:tr>
        <w:trPr>
          <w:trHeight w:val="426"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29" w:right="0"/>
              <w:jc w:val="left"/>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天源迪科收入稽核管理系统软件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2014SR006908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17</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天源迪科大数据处理平台软件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2014SR006910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17</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天源迪科集团客户自服务系统软件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2014SR006906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17</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天源迪科销售管理系统软件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2014SR006964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17</w:t>
            </w:r>
            <w:r>
              <w:rPr>
                <w:rFonts w:ascii="宋体" w:hAnsi="宋体" w:cs="宋体" w:eastAsia="宋体" w:hint="default"/>
                <w:spacing w:val="-1"/>
                <w:sz w:val="20"/>
                <w:szCs w:val="20"/>
              </w:rPr>
              <w:t>日</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3" w:right="-4"/>
              <w:jc w:val="left"/>
              <w:rPr>
                <w:rFonts w:ascii="宋体" w:hAnsi="宋体" w:cs="宋体" w:eastAsia="宋体" w:hint="default"/>
                <w:sz w:val="20"/>
                <w:szCs w:val="20"/>
              </w:rPr>
            </w:pPr>
            <w:r>
              <w:rPr>
                <w:rFonts w:ascii="宋体" w:hAnsi="宋体" w:cs="宋体" w:eastAsia="宋体" w:hint="default"/>
                <w:spacing w:val="6"/>
                <w:sz w:val="20"/>
                <w:szCs w:val="20"/>
              </w:rPr>
              <w:t>天源迪科智慧城市综合运行指挥系统软</w:t>
            </w:r>
            <w:r>
              <w:rPr>
                <w:rFonts w:ascii="宋体" w:hAnsi="宋体" w:cs="宋体" w:eastAsia="宋体" w:hint="default"/>
                <w:spacing w:val="-77"/>
                <w:sz w:val="20"/>
                <w:szCs w:val="20"/>
              </w:rPr>
              <w:t> </w:t>
            </w:r>
            <w:r>
              <w:rPr>
                <w:rFonts w:ascii="宋体" w:hAnsi="宋体" w:cs="宋体" w:eastAsia="宋体" w:hint="default"/>
                <w:sz w:val="20"/>
                <w:szCs w:val="20"/>
              </w:rPr>
              <w:t>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2014SR031248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17</w:t>
            </w:r>
            <w:r>
              <w:rPr>
                <w:rFonts w:ascii="宋体" w:hAnsi="宋体" w:cs="宋体" w:eastAsia="宋体" w:hint="default"/>
                <w:spacing w:val="-1"/>
                <w:sz w:val="20"/>
                <w:szCs w:val="20"/>
              </w:rPr>
              <w:t>日</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3" w:right="-4"/>
              <w:jc w:val="left"/>
              <w:rPr>
                <w:rFonts w:ascii="宋体" w:hAnsi="宋体" w:cs="宋体" w:eastAsia="宋体" w:hint="default"/>
                <w:sz w:val="20"/>
                <w:szCs w:val="20"/>
              </w:rPr>
            </w:pPr>
            <w:r>
              <w:rPr>
                <w:rFonts w:ascii="宋体" w:hAnsi="宋体" w:cs="宋体" w:eastAsia="宋体" w:hint="default"/>
                <w:spacing w:val="6"/>
                <w:sz w:val="20"/>
                <w:szCs w:val="20"/>
              </w:rPr>
              <w:t>天源迪科数据整合与资源管理平台系统</w:t>
            </w:r>
            <w:r>
              <w:rPr>
                <w:rFonts w:ascii="宋体" w:hAnsi="宋体" w:cs="宋体" w:eastAsia="宋体" w:hint="default"/>
                <w:spacing w:val="-77"/>
                <w:sz w:val="20"/>
                <w:szCs w:val="20"/>
              </w:rPr>
              <w:t> </w:t>
            </w:r>
            <w:r>
              <w:rPr>
                <w:rFonts w:ascii="宋体" w:hAnsi="宋体" w:cs="宋体" w:eastAsia="宋体" w:hint="default"/>
                <w:sz w:val="20"/>
                <w:szCs w:val="20"/>
              </w:rPr>
              <w:t>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2014SR032217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15</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20</w:t>
            </w:r>
            <w:r>
              <w:rPr>
                <w:rFonts w:ascii="宋体" w:hAnsi="宋体" w:cs="宋体" w:eastAsia="宋体" w:hint="default"/>
                <w:spacing w:val="-1"/>
                <w:sz w:val="20"/>
                <w:szCs w:val="20"/>
              </w:rPr>
              <w:t>日</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3" w:right="-4"/>
              <w:jc w:val="left"/>
              <w:rPr>
                <w:rFonts w:ascii="宋体" w:hAnsi="宋体" w:cs="宋体" w:eastAsia="宋体" w:hint="default"/>
                <w:sz w:val="20"/>
                <w:szCs w:val="20"/>
              </w:rPr>
            </w:pPr>
            <w:r>
              <w:rPr>
                <w:rFonts w:ascii="宋体" w:hAnsi="宋体" w:cs="宋体" w:eastAsia="宋体" w:hint="default"/>
                <w:spacing w:val="6"/>
                <w:sz w:val="20"/>
                <w:szCs w:val="20"/>
              </w:rPr>
              <w:t>天源迪科实时客户关系管理运营支撑系</w:t>
            </w:r>
            <w:r>
              <w:rPr>
                <w:rFonts w:ascii="宋体" w:hAnsi="宋体" w:cs="宋体" w:eastAsia="宋体" w:hint="default"/>
                <w:spacing w:val="-77"/>
                <w:sz w:val="20"/>
                <w:szCs w:val="20"/>
              </w:rPr>
              <w:t> </w:t>
            </w:r>
            <w:r>
              <w:rPr>
                <w:rFonts w:ascii="宋体" w:hAnsi="宋体" w:cs="宋体" w:eastAsia="宋体" w:hint="default"/>
                <w:sz w:val="20"/>
                <w:szCs w:val="20"/>
              </w:rPr>
              <w:t>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2014SR068682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天源迪科业务监控平台软件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2014SR098494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16</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天源迪科微信营业厅系统软件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2014SR098784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16</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天源迪科移动客户俱乐部系统软件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2014SR102566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22</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天源迪科销售助手移动应用软件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2014SR102390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105"/>
              <w:jc w:val="left"/>
              <w:rPr>
                <w:rFonts w:ascii="宋体" w:hAnsi="宋体" w:cs="宋体" w:eastAsia="宋体" w:hint="default"/>
                <w:sz w:val="18"/>
                <w:szCs w:val="18"/>
              </w:rPr>
            </w:pPr>
            <w:r>
              <w:rPr>
                <w:rFonts w:ascii="宋体" w:hAnsi="宋体" w:cs="宋体" w:eastAsia="宋体" w:hint="default"/>
                <w:sz w:val="18"/>
                <w:szCs w:val="18"/>
              </w:rPr>
              <w:t>天源迪科建筑工程质量检测全过程监管系统 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2014SR102407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天源迪科易信营业厅系统软件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2014SR102408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天源迪科综合信控软件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2014SR109122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天源迪科虚拟运营商综合计费平台软件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2014SR109145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天源迪科手机常亮移动应用系统软件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2014SR118289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16</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天源迪科礼包销售移动应用系统软件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2014SR118202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4a</w:t>
            </w:r>
            <w:r>
              <w:rPr>
                <w:rFonts w:ascii="宋体" w:hAnsi="宋体" w:cs="宋体" w:eastAsia="宋体" w:hint="default"/>
                <w:sz w:val="18"/>
                <w:szCs w:val="18"/>
              </w:rPr>
              <w:t>安全管理平台软件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2014SR141218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19</w:t>
            </w:r>
            <w:r>
              <w:rPr>
                <w:rFonts w:ascii="宋体" w:hAnsi="宋体" w:cs="宋体" w:eastAsia="宋体" w:hint="default"/>
                <w:spacing w:val="-1"/>
                <w:sz w:val="20"/>
                <w:szCs w:val="20"/>
              </w:rPr>
              <w:t>日</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天源迪科微门户管理系统软件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20"/>
                <w:szCs w:val="20"/>
              </w:rPr>
            </w:pPr>
            <w:r>
              <w:rPr>
                <w:rFonts w:ascii="Times New Roman"/>
                <w:sz w:val="20"/>
              </w:rPr>
              <w:t>2014SR175718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天源迪科业务规则管理平台软件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2014SR176089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天源迪科互联网分销平台软件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2014SR176224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68"/>
        <w:gridCol w:w="3544"/>
        <w:gridCol w:w="709"/>
        <w:gridCol w:w="1559"/>
        <w:gridCol w:w="1560"/>
        <w:gridCol w:w="1559"/>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5"/>
              <w:jc w:val="right"/>
              <w:rPr>
                <w:rFonts w:ascii="Times New Roman" w:hAnsi="Times New Roman" w:cs="Times New Roman" w:eastAsia="Times New Roman" w:hint="default"/>
                <w:sz w:val="18"/>
                <w:szCs w:val="18"/>
              </w:rPr>
            </w:pPr>
            <w:r>
              <w:rPr>
                <w:rFonts w:ascii="Times New Roman"/>
                <w:sz w:val="18"/>
              </w:rPr>
              <w:t>22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天源迪科流程化订单管理系统软件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2014SR175907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5"/>
              <w:jc w:val="right"/>
              <w:rPr>
                <w:rFonts w:ascii="Times New Roman" w:hAnsi="Times New Roman" w:cs="Times New Roman" w:eastAsia="Times New Roman" w:hint="default"/>
                <w:sz w:val="18"/>
                <w:szCs w:val="18"/>
              </w:rPr>
            </w:pPr>
            <w:r>
              <w:rPr>
                <w:rFonts w:ascii="Times New Roman"/>
                <w:sz w:val="18"/>
              </w:rPr>
              <w:t>23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天源迪科天翼客服系统软件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2014SR175880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85"/>
              <w:jc w:val="right"/>
              <w:rPr>
                <w:rFonts w:ascii="Times New Roman" w:hAnsi="Times New Roman" w:cs="Times New Roman" w:eastAsia="Times New Roman" w:hint="default"/>
                <w:sz w:val="18"/>
                <w:szCs w:val="18"/>
              </w:rPr>
            </w:pPr>
            <w:r>
              <w:rPr>
                <w:rFonts w:ascii="Times New Roman"/>
                <w:sz w:val="18"/>
              </w:rPr>
              <w:t>24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天源迪科电信详单查询系统软件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2014SR175774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bl>
    <w:p>
      <w:pPr>
        <w:pStyle w:val="BodyText"/>
        <w:spacing w:line="340" w:lineRule="auto" w:before="51"/>
        <w:ind w:left="514" w:right="158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）产品登记</w:t>
      </w:r>
      <w:r>
        <w:rPr>
          <w:rFonts w:ascii="宋体" w:hAnsi="宋体" w:cs="宋体" w:eastAsia="宋体" w:hint="default"/>
          <w:b/>
          <w:bCs/>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w:t>
      </w:r>
      <w:r>
        <w:rPr>
          <w:rFonts w:ascii="Times New Roman" w:hAnsi="Times New Roman" w:cs="Times New Roman" w:eastAsia="Times New Roman" w:hint="default"/>
        </w:rPr>
        <w:t>113</w:t>
      </w:r>
      <w:r>
        <w:rPr/>
        <w:t>项产品登记证书，其中</w:t>
      </w:r>
      <w:r>
        <w:rPr>
          <w:rFonts w:ascii="Times New Roman" w:hAnsi="Times New Roman" w:cs="Times New Roman" w:eastAsia="Times New Roman" w:hint="default"/>
        </w:rPr>
        <w:t>2014</w:t>
      </w:r>
      <w:r>
        <w:rPr/>
        <w:t>年度新增的产品登记证书见下表：</w:t>
      </w:r>
    </w:p>
    <w:tbl>
      <w:tblPr>
        <w:tblW w:w="0" w:type="auto"/>
        <w:jc w:val="left"/>
        <w:tblInd w:w="146" w:type="dxa"/>
        <w:tblLayout w:type="fixed"/>
        <w:tblCellMar>
          <w:top w:w="0" w:type="dxa"/>
          <w:left w:w="0" w:type="dxa"/>
          <w:bottom w:w="0" w:type="dxa"/>
          <w:right w:w="0" w:type="dxa"/>
        </w:tblCellMar>
        <w:tblLook w:val="01E0"/>
      </w:tblPr>
      <w:tblGrid>
        <w:gridCol w:w="568"/>
        <w:gridCol w:w="4253"/>
        <w:gridCol w:w="841"/>
        <w:gridCol w:w="1984"/>
        <w:gridCol w:w="1853"/>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8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天源迪科集团客户自服务系统软件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DGY-2014-0216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天源迪科大数据处理平台软件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DGY-2014-0262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天源迪科收入稽核管理系统软件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DGY-2014-0260</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天源迪科销售管理系统软件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DGY-2014-0259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天源迪科智慧城市综合运行指挥系统软件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DGY-2014-1217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天源迪科数据整合与资源管理平台系统软件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DGY-2014-1218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天源迪科实时客户关系管理运营支撑系统软件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DGY-2014-2513</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天源迪科业务监控平台软件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天源迪科易信营业厅系统软件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天源迪科综合信控软件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天源迪科移动客户俱乐部系统软件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天源迪科销售助手移动应用软件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天源迪科微信营业厅系统软件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DGY-2014-2519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天源迪科虚拟运营商综合计费平台软件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DGY-2014-2520</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天源迪科建筑工程质量检测全过程监管系统软件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DGY-2014-2521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天源迪科业务规则管理平台软件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DGY-2014-3858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天源迪科礼包销售移动应用系统软件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DGY-2014-3859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w:t>
            </w:r>
            <w:r>
              <w:rPr>
                <w:rFonts w:ascii="Times New Roman" w:hAnsi="Times New Roman" w:cs="Times New Roman" w:eastAsia="Times New Roman" w:hint="default"/>
                <w:sz w:val="20"/>
                <w:szCs w:val="20"/>
              </w:rPr>
              <w:t>4A</w:t>
            </w:r>
            <w:r>
              <w:rPr>
                <w:rFonts w:ascii="宋体" w:hAnsi="宋体" w:cs="宋体" w:eastAsia="宋体" w:hint="default"/>
                <w:sz w:val="20"/>
                <w:szCs w:val="20"/>
              </w:rPr>
              <w:t>安全管理平台软件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DGY-2014-3860</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天源迪科流程化订单管理系统软件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天源迪科互联网分销平台软件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天源迪科微门户管理系统软件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DGY-2014-3863</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天源迪科手机常亮移动应用系统软件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23</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天源迪科电信详单查询系统软件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24</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天源迪科天翼客服系统软件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深</w:t>
            </w:r>
            <w:r>
              <w:rPr>
                <w:rFonts w:ascii="Times New Roman" w:hAnsi="Times New Roman" w:cs="Times New Roman" w:eastAsia="Times New Roman" w:hint="default"/>
                <w:sz w:val="20"/>
                <w:szCs w:val="20"/>
              </w:rPr>
              <w:t>DGY-2014-3866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bl>
    <w:p>
      <w:pPr>
        <w:pStyle w:val="BodyText"/>
        <w:spacing w:line="340" w:lineRule="auto" w:before="58"/>
        <w:ind w:left="514" w:right="140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）发明专利</w:t>
      </w:r>
      <w:r>
        <w:rPr>
          <w:rFonts w:ascii="宋体" w:hAnsi="宋体" w:cs="宋体" w:eastAsia="宋体" w:hint="default"/>
          <w:b/>
          <w:bCs/>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日，公司共申请了</w:t>
      </w:r>
      <w:r>
        <w:rPr>
          <w:rFonts w:ascii="Times New Roman" w:hAnsi="Times New Roman" w:cs="Times New Roman" w:eastAsia="Times New Roman" w:hint="default"/>
        </w:rPr>
        <w:t>19</w:t>
      </w:r>
      <w:r>
        <w:rPr/>
        <w:t>项发明专利，其中有</w:t>
      </w:r>
      <w:r>
        <w:rPr>
          <w:rFonts w:ascii="Times New Roman" w:hAnsi="Times New Roman" w:cs="Times New Roman" w:eastAsia="Times New Roman" w:hint="default"/>
        </w:rPr>
        <w:t>8</w:t>
      </w:r>
      <w:r>
        <w:rPr/>
        <w:t>项发明专利获得证书，具体情况见下表：</w:t>
      </w:r>
    </w:p>
    <w:tbl>
      <w:tblPr>
        <w:tblW w:w="0" w:type="auto"/>
        <w:jc w:val="left"/>
        <w:tblInd w:w="146" w:type="dxa"/>
        <w:tblLayout w:type="fixed"/>
        <w:tblCellMar>
          <w:top w:w="0" w:type="dxa"/>
          <w:left w:w="0" w:type="dxa"/>
          <w:bottom w:w="0" w:type="dxa"/>
          <w:right w:w="0" w:type="dxa"/>
        </w:tblCellMar>
        <w:tblLook w:val="01E0"/>
      </w:tblPr>
      <w:tblGrid>
        <w:gridCol w:w="617"/>
        <w:gridCol w:w="4388"/>
        <w:gridCol w:w="2268"/>
        <w:gridCol w:w="2268"/>
      </w:tblGrid>
      <w:tr>
        <w:trPr>
          <w:trHeight w:val="423" w:hRule="exact"/>
        </w:trPr>
        <w:tc>
          <w:tcPr>
            <w:tcW w:w="6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2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获得日</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17"/>
        <w:gridCol w:w="4388"/>
        <w:gridCol w:w="2268"/>
        <w:gridCol w:w="2268"/>
      </w:tblGrid>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内存数据库和物理数据库间的数据同步方法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定时器的管理方法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Times New Roman" w:hAnsi="Times New Roman" w:cs="Times New Roman" w:eastAsia="Times New Roman" w:hint="default"/>
                <w:sz w:val="18"/>
                <w:szCs w:val="18"/>
              </w:rPr>
              <w:t>Diameter</w:t>
            </w:r>
            <w:r>
              <w:rPr>
                <w:rFonts w:ascii="宋体" w:hAnsi="宋体" w:cs="宋体" w:eastAsia="宋体" w:hint="default"/>
                <w:sz w:val="18"/>
                <w:szCs w:val="18"/>
              </w:rPr>
              <w:t>协议消息的方法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基于带抑制弧的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w:t>
            </w:r>
            <w:r>
              <w:rPr>
                <w:rFonts w:ascii="Times New Roman" w:hAnsi="Times New Roman" w:cs="Times New Roman" w:eastAsia="Times New Roman" w:hint="default"/>
                <w:sz w:val="18"/>
                <w:szCs w:val="18"/>
              </w:rPr>
              <w:t>HB</w:t>
            </w:r>
            <w:r>
              <w:rPr>
                <w:rFonts w:ascii="宋体" w:hAnsi="宋体" w:cs="宋体" w:eastAsia="宋体" w:hint="default"/>
                <w:sz w:val="18"/>
                <w:szCs w:val="18"/>
              </w:rPr>
              <w:t>系统状态转换的方法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应用于电信行业计费系统的共享数据中心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TUXEDO</w:t>
            </w:r>
            <w:r>
              <w:rPr>
                <w:rFonts w:ascii="宋体" w:hAnsi="宋体" w:cs="宋体" w:eastAsia="宋体" w:hint="default"/>
                <w:sz w:val="18"/>
                <w:szCs w:val="18"/>
              </w:rPr>
              <w:t>数据协议转换方法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软件质量的检测方法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服务端基于</w:t>
            </w:r>
            <w:r>
              <w:rPr>
                <w:rFonts w:ascii="Times New Roman" w:hAnsi="Times New Roman" w:cs="Times New Roman" w:eastAsia="Times New Roman" w:hint="default"/>
                <w:sz w:val="18"/>
                <w:szCs w:val="18"/>
              </w:rPr>
              <w:t>TCP</w:t>
            </w:r>
            <w:r>
              <w:rPr>
                <w:rFonts w:ascii="宋体" w:hAnsi="宋体" w:cs="宋体" w:eastAsia="宋体" w:hint="default"/>
                <w:sz w:val="18"/>
                <w:szCs w:val="18"/>
              </w:rPr>
              <w:t>的交互处理方法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获取固话与手机间家庭关联关系的方法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出账系统的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网模拟的分析</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彩信图片的生成方法及系统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软件缺陷严重级别测定方法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C/C++</w:t>
            </w:r>
            <w:r>
              <w:rPr>
                <w:rFonts w:ascii="宋体" w:hAnsi="宋体" w:cs="宋体" w:eastAsia="宋体" w:hint="default"/>
                <w:sz w:val="18"/>
                <w:szCs w:val="18"/>
              </w:rPr>
              <w:t>进行动态实例化的方法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基于位置的支付安全监控方法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互联网行为分析系统及其工作方法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WIFI</w:t>
            </w:r>
            <w:r>
              <w:rPr>
                <w:rFonts w:ascii="宋体" w:hAnsi="宋体" w:cs="宋体" w:eastAsia="宋体" w:hint="default"/>
                <w:sz w:val="18"/>
                <w:szCs w:val="18"/>
              </w:rPr>
              <w:t>热点</w:t>
            </w:r>
            <w:r>
              <w:rPr>
                <w:rFonts w:ascii="Times New Roman" w:hAnsi="Times New Roman" w:cs="Times New Roman" w:eastAsia="Times New Roman" w:hint="default"/>
                <w:sz w:val="18"/>
                <w:szCs w:val="18"/>
              </w:rPr>
              <w:t>AP</w:t>
            </w:r>
            <w:r>
              <w:rPr>
                <w:rFonts w:ascii="宋体" w:hAnsi="宋体" w:cs="宋体" w:eastAsia="宋体" w:hint="default"/>
                <w:sz w:val="18"/>
                <w:szCs w:val="18"/>
              </w:rPr>
              <w:t>与基站扇区关联规划的系统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图像识别系统及方法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通信信道动态加密方法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身份证识别方法、装置及系统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40" w:lineRule="auto" w:before="51"/>
        <w:ind w:left="514" w:right="167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）科技成果登记</w:t>
      </w:r>
      <w:r>
        <w:rPr>
          <w:rFonts w:ascii="宋体" w:hAnsi="宋体" w:cs="宋体" w:eastAsia="宋体" w:hint="default"/>
          <w:b/>
          <w:bCs/>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w:t>
      </w:r>
      <w:r>
        <w:rPr>
          <w:rFonts w:ascii="Times New Roman" w:hAnsi="Times New Roman" w:cs="Times New Roman" w:eastAsia="Times New Roman" w:hint="default"/>
        </w:rPr>
        <w:t>46</w:t>
      </w:r>
      <w:r>
        <w:rPr/>
        <w:t>项科技成果登记，其中</w:t>
      </w:r>
      <w:r>
        <w:rPr>
          <w:rFonts w:ascii="Times New Roman" w:hAnsi="Times New Roman" w:cs="Times New Roman" w:eastAsia="Times New Roman" w:hint="default"/>
        </w:rPr>
        <w:t>2014</w:t>
      </w:r>
      <w:r>
        <w:rPr/>
        <w:t>年度新增的科技成果登记见下表：</w:t>
      </w:r>
    </w:p>
    <w:tbl>
      <w:tblPr>
        <w:tblW w:w="0" w:type="auto"/>
        <w:jc w:val="left"/>
        <w:tblInd w:w="146" w:type="dxa"/>
        <w:tblLayout w:type="fixed"/>
        <w:tblCellMar>
          <w:top w:w="0" w:type="dxa"/>
          <w:left w:w="0" w:type="dxa"/>
          <w:bottom w:w="0" w:type="dxa"/>
          <w:right w:w="0" w:type="dxa"/>
        </w:tblCellMar>
        <w:tblLook w:val="01E0"/>
      </w:tblPr>
      <w:tblGrid>
        <w:gridCol w:w="629"/>
        <w:gridCol w:w="4768"/>
        <w:gridCol w:w="1572"/>
        <w:gridCol w:w="2596"/>
      </w:tblGrid>
      <w:tr>
        <w:trPr>
          <w:trHeight w:val="427" w:hRule="exact"/>
        </w:trPr>
        <w:tc>
          <w:tcPr>
            <w:tcW w:w="6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c>
          <w:tcPr>
            <w:tcW w:w="2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宋体" w:hAnsi="宋体" w:cs="宋体" w:eastAsia="宋体" w:hint="default"/>
                <w:sz w:val="20"/>
                <w:szCs w:val="20"/>
              </w:rPr>
              <w:t>天源迪科统一消息推送平台软件</w:t>
            </w:r>
            <w:r>
              <w:rPr>
                <w:rFonts w:ascii="Times New Roman" w:hAnsi="Times New Roman" w:cs="Times New Roman" w:eastAsia="Times New Roman" w:hint="default"/>
                <w:sz w:val="20"/>
                <w:szCs w:val="20"/>
              </w:rPr>
              <w:t>V</w:t>
            </w:r>
            <w:r>
              <w:rPr>
                <w:rFonts w:ascii="Times New Roman" w:hAnsi="Times New Roman" w:cs="Times New Roman" w:eastAsia="Times New Roman" w:hint="default"/>
                <w:sz w:val="18"/>
                <w:szCs w:val="18"/>
              </w:rPr>
              <w:t>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2014Y0005</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9</w:t>
            </w:r>
            <w:r>
              <w:rPr>
                <w:rFonts w:ascii="宋体" w:hAnsi="宋体" w:cs="宋体" w:eastAsia="宋体" w:hint="default"/>
                <w:sz w:val="20"/>
                <w:szCs w:val="20"/>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天源迪科电信终端交易平台软件</w:t>
            </w:r>
            <w:r>
              <w:rPr>
                <w:rFonts w:ascii="Times New Roman" w:hAnsi="Times New Roman" w:cs="Times New Roman" w:eastAsia="Times New Roman" w:hint="default"/>
                <w:sz w:val="20"/>
                <w:szCs w:val="20"/>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2014Y0004</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9</w:t>
            </w:r>
            <w:r>
              <w:rPr>
                <w:rFonts w:ascii="宋体" w:hAnsi="宋体" w:cs="宋体" w:eastAsia="宋体" w:hint="default"/>
                <w:sz w:val="20"/>
                <w:szCs w:val="20"/>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w:t>
            </w:r>
            <w:r>
              <w:rPr>
                <w:rFonts w:ascii="Times New Roman" w:hAnsi="Times New Roman" w:cs="Times New Roman" w:eastAsia="Times New Roman" w:hint="default"/>
                <w:sz w:val="20"/>
                <w:szCs w:val="20"/>
              </w:rPr>
              <w:t>ETL</w:t>
            </w:r>
            <w:r>
              <w:rPr>
                <w:rFonts w:ascii="宋体" w:hAnsi="宋体" w:cs="宋体" w:eastAsia="宋体" w:hint="default"/>
                <w:sz w:val="20"/>
                <w:szCs w:val="20"/>
              </w:rPr>
              <w:t>开发平台软件</w:t>
            </w:r>
            <w:r>
              <w:rPr>
                <w:rFonts w:ascii="Times New Roman" w:hAnsi="Times New Roman" w:cs="Times New Roman" w:eastAsia="Times New Roman" w:hint="default"/>
                <w:sz w:val="20"/>
                <w:szCs w:val="20"/>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2014Y0006</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9</w:t>
            </w:r>
            <w:r>
              <w:rPr>
                <w:rFonts w:ascii="宋体" w:hAnsi="宋体" w:cs="宋体" w:eastAsia="宋体" w:hint="default"/>
                <w:sz w:val="20"/>
                <w:szCs w:val="20"/>
              </w:rPr>
              <w:t>日</w:t>
            </w:r>
          </w:p>
        </w:tc>
      </w:tr>
      <w:tr>
        <w:trPr>
          <w:trHeight w:val="426"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天源迪科余额管理中心软件</w:t>
            </w:r>
            <w:r>
              <w:rPr>
                <w:rFonts w:ascii="Times New Roman" w:hAnsi="Times New Roman" w:cs="Times New Roman" w:eastAsia="Times New Roman" w:hint="default"/>
                <w:sz w:val="20"/>
                <w:szCs w:val="20"/>
              </w:rPr>
              <w:t>V2.0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2014Y0120</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16</w:t>
            </w:r>
            <w:r>
              <w:rPr>
                <w:rFonts w:ascii="宋体" w:hAnsi="宋体" w:cs="宋体" w:eastAsia="宋体" w:hint="default"/>
                <w:sz w:val="20"/>
                <w:szCs w:val="20"/>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天源迪科大数据处理平台软件</w:t>
            </w:r>
            <w:r>
              <w:rPr>
                <w:rFonts w:ascii="Times New Roman" w:hAnsi="Times New Roman" w:cs="Times New Roman" w:eastAsia="Times New Roman" w:hint="default"/>
                <w:sz w:val="20"/>
                <w:szCs w:val="20"/>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2014Y0122</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16</w:t>
            </w:r>
            <w:r>
              <w:rPr>
                <w:rFonts w:ascii="宋体" w:hAnsi="宋体" w:cs="宋体" w:eastAsia="宋体" w:hint="default"/>
                <w:sz w:val="20"/>
                <w:szCs w:val="20"/>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天源迪科客户行为分析系统软件</w:t>
            </w:r>
            <w:r>
              <w:rPr>
                <w:rFonts w:ascii="Times New Roman" w:hAnsi="Times New Roman" w:cs="Times New Roman" w:eastAsia="Times New Roman" w:hint="default"/>
                <w:sz w:val="20"/>
                <w:szCs w:val="20"/>
              </w:rPr>
              <w:t>V2.0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2014Y0121</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16</w:t>
            </w:r>
            <w:r>
              <w:rPr>
                <w:rFonts w:ascii="宋体" w:hAnsi="宋体" w:cs="宋体" w:eastAsia="宋体" w:hint="default"/>
                <w:sz w:val="20"/>
                <w:szCs w:val="20"/>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天源迪科综合信控软件</w:t>
            </w:r>
            <w:r>
              <w:rPr>
                <w:rFonts w:ascii="Times New Roman" w:hAnsi="Times New Roman" w:cs="Times New Roman" w:eastAsia="Times New Roman" w:hint="default"/>
                <w:sz w:val="20"/>
                <w:szCs w:val="20"/>
              </w:rPr>
              <w:t>V2.0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2014Y0193</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17</w:t>
            </w:r>
            <w:r>
              <w:rPr>
                <w:rFonts w:ascii="宋体" w:hAnsi="宋体" w:cs="宋体" w:eastAsia="宋体" w:hint="default"/>
                <w:sz w:val="20"/>
                <w:szCs w:val="20"/>
              </w:rPr>
              <w:t>日</w:t>
            </w:r>
          </w:p>
        </w:tc>
      </w:tr>
      <w:tr>
        <w:trPr>
          <w:trHeight w:val="428"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天源迪科业务监控平台软件</w:t>
            </w:r>
            <w:r>
              <w:rPr>
                <w:rFonts w:ascii="Times New Roman" w:hAnsi="Times New Roman" w:cs="Times New Roman" w:eastAsia="Times New Roman" w:hint="default"/>
                <w:sz w:val="20"/>
                <w:szCs w:val="20"/>
              </w:rPr>
              <w:t>V2.0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2014Y0194</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17</w:t>
            </w:r>
            <w:r>
              <w:rPr>
                <w:rFonts w:ascii="宋体" w:hAnsi="宋体" w:cs="宋体" w:eastAsia="宋体" w:hint="default"/>
                <w:sz w:val="20"/>
                <w:szCs w:val="20"/>
              </w:rPr>
              <w:t>日</w:t>
            </w:r>
          </w:p>
        </w:tc>
      </w:tr>
    </w:tbl>
    <w:p>
      <w:pPr>
        <w:spacing w:line="340" w:lineRule="auto" w:before="58"/>
        <w:ind w:left="514" w:right="38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）国家及行业资质认证</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日，公司取得的比较重要的国家及行业资质见下表：</w:t>
      </w:r>
    </w:p>
    <w:tbl>
      <w:tblPr>
        <w:tblW w:w="0" w:type="auto"/>
        <w:jc w:val="left"/>
        <w:tblInd w:w="14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410" w:hRule="exact"/>
        </w:trPr>
        <w:tc>
          <w:tcPr>
            <w:tcW w:w="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5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48"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42" w:right="0"/>
              <w:jc w:val="left"/>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76"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20"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国家火炬计划重点高新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技术企业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GZ20144420025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科技部火炬高新技术产业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日，有效期至</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40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国家级高新技术企业证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GR201444201045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both"/>
              <w:rPr>
                <w:rFonts w:ascii="宋体" w:hAnsi="宋体" w:cs="宋体" w:eastAsia="宋体" w:hint="default"/>
                <w:sz w:val="18"/>
                <w:szCs w:val="18"/>
              </w:rPr>
            </w:pPr>
            <w:r>
              <w:rPr>
                <w:rFonts w:ascii="宋体" w:hAnsi="宋体" w:cs="宋体" w:eastAsia="宋体" w:hint="default"/>
                <w:spacing w:val="7"/>
                <w:sz w:val="18"/>
                <w:szCs w:val="18"/>
              </w:rPr>
              <w:t>深圳市经济贸易和信息化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委员会、深圳市财政局、深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圳市国家税务局、深圳市地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方税务局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2008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日初次领证，</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日重新认定； 有效期</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75"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2013-2014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家</w:t>
            </w:r>
            <w:r>
              <w:rPr>
                <w:rFonts w:ascii="宋体" w:hAnsi="宋体" w:cs="宋体" w:eastAsia="宋体" w:hint="default"/>
                <w:spacing w:val="-63"/>
                <w:sz w:val="18"/>
                <w:szCs w:val="18"/>
              </w:rPr>
              <w:t> </w:t>
            </w:r>
            <w:r>
              <w:rPr>
                <w:rFonts w:ascii="宋体" w:hAnsi="宋体" w:cs="宋体" w:eastAsia="宋体" w:hint="default"/>
                <w:sz w:val="18"/>
                <w:szCs w:val="18"/>
              </w:rPr>
              <w:t>规</w:t>
            </w:r>
            <w:r>
              <w:rPr>
                <w:rFonts w:ascii="宋体" w:hAnsi="宋体" w:cs="宋体" w:eastAsia="宋体" w:hint="default"/>
                <w:spacing w:val="-63"/>
                <w:sz w:val="18"/>
                <w:szCs w:val="18"/>
              </w:rPr>
              <w:t> </w:t>
            </w:r>
            <w:r>
              <w:rPr>
                <w:rFonts w:ascii="宋体" w:hAnsi="宋体" w:cs="宋体" w:eastAsia="宋体" w:hint="default"/>
                <w:sz w:val="18"/>
                <w:szCs w:val="18"/>
              </w:rPr>
              <w:t>划</w:t>
            </w:r>
            <w:r>
              <w:rPr>
                <w:rFonts w:ascii="宋体" w:hAnsi="宋体" w:cs="宋体" w:eastAsia="宋体" w:hint="default"/>
                <w:sz w:val="18"/>
                <w:szCs w:val="18"/>
              </w:rPr>
              <w:t> 布局内重点软件企业证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R-2013-206</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pacing w:val="7"/>
                <w:sz w:val="18"/>
                <w:szCs w:val="18"/>
              </w:rPr>
              <w:t>中华人民共和国国家发展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和改革委员会、中华人民共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和国工业和信息化部、中华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人民共和国商务部、国家税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计算机信息系统集成资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质一级证书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Z1440320100261</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中华人民共和国信息产业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both"/>
              <w:rPr>
                <w:rFonts w:ascii="宋体" w:hAnsi="宋体" w:cs="宋体" w:eastAsia="宋体" w:hint="default"/>
                <w:sz w:val="18"/>
                <w:szCs w:val="18"/>
              </w:rPr>
            </w:pPr>
            <w:r>
              <w:rPr>
                <w:rFonts w:ascii="宋体" w:hAnsi="宋体" w:cs="宋体" w:eastAsia="宋体" w:hint="default"/>
                <w:spacing w:val="-3"/>
                <w:sz w:val="18"/>
                <w:szCs w:val="18"/>
              </w:rPr>
              <w:t>首次发证日期为</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日换发新证，证书有效期至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73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中华人民共和国增值电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信业务经营许可证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B2-20130024</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pacing w:val="7"/>
                <w:sz w:val="18"/>
                <w:szCs w:val="18"/>
              </w:rPr>
              <w:t>中华人民共和国工业和信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息化部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日，有效期至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深圳市高新技术企业证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SZ2014270</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8"/>
                <w:sz w:val="18"/>
                <w:szCs w:val="18"/>
              </w:rPr>
              <w:t>深圳市科技创新委员会、深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圳市财政局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日初次通过，</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日重新认定；有效期</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77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深圳市软件企业认定证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R-2013-0419</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原证书号：深</w:t>
            </w:r>
            <w:r>
              <w:rPr>
                <w:rFonts w:ascii="Times New Roman" w:hAnsi="Times New Roman" w:cs="Times New Roman" w:eastAsia="Times New Roman" w:hint="default"/>
                <w:sz w:val="18"/>
                <w:szCs w:val="18"/>
              </w:rPr>
              <w:t>R-2000-0015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深圳市经济贸易和信息化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日通过换证，每年需要参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加年审</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深圳市重点软件企业认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ZR-2013-0025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深圳市经济贸易和信息化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CMMI4</w:t>
            </w:r>
            <w:r>
              <w:rPr>
                <w:rFonts w:ascii="宋体" w:hAnsi="宋体" w:cs="宋体" w:eastAsia="宋体" w:hint="default"/>
                <w:sz w:val="18"/>
                <w:szCs w:val="18"/>
              </w:rPr>
              <w:t>认证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SEI</w:t>
            </w:r>
            <w:r>
              <w:rPr>
                <w:rFonts w:ascii="Times New Roman"/>
                <w:spacing w:val="-2"/>
                <w:sz w:val="18"/>
              </w:rPr>
              <w:t> </w:t>
            </w:r>
            <w:r>
              <w:rPr>
                <w:rFonts w:ascii="Times New Roman"/>
                <w:sz w:val="18"/>
              </w:rPr>
              <w:t>partner</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认定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02414Q2010170R3L</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环通认证中心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有效期为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37"/>
                <w:sz w:val="18"/>
                <w:szCs w:val="18"/>
              </w:rPr>
              <w:t> </w:t>
            </w:r>
            <w:r>
              <w:rPr>
                <w:rFonts w:ascii="宋体" w:hAnsi="宋体" w:cs="宋体" w:eastAsia="宋体" w:hint="default"/>
                <w:sz w:val="18"/>
                <w:szCs w:val="18"/>
              </w:rPr>
              <w:t>件</w:t>
            </w:r>
            <w:r>
              <w:rPr>
                <w:rFonts w:ascii="宋体" w:hAnsi="宋体" w:cs="宋体" w:eastAsia="宋体" w:hint="default"/>
                <w:spacing w:val="-37"/>
                <w:sz w:val="18"/>
                <w:szCs w:val="18"/>
              </w:rPr>
              <w:t> </w:t>
            </w:r>
            <w:r>
              <w:rPr>
                <w:rFonts w:ascii="宋体" w:hAnsi="宋体" w:cs="宋体" w:eastAsia="宋体" w:hint="default"/>
                <w:sz w:val="18"/>
                <w:szCs w:val="18"/>
              </w:rPr>
              <w:t>服</w:t>
            </w:r>
            <w:r>
              <w:rPr>
                <w:rFonts w:ascii="宋体" w:hAnsi="宋体" w:cs="宋体" w:eastAsia="宋体" w:hint="default"/>
                <w:spacing w:val="-37"/>
                <w:sz w:val="18"/>
                <w:szCs w:val="18"/>
              </w:rPr>
              <w:t> </w:t>
            </w:r>
            <w:r>
              <w:rPr>
                <w:rFonts w:ascii="宋体" w:hAnsi="宋体" w:cs="宋体" w:eastAsia="宋体" w:hint="default"/>
                <w:sz w:val="18"/>
                <w:szCs w:val="18"/>
              </w:rPr>
              <w:t>务</w:t>
            </w:r>
            <w:r>
              <w:rPr>
                <w:rFonts w:ascii="宋体" w:hAnsi="宋体" w:cs="宋体" w:eastAsia="宋体" w:hint="default"/>
                <w:spacing w:val="-38"/>
                <w:sz w:val="18"/>
                <w:szCs w:val="18"/>
              </w:rPr>
              <w:t> </w:t>
            </w:r>
            <w:r>
              <w:rPr>
                <w:rFonts w:ascii="宋体" w:hAnsi="宋体" w:cs="宋体" w:eastAsia="宋体" w:hint="default"/>
                <w:sz w:val="18"/>
                <w:szCs w:val="18"/>
              </w:rPr>
              <w:t>企</w:t>
            </w:r>
            <w:r>
              <w:rPr>
                <w:rFonts w:ascii="宋体" w:hAnsi="宋体" w:cs="宋体" w:eastAsia="宋体" w:hint="default"/>
                <w:spacing w:val="-38"/>
                <w:sz w:val="18"/>
                <w:szCs w:val="18"/>
              </w:rPr>
              <w:t> </w:t>
            </w:r>
            <w:r>
              <w:rPr>
                <w:rFonts w:ascii="宋体" w:hAnsi="宋体" w:cs="宋体" w:eastAsia="宋体" w:hint="default"/>
                <w:sz w:val="18"/>
                <w:szCs w:val="18"/>
              </w:rPr>
              <w:t>业</w:t>
            </w:r>
            <w:r>
              <w:rPr>
                <w:rFonts w:ascii="宋体" w:hAnsi="宋体" w:cs="宋体" w:eastAsia="宋体" w:hint="default"/>
                <w:spacing w:val="-37"/>
                <w:sz w:val="18"/>
                <w:szCs w:val="18"/>
              </w:rPr>
              <w:t> </w:t>
            </w:r>
            <w:r>
              <w:rPr>
                <w:rFonts w:ascii="宋体" w:hAnsi="宋体" w:cs="宋体" w:eastAsia="宋体" w:hint="default"/>
                <w:sz w:val="18"/>
                <w:szCs w:val="18"/>
              </w:rPr>
              <w:t>信</w:t>
            </w:r>
            <w:r>
              <w:rPr>
                <w:rFonts w:ascii="宋体" w:hAnsi="宋体" w:cs="宋体" w:eastAsia="宋体" w:hint="default"/>
                <w:spacing w:val="-37"/>
                <w:sz w:val="18"/>
                <w:szCs w:val="18"/>
              </w:rPr>
              <w:t> </w:t>
            </w:r>
            <w:r>
              <w:rPr>
                <w:rFonts w:ascii="宋体" w:hAnsi="宋体" w:cs="宋体" w:eastAsia="宋体" w:hint="default"/>
                <w:sz w:val="18"/>
                <w:szCs w:val="18"/>
              </w:rPr>
              <w:t>用</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AAA</w:t>
            </w:r>
            <w:r>
              <w:rPr>
                <w:rFonts w:ascii="宋体" w:hAnsi="宋体" w:cs="宋体" w:eastAsia="宋体" w:hint="default"/>
                <w:sz w:val="18"/>
                <w:szCs w:val="18"/>
              </w:rPr>
              <w:t>等级证书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201308811100022</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both"/>
              <w:rPr>
                <w:rFonts w:ascii="宋体" w:hAnsi="宋体" w:cs="宋体" w:eastAsia="宋体" w:hint="default"/>
                <w:sz w:val="18"/>
                <w:szCs w:val="18"/>
              </w:rPr>
            </w:pPr>
            <w:r>
              <w:rPr>
                <w:rFonts w:ascii="宋体" w:hAnsi="宋体" w:cs="宋体" w:eastAsia="宋体" w:hint="default"/>
                <w:spacing w:val="-3"/>
                <w:sz w:val="18"/>
                <w:szCs w:val="18"/>
              </w:rPr>
              <w:t>最初发证日期为</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月参加换证评审，</w:t>
            </w:r>
            <w:r>
              <w:rPr>
                <w:rFonts w:ascii="宋体" w:hAnsi="宋体" w:cs="宋体" w:eastAsia="宋体" w:hint="default"/>
                <w:spacing w:val="-74"/>
                <w:sz w:val="18"/>
                <w:szCs w:val="18"/>
              </w:rPr>
              <w:t> </w:t>
            </w:r>
            <w:r>
              <w:rPr>
                <w:rFonts w:ascii="宋体" w:hAnsi="宋体" w:cs="宋体" w:eastAsia="宋体" w:hint="default"/>
                <w:spacing w:val="11"/>
                <w:sz w:val="18"/>
                <w:szCs w:val="18"/>
              </w:rPr>
              <w:t>发证日期为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日，有效期至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年度中国软件和信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息服务电信领域标杆企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中国电子信息产业发展研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究院</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73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中国年度创新软件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p>
        </w:tc>
      </w:tr>
      <w:tr>
        <w:trPr>
          <w:trHeight w:val="42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中国软件创新企业</w:t>
            </w:r>
            <w:r>
              <w:rPr>
                <w:rFonts w:ascii="Times New Roman" w:hAnsi="Times New Roman" w:cs="Times New Roman" w:eastAsia="Times New Roman" w:hint="default"/>
                <w:sz w:val="18"/>
                <w:szCs w:val="18"/>
              </w:rPr>
              <w:t>20</w:t>
            </w:r>
            <w:r>
              <w:rPr>
                <w:rFonts w:ascii="宋体" w:hAnsi="宋体" w:cs="宋体" w:eastAsia="宋体" w:hint="default"/>
                <w:sz w:val="18"/>
                <w:szCs w:val="18"/>
              </w:rPr>
              <w:t>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中国版权保护中心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第六届中国通信与信息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化行业应用领军企业奖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中国通信港论坛组委会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广东省院士工作站</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0" w:right="49"/>
              <w:jc w:val="center"/>
              <w:rPr>
                <w:rFonts w:ascii="宋体" w:hAnsi="宋体" w:cs="宋体" w:eastAsia="宋体" w:hint="default"/>
                <w:sz w:val="18"/>
                <w:szCs w:val="18"/>
              </w:rPr>
            </w:pPr>
            <w:r>
              <w:rPr>
                <w:rFonts w:ascii="宋体" w:hAnsi="宋体" w:cs="宋体" w:eastAsia="宋体" w:hint="default"/>
                <w:sz w:val="18"/>
                <w:szCs w:val="18"/>
              </w:rPr>
              <w:t>广东省院士工作站建设项 目合同书，项目编号： </w:t>
            </w:r>
            <w:r>
              <w:rPr>
                <w:rFonts w:ascii="Times New Roman" w:hAnsi="Times New Roman" w:cs="Times New Roman" w:eastAsia="Times New Roman" w:hint="default"/>
                <w:sz w:val="18"/>
                <w:szCs w:val="18"/>
              </w:rPr>
              <w:t>2012B090500020</w:t>
            </w:r>
            <w:r>
              <w:rPr>
                <w:rFonts w:ascii="宋体" w:hAnsi="宋体" w:cs="宋体" w:eastAsia="宋体" w:hint="default"/>
                <w:sz w:val="18"/>
                <w:szCs w:val="18"/>
              </w:rPr>
              <w:t>，文件编</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号：粤财教</w:t>
            </w:r>
            <w:r>
              <w:rPr>
                <w:rFonts w:ascii="Times New Roman" w:hAnsi="Times New Roman" w:cs="Times New Roman" w:eastAsia="Times New Roman" w:hint="default"/>
                <w:sz w:val="18"/>
                <w:szCs w:val="18"/>
              </w:rPr>
              <w:t>[2012]397</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pacing w:val="-6"/>
                <w:sz w:val="18"/>
                <w:szCs w:val="18"/>
              </w:rPr>
              <w:t>中国工程院、中国科学院、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教育部、科技部、工信部</w:t>
            </w:r>
            <w:r>
              <w:rPr>
                <w:rFonts w:ascii="宋体" w:hAnsi="宋体" w:cs="宋体" w:eastAsia="宋体" w:hint="default"/>
                <w:sz w:val="18"/>
                <w:szCs w:val="18"/>
              </w:rPr>
              <w:t> </w:t>
            </w:r>
            <w:r>
              <w:rPr>
                <w:rFonts w:ascii="宋体" w:hAnsi="宋体" w:cs="宋体" w:eastAsia="宋体" w:hint="default"/>
                <w:spacing w:val="7"/>
                <w:sz w:val="18"/>
                <w:szCs w:val="18"/>
              </w:rPr>
              <w:t>广东省人民政府产学研结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合协调领导小组办公室</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广东省工程技术研究中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105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both"/>
              <w:rPr>
                <w:rFonts w:ascii="宋体" w:hAnsi="宋体" w:cs="宋体" w:eastAsia="宋体" w:hint="default"/>
                <w:sz w:val="18"/>
                <w:szCs w:val="18"/>
              </w:rPr>
            </w:pPr>
            <w:r>
              <w:rPr>
                <w:rFonts w:ascii="宋体" w:hAnsi="宋体" w:cs="宋体" w:eastAsia="宋体" w:hint="default"/>
                <w:sz w:val="18"/>
                <w:szCs w:val="18"/>
              </w:rPr>
              <w:t>广东省安全技术防范系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统设计、施工维修资格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Times New Roman" w:hAnsi="Times New Roman" w:cs="Times New Roman" w:eastAsia="Times New Roman" w:hint="default"/>
                <w:sz w:val="18"/>
                <w:szCs w:val="18"/>
              </w:rPr>
              <w:t>GB962</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pacing w:val="7"/>
                <w:sz w:val="18"/>
                <w:szCs w:val="18"/>
              </w:rPr>
              <w:t>广东省公安厅安全技术防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范管理办公室</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日，有效期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广东省软件和集成电路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设计产业百强培育企业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2" w:right="0" w:hanging="1"/>
              <w:jc w:val="center"/>
              <w:rPr>
                <w:rFonts w:ascii="宋体" w:hAnsi="宋体" w:cs="宋体" w:eastAsia="宋体" w:hint="default"/>
                <w:sz w:val="18"/>
                <w:szCs w:val="18"/>
              </w:rPr>
            </w:pPr>
            <w:r>
              <w:rPr>
                <w:rFonts w:ascii="宋体" w:hAnsi="宋体" w:cs="宋体" w:eastAsia="宋体" w:hint="default"/>
                <w:sz w:val="18"/>
                <w:szCs w:val="18"/>
              </w:rPr>
              <w:t>关于发布</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年广东省软 件和集成电路设计</w:t>
            </w:r>
            <w:r>
              <w:rPr>
                <w:rFonts w:ascii="Times New Roman" w:hAnsi="Times New Roman" w:cs="Times New Roman" w:eastAsia="Times New Roman" w:hint="default"/>
                <w:sz w:val="18"/>
                <w:szCs w:val="18"/>
              </w:rPr>
              <w:t>100</w:t>
            </w:r>
            <w:r>
              <w:rPr>
                <w:rFonts w:ascii="宋体" w:hAnsi="宋体" w:cs="宋体" w:eastAsia="宋体" w:hint="default"/>
                <w:sz w:val="18"/>
                <w:szCs w:val="18"/>
              </w:rPr>
              <w:t>强培 </w:t>
            </w:r>
            <w:r>
              <w:rPr>
                <w:rFonts w:ascii="宋体" w:hAnsi="宋体" w:cs="宋体" w:eastAsia="宋体" w:hint="default"/>
                <w:spacing w:val="-5"/>
                <w:sz w:val="18"/>
                <w:szCs w:val="18"/>
              </w:rPr>
              <w:t>育企业名单的通知（经信软</w:t>
            </w:r>
            <w:r>
              <w:rPr>
                <w:rFonts w:ascii="宋体" w:hAnsi="宋体" w:cs="宋体" w:eastAsia="宋体" w:hint="default"/>
                <w:sz w:val="18"/>
                <w:szCs w:val="18"/>
              </w:rPr>
              <w:t> 信〔</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776</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广东省经济和信息化委员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广东省软件业务收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入前百家企业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省</w:t>
            </w:r>
            <w:r>
              <w:rPr>
                <w:rFonts w:ascii="宋体" w:hAnsi="宋体" w:cs="宋体" w:eastAsia="宋体" w:hint="default"/>
                <w:spacing w:val="-67"/>
                <w:sz w:val="18"/>
                <w:szCs w:val="18"/>
              </w:rPr>
              <w:t> </w:t>
            </w:r>
            <w:r>
              <w:rPr>
                <w:rFonts w:ascii="宋体" w:hAnsi="宋体" w:cs="宋体" w:eastAsia="宋体" w:hint="default"/>
                <w:sz w:val="18"/>
                <w:szCs w:val="18"/>
              </w:rPr>
              <w:t>诚</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范</w:t>
            </w:r>
            <w:r>
              <w:rPr>
                <w:rFonts w:ascii="宋体" w:hAnsi="宋体" w:cs="宋体" w:eastAsia="宋体" w:hint="default"/>
                <w:spacing w:val="-67"/>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GD2014020044</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8"/>
                <w:sz w:val="18"/>
                <w:szCs w:val="18"/>
              </w:rPr>
              <w:t>广东省企业联合会、广东省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企业家协会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广东省守合同重信用证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日，首次公示年度为</w:t>
            </w:r>
            <w:r>
              <w:rPr>
                <w:rFonts w:ascii="Times New Roman" w:hAnsi="Times New Roman" w:cs="Times New Roman" w:eastAsia="Times New Roman" w:hint="default"/>
                <w:sz w:val="18"/>
                <w:szCs w:val="18"/>
              </w:rPr>
              <w:t>2013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p>
        </w:tc>
      </w:tr>
      <w:tr>
        <w:trPr>
          <w:trHeight w:val="1676"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深圳市市级研发开发中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心（技术中心类）</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年度市级研究 </w:t>
            </w:r>
            <w:r>
              <w:rPr>
                <w:rFonts w:ascii="宋体" w:hAnsi="宋体" w:cs="宋体" w:eastAsia="宋体" w:hint="default"/>
                <w:spacing w:val="-5"/>
                <w:sz w:val="18"/>
                <w:szCs w:val="18"/>
              </w:rPr>
              <w:t>开发中心（技术中心类）拟</w:t>
            </w:r>
            <w:r>
              <w:rPr>
                <w:rFonts w:ascii="宋体" w:hAnsi="宋体" w:cs="宋体" w:eastAsia="宋体" w:hint="default"/>
                <w:sz w:val="18"/>
                <w:szCs w:val="18"/>
              </w:rPr>
              <w:t> 认定名单公示通告</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pacing w:val="7"/>
                <w:sz w:val="18"/>
                <w:szCs w:val="18"/>
              </w:rPr>
              <w:t>深圳市科技工贸和信息化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委员会、深圳市发展与改革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委员会、深圳市财政委员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会、深圳市国家税务局、深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圳市地方税务局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73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深圳知名品牌</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深圳知名品牌评价委员会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发证日期为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日，有效期至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日，正在办理复审。</w:t>
            </w: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年度深圳市软件业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务收入前百家企业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r>
    </w:tbl>
    <w:p>
      <w:pPr>
        <w:pStyle w:val="BodyText"/>
        <w:spacing w:line="338" w:lineRule="auto" w:before="51"/>
        <w:ind w:left="514" w:right="2932"/>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）产品荣誉</w:t>
      </w:r>
      <w:r>
        <w:rPr>
          <w:rFonts w:ascii="宋体" w:hAnsi="宋体" w:cs="宋体" w:eastAsia="宋体" w:hint="default"/>
          <w:b/>
          <w:bCs/>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日，公司共取得产品荣誉证书</w:t>
      </w:r>
      <w:r>
        <w:rPr>
          <w:rFonts w:ascii="Times New Roman" w:hAnsi="Times New Roman" w:cs="Times New Roman" w:eastAsia="Times New Roman" w:hint="default"/>
        </w:rPr>
        <w:t>77</w:t>
      </w:r>
      <w:r>
        <w:rPr/>
        <w:t>项，其中</w:t>
      </w:r>
      <w:r>
        <w:rPr>
          <w:rFonts w:ascii="Times New Roman" w:hAnsi="Times New Roman" w:cs="Times New Roman" w:eastAsia="Times New Roman" w:hint="default"/>
        </w:rPr>
        <w:t>2014</w:t>
      </w:r>
      <w:r>
        <w:rPr/>
        <w:t>年新增的如下表：</w:t>
      </w:r>
    </w:p>
    <w:tbl>
      <w:tblPr>
        <w:tblW w:w="0" w:type="auto"/>
        <w:jc w:val="left"/>
        <w:tblInd w:w="146" w:type="dxa"/>
        <w:tblLayout w:type="fixed"/>
        <w:tblCellMar>
          <w:top w:w="0" w:type="dxa"/>
          <w:left w:w="0" w:type="dxa"/>
          <w:bottom w:w="0" w:type="dxa"/>
          <w:right w:w="0" w:type="dxa"/>
        </w:tblCellMar>
        <w:tblLook w:val="01E0"/>
      </w:tblPr>
      <w:tblGrid>
        <w:gridCol w:w="640"/>
        <w:gridCol w:w="2406"/>
        <w:gridCol w:w="2128"/>
        <w:gridCol w:w="2055"/>
        <w:gridCol w:w="2357"/>
      </w:tblGrid>
      <w:tr>
        <w:trPr>
          <w:trHeight w:val="409" w:hRule="exact"/>
        </w:trPr>
        <w:tc>
          <w:tcPr>
            <w:tcW w:w="64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0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2128"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69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5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657"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35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有限期</w:t>
            </w:r>
            <w:r>
              <w:rPr>
                <w:rFonts w:ascii="宋体" w:hAnsi="宋体" w:cs="宋体" w:eastAsia="宋体" w:hint="default"/>
                <w:sz w:val="18"/>
                <w:szCs w:val="18"/>
              </w:rPr>
            </w:r>
          </w:p>
        </w:tc>
      </w:tr>
      <w:tr>
        <w:trPr>
          <w:trHeight w:val="756" w:hRule="exact"/>
        </w:trPr>
        <w:tc>
          <w:tcPr>
            <w:tcW w:w="6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1</w:t>
            </w:r>
          </w:p>
        </w:tc>
        <w:tc>
          <w:tcPr>
            <w:tcW w:w="2406"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73"/>
              <w:ind w:left="2" w:right="1"/>
              <w:jc w:val="left"/>
              <w:rPr>
                <w:rFonts w:ascii="宋体" w:hAnsi="宋体" w:cs="宋体" w:eastAsia="宋体" w:hint="default"/>
                <w:sz w:val="18"/>
                <w:szCs w:val="18"/>
              </w:rPr>
            </w:pPr>
            <w:r>
              <w:rPr>
                <w:rFonts w:ascii="宋体" w:hAnsi="宋体" w:cs="宋体" w:eastAsia="宋体" w:hint="default"/>
                <w:spacing w:val="3"/>
                <w:sz w:val="18"/>
                <w:szCs w:val="18"/>
              </w:rPr>
              <w:t>第十八届中国国际软件博览会</w:t>
            </w:r>
            <w:r>
              <w:rPr>
                <w:rFonts w:ascii="宋体" w:hAnsi="宋体" w:cs="宋体" w:eastAsia="宋体" w:hint="default"/>
                <w:sz w:val="18"/>
                <w:szCs w:val="18"/>
              </w:rPr>
              <w:t> 金奖</w:t>
            </w:r>
          </w:p>
        </w:tc>
        <w:tc>
          <w:tcPr>
            <w:tcW w:w="2128"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73"/>
              <w:ind w:left="3" w:right="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天源迪科统一消息推送平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台</w:t>
            </w:r>
            <w:r>
              <w:rPr>
                <w:rFonts w:ascii="Times New Roman" w:hAnsi="Times New Roman" w:cs="Times New Roman" w:eastAsia="Times New Roman" w:hint="default"/>
                <w:sz w:val="18"/>
                <w:szCs w:val="18"/>
              </w:rPr>
              <w:t>V1.0</w:t>
            </w:r>
          </w:p>
        </w:tc>
        <w:tc>
          <w:tcPr>
            <w:tcW w:w="2055"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73"/>
              <w:ind w:left="2" w:right="3"/>
              <w:jc w:val="left"/>
              <w:rPr>
                <w:rFonts w:ascii="宋体" w:hAnsi="宋体" w:cs="宋体" w:eastAsia="宋体" w:hint="default"/>
                <w:sz w:val="18"/>
                <w:szCs w:val="18"/>
              </w:rPr>
            </w:pPr>
            <w:r>
              <w:rPr>
                <w:rFonts w:ascii="宋体" w:hAnsi="宋体" w:cs="宋体" w:eastAsia="宋体" w:hint="default"/>
                <w:spacing w:val="4"/>
                <w:sz w:val="18"/>
                <w:szCs w:val="18"/>
              </w:rPr>
              <w:t>中国国际软件博览会组委</w:t>
            </w:r>
            <w:r>
              <w:rPr>
                <w:rFonts w:ascii="宋体" w:hAnsi="宋体" w:cs="宋体" w:eastAsia="宋体" w:hint="default"/>
                <w:sz w:val="18"/>
                <w:szCs w:val="18"/>
              </w:rPr>
              <w:t> 会</w:t>
            </w:r>
          </w:p>
        </w:tc>
        <w:tc>
          <w:tcPr>
            <w:tcW w:w="235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度深圳市优秀软件产品</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3" w:right="1"/>
              <w:jc w:val="left"/>
              <w:rPr>
                <w:rFonts w:ascii="Times New Roman" w:hAnsi="Times New Roman" w:cs="Times New Roman" w:eastAsia="Times New Roman" w:hint="default"/>
                <w:sz w:val="20"/>
                <w:szCs w:val="20"/>
              </w:rPr>
            </w:pPr>
            <w:r>
              <w:rPr>
                <w:rFonts w:ascii="宋体" w:hAnsi="宋体" w:cs="宋体" w:eastAsia="宋体" w:hint="default"/>
                <w:spacing w:val="9"/>
                <w:sz w:val="20"/>
                <w:szCs w:val="20"/>
              </w:rPr>
              <w:t>天源迪科网格化协同营</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销支撑系统软件</w:t>
            </w:r>
            <w:r>
              <w:rPr>
                <w:rFonts w:ascii="Times New Roman" w:hAnsi="Times New Roman" w:cs="Times New Roman" w:eastAsia="Times New Roman" w:hint="default"/>
                <w:sz w:val="20"/>
                <w:szCs w:val="20"/>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r>
      <w:tr>
        <w:trPr>
          <w:trHeight w:val="741"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度深圳市优秀软件产品</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pacing w:val="9"/>
                <w:sz w:val="20"/>
                <w:szCs w:val="20"/>
              </w:rPr>
              <w:t>天源迪科电子渠道软件</w:t>
            </w:r>
          </w:p>
          <w:p>
            <w:pPr>
              <w:pStyle w:val="TableParagraph"/>
              <w:spacing w:line="240" w:lineRule="auto" w:before="96"/>
              <w:ind w:left="3" w:right="0"/>
              <w:jc w:val="left"/>
              <w:rPr>
                <w:rFonts w:ascii="Times New Roman" w:hAnsi="Times New Roman" w:cs="Times New Roman" w:eastAsia="Times New Roman" w:hint="default"/>
                <w:sz w:val="20"/>
                <w:szCs w:val="20"/>
              </w:rPr>
            </w:pPr>
            <w:r>
              <w:rPr>
                <w:rFonts w:ascii="Times New Roman"/>
                <w:sz w:val="20"/>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r>
    </w:tbl>
    <w:p>
      <w:pPr>
        <w:pStyle w:val="Heading5"/>
        <w:spacing w:line="240" w:lineRule="auto" w:before="61"/>
        <w:ind w:left="514" w:right="0"/>
        <w:jc w:val="left"/>
        <w:rPr>
          <w:b w:val="0"/>
          <w:bCs w:val="0"/>
        </w:rPr>
      </w:pPr>
      <w:r>
        <w:rPr/>
        <w:t>二、子公司无形资产情况汇总</w:t>
      </w:r>
      <w:r>
        <w:rPr>
          <w:b w:val="0"/>
          <w:bCs w:val="0"/>
        </w:rPr>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pStyle w:val="BodyText"/>
        <w:spacing w:line="338" w:lineRule="auto" w:before="44"/>
        <w:ind w:left="514" w:right="2392"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）商标</w:t>
      </w:r>
      <w:r>
        <w:rPr>
          <w:rFonts w:ascii="宋体" w:hAnsi="宋体" w:cs="宋体" w:eastAsia="宋体" w:hint="default"/>
          <w:b/>
          <w:bCs/>
          <w:w w:val="99"/>
        </w:rPr>
        <w:t> </w:t>
      </w:r>
      <w:r>
        <w:rPr/>
        <w:t>子公司使用的商标均已在国家工商行政管理总局商标局注册，具体情况如下：（举例如下）</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898"/>
        <w:gridCol w:w="2268"/>
        <w:gridCol w:w="1134"/>
        <w:gridCol w:w="2127"/>
        <w:gridCol w:w="2096"/>
      </w:tblGrid>
      <w:tr>
        <w:trPr>
          <w:trHeight w:val="426" w:hRule="exact"/>
        </w:trPr>
        <w:tc>
          <w:tcPr>
            <w:tcW w:w="18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579"/>
              <w:jc w:val="right"/>
              <w:rPr>
                <w:rFonts w:ascii="宋体" w:hAnsi="宋体" w:cs="宋体" w:eastAsia="宋体" w:hint="default"/>
                <w:sz w:val="18"/>
                <w:szCs w:val="18"/>
              </w:rPr>
            </w:pPr>
            <w:r>
              <w:rPr>
                <w:rFonts w:ascii="宋体" w:hAnsi="宋体" w:cs="宋体" w:eastAsia="宋体" w:hint="default"/>
                <w:b/>
                <w:bCs/>
                <w:w w:val="95"/>
                <w:sz w:val="18"/>
                <w:szCs w:val="18"/>
              </w:rPr>
              <w:t>商标名称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603" w:right="0"/>
              <w:jc w:val="left"/>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核定服务项目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类别</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41" w:hRule="exact"/>
        </w:trPr>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81"/>
              <w:jc w:val="right"/>
              <w:rPr>
                <w:rFonts w:ascii="宋体" w:hAnsi="宋体" w:cs="宋体" w:eastAsia="宋体" w:hint="default"/>
                <w:sz w:val="18"/>
                <w:szCs w:val="18"/>
              </w:rPr>
            </w:pPr>
            <w:r>
              <w:rPr>
                <w:rFonts w:ascii="宋体" w:hAnsi="宋体" w:cs="宋体" w:eastAsia="宋体" w:hint="default"/>
                <w:sz w:val="18"/>
                <w:szCs w:val="18"/>
              </w:rPr>
              <w:t>汇巨信息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深圳市汇巨信息技术有限公</w:t>
            </w:r>
            <w:r>
              <w:rPr>
                <w:rFonts w:ascii="宋体" w:hAnsi="宋体" w:cs="宋体" w:eastAsia="宋体" w:hint="default"/>
                <w:sz w:val="18"/>
                <w:szCs w:val="18"/>
              </w:rPr>
              <w:t> 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8966538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28</w:t>
            </w:r>
            <w:r>
              <w:rPr>
                <w:rFonts w:ascii="Times New Roman" w:hAnsi="Times New Roman" w:cs="Times New Roman" w:eastAsia="Times New Roman" w:hint="default"/>
                <w:spacing w:val="-25"/>
                <w:sz w:val="18"/>
                <w:szCs w:val="18"/>
              </w:rPr>
              <w:t> </w:t>
            </w:r>
            <w:r>
              <w:rPr>
                <w:rFonts w:ascii="宋体" w:hAnsi="宋体" w:cs="宋体" w:eastAsia="宋体" w:hint="default"/>
                <w:spacing w:val="6"/>
                <w:sz w:val="18"/>
                <w:szCs w:val="18"/>
              </w:rPr>
              <w:t>日至</w:t>
            </w:r>
            <w:r>
              <w:rPr>
                <w:rFonts w:ascii="Times New Roman" w:hAnsi="Times New Roman" w:cs="Times New Roman" w:eastAsia="Times New Roman" w:hint="default"/>
                <w:spacing w:val="6"/>
                <w:sz w:val="18"/>
                <w:szCs w:val="18"/>
              </w:rPr>
              <w:t>2021</w:t>
            </w:r>
            <w:r>
              <w:rPr>
                <w:rFonts w:ascii="宋体" w:hAnsi="宋体" w:cs="宋体" w:eastAsia="宋体" w:hint="default"/>
                <w:spacing w:val="6"/>
                <w:sz w:val="18"/>
                <w:szCs w:val="18"/>
              </w:rPr>
              <w:t>年</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r>
    </w:tbl>
    <w:p>
      <w:pPr>
        <w:spacing w:line="240" w:lineRule="auto" w:before="5"/>
        <w:rPr>
          <w:rFonts w:ascii="宋体" w:hAnsi="宋体" w:cs="宋体" w:eastAsia="宋体" w:hint="default"/>
          <w:sz w:val="27"/>
          <w:szCs w:val="27"/>
        </w:rPr>
      </w:pPr>
    </w:p>
    <w:p>
      <w:pPr>
        <w:pStyle w:val="BodyText"/>
        <w:spacing w:line="338" w:lineRule="auto" w:before="44"/>
        <w:ind w:left="514" w:right="32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）计算机软件著作权</w:t>
      </w:r>
      <w:r>
        <w:rPr>
          <w:rFonts w:ascii="宋体" w:hAnsi="宋体" w:cs="宋体" w:eastAsia="宋体" w:hint="default"/>
          <w:b/>
          <w:bCs/>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日，子公司共获得国家版权局计算机软件著作权登记</w:t>
      </w:r>
      <w:r>
        <w:rPr>
          <w:rFonts w:ascii="Times New Roman" w:hAnsi="Times New Roman" w:cs="Times New Roman" w:eastAsia="Times New Roman" w:hint="default"/>
        </w:rPr>
        <w:t>135</w:t>
      </w:r>
      <w:r>
        <w:rPr/>
        <w:t>项，这些软件产品属于子公司自主知识产权</w:t>
      </w:r>
    </w:p>
    <w:p>
      <w:pPr>
        <w:pStyle w:val="BodyText"/>
        <w:spacing w:line="231" w:lineRule="exact"/>
        <w:ind w:right="2392"/>
        <w:jc w:val="left"/>
      </w:pPr>
      <w:r>
        <w:rPr/>
        <w:t>的软件成果，其中</w:t>
      </w:r>
      <w:r>
        <w:rPr>
          <w:rFonts w:ascii="Times New Roman" w:hAnsi="Times New Roman" w:cs="Times New Roman" w:eastAsia="Times New Roman" w:hint="default"/>
        </w:rPr>
        <w:t>2014</w:t>
      </w:r>
      <w:r>
        <w:rPr/>
        <w:t>年新增的计算机软件著作权如下表：</w:t>
      </w:r>
    </w:p>
    <w:p>
      <w:pPr>
        <w:spacing w:line="240" w:lineRule="auto" w:before="12"/>
        <w:rPr>
          <w:rFonts w:ascii="宋体" w:hAnsi="宋体" w:cs="宋体" w:eastAsia="宋体" w:hint="default"/>
          <w:sz w:val="6"/>
          <w:szCs w:val="6"/>
        </w:rPr>
      </w:pPr>
    </w:p>
    <w:tbl>
      <w:tblPr>
        <w:tblW w:w="0" w:type="auto"/>
        <w:jc w:val="left"/>
        <w:tblInd w:w="457" w:type="dxa"/>
        <w:tblLayout w:type="fixed"/>
        <w:tblCellMar>
          <w:top w:w="0" w:type="dxa"/>
          <w:left w:w="0" w:type="dxa"/>
          <w:bottom w:w="0" w:type="dxa"/>
          <w:right w:w="0" w:type="dxa"/>
        </w:tblCellMar>
        <w:tblLook w:val="01E0"/>
      </w:tblPr>
      <w:tblGrid>
        <w:gridCol w:w="568"/>
        <w:gridCol w:w="3596"/>
        <w:gridCol w:w="709"/>
        <w:gridCol w:w="1518"/>
        <w:gridCol w:w="1601"/>
        <w:gridCol w:w="1553"/>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3"/>
              <w:jc w:val="left"/>
              <w:rPr>
                <w:rFonts w:ascii="宋体" w:hAnsi="宋体" w:cs="宋体" w:eastAsia="宋体" w:hint="default"/>
                <w:sz w:val="20"/>
                <w:szCs w:val="20"/>
              </w:rPr>
            </w:pPr>
            <w:r>
              <w:rPr>
                <w:rFonts w:ascii="宋体" w:hAnsi="宋体" w:cs="宋体" w:eastAsia="宋体" w:hint="default"/>
                <w:spacing w:val="9"/>
                <w:sz w:val="20"/>
                <w:szCs w:val="20"/>
              </w:rPr>
              <w:t>天缘迪柯面向公共安全的出入境管控网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格计算及应用软件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2014SR036387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上海天缘迪柯信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天缘迪柯城市道路交通流采集分析软件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2014SR065321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上海天缘迪柯信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天缘迪柯交通管控预案管理软件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2014SR065256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上海天缘迪柯信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天缘迪柯综合能源管理软件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2014SR065823</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上海天缘迪柯信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天缘迪柯公安交通勤务管理软件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2014SR065801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上海天缘迪柯信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易杰位置服务软件</w:t>
            </w:r>
            <w:r>
              <w:rPr>
                <w:rFonts w:ascii="Times New Roman" w:hAnsi="Times New Roman" w:cs="Times New Roman" w:eastAsia="Times New Roman" w:hint="default"/>
                <w:sz w:val="18"/>
                <w:szCs w:val="18"/>
              </w:rPr>
              <w:t>V1.0.0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V1.0.0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2014SR045548</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广州市易杰数码</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SMC</w:t>
            </w:r>
            <w:r>
              <w:rPr>
                <w:rFonts w:ascii="宋体" w:hAnsi="宋体" w:cs="宋体" w:eastAsia="宋体" w:hint="default"/>
                <w:sz w:val="18"/>
                <w:szCs w:val="18"/>
              </w:rPr>
              <w:t>业务管理控制软件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2014SR173692</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高清图像采集与处理控制软件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2014SR173946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金华威呼叫信令通用管理软件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2014SR173687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领导干部日常管理平台软件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2014SR148354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合肥英泽信息科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HUGE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MAS</w:t>
            </w:r>
            <w:r>
              <w:rPr>
                <w:rFonts w:ascii="宋体" w:hAnsi="宋体" w:cs="宋体" w:eastAsia="宋体" w:hint="default"/>
                <w:sz w:val="18"/>
                <w:szCs w:val="18"/>
              </w:rPr>
              <w:t>运营</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系统监控分析预警平台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2014SR005529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0"/>
              <w:jc w:val="left"/>
              <w:rPr>
                <w:rFonts w:ascii="宋体" w:hAnsi="宋体" w:cs="宋体" w:eastAsia="宋体" w:hint="default"/>
                <w:sz w:val="20"/>
                <w:szCs w:val="20"/>
              </w:rPr>
            </w:pPr>
            <w:r>
              <w:rPr>
                <w:rFonts w:ascii="宋体" w:hAnsi="宋体" w:cs="宋体" w:eastAsia="宋体" w:hint="default"/>
                <w:spacing w:val="17"/>
                <w:sz w:val="20"/>
                <w:szCs w:val="20"/>
              </w:rPr>
              <w:t>深圳市汇巨信息</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技术有限公司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HUGE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ECS</w:t>
            </w:r>
            <w:r>
              <w:rPr>
                <w:rFonts w:ascii="宋体" w:hAnsi="宋体" w:cs="宋体" w:eastAsia="宋体" w:hint="default"/>
                <w:sz w:val="18"/>
                <w:szCs w:val="18"/>
              </w:rPr>
              <w:t>电子渠道系统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2014SR005535</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深圳市汇巨信息</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三网融合时代下跨屏商业营销平台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2014SR127044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深圳市汇巨信息</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技术有限公司</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天源环境监测业务管理软件</w:t>
            </w:r>
            <w:r>
              <w:rPr>
                <w:rFonts w:ascii="Times New Roman" w:hAnsi="Times New Roman" w:cs="Times New Roman" w:eastAsia="Times New Roman" w:hint="default"/>
                <w:sz w:val="18"/>
                <w:szCs w:val="18"/>
              </w:rPr>
              <w:t>V4.0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V4.0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pacing w:val="17"/>
                <w:sz w:val="20"/>
                <w:szCs w:val="20"/>
              </w:rPr>
              <w:t>广州天源信息科</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800"/>
        </w:sectPr>
      </w:pPr>
    </w:p>
    <w:p>
      <w:pPr>
        <w:spacing w:line="240" w:lineRule="auto" w:before="6"/>
        <w:rPr>
          <w:rFonts w:ascii="宋体" w:hAnsi="宋体" w:cs="宋体" w:eastAsia="宋体" w:hint="default"/>
          <w:sz w:val="28"/>
          <w:szCs w:val="28"/>
        </w:rPr>
      </w:pPr>
    </w:p>
    <w:tbl>
      <w:tblPr>
        <w:tblW w:w="0" w:type="auto"/>
        <w:jc w:val="left"/>
        <w:tblInd w:w="457" w:type="dxa"/>
        <w:tblLayout w:type="fixed"/>
        <w:tblCellMar>
          <w:top w:w="0" w:type="dxa"/>
          <w:left w:w="0" w:type="dxa"/>
          <w:bottom w:w="0" w:type="dxa"/>
          <w:right w:w="0" w:type="dxa"/>
        </w:tblCellMar>
        <w:tblLook w:val="01E0"/>
      </w:tblPr>
      <w:tblGrid>
        <w:gridCol w:w="568"/>
        <w:gridCol w:w="3596"/>
        <w:gridCol w:w="709"/>
        <w:gridCol w:w="1518"/>
        <w:gridCol w:w="1601"/>
        <w:gridCol w:w="1553"/>
      </w:tblGrid>
      <w:tr>
        <w:trPr>
          <w:trHeight w:val="698"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35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0717952</w:t>
            </w:r>
            <w:r>
              <w:rPr>
                <w:rFonts w:ascii="宋体" w:hAnsi="宋体" w:cs="宋体" w:eastAsia="宋体" w:hint="default"/>
                <w:spacing w:val="-3"/>
                <w:sz w:val="18"/>
                <w:szCs w:val="18"/>
              </w:rPr>
              <w:t>号，登记号</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2014SR048708</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技有限公司</w:t>
            </w:r>
          </w:p>
        </w:tc>
      </w:tr>
      <w:tr>
        <w:trPr>
          <w:trHeight w:val="105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天源移动一站式支撑综合业务软件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0717795</w:t>
            </w:r>
            <w:r>
              <w:rPr>
                <w:rFonts w:ascii="宋体" w:hAnsi="宋体" w:cs="宋体" w:eastAsia="宋体" w:hint="default"/>
                <w:spacing w:val="-3"/>
                <w:sz w:val="18"/>
                <w:szCs w:val="18"/>
              </w:rPr>
              <w:t>号，登记号</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2014SR048551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广州天源信息科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天源移动增值业务支撑软件</w:t>
            </w:r>
            <w:r>
              <w:rPr>
                <w:rFonts w:ascii="Times New Roman" w:hAnsi="Times New Roman" w:cs="Times New Roman" w:eastAsia="Times New Roman" w:hint="default"/>
                <w:sz w:val="18"/>
                <w:szCs w:val="18"/>
              </w:rPr>
              <w:t>V2.0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5"/>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0717955</w:t>
            </w:r>
            <w:r>
              <w:rPr>
                <w:rFonts w:ascii="宋体" w:hAnsi="宋体" w:cs="宋体" w:eastAsia="宋体" w:hint="default"/>
                <w:spacing w:val="-3"/>
                <w:sz w:val="18"/>
                <w:szCs w:val="18"/>
              </w:rPr>
              <w:t>号，登记号</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2014SR048711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广州天源信息科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天源电信报价工具管理软件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5"/>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0852505</w:t>
            </w:r>
            <w:r>
              <w:rPr>
                <w:rFonts w:ascii="宋体" w:hAnsi="宋体" w:cs="宋体" w:eastAsia="宋体" w:hint="default"/>
                <w:spacing w:val="-3"/>
                <w:sz w:val="18"/>
                <w:szCs w:val="18"/>
              </w:rPr>
              <w:t>号，登记号</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2014SR183269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广州天源信息科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天源电子渠道综合管理平台软件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5"/>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0849757</w:t>
            </w:r>
            <w:r>
              <w:rPr>
                <w:rFonts w:ascii="宋体" w:hAnsi="宋体" w:cs="宋体" w:eastAsia="宋体" w:hint="default"/>
                <w:spacing w:val="-3"/>
                <w:sz w:val="18"/>
                <w:szCs w:val="18"/>
              </w:rPr>
              <w:t>号，登记号</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2014SR180520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广州天源信息科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天缘迪柯交通管理集成指挥平台软件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0726203</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广州易星信息科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驿途绩效管理系统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0" w:right="0"/>
              <w:jc w:val="left"/>
              <w:rPr>
                <w:rFonts w:ascii="Times New Roman" w:hAnsi="Times New Roman" w:cs="Times New Roman" w:eastAsia="Times New Roman" w:hint="default"/>
                <w:sz w:val="18"/>
                <w:szCs w:val="18"/>
              </w:rPr>
            </w:pPr>
            <w:r>
              <w:rPr>
                <w:rFonts w:ascii="Times New Roman"/>
                <w:sz w:val="18"/>
              </w:rPr>
              <w:t>2014SR131519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广西驿途信息科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74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驿途办公自动化系统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Times New Roman" w:hAnsi="Times New Roman" w:cs="Times New Roman" w:eastAsia="Times New Roman" w:hint="default"/>
                <w:sz w:val="18"/>
                <w:szCs w:val="18"/>
              </w:rPr>
            </w:pPr>
            <w:r>
              <w:rPr>
                <w:rFonts w:ascii="Times New Roman"/>
                <w:sz w:val="18"/>
              </w:rPr>
              <w:t>2014SR105200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广西驿途信息科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bl>
    <w:p>
      <w:pPr>
        <w:spacing w:line="240" w:lineRule="auto" w:before="5"/>
        <w:rPr>
          <w:rFonts w:ascii="宋体" w:hAnsi="宋体" w:cs="宋体" w:eastAsia="宋体" w:hint="default"/>
          <w:sz w:val="27"/>
          <w:szCs w:val="27"/>
        </w:rPr>
      </w:pPr>
    </w:p>
    <w:p>
      <w:pPr>
        <w:pStyle w:val="BodyText"/>
        <w:spacing w:line="340" w:lineRule="auto" w:before="44"/>
        <w:ind w:left="514" w:right="275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）软件产品登记</w:t>
      </w:r>
      <w:r>
        <w:rPr>
          <w:rFonts w:ascii="宋体" w:hAnsi="宋体" w:cs="宋体" w:eastAsia="宋体" w:hint="default"/>
          <w:b/>
          <w:bCs/>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日，子公司共取得项产品登记证书</w:t>
      </w:r>
      <w:r>
        <w:rPr>
          <w:rFonts w:ascii="Times New Roman" w:hAnsi="Times New Roman" w:cs="Times New Roman" w:eastAsia="Times New Roman" w:hint="default"/>
        </w:rPr>
        <w:t>63</w:t>
      </w:r>
      <w:r>
        <w:rPr/>
        <w:t>项，其中</w:t>
      </w:r>
      <w:r>
        <w:rPr>
          <w:rFonts w:ascii="Times New Roman" w:hAnsi="Times New Roman" w:cs="Times New Roman" w:eastAsia="Times New Roman" w:hint="default"/>
        </w:rPr>
        <w:t>2014</w:t>
      </w:r>
      <w:r>
        <w:rPr/>
        <w:t>年新增的如下表：</w:t>
      </w:r>
    </w:p>
    <w:tbl>
      <w:tblPr>
        <w:tblW w:w="0" w:type="auto"/>
        <w:jc w:val="left"/>
        <w:tblInd w:w="457" w:type="dxa"/>
        <w:tblLayout w:type="fixed"/>
        <w:tblCellMar>
          <w:top w:w="0" w:type="dxa"/>
          <w:left w:w="0" w:type="dxa"/>
          <w:bottom w:w="0" w:type="dxa"/>
          <w:right w:w="0" w:type="dxa"/>
        </w:tblCellMar>
        <w:tblLook w:val="01E0"/>
      </w:tblPr>
      <w:tblGrid>
        <w:gridCol w:w="568"/>
        <w:gridCol w:w="3596"/>
        <w:gridCol w:w="709"/>
        <w:gridCol w:w="1559"/>
        <w:gridCol w:w="1560"/>
        <w:gridCol w:w="1553"/>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06"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7"/>
                <w:sz w:val="18"/>
                <w:szCs w:val="18"/>
              </w:rPr>
              <w:t>天缘迪柯面向公共安全的出入境管控网格计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算及应用软件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DGY-2014-0487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上海天缘迪柯信息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天缘迪柯城市道路交通流采集分析软件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DGY-2014-1007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上海天缘迪柯信息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天缘迪柯交通管控预案管理软件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DGY-2014-1009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上海天缘迪柯信息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天缘迪柯综合能源管理软件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DGY-2014-1010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上海天缘迪柯信息 </w:t>
            </w:r>
            <w:r>
              <w:rPr>
                <w:rFonts w:ascii="宋体" w:hAnsi="宋体" w:cs="宋体" w:eastAsia="宋体" w:hint="default"/>
                <w:sz w:val="18"/>
                <w:szCs w:val="18"/>
              </w:rPr>
              <w:t>技术有限公司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天缘迪柯公安交通勤务管理软件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DGY-2014-1008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上海天缘迪柯信息 </w:t>
            </w:r>
            <w:r>
              <w:rPr>
                <w:rFonts w:ascii="宋体" w:hAnsi="宋体" w:cs="宋体" w:eastAsia="宋体" w:hint="default"/>
                <w:sz w:val="18"/>
                <w:szCs w:val="18"/>
              </w:rPr>
              <w:t>技术有限公司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英泽企业目录管理软件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DGZ-2014-0216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英泽网站后台管理软件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DGZ-2014-0217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800"/>
        </w:sectPr>
      </w:pPr>
    </w:p>
    <w:p>
      <w:pPr>
        <w:spacing w:line="240" w:lineRule="auto" w:before="6"/>
        <w:rPr>
          <w:rFonts w:ascii="宋体" w:hAnsi="宋体" w:cs="宋体" w:eastAsia="宋体" w:hint="default"/>
          <w:sz w:val="28"/>
          <w:szCs w:val="28"/>
        </w:rPr>
      </w:pPr>
    </w:p>
    <w:tbl>
      <w:tblPr>
        <w:tblW w:w="0" w:type="auto"/>
        <w:jc w:val="left"/>
        <w:tblInd w:w="457" w:type="dxa"/>
        <w:tblLayout w:type="fixed"/>
        <w:tblCellMar>
          <w:top w:w="0" w:type="dxa"/>
          <w:left w:w="0" w:type="dxa"/>
          <w:bottom w:w="0" w:type="dxa"/>
          <w:right w:w="0" w:type="dxa"/>
        </w:tblCellMar>
        <w:tblLook w:val="01E0"/>
      </w:tblPr>
      <w:tblGrid>
        <w:gridCol w:w="568"/>
        <w:gridCol w:w="3596"/>
        <w:gridCol w:w="709"/>
        <w:gridCol w:w="1559"/>
        <w:gridCol w:w="1560"/>
        <w:gridCol w:w="1553"/>
      </w:tblGrid>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9"/>
              <w:jc w:val="right"/>
              <w:rPr>
                <w:rFonts w:ascii="Times New Roman" w:hAnsi="Times New Roman" w:cs="Times New Roman" w:eastAsia="Times New Roman" w:hint="default"/>
                <w:sz w:val="18"/>
                <w:szCs w:val="18"/>
              </w:rPr>
            </w:pPr>
            <w:r>
              <w:rPr>
                <w:rFonts w:ascii="Times New Roman"/>
                <w:sz w:val="18"/>
              </w:rPr>
              <w:t>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英泽融资担保平台软件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DGZ-2014-0218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9"/>
              <w:jc w:val="right"/>
              <w:rPr>
                <w:rFonts w:ascii="Times New Roman" w:hAnsi="Times New Roman" w:cs="Times New Roman" w:eastAsia="Times New Roman" w:hint="default"/>
                <w:sz w:val="18"/>
                <w:szCs w:val="18"/>
              </w:rPr>
            </w:pPr>
            <w:r>
              <w:rPr>
                <w:rFonts w:ascii="Times New Roman"/>
                <w:sz w:val="18"/>
              </w:rPr>
              <w:t>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英泽手机终端管理平台软件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DGZ-2014-0219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85"/>
              <w:jc w:val="right"/>
              <w:rPr>
                <w:rFonts w:ascii="Times New Roman" w:hAnsi="Times New Roman" w:cs="Times New Roman" w:eastAsia="Times New Roman" w:hint="default"/>
                <w:sz w:val="18"/>
                <w:szCs w:val="18"/>
              </w:rPr>
            </w:pPr>
            <w:r>
              <w:rPr>
                <w:rFonts w:ascii="Times New Roman"/>
                <w:sz w:val="18"/>
              </w:rPr>
              <w:t>10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汇巨三网融合时代下跨屏商业营销平台软件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DGY-2014-3436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5"/>
              <w:jc w:val="right"/>
              <w:rPr>
                <w:rFonts w:ascii="Times New Roman" w:hAnsi="Times New Roman" w:cs="Times New Roman" w:eastAsia="Times New Roman" w:hint="default"/>
                <w:sz w:val="18"/>
                <w:szCs w:val="18"/>
              </w:rPr>
            </w:pPr>
            <w:r>
              <w:rPr>
                <w:rFonts w:ascii="Times New Roman"/>
                <w:sz w:val="18"/>
              </w:rPr>
              <w:t>11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易星车险移动查勘定损软件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Times New Roman" w:hAnsi="Times New Roman" w:cs="Times New Roman" w:eastAsia="Times New Roman" w:hint="default"/>
                <w:sz w:val="18"/>
                <w:szCs w:val="18"/>
              </w:rPr>
              <w:t>DGY-2014-0422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广州易星信息科技 </w:t>
            </w:r>
            <w:r>
              <w:rPr>
                <w:rFonts w:ascii="宋体" w:hAnsi="宋体" w:cs="宋体" w:eastAsia="宋体" w:hint="default"/>
                <w:sz w:val="18"/>
                <w:szCs w:val="18"/>
              </w:rPr>
              <w:t>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5"/>
              <w:jc w:val="right"/>
              <w:rPr>
                <w:rFonts w:ascii="Times New Roman" w:hAnsi="Times New Roman" w:cs="Times New Roman" w:eastAsia="Times New Roman" w:hint="default"/>
                <w:sz w:val="18"/>
                <w:szCs w:val="18"/>
              </w:rPr>
            </w:pPr>
            <w:r>
              <w:rPr>
                <w:rFonts w:ascii="Times New Roman"/>
                <w:sz w:val="18"/>
              </w:rPr>
              <w:t>12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易星车险网上理赔管理软件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Times New Roman" w:hAnsi="Times New Roman" w:cs="Times New Roman" w:eastAsia="Times New Roman" w:hint="default"/>
                <w:sz w:val="18"/>
                <w:szCs w:val="18"/>
              </w:rPr>
              <w:t>DGY-2014-0423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广州易星信息科技 </w:t>
            </w:r>
            <w:r>
              <w:rPr>
                <w:rFonts w:ascii="宋体" w:hAnsi="宋体" w:cs="宋体" w:eastAsia="宋体" w:hint="default"/>
                <w:sz w:val="18"/>
                <w:szCs w:val="18"/>
              </w:rPr>
              <w:t>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5"/>
              <w:jc w:val="right"/>
              <w:rPr>
                <w:rFonts w:ascii="Times New Roman" w:hAnsi="Times New Roman" w:cs="Times New Roman" w:eastAsia="Times New Roman" w:hint="default"/>
                <w:sz w:val="18"/>
                <w:szCs w:val="18"/>
              </w:rPr>
            </w:pPr>
            <w:r>
              <w:rPr>
                <w:rFonts w:ascii="Times New Roman"/>
                <w:sz w:val="18"/>
              </w:rPr>
              <w:t>13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驿途查博士手机手机短信搜索系统软件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2014XCP01175J</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广西驿途信息科技 </w:t>
            </w:r>
            <w:r>
              <w:rPr>
                <w:rFonts w:ascii="宋体" w:hAnsi="宋体" w:cs="宋体" w:eastAsia="宋体" w:hint="default"/>
                <w:sz w:val="18"/>
                <w:szCs w:val="18"/>
              </w:rPr>
              <w:t>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5"/>
              <w:jc w:val="right"/>
              <w:rPr>
                <w:rFonts w:ascii="Times New Roman" w:hAnsi="Times New Roman" w:cs="Times New Roman" w:eastAsia="Times New Roman" w:hint="default"/>
                <w:sz w:val="18"/>
                <w:szCs w:val="18"/>
              </w:rPr>
            </w:pPr>
            <w:r>
              <w:rPr>
                <w:rFonts w:ascii="Times New Roman"/>
                <w:sz w:val="18"/>
              </w:rPr>
              <w:t>14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驿途绩效管理系统软件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桂</w:t>
            </w:r>
            <w:r>
              <w:rPr>
                <w:rFonts w:ascii="Times New Roman" w:hAnsi="Times New Roman" w:cs="Times New Roman" w:eastAsia="Times New Roman" w:hint="default"/>
                <w:sz w:val="18"/>
                <w:szCs w:val="18"/>
              </w:rPr>
              <w:t>DGY-2014-0170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广西驿途信息科技 </w:t>
            </w:r>
            <w:r>
              <w:rPr>
                <w:rFonts w:ascii="宋体" w:hAnsi="宋体" w:cs="宋体" w:eastAsia="宋体" w:hint="default"/>
                <w:sz w:val="18"/>
                <w:szCs w:val="18"/>
              </w:rPr>
              <w:t>有限公司</w:t>
            </w:r>
          </w:p>
        </w:tc>
      </w:tr>
    </w:tbl>
    <w:p>
      <w:pPr>
        <w:spacing w:line="240" w:lineRule="auto" w:before="6"/>
        <w:rPr>
          <w:rFonts w:ascii="宋体" w:hAnsi="宋体" w:cs="宋体" w:eastAsia="宋体" w:hint="default"/>
          <w:sz w:val="27"/>
          <w:szCs w:val="27"/>
        </w:rPr>
      </w:pPr>
    </w:p>
    <w:p>
      <w:pPr>
        <w:spacing w:line="338" w:lineRule="auto" w:before="44"/>
        <w:ind w:left="514" w:right="395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）国家及行业资质认证</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日，子公司取得的比较重要的国家及行业资质见下表：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86"/>
        <w:ind w:left="2806" w:right="3952"/>
        <w:jc w:val="left"/>
      </w:pPr>
      <w:r>
        <w:rPr/>
        <w:pict>
          <v:shape style="position:absolute;margin-left:77.940002pt;margin-top:-36.508297pt;width:478.35pt;height:376.1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0"/>
                    <w:gridCol w:w="1700"/>
                    <w:gridCol w:w="95"/>
                    <w:gridCol w:w="1891"/>
                    <w:gridCol w:w="1842"/>
                    <w:gridCol w:w="1842"/>
                    <w:gridCol w:w="1554"/>
                  </w:tblGrid>
                  <w:tr>
                    <w:trPr>
                      <w:trHeight w:val="426" w:hRule="exact"/>
                    </w:trPr>
                    <w:tc>
                      <w:tcPr>
                        <w:tcW w:w="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21"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81"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198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72" w:right="0"/>
                          <w:jc w:val="left"/>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551"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c>
                      <w:tcPr>
                        <w:tcW w:w="15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07"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4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6"/>
                            <w:sz w:val="18"/>
                            <w:szCs w:val="18"/>
                          </w:rPr>
                          <w:t>计算机信息系统集成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企业资质证书（叁级</w:t>
                        </w:r>
                      </w:p>
                    </w:tc>
                    <w:tc>
                      <w:tcPr>
                        <w:tcW w:w="95" w:type="dxa"/>
                        <w:tcBorders>
                          <w:top w:val="single" w:sz="6" w:space="0" w:color="000000"/>
                          <w:left w:val="single" w:sz="6" w:space="0" w:color="000000"/>
                          <w:bottom w:val="single" w:sz="6" w:space="0" w:color="000000"/>
                          <w:right w:val="nil" w:sz="6" w:space="0" w:color="auto"/>
                        </w:tcBorders>
                      </w:tcPr>
                      <w:p>
                        <w:pPr/>
                      </w:p>
                    </w:tc>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4" w:right="0"/>
                          <w:jc w:val="left"/>
                          <w:rPr>
                            <w:rFonts w:ascii="Times New Roman" w:hAnsi="Times New Roman" w:cs="Times New Roman" w:eastAsia="Times New Roman" w:hint="default"/>
                            <w:sz w:val="18"/>
                            <w:szCs w:val="18"/>
                          </w:rPr>
                        </w:pPr>
                        <w:r>
                          <w:rPr>
                            <w:rFonts w:ascii="Times New Roman"/>
                            <w:sz w:val="18"/>
                          </w:rPr>
                          <w:t>Z3310020140256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中国电子信息行业联合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19</w:t>
                        </w:r>
                        <w:r>
                          <w:rPr>
                            <w:rFonts w:ascii="宋体" w:hAnsi="宋体" w:cs="宋体" w:eastAsia="宋体" w:hint="default"/>
                            <w:spacing w:val="-5"/>
                            <w:sz w:val="18"/>
                            <w:szCs w:val="18"/>
                          </w:rPr>
                          <w:t>日核发，有</w:t>
                        </w:r>
                        <w:r>
                          <w:rPr>
                            <w:rFonts w:ascii="宋体" w:hAnsi="宋体" w:cs="宋体" w:eastAsia="宋体" w:hint="default"/>
                            <w:sz w:val="18"/>
                            <w:szCs w:val="18"/>
                          </w:rPr>
                          <w:t> 效期至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上海天缘迪柯信息 </w:t>
                        </w:r>
                        <w:r>
                          <w:rPr>
                            <w:rFonts w:ascii="宋体" w:hAnsi="宋体" w:cs="宋体" w:eastAsia="宋体" w:hint="default"/>
                            <w:sz w:val="18"/>
                            <w:szCs w:val="18"/>
                          </w:rPr>
                          <w:t>技术有限公司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高新企业证书</w:t>
                        </w: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03" w:right="66"/>
                          <w:jc w:val="left"/>
                          <w:rPr>
                            <w:rFonts w:ascii="宋体" w:hAnsi="宋体" w:cs="宋体" w:eastAsia="宋体" w:hint="default"/>
                            <w:sz w:val="18"/>
                            <w:szCs w:val="18"/>
                          </w:rPr>
                        </w:pPr>
                        <w:r>
                          <w:rPr>
                            <w:rFonts w:ascii="宋体" w:hAnsi="宋体" w:cs="宋体" w:eastAsia="宋体" w:hint="default"/>
                            <w:sz w:val="18"/>
                            <w:szCs w:val="18"/>
                          </w:rPr>
                          <w:t>已通过审核暂未领取证 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842"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广州市易杰数码科 </w:t>
                        </w:r>
                        <w:r>
                          <w:rPr>
                            <w:rFonts w:ascii="宋体" w:hAnsi="宋体" w:cs="宋体" w:eastAsia="宋体" w:hint="default"/>
                            <w:sz w:val="18"/>
                            <w:szCs w:val="18"/>
                          </w:rPr>
                          <w:t>技有限公司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GR201434000889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安徽省科学技术厅</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R-2009-0015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深圳市经济贸易和信息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化委员会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97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sz w:val="18"/>
                          </w:rPr>
                          <w:t>CMMI-DEV</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v1.3   Level</w:t>
                        </w:r>
                        <w:r>
                          <w:rPr>
                            <w:rFonts w:ascii="Times New Roman"/>
                            <w:spacing w:val="-20"/>
                            <w:sz w:val="18"/>
                          </w:rPr>
                          <w:t> </w:t>
                        </w:r>
                        <w:r>
                          <w:rPr>
                            <w:rFonts w:ascii="Times New Roman"/>
                            <w:sz w:val="18"/>
                          </w:rPr>
                          <w:t>3</w:t>
                        </w: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135" w:right="34"/>
                          <w:jc w:val="center"/>
                          <w:rPr>
                            <w:rFonts w:ascii="Times New Roman" w:hAnsi="Times New Roman" w:cs="Times New Roman" w:eastAsia="Times New Roman" w:hint="default"/>
                            <w:sz w:val="18"/>
                            <w:szCs w:val="18"/>
                          </w:rPr>
                        </w:pPr>
                        <w:r>
                          <w:rPr>
                            <w:rFonts w:ascii="Times New Roman"/>
                            <w:sz w:val="18"/>
                          </w:rPr>
                          <w:t>https://sas.cmmiinstitute. com/pars/pars_detail.asp</w:t>
                        </w:r>
                        <w:r>
                          <w:rPr>
                            <w:rFonts w:ascii="Times New Roman"/>
                            <w:w w:val="99"/>
                            <w:sz w:val="18"/>
                          </w:rPr>
                          <w:t> </w:t>
                        </w:r>
                        <w:r>
                          <w:rPr>
                            <w:rFonts w:ascii="Times New Roman"/>
                            <w:sz w:val="18"/>
                          </w:rPr>
                          <w:t>x?a=21647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CMMI</w:t>
                        </w:r>
                        <w:r>
                          <w:rPr>
                            <w:rFonts w:ascii="Times New Roman"/>
                            <w:spacing w:val="-3"/>
                            <w:sz w:val="18"/>
                          </w:rPr>
                          <w:t> </w:t>
                        </w:r>
                        <w:r>
                          <w:rPr>
                            <w:rFonts w:ascii="Times New Roman"/>
                            <w:sz w:val="18"/>
                          </w:rPr>
                          <w:t>INSTITUTE</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3" w:right="1"/>
                          <w:jc w:val="left"/>
                          <w:rPr>
                            <w:rFonts w:ascii="宋体" w:hAnsi="宋体" w:cs="宋体" w:eastAsia="宋体" w:hint="default"/>
                            <w:sz w:val="18"/>
                            <w:szCs w:val="18"/>
                          </w:rPr>
                        </w:pPr>
                        <w:r>
                          <w:rPr>
                            <w:rFonts w:ascii="宋体" w:hAnsi="宋体" w:cs="宋体" w:eastAsia="宋体" w:hint="default"/>
                            <w:sz w:val="18"/>
                            <w:szCs w:val="18"/>
                          </w:rPr>
                          <w:t>深圳市汇巨信息技 术有限公司</w:t>
                        </w:r>
                      </w:p>
                    </w:tc>
                  </w:tr>
                  <w:tr>
                    <w:trPr>
                      <w:trHeight w:val="1363"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GR201244200774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5"/>
                            <w:sz w:val="18"/>
                            <w:szCs w:val="18"/>
                          </w:rPr>
                          <w:t> </w:t>
                        </w:r>
                        <w:r>
                          <w:rPr>
                            <w:rFonts w:ascii="宋体" w:hAnsi="宋体" w:cs="宋体" w:eastAsia="宋体" w:hint="default"/>
                            <w:sz w:val="18"/>
                            <w:szCs w:val="18"/>
                          </w:rPr>
                          <w:t>圳</w:t>
                        </w:r>
                        <w:r>
                          <w:rPr>
                            <w:rFonts w:ascii="宋体" w:hAnsi="宋体" w:cs="宋体" w:eastAsia="宋体" w:hint="default"/>
                            <w:spacing w:val="-65"/>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科</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创</w:t>
                        </w:r>
                        <w:r>
                          <w:rPr>
                            <w:rFonts w:ascii="宋体" w:hAnsi="宋体" w:cs="宋体" w:eastAsia="宋体" w:hint="default"/>
                            <w:spacing w:val="-65"/>
                            <w:sz w:val="18"/>
                            <w:szCs w:val="18"/>
                          </w:rPr>
                          <w:t> </w:t>
                        </w:r>
                        <w:r>
                          <w:rPr>
                            <w:rFonts w:ascii="宋体" w:hAnsi="宋体" w:cs="宋体" w:eastAsia="宋体" w:hint="default"/>
                            <w:sz w:val="18"/>
                            <w:szCs w:val="18"/>
                          </w:rPr>
                          <w:t>新</w:t>
                        </w:r>
                        <w:r>
                          <w:rPr>
                            <w:rFonts w:ascii="宋体" w:hAnsi="宋体" w:cs="宋体" w:eastAsia="宋体" w:hint="default"/>
                            <w:spacing w:val="-65"/>
                            <w:sz w:val="18"/>
                            <w:szCs w:val="18"/>
                          </w:rPr>
                          <w:t> </w:t>
                        </w:r>
                        <w:r>
                          <w:rPr>
                            <w:rFonts w:ascii="宋体" w:hAnsi="宋体" w:cs="宋体" w:eastAsia="宋体" w:hint="default"/>
                            <w:sz w:val="18"/>
                            <w:szCs w:val="18"/>
                          </w:rPr>
                          <w:t>委</w:t>
                        </w:r>
                        <w:r>
                          <w:rPr>
                            <w:rFonts w:ascii="宋体" w:hAnsi="宋体" w:cs="宋体" w:eastAsia="宋体" w:hint="default"/>
                            <w:spacing w:val="-65"/>
                            <w:sz w:val="18"/>
                            <w:szCs w:val="18"/>
                          </w:rPr>
                          <w:t> </w:t>
                        </w:r>
                        <w:r>
                          <w:rPr>
                            <w:rFonts w:ascii="宋体" w:hAnsi="宋体" w:cs="宋体" w:eastAsia="宋体" w:hint="default"/>
                            <w:sz w:val="18"/>
                            <w:szCs w:val="18"/>
                          </w:rPr>
                          <w:t>员</w:t>
                        </w:r>
                        <w:r>
                          <w:rPr>
                            <w:rFonts w:ascii="宋体" w:hAnsi="宋体" w:cs="宋体" w:eastAsia="宋体" w:hint="default"/>
                            <w:sz w:val="18"/>
                            <w:szCs w:val="18"/>
                          </w:rPr>
                          <w:t> </w:t>
                        </w:r>
                        <w:r>
                          <w:rPr>
                            <w:rFonts w:ascii="宋体" w:hAnsi="宋体" w:cs="宋体" w:eastAsia="宋体" w:hint="default"/>
                            <w:spacing w:val="-7"/>
                            <w:sz w:val="18"/>
                            <w:szCs w:val="18"/>
                          </w:rPr>
                          <w:t>会、深圳市财政委员会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深圳市国家税务局、深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圳市地方税务局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p>
                        <w:pPr>
                          <w:pStyle w:val="TableParagraph"/>
                          <w:spacing w:line="240" w:lineRule="auto" w:before="102"/>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74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7" w:right="0"/>
                          <w:jc w:val="center"/>
                          <w:rPr>
                            <w:rFonts w:ascii="Times New Roman" w:hAnsi="Times New Roman" w:cs="Times New Roman" w:eastAsia="Times New Roman" w:hint="default"/>
                            <w:sz w:val="18"/>
                            <w:szCs w:val="18"/>
                          </w:rPr>
                        </w:pPr>
                        <w:r>
                          <w:rPr>
                            <w:rFonts w:ascii="Times New Roman"/>
                            <w:sz w:val="18"/>
                          </w:rPr>
                          <w:t>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6"/>
                            <w:sz w:val="18"/>
                            <w:szCs w:val="18"/>
                          </w:rPr>
                          <w:t>深圳市高新技术企业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证书</w:t>
                        </w: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SZ2012067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5"/>
                            <w:sz w:val="18"/>
                            <w:szCs w:val="18"/>
                          </w:rPr>
                          <w:t> </w:t>
                        </w:r>
                        <w:r>
                          <w:rPr>
                            <w:rFonts w:ascii="宋体" w:hAnsi="宋体" w:cs="宋体" w:eastAsia="宋体" w:hint="default"/>
                            <w:sz w:val="18"/>
                            <w:szCs w:val="18"/>
                          </w:rPr>
                          <w:t>圳</w:t>
                        </w:r>
                        <w:r>
                          <w:rPr>
                            <w:rFonts w:ascii="宋体" w:hAnsi="宋体" w:cs="宋体" w:eastAsia="宋体" w:hint="default"/>
                            <w:spacing w:val="-65"/>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科</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创</w:t>
                        </w:r>
                        <w:r>
                          <w:rPr>
                            <w:rFonts w:ascii="宋体" w:hAnsi="宋体" w:cs="宋体" w:eastAsia="宋体" w:hint="default"/>
                            <w:spacing w:val="-64"/>
                            <w:sz w:val="18"/>
                            <w:szCs w:val="18"/>
                          </w:rPr>
                          <w:t> </w:t>
                        </w:r>
                        <w:r>
                          <w:rPr>
                            <w:rFonts w:ascii="宋体" w:hAnsi="宋体" w:cs="宋体" w:eastAsia="宋体" w:hint="default"/>
                            <w:spacing w:val="16"/>
                            <w:sz w:val="18"/>
                            <w:szCs w:val="18"/>
                          </w:rPr>
                          <w:t>新委员</w:t>
                        </w:r>
                        <w:r>
                          <w:rPr>
                            <w:rFonts w:ascii="宋体" w:hAnsi="宋体" w:cs="宋体" w:eastAsia="宋体" w:hint="default"/>
                            <w:spacing w:val="-65"/>
                            <w:sz w:val="18"/>
                            <w:szCs w:val="18"/>
                          </w:rPr>
                          <w:t> </w:t>
                        </w:r>
                        <w:r>
                          <w:rPr>
                            <w:rFonts w:ascii="宋体" w:hAnsi="宋体" w:cs="宋体" w:eastAsia="宋体" w:hint="default"/>
                            <w:sz w:val="18"/>
                            <w:szCs w:val="18"/>
                          </w:rPr>
                          <w:t>会、深圳市财政委员会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7" w:right="0"/>
                          <w:jc w:val="center"/>
                          <w:rPr>
                            <w:rFonts w:ascii="Times New Roman" w:hAnsi="Times New Roman" w:cs="Times New Roman" w:eastAsia="Times New Roman" w:hint="default"/>
                            <w:sz w:val="18"/>
                            <w:szCs w:val="18"/>
                          </w:rPr>
                        </w:pPr>
                        <w:r>
                          <w:rPr>
                            <w:rFonts w:ascii="Times New Roman"/>
                            <w:sz w:val="18"/>
                          </w:rPr>
                          <w:t>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CMMI3</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能力成熟度</w:t>
                        </w:r>
                        <w:r>
                          <w:rPr>
                            <w:rFonts w:ascii="宋体" w:hAnsi="宋体" w:cs="宋体" w:eastAsia="宋体" w:hint="default"/>
                            <w:spacing w:val="9"/>
                            <w:w w:val="99"/>
                            <w:sz w:val="18"/>
                            <w:szCs w:val="18"/>
                          </w:rPr>
                          <w:t> </w:t>
                        </w:r>
                        <w:r>
                          <w:rPr>
                            <w:rFonts w:ascii="宋体" w:hAnsi="宋体" w:cs="宋体" w:eastAsia="宋体" w:hint="default"/>
                            <w:sz w:val="18"/>
                            <w:szCs w:val="18"/>
                          </w:rPr>
                          <w:t>模型集成</w:t>
                        </w:r>
                        <w:r>
                          <w:rPr>
                            <w:rFonts w:ascii="Times New Roman" w:hAnsi="Times New Roman" w:cs="Times New Roman" w:eastAsia="Times New Roman" w:hint="default"/>
                            <w:sz w:val="18"/>
                            <w:szCs w:val="18"/>
                          </w:rPr>
                          <w:t>3</w:t>
                        </w:r>
                        <w:r>
                          <w:rPr>
                            <w:rFonts w:ascii="宋体" w:hAnsi="宋体" w:cs="宋体" w:eastAsia="宋体" w:hint="default"/>
                            <w:sz w:val="18"/>
                            <w:szCs w:val="18"/>
                          </w:rPr>
                          <w:t>级</w:t>
                        </w:r>
                        <w:r>
                          <w:rPr>
                            <w:rFonts w:ascii="Times New Roman" w:hAnsi="Times New Roman" w:cs="Times New Roman" w:eastAsia="Times New Roman" w:hint="default"/>
                            <w:sz w:val="18"/>
                            <w:szCs w:val="18"/>
                          </w:rPr>
                          <w:t>)</w:t>
                        </w:r>
                      </w:p>
                    </w:tc>
                    <w:tc>
                      <w:tcPr>
                        <w:tcW w:w="1986" w:type="dxa"/>
                        <w:gridSpan w:val="2"/>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tabs>
                            <w:tab w:pos="1129" w:val="left" w:leader="none"/>
                          </w:tabs>
                          <w:spacing w:line="362" w:lineRule="auto" w:before="100"/>
                          <w:ind w:left="2" w:right="0"/>
                          <w:jc w:val="both"/>
                          <w:rPr>
                            <w:rFonts w:ascii="Times New Roman" w:hAnsi="Times New Roman" w:cs="Times New Roman" w:eastAsia="Times New Roman" w:hint="default"/>
                            <w:sz w:val="18"/>
                            <w:szCs w:val="18"/>
                          </w:rPr>
                        </w:pPr>
                        <w:r>
                          <w:rPr>
                            <w:rFonts w:ascii="Times New Roman"/>
                            <w:w w:val="95"/>
                            <w:sz w:val="18"/>
                          </w:rPr>
                          <w:t>SEI/Lily</w:t>
                          <w:tab/>
                        </w:r>
                        <w:r>
                          <w:rPr>
                            <w:rFonts w:ascii="Times New Roman"/>
                            <w:sz w:val="18"/>
                          </w:rPr>
                          <w:t>Chen,SEI</w:t>
                        </w:r>
                        <w:r>
                          <w:rPr>
                            <w:rFonts w:ascii="Times New Roman"/>
                            <w:w w:val="99"/>
                            <w:sz w:val="18"/>
                          </w:rPr>
                          <w:t> </w:t>
                        </w:r>
                        <w:r>
                          <w:rPr>
                            <w:rFonts w:ascii="Times New Roman"/>
                            <w:sz w:val="18"/>
                          </w:rPr>
                          <w:t>Certified SCAMPI</w:t>
                        </w:r>
                        <w:r>
                          <w:rPr>
                            <w:rFonts w:ascii="Times New Roman"/>
                            <w:spacing w:val="15"/>
                            <w:sz w:val="18"/>
                          </w:rPr>
                          <w:t> </w:t>
                        </w:r>
                        <w:r>
                          <w:rPr>
                            <w:rFonts w:ascii="Times New Roman"/>
                            <w:sz w:val="18"/>
                          </w:rPr>
                          <w:t>Lead</w:t>
                        </w:r>
                        <w:r>
                          <w:rPr>
                            <w:rFonts w:ascii="Times New Roman"/>
                            <w:sz w:val="18"/>
                          </w:rPr>
                          <w:t> Appraiser,0500510-01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日获证</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bl>
                <w:p>
                  <w:pPr/>
                </w:p>
              </w:txbxContent>
            </v:textbox>
            <w10:wrap type="none"/>
          </v:shape>
        </w:pict>
      </w:r>
      <w:r>
        <w:rPr/>
        <w:t>）</w:t>
      </w:r>
    </w:p>
    <w:p>
      <w:pPr>
        <w:spacing w:after="0" w:line="240" w:lineRule="auto"/>
        <w:jc w:val="left"/>
        <w:sectPr>
          <w:pgSz w:w="11910" w:h="16840"/>
          <w:pgMar w:header="747" w:footer="979" w:top="1060" w:bottom="1160" w:left="980" w:right="680"/>
        </w:sectPr>
      </w:pPr>
    </w:p>
    <w:p>
      <w:pPr>
        <w:spacing w:line="240" w:lineRule="auto" w:before="6"/>
        <w:rPr>
          <w:rFonts w:ascii="宋体" w:hAnsi="宋体" w:cs="宋体" w:eastAsia="宋体" w:hint="default"/>
          <w:sz w:val="28"/>
          <w:szCs w:val="28"/>
        </w:rPr>
      </w:pPr>
    </w:p>
    <w:tbl>
      <w:tblPr>
        <w:tblW w:w="0" w:type="auto"/>
        <w:jc w:val="left"/>
        <w:tblInd w:w="578" w:type="dxa"/>
        <w:tblLayout w:type="fixed"/>
        <w:tblCellMar>
          <w:top w:w="0" w:type="dxa"/>
          <w:left w:w="0" w:type="dxa"/>
          <w:bottom w:w="0" w:type="dxa"/>
          <w:right w:w="0" w:type="dxa"/>
        </w:tblCellMar>
        <w:tblLook w:val="01E0"/>
      </w:tblPr>
      <w:tblGrid>
        <w:gridCol w:w="620"/>
        <w:gridCol w:w="1700"/>
        <w:gridCol w:w="1986"/>
        <w:gridCol w:w="1842"/>
        <w:gridCol w:w="1842"/>
        <w:gridCol w:w="1554"/>
      </w:tblGrid>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Times New Roman" w:hAnsi="Times New Roman" w:cs="Times New Roman" w:eastAsia="Times New Roman" w:hint="default"/>
                <w:sz w:val="18"/>
                <w:szCs w:val="18"/>
              </w:rPr>
            </w:pPr>
            <w:r>
              <w:rPr>
                <w:rFonts w:ascii="Times New Roman"/>
                <w:sz w:val="18"/>
              </w:rPr>
              <w:t>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GF201244000102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74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z w:val="18"/>
              </w:rPr>
              <w:t>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19"/>
                <w:sz w:val="18"/>
                <w:szCs w:val="18"/>
              </w:rPr>
              <w:t> </w:t>
            </w:r>
            <w:r>
              <w:rPr>
                <w:rFonts w:ascii="宋体" w:hAnsi="宋体" w:cs="宋体" w:eastAsia="宋体" w:hint="default"/>
                <w:spacing w:val="17"/>
                <w:sz w:val="18"/>
                <w:szCs w:val="18"/>
              </w:rPr>
              <w:t>质量管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理体系认证证书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02809Q10344R1M</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北京中安质环认证中心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738"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1"/>
              <w:jc w:val="right"/>
              <w:rPr>
                <w:rFonts w:ascii="Times New Roman" w:hAnsi="Times New Roman" w:cs="Times New Roman" w:eastAsia="Times New Roman" w:hint="default"/>
                <w:sz w:val="18"/>
                <w:szCs w:val="18"/>
              </w:rPr>
            </w:pPr>
            <w:r>
              <w:rPr>
                <w:rFonts w:ascii="Times New Roman"/>
                <w:sz w:val="18"/>
              </w:rPr>
              <w:t>11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守合同重信用企业</w:t>
            </w:r>
            <w:r>
              <w:rPr>
                <w:rFonts w:ascii="Times New Roman" w:hAnsi="Times New Roman" w:cs="Times New Roman" w:eastAsia="Times New Roman" w:hint="default"/>
                <w:sz w:val="18"/>
                <w:szCs w:val="18"/>
              </w:rPr>
              <w:t>”</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01012202</w:t>
            </w:r>
            <w:r>
              <w:rPr>
                <w:rFonts w:ascii="宋体" w:hAnsi="宋体" w:cs="宋体" w:eastAsia="宋体" w:hint="default"/>
                <w:sz w:val="18"/>
                <w:szCs w:val="18"/>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广州市工商行政管理局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宋体" w:hAnsi="宋体" w:cs="宋体" w:eastAsia="宋体" w:hint="default"/>
                <w:sz w:val="18"/>
                <w:szCs w:val="18"/>
              </w:rPr>
            </w:pPr>
            <w:r>
              <w:rPr>
                <w:rFonts w:ascii="宋体" w:hAnsi="宋体" w:cs="宋体" w:eastAsia="宋体" w:hint="default"/>
                <w:spacing w:val="-11"/>
                <w:sz w:val="18"/>
                <w:szCs w:val="18"/>
              </w:rPr>
              <w:t>首次公示：</w:t>
            </w:r>
            <w:r>
              <w:rPr>
                <w:rFonts w:ascii="Times New Roman" w:hAnsi="Times New Roman" w:cs="Times New Roman" w:eastAsia="Times New Roman" w:hint="default"/>
                <w:spacing w:val="-11"/>
                <w:sz w:val="18"/>
                <w:szCs w:val="18"/>
              </w:rPr>
              <w:t>2009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年度已年审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z w:val="18"/>
              </w:rPr>
              <w:t>12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广州天源信息科技有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重点出口软件 企业</w:t>
            </w:r>
            <w:r>
              <w:rPr>
                <w:rFonts w:ascii="Times New Roman" w:hAnsi="Times New Roman" w:cs="Times New Roman" w:eastAsia="Times New Roman" w:hint="default"/>
                <w:sz w:val="18"/>
                <w:szCs w:val="18"/>
              </w:rPr>
              <w:t>2011-2012</w:t>
            </w: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广东省对外贸易合作厅</w:t>
            </w:r>
          </w:p>
          <w:p>
            <w:pPr>
              <w:pStyle w:val="TableParagraph"/>
              <w:spacing w:line="302" w:lineRule="auto" w:before="76"/>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4"/>
                <w:sz w:val="18"/>
                <w:szCs w:val="18"/>
              </w:rPr>
              <w:t>广东省经济和信息化</w:t>
            </w:r>
            <w:r>
              <w:rPr>
                <w:rFonts w:ascii="宋体" w:hAnsi="宋体" w:cs="宋体" w:eastAsia="宋体" w:hint="default"/>
                <w:sz w:val="18"/>
                <w:szCs w:val="18"/>
              </w:rPr>
              <w:t> 委员会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z w:val="18"/>
              </w:rPr>
              <w:t>13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桂</w:t>
            </w:r>
            <w:r>
              <w:rPr>
                <w:rFonts w:ascii="Times New Roman" w:hAnsi="Times New Roman" w:cs="Times New Roman" w:eastAsia="Times New Roman" w:hint="default"/>
                <w:sz w:val="18"/>
                <w:szCs w:val="18"/>
              </w:rPr>
              <w:t>R-2013-0004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广西壮族自治区工业和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信息化委员会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广西驿途信息科技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z w:val="18"/>
              </w:rPr>
              <w:t>14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GR201345000090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0"/>
              <w:jc w:val="left"/>
              <w:rPr>
                <w:rFonts w:ascii="宋体" w:hAnsi="宋体" w:cs="宋体" w:eastAsia="宋体" w:hint="default"/>
                <w:sz w:val="18"/>
                <w:szCs w:val="18"/>
              </w:rPr>
            </w:pPr>
            <w:r>
              <w:rPr>
                <w:rFonts w:ascii="宋体" w:hAnsi="宋体" w:cs="宋体" w:eastAsia="宋体" w:hint="default"/>
                <w:spacing w:val="13"/>
                <w:sz w:val="18"/>
                <w:szCs w:val="18"/>
              </w:rPr>
              <w:t>广西驿途信息科技 </w:t>
            </w:r>
            <w:r>
              <w:rPr>
                <w:rFonts w:ascii="宋体" w:hAnsi="宋体" w:cs="宋体" w:eastAsia="宋体" w:hint="default"/>
                <w:sz w:val="18"/>
                <w:szCs w:val="18"/>
              </w:rPr>
              <w:t>有限公司</w:t>
            </w:r>
          </w:p>
        </w:tc>
      </w:tr>
    </w:tbl>
    <w:p>
      <w:pPr>
        <w:pStyle w:val="BodyText"/>
        <w:spacing w:line="340" w:lineRule="auto" w:before="51"/>
        <w:ind w:left="514" w:right="5352"/>
        <w:jc w:val="left"/>
      </w:pPr>
      <w:r>
        <w:rPr/>
        <w:t>（</w:t>
      </w:r>
      <w:r>
        <w:rPr>
          <w:rFonts w:ascii="Times New Roman" w:hAnsi="Times New Roman" w:cs="Times New Roman" w:eastAsia="Times New Roman" w:hint="default"/>
        </w:rPr>
        <w:t>5</w:t>
      </w:r>
      <w:r>
        <w:rPr/>
        <w:t>）产品荣誉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日，子公司取得的较重要的产品荣誉如下表：</w:t>
      </w:r>
    </w:p>
    <w:tbl>
      <w:tblPr>
        <w:tblW w:w="0" w:type="auto"/>
        <w:jc w:val="left"/>
        <w:tblInd w:w="1224" w:type="dxa"/>
        <w:tblLayout w:type="fixed"/>
        <w:tblCellMar>
          <w:top w:w="0" w:type="dxa"/>
          <w:left w:w="0" w:type="dxa"/>
          <w:bottom w:w="0" w:type="dxa"/>
          <w:right w:w="0" w:type="dxa"/>
        </w:tblCellMar>
        <w:tblLook w:val="01E0"/>
      </w:tblPr>
      <w:tblGrid>
        <w:gridCol w:w="647"/>
        <w:gridCol w:w="1700"/>
        <w:gridCol w:w="1985"/>
        <w:gridCol w:w="1844"/>
        <w:gridCol w:w="1842"/>
        <w:gridCol w:w="1581"/>
      </w:tblGrid>
      <w:tr>
        <w:trPr>
          <w:trHeight w:val="427" w:hRule="exact"/>
        </w:trPr>
        <w:tc>
          <w:tcPr>
            <w:tcW w:w="64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481" w:right="0"/>
              <w:jc w:val="left"/>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62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553"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255" w:right="0"/>
              <w:jc w:val="left"/>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有限期</w:t>
            </w:r>
            <w:r>
              <w:rPr>
                <w:rFonts w:ascii="宋体" w:hAnsi="宋体" w:cs="宋体" w:eastAsia="宋体" w:hint="default"/>
                <w:sz w:val="18"/>
                <w:szCs w:val="18"/>
              </w:rPr>
            </w:r>
          </w:p>
        </w:tc>
        <w:tc>
          <w:tcPr>
            <w:tcW w:w="1581"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421"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1052"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年深圳国际智能</w:t>
            </w:r>
            <w:r>
              <w:rPr>
                <w:rFonts w:ascii="宋体" w:hAnsi="宋体" w:cs="宋体" w:eastAsia="宋体" w:hint="default"/>
                <w:sz w:val="18"/>
                <w:szCs w:val="18"/>
              </w:rPr>
              <w:t> </w:t>
            </w:r>
            <w:r>
              <w:rPr>
                <w:rFonts w:ascii="宋体" w:hAnsi="宋体" w:cs="宋体" w:eastAsia="宋体" w:hint="default"/>
                <w:spacing w:val="14"/>
                <w:sz w:val="18"/>
                <w:szCs w:val="18"/>
              </w:rPr>
              <w:t>交通展览会</w:t>
            </w:r>
            <w:r>
              <w:rPr>
                <w:rFonts w:ascii="Times New Roman" w:hAnsi="Times New Roman" w:cs="Times New Roman" w:eastAsia="Times New Roman" w:hint="default"/>
                <w:spacing w:val="14"/>
                <w:sz w:val="18"/>
                <w:szCs w:val="18"/>
              </w:rPr>
              <w:t>ITS</w:t>
            </w:r>
            <w:r>
              <w:rPr>
                <w:rFonts w:ascii="宋体" w:hAnsi="宋体" w:cs="宋体" w:eastAsia="宋体" w:hint="default"/>
                <w:spacing w:val="14"/>
                <w:sz w:val="18"/>
                <w:szCs w:val="18"/>
              </w:rPr>
              <w:t>金狮</w:t>
            </w:r>
            <w:r>
              <w:rPr>
                <w:rFonts w:ascii="宋体" w:hAnsi="宋体" w:cs="宋体" w:eastAsia="宋体" w:hint="default"/>
                <w:spacing w:val="-85"/>
                <w:sz w:val="18"/>
                <w:szCs w:val="18"/>
              </w:rPr>
              <w:t> </w:t>
            </w:r>
            <w:r>
              <w:rPr>
                <w:rFonts w:ascii="宋体" w:hAnsi="宋体" w:cs="宋体" w:eastAsia="宋体" w:hint="default"/>
                <w:sz w:val="18"/>
                <w:szCs w:val="18"/>
              </w:rPr>
              <w:t>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易杰位置服务软件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2"/>
              <w:jc w:val="left"/>
              <w:rPr>
                <w:rFonts w:ascii="宋体" w:hAnsi="宋体" w:cs="宋体" w:eastAsia="宋体" w:hint="default"/>
                <w:sz w:val="18"/>
                <w:szCs w:val="18"/>
              </w:rPr>
            </w:pPr>
            <w:r>
              <w:rPr>
                <w:rFonts w:ascii="宋体" w:hAnsi="宋体" w:cs="宋体" w:eastAsia="宋体" w:hint="default"/>
                <w:sz w:val="18"/>
                <w:szCs w:val="18"/>
              </w:rPr>
              <w:t>中国公共安全杂志社、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中国智能交通杂志社</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4"/>
                <w:sz w:val="18"/>
                <w:szCs w:val="18"/>
              </w:rPr>
              <w:t>广州市易杰数码科</w:t>
            </w:r>
            <w:r>
              <w:rPr>
                <w:rFonts w:ascii="宋体" w:hAnsi="宋体" w:cs="宋体" w:eastAsia="宋体" w:hint="default"/>
                <w:sz w:val="18"/>
                <w:szCs w:val="18"/>
              </w:rPr>
              <w:t> 技有限公司</w:t>
            </w:r>
          </w:p>
        </w:tc>
      </w:tr>
      <w:tr>
        <w:trPr>
          <w:trHeight w:val="73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6"/>
                <w:sz w:val="18"/>
                <w:szCs w:val="18"/>
              </w:rPr>
              <w:t>科技型中小企业技术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创新项目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left"/>
              <w:rPr>
                <w:rFonts w:ascii="宋体" w:hAnsi="宋体" w:cs="宋体" w:eastAsia="宋体" w:hint="default"/>
                <w:sz w:val="18"/>
                <w:szCs w:val="18"/>
              </w:rPr>
            </w:pPr>
            <w:r>
              <w:rPr>
                <w:rFonts w:ascii="宋体" w:hAnsi="宋体" w:cs="宋体" w:eastAsia="宋体" w:hint="default"/>
                <w:spacing w:val="14"/>
                <w:sz w:val="18"/>
                <w:szCs w:val="18"/>
              </w:rPr>
              <w:t>基于</w:t>
            </w:r>
            <w:r>
              <w:rPr>
                <w:rFonts w:ascii="Times New Roman" w:hAnsi="Times New Roman" w:cs="Times New Roman" w:eastAsia="Times New Roman" w:hint="default"/>
                <w:spacing w:val="14"/>
                <w:sz w:val="18"/>
                <w:szCs w:val="18"/>
              </w:rPr>
              <w:t>SOA</w:t>
            </w:r>
            <w:r>
              <w:rPr>
                <w:rFonts w:ascii="宋体" w:hAnsi="宋体" w:cs="宋体" w:eastAsia="宋体" w:hint="default"/>
                <w:spacing w:val="14"/>
                <w:sz w:val="18"/>
                <w:szCs w:val="18"/>
              </w:rPr>
              <w:t>构架的融资担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保云平台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科学技术部</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4"/>
                <w:sz w:val="18"/>
                <w:szCs w:val="18"/>
              </w:rPr>
              <w:t>合肥英泽信息科技</w:t>
            </w:r>
            <w:r>
              <w:rPr>
                <w:rFonts w:ascii="宋体" w:hAnsi="宋体" w:cs="宋体" w:eastAsia="宋体" w:hint="default"/>
                <w:sz w:val="18"/>
                <w:szCs w:val="18"/>
              </w:rPr>
              <w:t> 有限公司</w:t>
            </w:r>
          </w:p>
        </w:tc>
      </w:tr>
      <w:tr>
        <w:trPr>
          <w:trHeight w:val="73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年下半年御膳房</w:t>
            </w:r>
            <w:r>
              <w:rPr>
                <w:rFonts w:ascii="宋体" w:hAnsi="宋体" w:cs="宋体" w:eastAsia="宋体" w:hint="default"/>
                <w:sz w:val="18"/>
                <w:szCs w:val="18"/>
              </w:rPr>
              <w:t> 类目银拍档</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宝贝团</w:t>
            </w:r>
            <w:r>
              <w:rPr>
                <w:rFonts w:ascii="Times New Roman" w:hAnsi="Times New Roman" w:cs="Times New Roman" w:eastAsia="Times New Roman" w:hint="default"/>
                <w:sz w:val="18"/>
                <w:szCs w:val="18"/>
              </w:rPr>
              <w:t>_</w:t>
            </w:r>
            <w:r>
              <w:rPr>
                <w:rFonts w:ascii="宋体" w:hAnsi="宋体" w:cs="宋体" w:eastAsia="宋体" w:hint="default"/>
                <w:sz w:val="18"/>
                <w:szCs w:val="18"/>
              </w:rPr>
              <w:t>流量</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淘宝网</w:t>
            </w:r>
            <w:r>
              <w:rPr>
                <w:rFonts w:ascii="宋体" w:hAnsi="宋体" w:cs="宋体" w:eastAsia="宋体" w:hint="default"/>
                <w:spacing w:val="-17"/>
                <w:sz w:val="18"/>
                <w:szCs w:val="18"/>
              </w:rPr>
              <w:t> </w:t>
            </w:r>
            <w:r>
              <w:rPr>
                <w:rFonts w:ascii="宋体" w:hAnsi="宋体" w:cs="宋体" w:eastAsia="宋体" w:hint="default"/>
                <w:sz w:val="18"/>
                <w:szCs w:val="18"/>
              </w:rPr>
              <w:t>天猫</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4"/>
                <w:sz w:val="18"/>
                <w:szCs w:val="18"/>
              </w:rPr>
              <w:t>深圳市宝贝团信息</w:t>
            </w:r>
            <w:r>
              <w:rPr>
                <w:rFonts w:ascii="宋体" w:hAnsi="宋体" w:cs="宋体" w:eastAsia="宋体" w:hint="default"/>
                <w:sz w:val="18"/>
                <w:szCs w:val="18"/>
              </w:rPr>
              <w:t> 技术有限公司</w:t>
            </w:r>
          </w:p>
        </w:tc>
      </w:tr>
      <w:tr>
        <w:trPr>
          <w:trHeight w:val="73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淘</w:t>
            </w:r>
            <w:r>
              <w:rPr>
                <w:rFonts w:ascii="宋体" w:hAnsi="宋体" w:cs="宋体" w:eastAsia="宋体" w:hint="default"/>
                <w:spacing w:val="-56"/>
                <w:sz w:val="18"/>
                <w:szCs w:val="18"/>
              </w:rPr>
              <w:t> </w:t>
            </w:r>
            <w:r>
              <w:rPr>
                <w:rFonts w:ascii="宋体" w:hAnsi="宋体" w:cs="宋体" w:eastAsia="宋体" w:hint="default"/>
                <w:sz w:val="18"/>
                <w:szCs w:val="18"/>
              </w:rPr>
              <w:t>宝</w:t>
            </w:r>
            <w:r>
              <w:rPr>
                <w:rFonts w:ascii="宋体" w:hAnsi="宋体" w:cs="宋体" w:eastAsia="宋体" w:hint="default"/>
                <w:spacing w:val="-56"/>
                <w:sz w:val="18"/>
                <w:szCs w:val="18"/>
              </w:rPr>
              <w:t> </w:t>
            </w:r>
            <w:r>
              <w:rPr>
                <w:rFonts w:ascii="宋体" w:hAnsi="宋体" w:cs="宋体" w:eastAsia="宋体" w:hint="default"/>
                <w:sz w:val="18"/>
                <w:szCs w:val="18"/>
              </w:rPr>
              <w:t>创</w:t>
            </w:r>
            <w:r>
              <w:rPr>
                <w:rFonts w:ascii="宋体" w:hAnsi="宋体" w:cs="宋体" w:eastAsia="宋体" w:hint="default"/>
                <w:spacing w:val="-56"/>
                <w:sz w:val="18"/>
                <w:szCs w:val="18"/>
              </w:rPr>
              <w:t> </w:t>
            </w:r>
            <w:r>
              <w:rPr>
                <w:rFonts w:ascii="宋体" w:hAnsi="宋体" w:cs="宋体" w:eastAsia="宋体" w:hint="default"/>
                <w:sz w:val="18"/>
                <w:szCs w:val="18"/>
              </w:rPr>
              <w:t>新</w:t>
            </w:r>
            <w:r>
              <w:rPr>
                <w:rFonts w:ascii="宋体" w:hAnsi="宋体" w:cs="宋体" w:eastAsia="宋体" w:hint="default"/>
                <w:spacing w:val="-57"/>
                <w:sz w:val="18"/>
                <w:szCs w:val="18"/>
              </w:rPr>
              <w:t> </w:t>
            </w:r>
            <w:r>
              <w:rPr>
                <w:rFonts w:ascii="宋体" w:hAnsi="宋体" w:cs="宋体" w:eastAsia="宋体" w:hint="default"/>
                <w:sz w:val="18"/>
                <w:szCs w:val="18"/>
              </w:rPr>
              <w:t>应</w:t>
            </w:r>
            <w:r>
              <w:rPr>
                <w:rFonts w:ascii="宋体" w:hAnsi="宋体" w:cs="宋体" w:eastAsia="宋体" w:hint="default"/>
                <w:spacing w:val="-57"/>
                <w:sz w:val="18"/>
                <w:szCs w:val="18"/>
              </w:rPr>
              <w:t> </w:t>
            </w:r>
            <w:r>
              <w:rPr>
                <w:rFonts w:ascii="宋体" w:hAnsi="宋体" w:cs="宋体" w:eastAsia="宋体" w:hint="default"/>
                <w:sz w:val="18"/>
                <w:szCs w:val="18"/>
              </w:rPr>
              <w:t>用</w:t>
            </w:r>
            <w:r>
              <w:rPr>
                <w:rFonts w:ascii="宋体" w:hAnsi="宋体" w:cs="宋体" w:eastAsia="宋体" w:hint="default"/>
                <w:spacing w:val="-56"/>
                <w:sz w:val="18"/>
                <w:szCs w:val="18"/>
              </w:rPr>
              <w:t> </w:t>
            </w:r>
            <w:r>
              <w:rPr>
                <w:rFonts w:ascii="宋体" w:hAnsi="宋体" w:cs="宋体" w:eastAsia="宋体" w:hint="default"/>
                <w:sz w:val="18"/>
                <w:szCs w:val="18"/>
              </w:rPr>
              <w:t>大</w:t>
            </w:r>
            <w:r>
              <w:rPr>
                <w:rFonts w:ascii="宋体" w:hAnsi="宋体" w:cs="宋体" w:eastAsia="宋体" w:hint="default"/>
                <w:spacing w:val="-56"/>
                <w:sz w:val="18"/>
                <w:szCs w:val="18"/>
              </w:rPr>
              <w:t> </w:t>
            </w:r>
            <w:r>
              <w:rPr>
                <w:rFonts w:ascii="宋体" w:hAnsi="宋体" w:cs="宋体" w:eastAsia="宋体" w:hint="default"/>
                <w:sz w:val="18"/>
                <w:szCs w:val="18"/>
              </w:rPr>
              <w:t>赛</w:t>
            </w:r>
            <w:r>
              <w:rPr>
                <w:rFonts w:ascii="宋体" w:hAnsi="宋体" w:cs="宋体" w:eastAsia="宋体" w:hint="default"/>
                <w:sz w:val="18"/>
                <w:szCs w:val="18"/>
              </w:rPr>
              <w:t> 银奖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大牛营销</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淘宝卖家服务市场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4"/>
                <w:sz w:val="18"/>
                <w:szCs w:val="18"/>
              </w:rPr>
              <w:t>深圳市宝贝团信息</w:t>
            </w:r>
            <w:r>
              <w:rPr>
                <w:rFonts w:ascii="宋体" w:hAnsi="宋体" w:cs="宋体" w:eastAsia="宋体" w:hint="default"/>
                <w:sz w:val="18"/>
                <w:szCs w:val="18"/>
              </w:rPr>
              <w:t> 技术有限公司</w:t>
            </w:r>
          </w:p>
        </w:tc>
      </w:tr>
      <w:tr>
        <w:trPr>
          <w:trHeight w:val="73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6"/>
                <w:sz w:val="18"/>
                <w:szCs w:val="18"/>
              </w:rPr>
              <w:t>阿里数据科学家大赛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最佳数据洞察奖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达摩盘人群标签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阿里巴巴集团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pacing w:val="14"/>
                <w:sz w:val="18"/>
                <w:szCs w:val="18"/>
              </w:rPr>
              <w:t>深圳市宝贝团信息</w:t>
            </w:r>
            <w:r>
              <w:rPr>
                <w:rFonts w:ascii="宋体" w:hAnsi="宋体" w:cs="宋体" w:eastAsia="宋体" w:hint="default"/>
                <w:sz w:val="18"/>
                <w:szCs w:val="18"/>
              </w:rPr>
              <w:t> 技术有限公司</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before="35"/>
        <w:ind w:right="5352"/>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5352"/>
        <w:jc w:val="left"/>
      </w:pPr>
      <w:r>
        <w:rPr>
          <w:rFonts w:ascii="Times New Roman" w:hAnsi="Times New Roman" w:cs="Times New Roman" w:eastAsia="Times New Roman" w:hint="default"/>
        </w:rPr>
        <w:t>1</w:t>
      </w:r>
      <w:r>
        <w:rPr/>
        <w:t>）对外投资情况</w:t>
      </w:r>
    </w:p>
    <w:p>
      <w:pPr>
        <w:pStyle w:val="BodyText"/>
        <w:spacing w:line="240" w:lineRule="auto" w:before="102"/>
        <w:ind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28,412,532.00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57,974,023.20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-50.99%</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 w:right="0"/>
              <w:jc w:val="left"/>
              <w:rPr>
                <w:rFonts w:ascii="宋体" w:hAnsi="宋体" w:cs="宋体" w:eastAsia="宋体" w:hint="default"/>
                <w:sz w:val="18"/>
                <w:szCs w:val="18"/>
              </w:rPr>
            </w:pPr>
            <w:r>
              <w:rPr>
                <w:rFonts w:ascii="宋体" w:hAnsi="宋体" w:cs="宋体" w:eastAsia="宋体" w:hint="default"/>
                <w:sz w:val="18"/>
                <w:szCs w:val="18"/>
              </w:rPr>
              <w:t>上市公司占被投资</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本期投资</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4"/>
        <w:gridCol w:w="1728"/>
        <w:gridCol w:w="1595"/>
        <w:gridCol w:w="1062"/>
        <w:gridCol w:w="1064"/>
        <w:gridCol w:w="930"/>
        <w:gridCol w:w="1057"/>
      </w:tblGrid>
      <w:tr>
        <w:trPr>
          <w:trHeight w:val="362"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公司权益比例</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right"/>
              <w:rPr>
                <w:rFonts w:ascii="宋体" w:hAnsi="宋体" w:cs="宋体" w:eastAsia="宋体" w:hint="default"/>
                <w:sz w:val="18"/>
                <w:szCs w:val="18"/>
              </w:rPr>
            </w:pPr>
            <w:r>
              <w:rPr>
                <w:rFonts w:ascii="宋体" w:hAnsi="宋体" w:cs="宋体" w:eastAsia="宋体" w:hint="default"/>
                <w:sz w:val="18"/>
                <w:szCs w:val="18"/>
              </w:rPr>
              <w:t>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广州天源迪科信息技术有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信息技术开发与服务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深圳市前海吉源供应链有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供应链融资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-847.22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成都魔比互联科技有限公 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杨大祥</w:t>
            </w:r>
            <w:r>
              <w:rPr>
                <w:rFonts w:ascii="宋体" w:hAnsi="宋体" w:cs="宋体" w:eastAsia="宋体" w:hint="default"/>
                <w:spacing w:val="-74"/>
                <w:sz w:val="18"/>
                <w:szCs w:val="18"/>
              </w:rPr>
              <w:t>、</w:t>
            </w:r>
            <w:r>
              <w:rPr>
                <w:rFonts w:ascii="宋体" w:hAnsi="宋体" w:cs="宋体" w:eastAsia="宋体" w:hint="default"/>
                <w:sz w:val="18"/>
                <w:szCs w:val="18"/>
              </w:rPr>
              <w:t>杨剑</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深圳市鹏鼎创盈金融信息 服务股份有限公司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深圳市高新 投创业投资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right="-9"/>
        <w:jc w:val="left"/>
      </w:pPr>
      <w:r>
        <w:rPr>
          <w:rFonts w:ascii="Times New Roman" w:hAnsi="Times New Roman" w:cs="Times New Roman" w:eastAsia="Times New Roman" w:hint="default"/>
        </w:rPr>
        <w:t>2</w:t>
      </w:r>
      <w:r>
        <w:rPr/>
        <w:t>）募集资金使用情况</w:t>
      </w:r>
    </w:p>
    <w:p>
      <w:pPr>
        <w:pStyle w:val="BodyText"/>
        <w:spacing w:line="240" w:lineRule="auto" w:before="103"/>
        <w:ind w:right="-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2"/>
        <w:ind w:right="-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75,999.61</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75,999.61</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经中国证券监督管理委员会证监发行字</w:t>
            </w:r>
            <w:r>
              <w:rPr>
                <w:rFonts w:ascii="Times New Roman" w:hAnsi="Times New Roman" w:cs="Times New Roman" w:eastAsia="Times New Roman" w:hint="default"/>
                <w:sz w:val="18"/>
                <w:szCs w:val="18"/>
              </w:rPr>
              <w:t>[2009]1463 </w:t>
            </w:r>
            <w:r>
              <w:rPr>
                <w:rFonts w:ascii="宋体" w:hAnsi="宋体" w:cs="宋体" w:eastAsia="宋体" w:hint="default"/>
                <w:spacing w:val="-7"/>
                <w:sz w:val="18"/>
                <w:szCs w:val="18"/>
              </w:rPr>
              <w:t>号文核准，本公司于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月向社会公众发行人民币普通股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2,700.00</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万股，每股面值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元，每股发行价人民币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元，募集资金总额人民币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81,000.00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万元，扣除发行费用人民币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5,000.39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万元，实际募集资金净额为人民币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75,999.61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万元，该项募集资金已于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日全部到位，并经深圳南方民和会</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计师事务所深南验字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号验资报告验证确认。截至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75,999.61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万元已使用</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完毕，其中：募投项目按计划投入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26,013.92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万元，超募资金按计划投入及使用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49,985.69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51"/>
        <w:ind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3"/>
        <w:ind w:right="-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11"/>
      </w:tblGrid>
      <w:tr>
        <w:trPr>
          <w:trHeight w:val="1650"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1"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7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4,827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4,827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4,827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582.29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4,558.91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697"/>
        <w:gridCol w:w="748"/>
        <w:gridCol w:w="720"/>
        <w:gridCol w:w="723"/>
        <w:gridCol w:w="722"/>
        <w:gridCol w:w="721"/>
        <w:gridCol w:w="722"/>
      </w:tblGrid>
      <w:tr>
        <w:trPr>
          <w:trHeight w:val="362" w:hRule="exact"/>
        </w:trPr>
        <w:tc>
          <w:tcPr>
            <w:tcW w:w="161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810"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企业智能决策支持 平台项目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4,719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4,719</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4,719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3,682.58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客户关系管理系统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4,411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4,411</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4,410.92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3,664.7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基于构架和构件库 的电信业务中间件 平台项目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2,671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2,671</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2,671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1,729.33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新一代电信运营支 撑系统项目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5,353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5,353</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5,353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4,315.41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情报线索分析系统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4,033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4,033</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4,033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1,391.75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26,014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26,014</w:t>
            </w: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26,013.9</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2,303.85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19,342.6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6"/>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新建北京研发中心</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5,700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收购广州易杰股权</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13,009.3</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13,009.</w:t>
            </w:r>
          </w:p>
          <w:p>
            <w:pPr>
              <w:pStyle w:val="TableParagraph"/>
              <w:spacing w:line="240" w:lineRule="auto" w:before="105"/>
              <w:ind w:right="47"/>
              <w:jc w:val="right"/>
              <w:rPr>
                <w:rFonts w:ascii="Times New Roman" w:hAnsi="Times New Roman" w:cs="Times New Roman" w:eastAsia="Times New Roman" w:hint="default"/>
                <w:sz w:val="18"/>
                <w:szCs w:val="18"/>
              </w:rPr>
            </w:pPr>
            <w:r>
              <w:rPr>
                <w:rFonts w:ascii="Times New Roman"/>
                <w:sz w:val="18"/>
              </w:rPr>
              <w:t>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4,137.42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新建合肥研发基地</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12,000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-79.97</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上海子公司增资</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1,200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1,097.7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收购深圳汇巨股权</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3,840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348.19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收购广州易星公司 股权</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700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-147.73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设立北京子公司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1,150.37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22"/>
        <w:gridCol w:w="722"/>
        <w:gridCol w:w="720"/>
        <w:gridCol w:w="722"/>
        <w:gridCol w:w="720"/>
        <w:gridCol w:w="672"/>
        <w:gridCol w:w="773"/>
        <w:gridCol w:w="720"/>
        <w:gridCol w:w="723"/>
        <w:gridCol w:w="722"/>
        <w:gridCol w:w="721"/>
        <w:gridCol w:w="722"/>
      </w:tblGrid>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收购金华威股权</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290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290</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290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816.85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2,308.55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3,082.61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3,082.61</w:t>
            </w:r>
          </w:p>
        </w:tc>
        <w:tc>
          <w:tcPr>
            <w:tcW w:w="720"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73" w:type="dxa"/>
            <w:vMerge w:val="restart"/>
            <w:tcBorders>
              <w:top w:val="single" w:sz="4" w:space="0" w:color="000000"/>
              <w:left w:val="single" w:sz="4" w:space="0" w:color="000000"/>
              <w:right w:val="single" w:sz="9" w:space="0" w:color="D2D2D2"/>
            </w:tcBorders>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22" w:type="dxa"/>
            <w:vMerge/>
            <w:tcBorders>
              <w:left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8,163.78</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8,163.78</w:t>
            </w:r>
          </w:p>
        </w:tc>
        <w:tc>
          <w:tcPr>
            <w:tcW w:w="720"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73" w:type="dxa"/>
            <w:vMerge w:val="restart"/>
            <w:tcBorders>
              <w:top w:val="single" w:sz="4" w:space="0" w:color="000000"/>
              <w:left w:val="single" w:sz="4" w:space="0" w:color="000000"/>
              <w:right w:val="single" w:sz="9" w:space="0" w:color="D2D2D2"/>
            </w:tcBorders>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vMerge/>
            <w:tcBorders>
              <w:left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49,985.6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49,985.6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w:t>
            </w:r>
          </w:p>
        </w:tc>
        <w:tc>
          <w:tcPr>
            <w:tcW w:w="720"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49,985.</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69</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1,969.05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8,814.53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75,999.6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75,999.6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75,999.</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61</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4,272.9</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28,157.2</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11"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已用超募资金归还银行短期借款和保理贷款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3,082.61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万元，以超募资金永久性补充流动资金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8,,163.78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万元，购置北京研发中心办公楼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万元，支付股权收购款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17,839.30 </w:t>
            </w:r>
            <w:r>
              <w:rPr>
                <w:rFonts w:ascii="宋体" w:hAnsi="宋体" w:cs="宋体" w:eastAsia="宋体" w:hint="default"/>
                <w:sz w:val="18"/>
                <w:szCs w:val="18"/>
              </w:rPr>
              <w:t>万元，支付北京及上海子</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公司设立及增资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万元，支付合肥研发基地基建费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63"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25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22" w:type="dxa"/>
            <w:vMerge/>
            <w:tcBorders>
              <w:left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
        </w:tc>
      </w:tr>
      <w:tr>
        <w:trPr>
          <w:trHeight w:val="25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25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22" w:type="dxa"/>
            <w:vMerge/>
            <w:tcBorders>
              <w:left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
        </w:tc>
      </w:tr>
      <w:tr>
        <w:trPr>
          <w:trHeight w:val="25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302" w:lineRule="auto" w:before="51"/>
              <w:ind w:left="10" w:right="22"/>
              <w:jc w:val="left"/>
              <w:rPr>
                <w:rFonts w:ascii="宋体" w:hAnsi="宋体" w:cs="宋体" w:eastAsia="宋体" w:hint="default"/>
                <w:sz w:val="18"/>
                <w:szCs w:val="18"/>
              </w:rPr>
            </w:pPr>
            <w:r>
              <w:rPr>
                <w:rFonts w:ascii="宋体" w:hAnsi="宋体" w:cs="宋体" w:eastAsia="宋体" w:hint="default"/>
                <w:sz w:val="18"/>
                <w:szCs w:val="18"/>
              </w:rPr>
              <w:t>专户资金节余利息</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2,702.89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万元用于永久性补充公司流动资金，已履行了相应的董事会与股东大会审 议程序，并及时披露。</w:t>
            </w:r>
          </w:p>
        </w:tc>
      </w:tr>
      <w:tr>
        <w:trPr>
          <w:trHeight w:val="674"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公司募集资金使用与管理信息披露真实、及时、准确、完整，不存在违规情形。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38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05pt;height:19.1pt;mso-position-horizontal-relative:char;mso-position-vertical-relative:line" coordorigin="0,0" coordsize="9581,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622;top:14;width:2;height:353" coordorigin="1622,14" coordsize="2,353">
              <v:shape style="position:absolute;left:1622;top:14;width:2;height:353" coordorigin="1622,14" coordsize="0,353" path="m1622,14l1622,367e" filled="false" stroked="true" strokeweight="1.2pt" strokecolor="#d2d2d2">
                <v:path arrowok="t"/>
              </v:shape>
            </v:group>
            <v:group style="position:absolute;left:32;top:14;width:1578;height:353" coordorigin="32,14" coordsize="1578,353">
              <v:shape style="position:absolute;left:32;top:14;width:1578;height:353" coordorigin="32,14" coordsize="1578,353" path="m32,367l1610,367,1610,14,32,14,32,367xe" filled="true" fillcolor="#d2d2d2" stroked="false">
                <v:path arrowok="t"/>
                <v:fill type="solid"/>
              </v:shape>
            </v:group>
            <v:group style="position:absolute;left:10;top:10;width:1624;height:2" coordorigin="10,10" coordsize="1624,2">
              <v:shape style="position:absolute;left:10;top:10;width:1624;height:2" coordorigin="10,10" coordsize="1624,0" path="m10,10l1634,10e" filled="false" stroked="true" strokeweight=".48pt" strokecolor="#000000">
                <v:path arrowok="t"/>
              </v:shape>
            </v:group>
            <v:group style="position:absolute;left:1643;top:10;width:7928;height:2" coordorigin="1643,10" coordsize="7928,2">
              <v:shape style="position:absolute;left:1643;top:10;width:7928;height:2" coordorigin="1643,10" coordsize="7928,0" path="m1643,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624;height:2" coordorigin="10,372" coordsize="1624,2">
              <v:shape style="position:absolute;left:10;top:372;width:1624;height:2" coordorigin="10,372" coordsize="1624,0" path="m10,372l1634,372e" filled="false" stroked="true" strokeweight=".48pt" strokecolor="#000000">
                <v:path arrowok="t"/>
              </v:shape>
            </v:group>
            <v:group style="position:absolute;left:1638;top:5;width:2;height:372" coordorigin="1638,5" coordsize="2,372">
              <v:shape style="position:absolute;left:1638;top:5;width:2;height:372" coordorigin="1638,5" coordsize="0,372" path="m1638,5l1638,377e" filled="false" stroked="true" strokeweight=".48pt" strokecolor="#000000">
                <v:path arrowok="t"/>
              </v:shape>
            </v:group>
            <v:group style="position:absolute;left:1643;top:372;width:7928;height:2" coordorigin="1643,372" coordsize="7928,2">
              <v:shape style="position:absolute;left:1643;top:372;width:7928;height:2" coordorigin="1643,372" coordsize="7928,0" path="m1643,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8004pt" strokecolor="#000000">
                <v:path arrowok="t"/>
              </v:shape>
              <v:shape style="position:absolute;left:5;top:10;width:163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7"/>
        <w:ind w:right="0"/>
        <w:jc w:val="left"/>
      </w:pPr>
      <w:r>
        <w:rPr>
          <w:rFonts w:ascii="Times New Roman" w:hAnsi="Times New Roman" w:cs="Times New Roman" w:eastAsia="Times New Roman" w:hint="default"/>
        </w:rPr>
        <w:t>3.</w:t>
      </w:r>
      <w:r>
        <w:rPr/>
        <w:t>募集资金变更项目情况</w:t>
      </w:r>
    </w:p>
    <w:p>
      <w:pPr>
        <w:pStyle w:val="BodyText"/>
        <w:spacing w:line="348" w:lineRule="auto" w:before="103"/>
        <w:ind w:right="6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348" w:lineRule="auto" w:before="14"/>
        <w:ind w:right="6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2"/>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2315" w:space="660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上海天缘 迪柯信息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公安行业 应用软件 产品的研 发和销售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39,568,175.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29,904,846.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38,494,418.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3,460,735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3,632,367.98</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广州市易 杰数码科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基于移动 互联网的 解决方案 和运营服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44,286,605.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39,648,023.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37,603,860.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3,391,398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4,084,202.25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合肥英泽 信息科技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计算机服 务外包</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29,607,820.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27,795,277.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30,859,719.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3,064,836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3,051,212.35</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深圳市金 华威数码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w:t>
            </w:r>
            <w:r>
              <w:rPr>
                <w:rFonts w:ascii="宋体" w:hAnsi="宋体" w:cs="宋体" w:eastAsia="宋体" w:hint="default"/>
                <w:w w:val="99"/>
                <w:sz w:val="18"/>
                <w:szCs w:val="18"/>
              </w:rPr>
              <w:t> </w:t>
            </w:r>
            <w:r>
              <w:rPr>
                <w:rFonts w:ascii="宋体" w:hAnsi="宋体" w:cs="宋体" w:eastAsia="宋体" w:hint="default"/>
                <w:sz w:val="18"/>
                <w:szCs w:val="18"/>
              </w:rPr>
              <w:t>增值分销</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424,653,09</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7.74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54,408,553.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640,912,65</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17,555,63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6.68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14,851,774.0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广州易星 信息科技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车险移动 查勘系统 等基于保 险公司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应用的解 决方案</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11,152,314.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9,790,699.5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17,383,798.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1,297,913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1,324,866.49</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深圳市汇 巨信息技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广电运营 商业务支 </w:t>
            </w:r>
            <w:r>
              <w:rPr>
                <w:rFonts w:ascii="宋体" w:hAnsi="宋体" w:cs="宋体" w:eastAsia="宋体" w:hint="default"/>
                <w:spacing w:val="-3"/>
                <w:sz w:val="18"/>
                <w:szCs w:val="18"/>
              </w:rPr>
              <w:t>撑系统、系</w:t>
            </w:r>
            <w:r>
              <w:rPr>
                <w:rFonts w:ascii="宋体" w:hAnsi="宋体" w:cs="宋体" w:eastAsia="宋体" w:hint="default"/>
                <w:sz w:val="18"/>
                <w:szCs w:val="18"/>
              </w:rPr>
              <w:t> 统集成业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35,105,282.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33,214,870.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18,915,095.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-812,717.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65,679.20</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1"/>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电信运营 商业务支 </w:t>
            </w:r>
            <w:r>
              <w:rPr>
                <w:rFonts w:ascii="宋体" w:hAnsi="宋体" w:cs="宋体" w:eastAsia="宋体" w:hint="default"/>
                <w:spacing w:val="-3"/>
                <w:sz w:val="18"/>
                <w:szCs w:val="18"/>
              </w:rPr>
              <w:t>撑系统、系</w:t>
            </w:r>
            <w:r>
              <w:rPr>
                <w:rFonts w:ascii="宋体" w:hAnsi="宋体" w:cs="宋体" w:eastAsia="宋体" w:hint="default"/>
                <w:sz w:val="18"/>
                <w:szCs w:val="18"/>
              </w:rPr>
              <w:t> 统集成业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21,888,891.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20,969,999.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18,145,884.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4,017,946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4,117,328.13</w:t>
            </w:r>
          </w:p>
        </w:tc>
      </w:tr>
    </w:tbl>
    <w:p>
      <w:pPr>
        <w:pStyle w:val="BodyText"/>
        <w:spacing w:line="360" w:lineRule="auto" w:before="51"/>
        <w:ind w:right="7072"/>
        <w:jc w:val="left"/>
      </w:pPr>
      <w:r>
        <w:rPr/>
        <w:t>主要子公司、参股公司情况说明 报告期内取得和处置子公司的情况</w:t>
      </w:r>
    </w:p>
    <w:p>
      <w:pPr>
        <w:pStyle w:val="BodyText"/>
        <w:spacing w:line="240" w:lineRule="auto" w:before="26"/>
        <w:ind w:right="0"/>
        <w:jc w:val="left"/>
      </w:pPr>
      <w:r>
        <w:rPr/>
        <w:pict>
          <v:shape style="position:absolute;margin-left:391.660004pt;margin-top:54.551708pt;width:143.25pt;height:54.6pt;mso-position-horizontal-relative:page;mso-position-vertical-relative:paragraph;z-index:-10207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深圳市宝贝团信息技术有限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宝贝团主营业务是：为淘宝平 台卖家提供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服务，具有深度</w:t>
            </w:r>
            <w:r>
              <w:rPr>
                <w:rFonts w:ascii="宋体" w:hAnsi="宋体" w:cs="宋体" w:eastAsia="宋体" w:hint="default"/>
                <w:sz w:val="18"/>
                <w:szCs w:val="18"/>
              </w:rPr>
              <w:t> 理解电商业务和较强的运营 能力。目前，公司已与宝贝团 在电商平台的营销、客户关系</w:t>
            </w:r>
          </w:p>
          <w:p>
            <w:pPr>
              <w:pStyle w:val="TableParagraph"/>
              <w:spacing w:line="309" w:lineRule="auto" w:before="20"/>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CRM</w:t>
            </w:r>
            <w:r>
              <w:rPr>
                <w:rFonts w:ascii="宋体" w:hAnsi="宋体" w:cs="宋体" w:eastAsia="宋体" w:hint="default"/>
                <w:spacing w:val="-4"/>
                <w:sz w:val="18"/>
                <w:szCs w:val="18"/>
              </w:rPr>
              <w:t>）管理、数据分析等方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向展开合作。宝贝团和公司协</w:t>
            </w:r>
            <w:r>
              <w:rPr>
                <w:rFonts w:ascii="宋体" w:hAnsi="宋体" w:cs="宋体" w:eastAsia="宋体" w:hint="default"/>
                <w:sz w:val="18"/>
                <w:szCs w:val="18"/>
              </w:rPr>
              <w:t> 同效应较高。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197"/>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13"/>
                <w:sz w:val="18"/>
                <w:szCs w:val="18"/>
              </w:rPr>
              <w:t>年底，公司投资</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790 </w:t>
            </w:r>
            <w:r>
              <w:rPr>
                <w:rFonts w:ascii="宋体" w:hAnsi="宋体" w:cs="宋体" w:eastAsia="宋体" w:hint="default"/>
                <w:sz w:val="18"/>
                <w:szCs w:val="18"/>
              </w:rPr>
              <w:t>收购了深圳市宝贝团信息技 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0"/>
              <w:jc w:val="left"/>
              <w:rPr>
                <w:rFonts w:ascii="宋体" w:hAnsi="宋体" w:cs="宋体" w:eastAsia="宋体" w:hint="default"/>
                <w:sz w:val="20"/>
                <w:szCs w:val="20"/>
              </w:rPr>
            </w:pPr>
            <w:r>
              <w:rPr>
                <w:rFonts w:ascii="宋体" w:hAnsi="宋体" w:cs="宋体" w:eastAsia="宋体" w:hint="default"/>
                <w:position w:val="-21"/>
                <w:sz w:val="20"/>
                <w:szCs w:val="20"/>
              </w:rPr>
              <w:pict>
                <v:group style="width:119.1pt;height:54.6pt;mso-position-horizontal-relative:char;mso-position-vertical-relative:line" coordorigin="0,0" coordsize="2382,1092">
                  <v:group style="position:absolute;left:0;top:0;width:2382;height:1092" coordorigin="0,0" coordsize="2382,1092">
                    <v:shape style="position:absolute;left:0;top:0;width:2382;height:1092" coordorigin="0,0" coordsize="2382,1092" path="m0,1092l2382,1092,2382,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广州天源迪科信息技术有限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加强在广州区域的市场开拓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年，用自有资金投入</w:t>
            </w:r>
          </w:p>
          <w:p>
            <w:pPr>
              <w:pStyle w:val="TableParagraph"/>
              <w:spacing w:line="302" w:lineRule="auto" w:before="6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万新设广州天源迪科信 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left"/>
              <w:rPr>
                <w:rFonts w:ascii="宋体" w:hAnsi="宋体" w:cs="宋体" w:eastAsia="宋体" w:hint="default"/>
                <w:sz w:val="18"/>
                <w:szCs w:val="18"/>
              </w:rPr>
            </w:pPr>
            <w:r>
              <w:rPr>
                <w:rFonts w:ascii="宋体" w:hAnsi="宋体" w:cs="宋体" w:eastAsia="宋体" w:hint="default"/>
                <w:sz w:val="18"/>
                <w:szCs w:val="18"/>
              </w:rPr>
              <w:t>深圳前海吉源供应链有限公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97"/>
              <w:jc w:val="left"/>
              <w:rPr>
                <w:rFonts w:ascii="宋体" w:hAnsi="宋体" w:cs="宋体" w:eastAsia="宋体" w:hint="default"/>
                <w:sz w:val="18"/>
                <w:szCs w:val="18"/>
              </w:rPr>
            </w:pPr>
            <w:r>
              <w:rPr>
                <w:rFonts w:ascii="宋体" w:hAnsi="宋体" w:cs="宋体" w:eastAsia="宋体" w:hint="default"/>
                <w:sz w:val="18"/>
                <w:szCs w:val="18"/>
              </w:rPr>
              <w:t>未来有机会利用前海优惠政 策，开展供应链融资。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年，用自有资金投入</w:t>
            </w:r>
          </w:p>
          <w:p>
            <w:pPr>
              <w:pStyle w:val="TableParagraph"/>
              <w:spacing w:line="309" w:lineRule="auto" w:before="6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万（认缴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万）新设 深圳前海吉源供应链有限公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2"/>
        <w:jc w:val="left"/>
        <w:rPr>
          <w:b w:val="0"/>
          <w:bCs w:val="0"/>
        </w:rPr>
      </w:pPr>
      <w:r>
        <w:rPr/>
        <w:t>二、公司未来发展的展望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92"/>
        <w:jc w:val="left"/>
        <w:rPr>
          <w:b w:val="0"/>
          <w:bCs w:val="0"/>
        </w:rPr>
      </w:pPr>
      <w:r>
        <w:rPr/>
        <w:t>（一）行业发展趋势、公司发展机遇和挑战</w:t>
      </w:r>
      <w:r>
        <w:rPr>
          <w:b w:val="0"/>
          <w:bCs w:val="0"/>
        </w:rPr>
      </w:r>
    </w:p>
    <w:p>
      <w:pPr>
        <w:pStyle w:val="BodyText"/>
        <w:spacing w:line="240" w:lineRule="auto" w:before="76"/>
        <w:ind w:left="514" w:right="92"/>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年，通信行业继续发生深刻的变化，泛</w:t>
      </w:r>
      <w:r>
        <w:rPr>
          <w:rFonts w:ascii="Times New Roman" w:hAnsi="Times New Roman" w:cs="Times New Roman" w:eastAsia="Times New Roman" w:hint="default"/>
        </w:rPr>
        <w:t>IT</w:t>
      </w:r>
      <w:r>
        <w:rPr/>
        <w:t>产业融合。智能机发展趋向饱和，未来互联网发展人口红利消失；</w:t>
      </w:r>
      <w:r>
        <w:rPr>
          <w:rFonts w:ascii="Times New Roman" w:hAnsi="Times New Roman" w:cs="Times New Roman" w:eastAsia="Times New Roman" w:hint="default"/>
        </w:rPr>
        <w:t>BAT</w:t>
      </w:r>
    </w:p>
    <w:p>
      <w:pPr>
        <w:pStyle w:val="BodyText"/>
        <w:spacing w:line="304" w:lineRule="auto" w:before="63"/>
        <w:ind w:right="190"/>
        <w:jc w:val="both"/>
      </w:pPr>
      <w:r>
        <w:rPr>
          <w:spacing w:val="-2"/>
        </w:rPr>
        <w:t>（百度、阿里巴巴、腾讯）正大肆向各产业链延伸，改造着各传统行业的商业模式；移动云计算带来对网络、业务和运营方</w:t>
      </w:r>
      <w:r>
        <w:rPr>
          <w:spacing w:val="-67"/>
        </w:rPr>
        <w:t> </w:t>
      </w:r>
      <w:r>
        <w:rPr>
          <w:spacing w:val="-67"/>
        </w:rPr>
      </w:r>
      <w:r>
        <w:rPr/>
        <w:t>面的重大影响，运营商管道化还在持续。</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27 </w:t>
      </w:r>
      <w:r>
        <w:rPr/>
        <w:t>日，工业和信息化部结合前期</w:t>
      </w:r>
      <w:r>
        <w:rPr>
          <w:rFonts w:ascii="Times New Roman" w:hAnsi="Times New Roman" w:cs="Times New Roman" w:eastAsia="Times New Roman" w:hint="default"/>
        </w:rPr>
        <w:t>LTE</w:t>
      </w:r>
      <w:r>
        <w:rPr>
          <w:rFonts w:ascii="Times New Roman" w:hAnsi="Times New Roman" w:cs="Times New Roman" w:eastAsia="Times New Roman" w:hint="default"/>
          <w:spacing w:val="37"/>
        </w:rPr>
        <w:t> </w:t>
      </w:r>
      <w:r>
        <w:rPr/>
        <w:t>混合组网试验等情况，向中国电 </w:t>
      </w:r>
      <w:r>
        <w:rPr>
          <w:spacing w:val="-2"/>
        </w:rPr>
        <w:t>信和中国联通发放</w:t>
      </w:r>
      <w:r>
        <w:rPr>
          <w:rFonts w:ascii="Times New Roman" w:hAnsi="Times New Roman" w:cs="Times New Roman" w:eastAsia="Times New Roman" w:hint="default"/>
          <w:spacing w:val="-2"/>
        </w:rPr>
        <w:t>“LTE/</w:t>
      </w:r>
      <w:r>
        <w:rPr>
          <w:spacing w:val="-2"/>
        </w:rPr>
        <w:t>第四代数字蜂窝移动通信业务（</w:t>
      </w:r>
      <w:r>
        <w:rPr>
          <w:rFonts w:ascii="Times New Roman" w:hAnsi="Times New Roman" w:cs="Times New Roman" w:eastAsia="Times New Roman" w:hint="default"/>
          <w:spacing w:val="-2"/>
        </w:rPr>
        <w:t>LTEFDD</w:t>
      </w:r>
      <w:r>
        <w:rPr>
          <w:spacing w:val="-2"/>
        </w:rPr>
        <w:t>）</w:t>
      </w:r>
      <w:r>
        <w:rPr>
          <w:rFonts w:ascii="Times New Roman" w:hAnsi="Times New Roman" w:cs="Times New Roman" w:eastAsia="Times New Roman" w:hint="default"/>
          <w:spacing w:val="-2"/>
        </w:rPr>
        <w:t>”</w:t>
      </w:r>
      <w:r>
        <w:rPr>
          <w:spacing w:val="-2"/>
        </w:rPr>
        <w:t>经营许可。</w:t>
      </w:r>
      <w:r>
        <w:rPr>
          <w:rFonts w:ascii="Times New Roman" w:hAnsi="Times New Roman" w:cs="Times New Roman" w:eastAsia="Times New Roman" w:hint="default"/>
          <w:spacing w:val="-2"/>
        </w:rPr>
        <w:t>LTE</w:t>
      </w:r>
      <w:r>
        <w:rPr>
          <w:rFonts w:ascii="Times New Roman" w:hAnsi="Times New Roman" w:cs="Times New Roman" w:eastAsia="Times New Roman" w:hint="default"/>
        </w:rPr>
        <w:t> </w:t>
      </w:r>
      <w:r>
        <w:rPr>
          <w:rFonts w:ascii="Times New Roman" w:hAnsi="Times New Roman" w:cs="Times New Roman" w:eastAsia="Times New Roman" w:hint="default"/>
          <w:spacing w:val="-1"/>
        </w:rPr>
        <w:t>FDD</w:t>
      </w:r>
      <w:r>
        <w:rPr>
          <w:spacing w:val="-1"/>
        </w:rPr>
        <w:t>牌照的发放会进一步释放我国电信</w:t>
      </w:r>
      <w:r>
        <w:rPr>
          <w:spacing w:val="-61"/>
        </w:rPr>
        <w:t> </w:t>
      </w:r>
      <w:r>
        <w:rPr/>
        <w:t>市场的活力，拉动</w:t>
      </w:r>
      <w:r>
        <w:rPr>
          <w:rFonts w:ascii="Times New Roman" w:hAnsi="Times New Roman" w:cs="Times New Roman" w:eastAsia="Times New Roman" w:hint="default"/>
        </w:rPr>
        <w:t>4G</w:t>
      </w:r>
      <w:r>
        <w:rPr/>
        <w:t>相关领域投资增长，促进各种移动互联网新技术新业务新应用的涌现，为广大消费者和各行各业带来</w:t>
      </w:r>
      <w:r>
        <w:rPr>
          <w:spacing w:val="-44"/>
        </w:rPr>
        <w:t> </w:t>
      </w:r>
      <w:r>
        <w:rPr>
          <w:spacing w:val="-44"/>
        </w:rPr>
      </w:r>
      <w:r>
        <w:rPr>
          <w:spacing w:val="-2"/>
        </w:rPr>
        <w:t>更加便捷、更加精彩的移动互联网服务。随着</w:t>
      </w:r>
      <w:r>
        <w:rPr>
          <w:rFonts w:ascii="Times New Roman" w:hAnsi="Times New Roman" w:cs="Times New Roman" w:eastAsia="Times New Roman" w:hint="default"/>
          <w:spacing w:val="-2"/>
        </w:rPr>
        <w:t>FDD</w:t>
      </w:r>
      <w:r>
        <w:rPr>
          <w:spacing w:val="-2"/>
        </w:rPr>
        <w:t>牌照的发放，用户实名制监管措施的深化实施，以及云计算、移动互联网</w:t>
      </w:r>
      <w:r>
        <w:rPr>
          <w:spacing w:val="-66"/>
        </w:rPr>
        <w:t> </w:t>
      </w:r>
      <w:r>
        <w:rPr>
          <w:spacing w:val="-66"/>
        </w:rPr>
      </w:r>
      <w:r>
        <w:rPr/>
        <w:t>的迅猛发展，通信行业正在发生前所未有的变化，行业界限模糊，技术和业务的融合推动通信行业公司转型。</w:t>
      </w:r>
    </w:p>
    <w:p>
      <w:pPr>
        <w:pStyle w:val="BodyText"/>
        <w:spacing w:line="304" w:lineRule="auto" w:before="28"/>
        <w:ind w:right="190" w:firstLine="360"/>
        <w:jc w:val="both"/>
      </w:pPr>
      <w:r>
        <w:rPr>
          <w:spacing w:val="-2"/>
        </w:rPr>
        <w:t>据中国互联网网络信息中心（</w:t>
      </w:r>
      <w:r>
        <w:rPr>
          <w:rFonts w:ascii="Times New Roman" w:hAnsi="Times New Roman" w:cs="Times New Roman" w:eastAsia="Times New Roman" w:hint="default"/>
          <w:spacing w:val="-2"/>
        </w:rPr>
        <w:t>CNNIC</w:t>
      </w:r>
      <w:r>
        <w:rPr>
          <w:spacing w:val="-2"/>
        </w:rPr>
        <w:t>）数据：截至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月，我国网民规模达</w:t>
      </w:r>
      <w:r>
        <w:rPr>
          <w:rFonts w:ascii="Times New Roman" w:hAnsi="Times New Roman" w:cs="Times New Roman" w:eastAsia="Times New Roman" w:hint="default"/>
          <w:spacing w:val="-2"/>
        </w:rPr>
        <w:t>6.32</w:t>
      </w:r>
      <w:r>
        <w:rPr>
          <w:spacing w:val="-2"/>
        </w:rPr>
        <w:t>亿，互联网普及率为</w:t>
      </w:r>
      <w:r>
        <w:rPr>
          <w:rFonts w:ascii="Times New Roman" w:hAnsi="Times New Roman" w:cs="Times New Roman" w:eastAsia="Times New Roman" w:hint="default"/>
          <w:spacing w:val="-2"/>
        </w:rPr>
        <w:t>46.9%</w:t>
      </w:r>
      <w:r>
        <w:rPr>
          <w:spacing w:val="-2"/>
        </w:rPr>
        <w:t>，较</w:t>
      </w:r>
      <w:r>
        <w:rPr>
          <w:rFonts w:ascii="Times New Roman" w:hAnsi="Times New Roman" w:cs="Times New Roman" w:eastAsia="Times New Roman" w:hint="default"/>
          <w:spacing w:val="-2"/>
        </w:rPr>
        <w:t>2013</w:t>
      </w:r>
      <w:r>
        <w:rPr>
          <w:rFonts w:ascii="Times New Roman" w:hAnsi="Times New Roman" w:cs="Times New Roman" w:eastAsia="Times New Roman" w:hint="default"/>
          <w:w w:val="99"/>
        </w:rPr>
        <w:t> </w:t>
      </w:r>
      <w:r>
        <w:rPr/>
        <w:t>年底提升了</w:t>
      </w:r>
      <w:r>
        <w:rPr>
          <w:rFonts w:ascii="Times New Roman" w:hAnsi="Times New Roman" w:cs="Times New Roman" w:eastAsia="Times New Roman" w:hint="default"/>
        </w:rPr>
        <w:t>1.1</w:t>
      </w:r>
      <w:r>
        <w:rPr/>
        <w:t>个百分点。</w:t>
      </w:r>
      <w:r>
        <w:rPr>
          <w:rFonts w:ascii="Times New Roman" w:hAnsi="Times New Roman" w:cs="Times New Roman" w:eastAsia="Times New Roman" w:hint="default"/>
        </w:rPr>
        <w:t>2015</w:t>
      </w:r>
      <w:r>
        <w:rPr/>
        <w:t>年，中国的网民渗透率将达</w:t>
      </w:r>
      <w:r>
        <w:rPr>
          <w:rFonts w:ascii="Times New Roman" w:hAnsi="Times New Roman" w:cs="Times New Roman" w:eastAsia="Times New Roman" w:hint="default"/>
        </w:rPr>
        <w:t>50%</w:t>
      </w:r>
      <w:r>
        <w:rPr/>
        <w:t>，即近一半的中国人使用互联网上网，互联网已经成为中国</w:t>
      </w:r>
      <w:r>
        <w:rPr>
          <w:spacing w:val="-21"/>
        </w:rPr>
        <w:t> </w:t>
      </w:r>
      <w:r>
        <w:rPr>
          <w:spacing w:val="-21"/>
        </w:rPr>
      </w:r>
      <w:r>
        <w:rPr>
          <w:spacing w:val="-2"/>
        </w:rPr>
        <w:t>人生活和工作形影不离的工具。未来两三年内，移动互联网将继续渗透到我们的生活和工作，将在诸多方面改变和改善我们</w:t>
      </w:r>
      <w:r>
        <w:rPr>
          <w:spacing w:val="-67"/>
        </w:rPr>
        <w:t> </w:t>
      </w:r>
      <w:r>
        <w:rPr>
          <w:spacing w:val="-67"/>
        </w:rPr>
      </w:r>
      <w:r>
        <w:rPr>
          <w:spacing w:val="-1"/>
        </w:rPr>
        <w:t>的生活和工作形态，产生更多的商业机会。</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写入李克强总理的政府工作报告，这意味着</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正式被纳入顶</w:t>
      </w:r>
      <w:r>
        <w:rPr>
          <w:spacing w:val="-79"/>
        </w:rPr>
        <w:t> </w:t>
      </w:r>
      <w:r>
        <w:rPr>
          <w:spacing w:val="-2"/>
        </w:rPr>
        <w:t>层设计，成为国家经济社会发展的重要战略。《</w:t>
      </w:r>
      <w:r>
        <w:rPr>
          <w:rFonts w:ascii="Times New Roman" w:hAnsi="Times New Roman" w:cs="Times New Roman" w:eastAsia="Times New Roman" w:hint="default"/>
          <w:spacing w:val="-2"/>
        </w:rPr>
        <w:t>2015</w:t>
      </w:r>
      <w:r>
        <w:rPr>
          <w:spacing w:val="-2"/>
        </w:rPr>
        <w:t>年政府报告》制定</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行动计划，推动移动互联网、云计算、大</w:t>
      </w:r>
      <w:r>
        <w:rPr>
          <w:spacing w:val="-41"/>
        </w:rPr>
        <w:t> </w:t>
      </w:r>
      <w:r>
        <w:rPr>
          <w:spacing w:val="-41"/>
        </w:rPr>
      </w:r>
      <w:r>
        <w:rPr/>
        <w:t>数据、物联网等与现代制造业结合，促进电子商务、工业互联网和互联网金融健康发展，引导互联网企业拓展国际市场。</w:t>
      </w:r>
    </w:p>
    <w:p>
      <w:pPr>
        <w:pStyle w:val="BodyText"/>
        <w:spacing w:line="307" w:lineRule="auto" w:before="28"/>
        <w:ind w:right="190" w:firstLine="360"/>
        <w:jc w:val="both"/>
      </w:pPr>
      <w:r>
        <w:rPr/>
        <w:t>移动互联网应用带来业务复杂度提升的同时也带来业务需求的增长，公司凭借在软件研发领域</w:t>
      </w:r>
      <w:r>
        <w:rPr>
          <w:rFonts w:ascii="Times New Roman" w:hAnsi="Times New Roman" w:cs="Times New Roman" w:eastAsia="Times New Roman" w:hint="default"/>
        </w:rPr>
        <w:t>20</w:t>
      </w:r>
      <w:r>
        <w:rPr/>
        <w:t>多年的积累，已形成 </w:t>
      </w:r>
      <w:r>
        <w:rPr>
          <w:rFonts w:ascii="Times New Roman" w:hAnsi="Times New Roman" w:cs="Times New Roman" w:eastAsia="Times New Roman" w:hint="default"/>
        </w:rPr>
        <w:t>2,000</w:t>
      </w:r>
      <w:r>
        <w:rPr/>
        <w:t>多人的软件研发团队，不断致力于新产品研发和技术创新，把握移动互联网发展机遇，致力成为传统企业移动互联网</w:t>
      </w:r>
      <w:r>
        <w:rPr>
          <w:spacing w:val="-41"/>
        </w:rPr>
        <w:t> </w:t>
      </w:r>
      <w:r>
        <w:rPr>
          <w:spacing w:val="-41"/>
        </w:rPr>
      </w:r>
      <w:r>
        <w:rPr>
          <w:spacing w:val="-2"/>
        </w:rPr>
        <w:t>业务变革的使能者；加大移动终端应用的开发，研究虚拟化、分布式并行处理技术和云计算技术，开发电子商务应用，在当</w:t>
      </w:r>
      <w:r>
        <w:rPr>
          <w:spacing w:val="-66"/>
        </w:rPr>
        <w:t> </w:t>
      </w:r>
      <w:r>
        <w:rPr>
          <w:spacing w:val="-66"/>
        </w:rPr>
      </w:r>
      <w:r>
        <w:rPr/>
        <w:t>前移动互联网生态环境下，为公司快速发展提供持续动力。</w:t>
      </w:r>
    </w:p>
    <w:p>
      <w:pPr>
        <w:pStyle w:val="Heading5"/>
        <w:spacing w:line="240" w:lineRule="auto" w:before="26"/>
        <w:ind w:left="154" w:right="92"/>
        <w:jc w:val="left"/>
        <w:rPr>
          <w:b w:val="0"/>
          <w:bCs w:val="0"/>
        </w:rPr>
      </w:pPr>
      <w:r>
        <w:rPr/>
        <w:t>（二）</w:t>
      </w:r>
      <w:r>
        <w:rPr>
          <w:rFonts w:ascii="Times New Roman" w:hAnsi="Times New Roman" w:cs="Times New Roman" w:eastAsia="Times New Roman" w:hint="default"/>
        </w:rPr>
        <w:t>2015</w:t>
      </w:r>
      <w:r>
        <w:rPr/>
        <w:t>年度经营计划</w:t>
      </w:r>
      <w:r>
        <w:rPr>
          <w:b w:val="0"/>
          <w:bCs w:val="0"/>
        </w:rPr>
      </w:r>
    </w:p>
    <w:p>
      <w:pPr>
        <w:pStyle w:val="BodyText"/>
        <w:spacing w:line="300" w:lineRule="auto" w:before="63"/>
        <w:ind w:right="191" w:firstLine="290"/>
        <w:jc w:val="both"/>
      </w:pPr>
      <w:r>
        <w:rPr>
          <w:rFonts w:ascii="Times New Roman" w:hAnsi="Times New Roman" w:cs="Times New Roman" w:eastAsia="Times New Roman" w:hint="default"/>
          <w:spacing w:val="-1"/>
        </w:rPr>
        <w:t>2015</w:t>
      </w:r>
      <w:r>
        <w:rPr>
          <w:spacing w:val="-1"/>
        </w:rPr>
        <w:t>年，是公司整体战略布局实施关键的一年，公司管理层将报着二次创业的心态，积极推动传统业务与创新业务并重</w:t>
      </w:r>
      <w:r>
        <w:rPr/>
        <w:t> 发展，促进内部协同和资源共享，团结奋斗，为天源迪科未来</w:t>
      </w:r>
      <w:r>
        <w:rPr>
          <w:rFonts w:ascii="Times New Roman" w:hAnsi="Times New Roman" w:cs="Times New Roman" w:eastAsia="Times New Roman" w:hint="default"/>
        </w:rPr>
        <w:t>5-10</w:t>
      </w:r>
      <w:r>
        <w:rPr/>
        <w:t>年的快速、健康发展奠定坚实基础。</w:t>
      </w:r>
    </w:p>
    <w:p>
      <w:pPr>
        <w:pStyle w:val="BodyText"/>
        <w:spacing w:line="240" w:lineRule="auto" w:before="13"/>
        <w:ind w:left="444" w:right="92"/>
        <w:jc w:val="left"/>
      </w:pPr>
      <w:r>
        <w:rPr>
          <w:rFonts w:ascii="Times New Roman" w:hAnsi="Times New Roman" w:cs="Times New Roman" w:eastAsia="Times New Roman" w:hint="default"/>
        </w:rPr>
        <w:t>1</w:t>
      </w:r>
      <w:r>
        <w:rPr/>
        <w:t>、加速向移动互联网和大数据转型</w:t>
      </w:r>
    </w:p>
    <w:p>
      <w:pPr>
        <w:pStyle w:val="BodyText"/>
        <w:spacing w:line="307" w:lineRule="auto" w:before="63"/>
        <w:ind w:right="90" w:firstLine="290"/>
        <w:jc w:val="left"/>
      </w:pPr>
      <w:r>
        <w:rPr>
          <w:spacing w:val="-1"/>
        </w:rPr>
        <w:t>业务运营支撑</w:t>
      </w:r>
      <w:r>
        <w:rPr>
          <w:spacing w:val="6"/>
        </w:rPr>
        <w:t> </w:t>
      </w:r>
      <w:r>
        <w:rPr>
          <w:rFonts w:ascii="Times New Roman" w:hAnsi="Times New Roman" w:cs="Times New Roman" w:eastAsia="Times New Roman" w:hint="default"/>
          <w:spacing w:val="-2"/>
        </w:rPr>
        <w:t>(BSS)</w:t>
      </w:r>
      <w:r>
        <w:rPr>
          <w:spacing w:val="-2"/>
        </w:rPr>
        <w:t>及大数据重点将聚焦电信、公安和金融行业，由软件项目平台建设向合作运营、数据服务方向发展；</w:t>
      </w:r>
      <w:r>
        <w:rPr>
          <w:w w:val="99"/>
        </w:rPr>
        <w:t> </w:t>
      </w:r>
      <w:r>
        <w:rPr>
          <w:spacing w:val="-2"/>
        </w:rPr>
        <w:t>在</w:t>
      </w:r>
      <w:r>
        <w:rPr>
          <w:rFonts w:ascii="Times New Roman" w:hAnsi="Times New Roman" w:cs="Times New Roman" w:eastAsia="Times New Roman" w:hint="default"/>
          <w:spacing w:val="-2"/>
        </w:rPr>
        <w:t>O2O</w:t>
      </w:r>
      <w:r>
        <w:rPr>
          <w:spacing w:val="-2"/>
        </w:rPr>
        <w:t>领域，拓展传统行业龙头企业，协助企业建立线上接触点，发挥线下服务优势，利用大数据，开展业务创新；成为淘</w:t>
      </w:r>
      <w:r>
        <w:rPr>
          <w:spacing w:val="-57"/>
        </w:rPr>
        <w:t> </w:t>
      </w:r>
      <w:r>
        <w:rPr>
          <w:spacing w:val="-57"/>
        </w:rPr>
      </w:r>
      <w:r>
        <w:rPr>
          <w:spacing w:val="-2"/>
        </w:rPr>
        <w:t>宝、京东等电子商务平台主流技术服务合作伙伴；落实国家信息安全战略，利用在运营商市场储备的技术经验，开拓国有大</w:t>
      </w:r>
      <w:r>
        <w:rPr>
          <w:spacing w:val="-66"/>
        </w:rPr>
        <w:t> </w:t>
      </w:r>
      <w:r>
        <w:rPr>
          <w:spacing w:val="-66"/>
        </w:rPr>
      </w:r>
      <w:r>
        <w:rPr/>
        <w:t>型企业市场。</w:t>
      </w:r>
    </w:p>
    <w:p>
      <w:pPr>
        <w:pStyle w:val="BodyText"/>
        <w:spacing w:line="300" w:lineRule="auto" w:before="26"/>
        <w:ind w:left="444" w:right="92"/>
        <w:jc w:val="left"/>
      </w:pPr>
      <w:r>
        <w:rPr>
          <w:rFonts w:ascii="Times New Roman" w:hAnsi="Times New Roman" w:cs="Times New Roman" w:eastAsia="Times New Roman" w:hint="default"/>
        </w:rPr>
        <w:t>2</w:t>
      </w:r>
      <w:r>
        <w:rPr/>
        <w:t>、沉淀人才，加强绩效考核和培训，推动子公司成长 </w:t>
      </w:r>
      <w:r>
        <w:rPr>
          <w:spacing w:val="-1"/>
        </w:rPr>
        <w:t>人才队伍的成长速度决定了企业的发展速度，加强岗位轮动，提升团队活力。加强对子公司中高层人员的培训，为子公</w:t>
      </w:r>
    </w:p>
    <w:p>
      <w:pPr>
        <w:pStyle w:val="BodyText"/>
        <w:spacing w:line="309" w:lineRule="auto" w:before="31"/>
        <w:ind w:left="444" w:right="182" w:hanging="291"/>
        <w:jc w:val="left"/>
      </w:pPr>
      <w:r>
        <w:rPr/>
        <w:t>司发展建立人才队伍。对全资和控股子公司建立绩效考核体系，并将绩效考核体系向下一级和项目级延伸。 </w:t>
      </w:r>
      <w:r>
        <w:rPr>
          <w:rFonts w:ascii="Times New Roman" w:hAnsi="Times New Roman" w:cs="Times New Roman" w:eastAsia="Times New Roman" w:hint="default"/>
        </w:rPr>
        <w:t>3</w:t>
      </w:r>
      <w:r>
        <w:rPr/>
        <w:t>、提升基础管理能力，加强子公司及事业部之间的协作 加强子公司与事业部协作，产品和业务进一步融合，最终实现</w:t>
      </w:r>
      <w:r>
        <w:rPr>
          <w:rFonts w:ascii="Times New Roman" w:hAnsi="Times New Roman" w:cs="Times New Roman" w:eastAsia="Times New Roman" w:hint="default"/>
        </w:rPr>
        <w:t>“</w:t>
      </w:r>
      <w:r>
        <w:rPr/>
        <w:t>多业务联动，跨行业协同</w:t>
      </w:r>
      <w:r>
        <w:rPr>
          <w:rFonts w:ascii="Times New Roman" w:hAnsi="Times New Roman" w:cs="Times New Roman" w:eastAsia="Times New Roman" w:hint="default"/>
        </w:rPr>
        <w:t>”</w:t>
      </w:r>
      <w:r>
        <w:rPr/>
        <w:t>。建立统一的支撑体系，打掉</w:t>
      </w:r>
    </w:p>
    <w:p>
      <w:pPr>
        <w:pStyle w:val="BodyText"/>
        <w:spacing w:line="240" w:lineRule="auto" w:before="5"/>
        <w:ind w:right="92"/>
        <w:jc w:val="left"/>
      </w:pPr>
      <w:r>
        <w:rPr/>
        <w:t>部门墙，弱化区域间的壁垒，工作流程进一步</w:t>
      </w:r>
      <w:r>
        <w:rPr>
          <w:rFonts w:ascii="Times New Roman" w:hAnsi="Times New Roman" w:cs="Times New Roman" w:eastAsia="Times New Roman" w:hint="default"/>
        </w:rPr>
        <w:t>IT</w:t>
      </w:r>
      <w:r>
        <w:rPr/>
        <w:t>化。</w:t>
      </w:r>
    </w:p>
    <w:p>
      <w:pPr>
        <w:pStyle w:val="BodyText"/>
        <w:spacing w:line="300" w:lineRule="auto" w:before="63"/>
        <w:ind w:left="439" w:right="92" w:firstLine="4"/>
        <w:jc w:val="left"/>
      </w:pPr>
      <w:r>
        <w:rPr>
          <w:rFonts w:ascii="Times New Roman" w:hAnsi="Times New Roman" w:cs="Times New Roman" w:eastAsia="Times New Roman" w:hint="default"/>
        </w:rPr>
        <w:t>4</w:t>
      </w:r>
      <w:r>
        <w:rPr/>
        <w:t>、加强研发投入，发挥资产效能，实现经营业务稳健增长 </w:t>
      </w:r>
      <w:r>
        <w:rPr>
          <w:spacing w:val="-1"/>
        </w:rPr>
        <w:t>将进一步加大对产品研发和技术创新的投入，完善基础设施建设。</w:t>
      </w:r>
      <w:r>
        <w:rPr>
          <w:rFonts w:ascii="Times New Roman" w:hAnsi="Times New Roman" w:cs="Times New Roman" w:eastAsia="Times New Roman" w:hint="default"/>
          <w:spacing w:val="-1"/>
        </w:rPr>
        <w:t>2014</w:t>
      </w:r>
      <w:r>
        <w:rPr>
          <w:spacing w:val="-1"/>
        </w:rPr>
        <w:t>年底，合肥软件研发基地付使用，将进一步改善</w:t>
      </w:r>
    </w:p>
    <w:p>
      <w:pPr>
        <w:pStyle w:val="BodyText"/>
        <w:spacing w:line="300" w:lineRule="auto" w:before="13"/>
        <w:ind w:right="92"/>
        <w:jc w:val="left"/>
      </w:pPr>
      <w:r>
        <w:rPr/>
        <w:t>公司的研发环境和成本，同时，也为公司拓展新业务提供了有利的条件。</w:t>
      </w:r>
      <w:r>
        <w:rPr>
          <w:rFonts w:ascii="Times New Roman" w:hAnsi="Times New Roman" w:cs="Times New Roman" w:eastAsia="Times New Roman" w:hint="default"/>
        </w:rPr>
        <w:t>2015</w:t>
      </w:r>
      <w:r>
        <w:rPr/>
        <w:t>年度计划营业收入</w:t>
      </w:r>
      <w:r>
        <w:rPr>
          <w:rFonts w:ascii="Times New Roman" w:hAnsi="Times New Roman" w:cs="Times New Roman" w:eastAsia="Times New Roman" w:hint="default"/>
        </w:rPr>
        <w:t>167,360</w:t>
      </w:r>
      <w:r>
        <w:rPr/>
        <w:t>万元，较去年同期</w:t>
      </w:r>
      <w:r>
        <w:rPr>
          <w:spacing w:val="-45"/>
        </w:rPr>
        <w:t> </w:t>
      </w:r>
      <w:r>
        <w:rPr>
          <w:spacing w:val="-45"/>
        </w:rPr>
      </w:r>
      <w:r>
        <w:rPr/>
        <w:t>增长</w:t>
      </w:r>
      <w:r>
        <w:rPr>
          <w:rFonts w:ascii="Times New Roman" w:hAnsi="Times New Roman" w:cs="Times New Roman" w:eastAsia="Times New Roman" w:hint="default"/>
        </w:rPr>
        <w:t>41.40</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，其中，应用软件及服务收入</w:t>
      </w:r>
      <w:r>
        <w:rPr>
          <w:rFonts w:ascii="Times New Roman" w:hAnsi="Times New Roman" w:cs="Times New Roman" w:eastAsia="Times New Roman" w:hint="default"/>
        </w:rPr>
        <w:t>68,708</w:t>
      </w:r>
      <w:r>
        <w:rPr/>
        <w:t>万元，较去年同期增长</w:t>
      </w:r>
      <w:r>
        <w:rPr>
          <w:rFonts w:ascii="Times New Roman" w:hAnsi="Times New Roman" w:cs="Times New Roman" w:eastAsia="Times New Roman" w:hint="default"/>
        </w:rPr>
        <w:t>38.64%</w:t>
      </w:r>
      <w:r>
        <w:rPr/>
        <w:t>。</w:t>
      </w:r>
    </w:p>
    <w:p>
      <w:pPr>
        <w:spacing w:line="240" w:lineRule="auto" w:before="11"/>
        <w:rPr>
          <w:rFonts w:ascii="宋体" w:hAnsi="宋体" w:cs="宋体" w:eastAsia="宋体" w:hint="default"/>
          <w:sz w:val="24"/>
          <w:szCs w:val="24"/>
        </w:rPr>
      </w:pPr>
    </w:p>
    <w:p>
      <w:pPr>
        <w:spacing w:line="319" w:lineRule="auto" w:before="0"/>
        <w:ind w:left="371" w:right="7815" w:hanging="218"/>
        <w:jc w:val="left"/>
        <w:rPr>
          <w:rFonts w:ascii="宋体" w:hAnsi="宋体" w:cs="宋体" w:eastAsia="宋体" w:hint="default"/>
          <w:sz w:val="18"/>
          <w:szCs w:val="18"/>
        </w:rPr>
      </w:pPr>
      <w:r>
        <w:rPr>
          <w:rFonts w:ascii="宋体" w:hAnsi="宋体" w:cs="宋体" w:eastAsia="宋体" w:hint="default"/>
          <w:b/>
          <w:bCs/>
          <w:sz w:val="18"/>
          <w:szCs w:val="18"/>
        </w:rPr>
        <w:t>（三）风险因素分析</w:t>
      </w:r>
      <w:r>
        <w:rPr>
          <w:rFonts w:ascii="宋体" w:hAnsi="宋体" w:cs="宋体" w:eastAsia="宋体" w:hint="default"/>
          <w:b/>
          <w:bCs/>
          <w:w w:val="99"/>
          <w:sz w:val="18"/>
          <w:szCs w:val="18"/>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重大风险提示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319"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报告期内，公司严格执行《公司章程》有关现金分红政策，经第三届董事会第八次会议审议通过，公司利润分配方案为：以</w:t>
      </w:r>
      <w:r>
        <w:rPr>
          <w:spacing w:val="-67"/>
        </w:rPr>
        <w:t> </w:t>
      </w:r>
      <w:r>
        <w:rPr>
          <w:spacing w:val="-67"/>
        </w:rPr>
      </w:r>
      <w:r>
        <w:rPr/>
        <w:t>公司总股本</w:t>
      </w:r>
      <w:r>
        <w:rPr>
          <w:rFonts w:ascii="Times New Roman" w:hAnsi="Times New Roman" w:cs="Times New Roman" w:eastAsia="Times New Roman" w:hint="default"/>
        </w:rPr>
        <w:t>315,688,300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0.35</w:t>
      </w:r>
      <w:r>
        <w:rPr/>
        <w:t>元人民币（含税）。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2013</w:t>
      </w:r>
      <w:r>
        <w:rPr/>
        <w:t>年年 度股东大会审议通过了该分配方案，现金分红事项已于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160"/>
        <w:jc w:val="right"/>
      </w:pPr>
      <w:r>
        <w:rPr/>
        <w:pict>
          <v:shape style="position:absolute;margin-left:56.459999pt;margin-top:-181.468277pt;width:479.2pt;height:453.3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657" w:hRule="exact"/>
                    </w:trPr>
                    <w:tc>
                      <w:tcPr>
                        <w:tcW w:w="4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vMerge w:val="restart"/>
                        <w:tcBorders>
                          <w:top w:val="single" w:sz="4" w:space="0" w:color="000000"/>
                          <w:left w:val="single" w:sz="9" w:space="0" w:color="D2D2D2"/>
                          <w:right w:val="single" w:sz="4" w:space="0" w:color="000000"/>
                        </w:tcBorders>
                      </w:tcPr>
                      <w:p>
                        <w:pPr>
                          <w:pStyle w:val="TableParagraph"/>
                          <w:spacing w:line="314" w:lineRule="auto" w:before="51"/>
                          <w:ind w:left="16" w:right="54"/>
                          <w:jc w:val="both"/>
                          <w:rPr>
                            <w:rFonts w:ascii="宋体" w:hAnsi="宋体" w:cs="宋体" w:eastAsia="宋体" w:hint="default"/>
                            <w:sz w:val="18"/>
                            <w:szCs w:val="18"/>
                          </w:rPr>
                        </w:pPr>
                        <w:r>
                          <w:rPr>
                            <w:rFonts w:ascii="宋体" w:hAnsi="宋体" w:cs="宋体" w:eastAsia="宋体" w:hint="default"/>
                            <w:sz w:val="18"/>
                            <w:szCs w:val="18"/>
                          </w:rPr>
                          <w:t>《公司章程》第一百五十五条规定：</w:t>
                        </w:r>
                        <w:r>
                          <w:rPr>
                            <w:rFonts w:ascii="宋体" w:hAnsi="宋体" w:cs="宋体" w:eastAsia="宋体" w:hint="default"/>
                            <w:spacing w:val="50"/>
                            <w:sz w:val="18"/>
                            <w:szCs w:val="18"/>
                          </w:rPr>
                          <w:t> </w:t>
                        </w:r>
                        <w:r>
                          <w:rPr>
                            <w:rFonts w:ascii="宋体" w:hAnsi="宋体" w:cs="宋体" w:eastAsia="宋体" w:hint="default"/>
                            <w:sz w:val="18"/>
                            <w:szCs w:val="18"/>
                          </w:rPr>
                          <w:t>公司将积极采取现金</w:t>
                        </w:r>
                        <w:r>
                          <w:rPr>
                            <w:rFonts w:ascii="宋体" w:hAnsi="宋体" w:cs="宋体" w:eastAsia="宋体" w:hint="default"/>
                            <w:sz w:val="18"/>
                            <w:szCs w:val="18"/>
                          </w:rPr>
                          <w:t> 方式分配股利，原则上每年度进行一次现金分红，公司董事 会可以根据公司盈利情况及资金需求状况提议公司进行中期 现金分红。</w:t>
                        </w:r>
                        <w:r>
                          <w:rPr>
                            <w:rFonts w:ascii="宋体" w:hAnsi="宋体" w:cs="宋体" w:eastAsia="宋体" w:hint="default"/>
                            <w:spacing w:val="50"/>
                            <w:sz w:val="18"/>
                            <w:szCs w:val="18"/>
                          </w:rPr>
                          <w:t> </w:t>
                        </w:r>
                        <w:r>
                          <w:rPr>
                            <w:rFonts w:ascii="宋体" w:hAnsi="宋体" w:cs="宋体" w:eastAsia="宋体" w:hint="default"/>
                            <w:sz w:val="18"/>
                            <w:szCs w:val="18"/>
                          </w:rPr>
                          <w:t>公司应保持利润分配政策的连续性和稳定性，</w:t>
                        </w:r>
                        <w:r>
                          <w:rPr>
                            <w:rFonts w:ascii="宋体" w:hAnsi="宋体" w:cs="宋体" w:eastAsia="宋体" w:hint="default"/>
                            <w:sz w:val="18"/>
                            <w:szCs w:val="18"/>
                          </w:rPr>
                          <w:t> 在满足现金分红条件时，每年以现金方式分配的利润应不低 于当年实现的可分配利润的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，且任意三个连续会计年度 内，公司以现金方式累计分配的利润不少于该三年实现的年 均可分配利润的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公司综合考虑公司所处行业特点、</w:t>
                        </w:r>
                        <w:r>
                          <w:rPr>
                            <w:rFonts w:ascii="宋体" w:hAnsi="宋体" w:cs="宋体" w:eastAsia="宋体" w:hint="default"/>
                            <w:sz w:val="18"/>
                            <w:szCs w:val="18"/>
                          </w:rPr>
                          <w:t> 发展阶段、自身经营模式、盈利水平以及是否有重大资金支 出安排等因素，区分下列情形，提出差异化的现金分红方案</w:t>
                        </w:r>
                      </w:p>
                      <w:p>
                        <w:pPr>
                          <w:pStyle w:val="TableParagraph"/>
                          <w:spacing w:line="307" w:lineRule="auto" w:before="20"/>
                          <w:ind w:left="16" w:right="20" w:firstLine="1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）公司发展阶段属成熟期且无重大资金支出安排的，进 行利润分配时，现金分红在本次利润分配中所占比例最低应 达到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）公司发展阶段属成熟期且有重大资金支出 安排的，进行利润分配时，现金分红在本次利润分配中所占 比例最低应达到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）公司发展阶段属成长期且有重 大资金支出安排的，进行利润分配时，现金分红在本次利润 分配中所占比例最低应达到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公司发展阶段不易区分</w:t>
                        </w:r>
                        <w:r>
                          <w:rPr>
                            <w:rFonts w:ascii="宋体" w:hAnsi="宋体" w:cs="宋体" w:eastAsia="宋体" w:hint="default"/>
                            <w:sz w:val="18"/>
                            <w:szCs w:val="18"/>
                          </w:rPr>
                          <w:t> 但有重大资金支出安排的，可以按照前项规定处理。</w:t>
                        </w:r>
                      </w:p>
                    </w:tc>
                  </w:tr>
                  <w:tr>
                    <w:trPr>
                      <w:trHeight w:val="392" w:hRule="exact"/>
                    </w:trPr>
                    <w:tc>
                      <w:tcPr>
                        <w:tcW w:w="47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vMerge/>
                        <w:tcBorders>
                          <w:left w:val="single" w:sz="9" w:space="0" w:color="D2D2D2"/>
                          <w:right w:val="single" w:sz="4" w:space="0" w:color="000000"/>
                        </w:tcBorders>
                      </w:tcPr>
                      <w:p>
                        <w:pPr/>
                      </w:p>
                    </w:tc>
                  </w:tr>
                  <w:tr>
                    <w:trPr>
                      <w:trHeight w:val="2657"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vMerge/>
                        <w:tcBorders>
                          <w:left w:val="single" w:sz="9" w:space="0" w:color="D2D2D2"/>
                          <w:bottom w:val="single" w:sz="4" w:space="0" w:color="000000"/>
                          <w:right w:val="single" w:sz="4" w:space="0" w:color="000000"/>
                        </w:tcBorders>
                      </w:tcPr>
                      <w:p>
                        <w:pPr/>
                      </w:p>
                    </w:tc>
                  </w:tr>
                  <w:tr>
                    <w:trPr>
                      <w:trHeight w:val="1076" w:hRule="exact"/>
                    </w:trPr>
                    <w:tc>
                      <w:tcPr>
                        <w:tcW w:w="4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68"/>
                          <w:jc w:val="both"/>
                          <w:rPr>
                            <w:rFonts w:ascii="宋体" w:hAnsi="宋体" w:cs="宋体" w:eastAsia="宋体" w:hint="default"/>
                            <w:sz w:val="18"/>
                            <w:szCs w:val="18"/>
                          </w:rPr>
                        </w:pPr>
                        <w:r>
                          <w:rPr>
                            <w:rFonts w:ascii="宋体" w:hAnsi="宋体" w:cs="宋体" w:eastAsia="宋体" w:hint="default"/>
                            <w:sz w:val="18"/>
                            <w:szCs w:val="18"/>
                          </w:rPr>
                          <w:t>公司《分红管理制度》第十条规定：</w:t>
                        </w:r>
                        <w:r>
                          <w:rPr>
                            <w:rFonts w:ascii="宋体" w:hAnsi="宋体" w:cs="宋体" w:eastAsia="宋体" w:hint="default"/>
                            <w:spacing w:val="50"/>
                            <w:sz w:val="18"/>
                            <w:szCs w:val="18"/>
                          </w:rPr>
                          <w:t> </w:t>
                        </w:r>
                        <w:r>
                          <w:rPr>
                            <w:rFonts w:ascii="宋体" w:hAnsi="宋体" w:cs="宋体" w:eastAsia="宋体" w:hint="default"/>
                            <w:sz w:val="18"/>
                            <w:szCs w:val="18"/>
                          </w:rPr>
                          <w:t>公司每年利润分配预</w:t>
                        </w:r>
                        <w:r>
                          <w:rPr>
                            <w:rFonts w:ascii="宋体" w:hAnsi="宋体" w:cs="宋体" w:eastAsia="宋体" w:hint="default"/>
                            <w:sz w:val="18"/>
                            <w:szCs w:val="18"/>
                          </w:rPr>
                          <w:t> 案由公司管理层、董事会结合公司章程的规定、盈利情况、 资金供给和需要情况的和股东回报规划提出、拟订定，经董 事会审议通过后提交股东大会批准。</w:t>
                        </w:r>
                        <w:r>
                          <w:rPr>
                            <w:rFonts w:ascii="宋体" w:hAnsi="宋体" w:cs="宋体" w:eastAsia="宋体" w:hint="default"/>
                            <w:spacing w:val="50"/>
                            <w:sz w:val="18"/>
                            <w:szCs w:val="18"/>
                          </w:rPr>
                          <w:t> </w:t>
                        </w:r>
                        <w:r>
                          <w:rPr>
                            <w:rFonts w:ascii="宋体" w:hAnsi="宋体" w:cs="宋体" w:eastAsia="宋体" w:hint="default"/>
                            <w:sz w:val="18"/>
                            <w:szCs w:val="18"/>
                          </w:rPr>
                          <w:t>董事会在决策和形成</w:t>
                        </w:r>
                        <w:r>
                          <w:rPr>
                            <w:rFonts w:ascii="宋体" w:hAnsi="宋体" w:cs="宋体" w:eastAsia="宋体" w:hint="default"/>
                            <w:sz w:val="18"/>
                            <w:szCs w:val="18"/>
                          </w:rPr>
                          <w:t> 利润分配预案时，要详细记录管理层建议、参会董事的发言 要点、独立董事意见、董事会投票表决情况等内容，并形成 书面记录作为公司档案妥善保存。</w:t>
                        </w:r>
                        <w:r>
                          <w:rPr>
                            <w:rFonts w:ascii="宋体" w:hAnsi="宋体" w:cs="宋体" w:eastAsia="宋体" w:hint="default"/>
                            <w:spacing w:val="50"/>
                            <w:sz w:val="18"/>
                            <w:szCs w:val="18"/>
                          </w:rPr>
                          <w:t> </w:t>
                        </w:r>
                        <w:r>
                          <w:rPr>
                            <w:rFonts w:ascii="宋体" w:hAnsi="宋体" w:cs="宋体" w:eastAsia="宋体" w:hint="default"/>
                            <w:sz w:val="18"/>
                            <w:szCs w:val="18"/>
                          </w:rPr>
                          <w:t>对于公司当年未分配利</w:t>
                        </w:r>
                        <w:r>
                          <w:rPr>
                            <w:rFonts w:ascii="宋体" w:hAnsi="宋体" w:cs="宋体" w:eastAsia="宋体" w:hint="default"/>
                            <w:sz w:val="18"/>
                            <w:szCs w:val="18"/>
                          </w:rPr>
                          <w:t> 润，董事会在分配预案中应当说明使用计划安排或者原则。</w:t>
                        </w:r>
                      </w:p>
                    </w:tc>
                  </w:tr>
                  <w:tr>
                    <w:trPr>
                      <w:trHeight w:val="393" w:hRule="exact"/>
                    </w:trPr>
                    <w:tc>
                      <w:tcPr>
                        <w:tcW w:w="47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vMerge/>
                        <w:tcBorders>
                          <w:left w:val="single" w:sz="9" w:space="0" w:color="D2D2D2"/>
                          <w:right w:val="single" w:sz="4" w:space="0" w:color="000000"/>
                        </w:tcBorders>
                      </w:tcPr>
                      <w:p>
                        <w:pPr/>
                      </w:p>
                    </w:tc>
                  </w:tr>
                  <w:tr>
                    <w:trPr>
                      <w:trHeight w:val="1078"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4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504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8" w:firstLine="140"/>
                          <w:jc w:val="both"/>
                          <w:rPr>
                            <w:rFonts w:ascii="宋体" w:hAnsi="宋体" w:cs="宋体" w:eastAsia="宋体" w:hint="default"/>
                            <w:sz w:val="18"/>
                            <w:szCs w:val="18"/>
                          </w:rPr>
                        </w:pPr>
                        <w:r>
                          <w:rPr>
                            <w:rFonts w:ascii="宋体" w:hAnsi="宋体" w:cs="宋体" w:eastAsia="宋体" w:hint="default"/>
                            <w:sz w:val="18"/>
                            <w:szCs w:val="18"/>
                          </w:rPr>
                          <w:t>公司在制定现金分红具体方案时，董事会应当认真研究和 论证公司现金分红的时机、条件和最低比例、调整的条件及 其决策程序要求等事宜，独立董事应当发表明确意见。股东 大会对现金分红具体方案进行审议时，应当通过多种渠道主 动与股东特别是中小股东进行沟通和交流，充分听取中小股 东的意见和诉求，并及时答复中小股东关心的问题。</w:t>
                        </w:r>
                        <w:r>
                          <w:rPr>
                            <w:rFonts w:ascii="宋体" w:hAnsi="宋体" w:cs="宋体" w:eastAsia="宋体" w:hint="default"/>
                            <w:spacing w:val="50"/>
                            <w:sz w:val="18"/>
                            <w:szCs w:val="18"/>
                          </w:rPr>
                          <w:t> </w:t>
                        </w:r>
                        <w:r>
                          <w:rPr>
                            <w:rFonts w:ascii="宋体" w:hAnsi="宋体" w:cs="宋体" w:eastAsia="宋体" w:hint="default"/>
                            <w:sz w:val="18"/>
                            <w:szCs w:val="18"/>
                          </w:rPr>
                          <w:t>监事</w:t>
                        </w:r>
                        <w:r>
                          <w:rPr>
                            <w:rFonts w:ascii="宋体" w:hAnsi="宋体" w:cs="宋体" w:eastAsia="宋体" w:hint="default"/>
                            <w:sz w:val="18"/>
                            <w:szCs w:val="18"/>
                          </w:rPr>
                          <w:t> 会应对董事会和管理层执行公司利润分配政策和股东回报规 划的情况及决策程序进行审议，并经过半数监事通过。若公 司年度内盈利但未提出利润分配的预案，监事会应就相关政 策、规划执行情况发表专项说明和意见。</w:t>
                        </w:r>
                        <w:r>
                          <w:rPr>
                            <w:rFonts w:ascii="宋体" w:hAnsi="宋体" w:cs="宋体" w:eastAsia="宋体" w:hint="default"/>
                            <w:spacing w:val="50"/>
                            <w:sz w:val="18"/>
                            <w:szCs w:val="18"/>
                          </w:rPr>
                          <w:t> </w:t>
                        </w:r>
                        <w:r>
                          <w:rPr>
                            <w:rFonts w:ascii="宋体" w:hAnsi="宋体" w:cs="宋体" w:eastAsia="宋体" w:hint="default"/>
                            <w:sz w:val="18"/>
                            <w:szCs w:val="18"/>
                          </w:rPr>
                          <w:t>注册会计师对公</w:t>
                        </w:r>
                        <w:r>
                          <w:rPr>
                            <w:rFonts w:ascii="宋体" w:hAnsi="宋体" w:cs="宋体" w:eastAsia="宋体" w:hint="default"/>
                            <w:sz w:val="18"/>
                            <w:szCs w:val="18"/>
                          </w:rPr>
                          <w:t> 司财务报告出具解释性说明、保留意见、无法表示意见或否 定意见的审计报告的，公司董事会应当将导致会计师出具上 述意见的有关事项及对公司财务状况和经营状况的影响向股 东大会做出说明。如果该事项对当期利润有直接影响，公司 董事会应当根据就低原则确定利润分配预案或者公积金转增 股预案。</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《公司章程》第一百五十五条规定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公司利润分配政策的制定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或修改由董事会向股东大会提出，董事会提出的利润分配政 策需经全体董事过半数通过并经三分之二以上独立董事通 过。董事会在制定或修改利润分配政策时应充分听取独立董 事的意见，同时可以征集投资者的意见。独立董事应当对利 润分配政策的制订或修改发表独立意见，并应对分红预案独 </w:t>
                        </w:r>
                        <w:r>
                          <w:rPr>
                            <w:rFonts w:ascii="宋体" w:hAnsi="宋体" w:cs="宋体" w:eastAsia="宋体" w:hint="default"/>
                            <w:spacing w:val="-5"/>
                            <w:sz w:val="18"/>
                            <w:szCs w:val="18"/>
                          </w:rPr>
                          <w:t>立发表意见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，公司独立董事严格按照《公司章程》履行职责</w:t>
                        </w:r>
                      </w:p>
                    </w:tc>
                  </w:tr>
                  <w:tr>
                    <w:trPr>
                      <w:trHeight w:val="25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公司《分红管理制度》第十条规定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股东大会对现金分红具体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方案进行审议时，应当通过多种渠道主动与股东特别是中小 股东进行沟通和交流，充分听取中小股东的意见和诉求，并 及时答复中小股东关心的问题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股东大会对现金分红具体 方案进行审议时，应当通过多种渠道主动与股东特别是中小 股东进行沟通和交流（包括但不限于电话、传真、邮箱、互 </w:t>
                        </w:r>
                        <w:r>
                          <w:rPr>
                            <w:rFonts w:ascii="宋体" w:hAnsi="宋体" w:cs="宋体" w:eastAsia="宋体" w:hint="default"/>
                            <w:spacing w:val="-5"/>
                            <w:sz w:val="18"/>
                            <w:szCs w:val="18"/>
                          </w:rPr>
                          <w:t>动平台等），充分听取中小股东的意见和诉求，并及时答复中</w:t>
                        </w:r>
                        <w:r>
                          <w:rPr>
                            <w:rFonts w:ascii="宋体" w:hAnsi="宋体" w:cs="宋体" w:eastAsia="宋体" w:hint="default"/>
                            <w:sz w:val="18"/>
                            <w:szCs w:val="18"/>
                          </w:rPr>
                          <w:t> 小股东关心的问题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9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《公司章程》第一百五十五条规定：</w:t>
                        </w:r>
                        <w:r>
                          <w:rPr>
                            <w:rFonts w:ascii="宋体" w:hAnsi="宋体" w:cs="宋体" w:eastAsia="宋体" w:hint="default"/>
                            <w:spacing w:val="50"/>
                            <w:sz w:val="18"/>
                            <w:szCs w:val="18"/>
                          </w:rPr>
                          <w:t> </w:t>
                        </w:r>
                        <w:r>
                          <w:rPr>
                            <w:rFonts w:ascii="宋体" w:hAnsi="宋体" w:cs="宋体" w:eastAsia="宋体" w:hint="default"/>
                            <w:sz w:val="18"/>
                            <w:szCs w:val="18"/>
                          </w:rPr>
                          <w:t>公司严格执行本章程</w:t>
                        </w:r>
                        <w:r>
                          <w:rPr>
                            <w:rFonts w:ascii="宋体" w:hAnsi="宋体" w:cs="宋体" w:eastAsia="宋体" w:hint="default"/>
                            <w:sz w:val="18"/>
                            <w:szCs w:val="18"/>
                          </w:rPr>
                          <w:t> 确定的现金分红政策以及股东大会审议批准的现金分红具体 方案。确有必要对本章程确定的利润分配政策进行调整或者 变更的，应履行以下决策程序和机制：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、公司利润分配政 策的制定或修改由董事会向股东大会提出，董事会提出的利 润分配政策需经全体董事过半数通过并经三分之二以上独立 董事通过。董事会在制定或修改利润分配政策时应充分听取 独立董事的意见，同时可以征集投资者的意见。独立董事应 当对利润分配政策的制订或修改发表独立意见，并应对分红 预案独立发表意见。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、监事会应当对董事会制定或修改的 利润分配政策进行审议，并经过半数监事通过，监事会同时 应对董事会和管理层执行公司分红政策和股东回报规划的情</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59"/>
        <w:jc w:val="right"/>
      </w:pPr>
      <w:r>
        <w:rPr/>
        <w:t>。</w:t>
      </w:r>
    </w:p>
    <w:p>
      <w:pPr>
        <w:spacing w:after="0" w:line="240" w:lineRule="auto"/>
        <w:jc w:val="right"/>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1005" w:lineRule="exact"/>
        <w:ind w:left="149"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8.95pt;height:50.3pt;mso-position-horizontal-relative:char;mso-position-vertical-relative:line" coordorigin="0,0" coordsize="9579,1006">
            <v:group style="position:absolute;left:10;top:14;width:4775;height:977" coordorigin="10,14" coordsize="4775,977">
              <v:shape style="position:absolute;left:10;top:14;width:4775;height:977" coordorigin="10,14" coordsize="4775,977" path="m10,991l4784,991,4784,14,10,14,10,991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4776;height:2" coordorigin="10,996" coordsize="4776,2">
              <v:shape style="position:absolute;left:10;top:996;width:4776;height:2" coordorigin="10,996" coordsize="4776,0" path="m10,996l4785,996e" filled="false" stroked="true" strokeweight=".48pt" strokecolor="#000000">
                <v:path arrowok="t"/>
              </v:shape>
            </v:group>
            <v:group style="position:absolute;left:4790;top:5;width:2;height:996" coordorigin="4790,5" coordsize="2,996">
              <v:shape style="position:absolute;left:4790;top:5;width:2;height:996" coordorigin="4790,5" coordsize="0,996" path="m4790,5l4790,1001e" filled="false" stroked="true" strokeweight=".47998pt" strokecolor="#000000">
                <v:path arrowok="t"/>
              </v:shape>
            </v:group>
            <v:group style="position:absolute;left:4795;top:996;width:4774;height:2" coordorigin="4795,996" coordsize="4774,2">
              <v:shape style="position:absolute;left:4795;top:996;width:4774;height:2" coordorigin="4795,996" coordsize="4774,0" path="m4795,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004pt" strokecolor="#000000">
                <v:path arrowok="t"/>
              </v:shape>
              <v:shape style="position:absolute;left:4789;top:10;width:4785;height:987" type="#_x0000_t202" filled="false" stroked="false">
                <v:textbox inset="0,0,0,0">
                  <w:txbxContent>
                    <w:p>
                      <w:pPr>
                        <w:spacing w:line="309" w:lineRule="auto" w:before="15"/>
                        <w:ind w:left="28" w:right="25" w:firstLine="0"/>
                        <w:jc w:val="both"/>
                        <w:rPr>
                          <w:rFonts w:ascii="宋体" w:hAnsi="宋体" w:cs="宋体" w:eastAsia="宋体" w:hint="default"/>
                          <w:sz w:val="18"/>
                          <w:szCs w:val="18"/>
                        </w:rPr>
                      </w:pPr>
                      <w:r>
                        <w:rPr>
                          <w:rFonts w:ascii="宋体" w:hAnsi="宋体" w:cs="宋体" w:eastAsia="宋体" w:hint="default"/>
                          <w:sz w:val="18"/>
                          <w:szCs w:val="18"/>
                        </w:rPr>
                        <w:t>况及决策程序进行监督。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、公司利润分配政策的制定或修 改提交股东大会审议时，应当由出席股东大会的股东（包括 股东代理人）所持表决权的三分之二以上通过。</w:t>
                      </w:r>
                    </w:p>
                  </w:txbxContent>
                </v:textbox>
                <w10:wrap type="none"/>
              </v:shape>
            </v:group>
          </v:group>
        </w:pict>
      </w:r>
      <w:r>
        <w:rPr>
          <w:rFonts w:ascii="宋体" w:hAnsi="宋体" w:cs="宋体" w:eastAsia="宋体" w:hint="default"/>
          <w:position w:val="-19"/>
          <w:sz w:val="20"/>
          <w:szCs w:val="20"/>
        </w:rPr>
      </w:r>
    </w:p>
    <w:p>
      <w:pPr>
        <w:pStyle w:val="BodyText"/>
        <w:spacing w:line="240" w:lineRule="auto" w:before="47"/>
        <w:ind w:right="92"/>
        <w:jc w:val="left"/>
      </w:pPr>
      <w:r>
        <w:rPr/>
        <w:t>公司报告期利润分配预案及资本公积金转增股本预案与公司章程和分红管理办法等的相关规定一致</w:t>
      </w:r>
    </w:p>
    <w:p>
      <w:pPr>
        <w:pStyle w:val="BodyText"/>
        <w:spacing w:line="348" w:lineRule="auto" w:before="117"/>
        <w:ind w:right="3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319,221,700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6,384,434.00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309,467,857.74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319,221,700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0"/>
        <w:ind w:right="9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2"/>
        <w:ind w:right="92" w:firstLine="360"/>
        <w:jc w:val="left"/>
      </w:pPr>
      <w:r>
        <w:rPr>
          <w:rFonts w:ascii="Times New Roman" w:hAnsi="Times New Roman" w:cs="Times New Roman" w:eastAsia="Times New Roman" w:hint="default"/>
          <w:spacing w:val="-4"/>
        </w:rPr>
        <w:t>1</w:t>
      </w:r>
      <w:r>
        <w:rPr>
          <w:spacing w:val="-4"/>
        </w:rPr>
        <w:t>、公司</w:t>
      </w:r>
      <w:r>
        <w:rPr>
          <w:rFonts w:ascii="Times New Roman" w:hAnsi="Times New Roman" w:cs="Times New Roman" w:eastAsia="Times New Roman" w:hint="default"/>
          <w:spacing w:val="-4"/>
        </w:rPr>
        <w:t>2012</w:t>
      </w:r>
      <w:r>
        <w:rPr>
          <w:spacing w:val="-4"/>
        </w:rPr>
        <w:t>年度利润分配方案为：以公司总股本</w:t>
      </w:r>
      <w:r>
        <w:rPr>
          <w:rFonts w:ascii="Times New Roman" w:hAnsi="Times New Roman" w:cs="Times New Roman" w:eastAsia="Times New Roman" w:hint="default"/>
          <w:spacing w:val="-4"/>
        </w:rPr>
        <w:t>156,900,000</w:t>
      </w:r>
      <w:r>
        <w:rPr>
          <w:spacing w:val="-4"/>
        </w:rPr>
        <w:t>股为基数，向全体股东每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2.00</w:t>
      </w:r>
      <w:r>
        <w:rPr>
          <w:spacing w:val="-4"/>
        </w:rPr>
        <w:t>元人民币现金（含税）；</w:t>
      </w:r>
      <w:r>
        <w:rPr/>
        <w:t> 同时进行资本公积金转增股本，以公司总股本</w:t>
      </w:r>
      <w:r>
        <w:rPr>
          <w:rFonts w:ascii="Times New Roman" w:hAnsi="Times New Roman" w:cs="Times New Roman" w:eastAsia="Times New Roman" w:hint="default"/>
        </w:rPr>
        <w:t>156,900,000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240" w:lineRule="auto" w:before="53"/>
        <w:ind w:left="514" w:right="92"/>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年度利润分配方案为：以公司总股本</w:t>
      </w:r>
      <w:r>
        <w:rPr>
          <w:rFonts w:ascii="Times New Roman" w:hAnsi="Times New Roman" w:cs="Times New Roman" w:eastAsia="Times New Roman" w:hint="default"/>
        </w:rPr>
        <w:t>315,688,300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0.35</w:t>
      </w:r>
      <w:r>
        <w:rPr/>
        <w:t>元人民币</w:t>
      </w:r>
    </w:p>
    <w:p>
      <w:pPr>
        <w:pStyle w:val="BodyText"/>
        <w:spacing w:line="240" w:lineRule="auto" w:before="63"/>
        <w:ind w:right="92"/>
        <w:jc w:val="left"/>
      </w:pPr>
      <w:r>
        <w:rPr/>
        <w:t>（含税）。</w:t>
      </w:r>
    </w:p>
    <w:p>
      <w:pPr>
        <w:pStyle w:val="BodyText"/>
        <w:spacing w:line="240" w:lineRule="auto" w:before="115"/>
        <w:ind w:left="514" w:right="92"/>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年度利润分配预案为：以公司总股本</w:t>
      </w:r>
      <w:r>
        <w:rPr>
          <w:rFonts w:ascii="Times New Roman" w:hAnsi="Times New Roman" w:cs="Times New Roman" w:eastAsia="Times New Roman" w:hint="default"/>
        </w:rPr>
        <w:t>319,221,700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0.20</w:t>
      </w:r>
      <w:r>
        <w:rPr/>
        <w:t>元人民币</w:t>
      </w:r>
    </w:p>
    <w:p>
      <w:pPr>
        <w:pStyle w:val="BodyText"/>
        <w:spacing w:line="240" w:lineRule="auto" w:before="64"/>
        <w:ind w:right="92"/>
        <w:jc w:val="left"/>
      </w:pPr>
      <w:r>
        <w:rPr/>
        <w:t>（含税）。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92"/>
        <w:jc w:val="left"/>
      </w:pPr>
      <w:r>
        <w:rPr/>
        <w:t>公司近三年现金分红情况表</w:t>
      </w:r>
    </w:p>
    <w:p>
      <w:pPr>
        <w:pStyle w:val="BodyText"/>
        <w:spacing w:line="240" w:lineRule="auto" w:before="116"/>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61,202,490.99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11,049,090.50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122,180,394.93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99,730,404.53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w:t>
            </w:r>
          </w:p>
        </w:tc>
      </w:tr>
    </w:tbl>
    <w:p>
      <w:pPr>
        <w:pStyle w:val="BodyText"/>
        <w:spacing w:line="240" w:lineRule="auto" w:before="51"/>
        <w:ind w:right="92"/>
        <w:jc w:val="left"/>
      </w:pPr>
      <w:r>
        <w:rPr/>
        <w:t>公司报告期内盈利且母公司未分配利润为正但未提出现金红利分配预案</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2"/>
        <w:jc w:val="left"/>
        <w:rPr>
          <w:b w:val="0"/>
          <w:bCs w:val="0"/>
        </w:rPr>
      </w:pPr>
      <w:r>
        <w:rPr/>
        <w:t>六、内幕信息知情人管理制度的建立和执行情况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514" w:right="92" w:firstLine="0"/>
        <w:jc w:val="left"/>
        <w:rPr>
          <w:rFonts w:ascii="宋体" w:hAnsi="宋体" w:cs="宋体" w:eastAsia="宋体" w:hint="default"/>
          <w:sz w:val="18"/>
          <w:szCs w:val="18"/>
        </w:rPr>
      </w:pPr>
      <w:r>
        <w:rPr>
          <w:rFonts w:ascii="宋体" w:hAnsi="宋体" w:cs="宋体" w:eastAsia="宋体" w:hint="default"/>
          <w:b/>
          <w:bCs/>
          <w:sz w:val="18"/>
          <w:szCs w:val="18"/>
        </w:rPr>
        <w:t>（一）内幕信息知情人管理制度的制定</w:t>
      </w:r>
      <w:r>
        <w:rPr>
          <w:rFonts w:ascii="宋体" w:hAnsi="宋体" w:cs="宋体" w:eastAsia="宋体" w:hint="default"/>
          <w:b/>
          <w:bCs/>
          <w:w w:val="99"/>
          <w:sz w:val="18"/>
          <w:szCs w:val="18"/>
        </w:rPr>
        <w:t> </w:t>
      </w:r>
      <w:r>
        <w:rPr>
          <w:rFonts w:ascii="宋体" w:hAnsi="宋体" w:cs="宋体" w:eastAsia="宋体" w:hint="default"/>
          <w:spacing w:val="-6"/>
          <w:sz w:val="18"/>
          <w:szCs w:val="18"/>
        </w:rPr>
        <w:t>为了规范公司的内幕信息管理，加强内幕信息保密工作，维护信息披露公平原则，根据《中华人民共和国公司法》、《中</w:t>
      </w:r>
    </w:p>
    <w:p>
      <w:pPr>
        <w:pStyle w:val="BodyText"/>
        <w:spacing w:line="316" w:lineRule="auto" w:before="19"/>
        <w:ind w:right="193"/>
        <w:jc w:val="both"/>
      </w:pPr>
      <w:r>
        <w:rPr>
          <w:spacing w:val="-2"/>
        </w:rPr>
        <w:t>华人民共和国证券法》、《上市公司信息披露管理办法》、《深圳证券交易所创业板股票上市规则》等有关法律、法规、规</w:t>
      </w:r>
      <w:r>
        <w:rPr>
          <w:spacing w:val="-70"/>
        </w:rPr>
        <w:t> </w:t>
      </w:r>
      <w:r>
        <w:rPr>
          <w:spacing w:val="-70"/>
        </w:rPr>
      </w:r>
      <w:r>
        <w:rPr>
          <w:spacing w:val="-2"/>
        </w:rPr>
        <w:t>范性文件及《上市公司建立内幕信息知情人登记管理制度的规定》、《公司章程》等有关规定，公司制定了《董事、监事和</w:t>
      </w:r>
      <w:r>
        <w:rPr>
          <w:spacing w:val="-67"/>
        </w:rPr>
        <w:t> </w:t>
      </w:r>
      <w:r>
        <w:rPr>
          <w:spacing w:val="-67"/>
        </w:rPr>
      </w:r>
      <w:r>
        <w:rPr/>
        <w:t>高级管理人员所持本公司股份及其变动管理制度》、《内幕信息知情人登记制度》、《重大信息内部报告和保密制度》。</w:t>
      </w:r>
    </w:p>
    <w:p>
      <w:pPr>
        <w:pStyle w:val="Heading5"/>
        <w:spacing w:line="240" w:lineRule="auto" w:before="19"/>
        <w:ind w:left="514" w:right="92"/>
        <w:jc w:val="left"/>
        <w:rPr>
          <w:b w:val="0"/>
          <w:bCs w:val="0"/>
        </w:rPr>
      </w:pPr>
      <w:r>
        <w:rPr/>
        <w:t>（二）内幕信息知情人管理制度的执行情况</w:t>
      </w:r>
      <w:r>
        <w:rPr>
          <w:b w:val="0"/>
          <w:bCs w:val="0"/>
        </w:rPr>
      </w:r>
    </w:p>
    <w:p>
      <w:pPr>
        <w:pStyle w:val="BodyText"/>
        <w:spacing w:line="300" w:lineRule="auto" w:before="76"/>
        <w:ind w:left="514" w:right="92"/>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316" w:lineRule="auto" w:before="31"/>
        <w:ind w:right="92"/>
        <w:jc w:val="left"/>
      </w:pPr>
      <w:r>
        <w:rPr/>
        <w:t>事会办公室都会严格控制知情人范围，向相关内幕信息知情人发送《保密提示函》并组织填写《内幕信息知情人登记表》， </w:t>
      </w:r>
      <w:r>
        <w:rPr>
          <w:spacing w:val="-2"/>
        </w:rPr>
        <w:t>如实、完整记录上述信息在公开前的所有内幕信息知情人名单，以及知情人知悉内幕信息的时间。经公司董事会办公室核实</w:t>
      </w:r>
      <w:r>
        <w:rPr>
          <w:spacing w:val="-66"/>
        </w:rPr>
        <w:t> </w:t>
      </w:r>
      <w:r>
        <w:rPr>
          <w:spacing w:val="-66"/>
        </w:rPr>
      </w:r>
      <w:r>
        <w:rPr/>
        <w:t>无误后，按照相关法规规定在向深交所和证监局报送定期报告相关资料的同时报备内幕信息知情人登记情况。</w:t>
      </w:r>
    </w:p>
    <w:p>
      <w:pPr>
        <w:pStyle w:val="BodyText"/>
        <w:spacing w:line="300" w:lineRule="auto" w:before="19"/>
        <w:ind w:left="514" w:right="92"/>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在定期报告及重大事项披露期间，公司尽量避免接待投资者的调研，努力做好定期报告及重大事项披露期间的信息保密</w:t>
      </w:r>
    </w:p>
    <w:p>
      <w:pPr>
        <w:pStyle w:val="BodyText"/>
        <w:spacing w:line="316" w:lineRule="auto" w:before="31"/>
        <w:ind w:right="191"/>
        <w:jc w:val="both"/>
      </w:pPr>
      <w:r>
        <w:rPr>
          <w:spacing w:val="-2"/>
        </w:rPr>
        <w:t>工作。在日常接待投资者调研时，公司董事会办公室负责履行相关的信息保密工作程序。在进行调研前，先对调研人员的个</w:t>
      </w:r>
      <w:r>
        <w:rPr>
          <w:spacing w:val="-66"/>
        </w:rPr>
        <w:t> </w:t>
      </w:r>
      <w:r>
        <w:rPr>
          <w:spacing w:val="-66"/>
        </w:rPr>
      </w:r>
      <w:r>
        <w:rPr>
          <w:spacing w:val="-2"/>
        </w:rPr>
        <w:t>人信息进行备案，同时要求签署投资者（机构）承诺书，并承诺在对外出具报告前需经上市公司董事会办公室认可。在调研</w:t>
      </w:r>
      <w:r>
        <w:rPr>
          <w:spacing w:val="-66"/>
        </w:rPr>
        <w:t> </w:t>
      </w:r>
      <w:r>
        <w:rPr>
          <w:spacing w:val="-66"/>
        </w:rPr>
      </w:r>
      <w:r>
        <w:rPr>
          <w:spacing w:val="-2"/>
        </w:rPr>
        <w:t>过程中，董事会办公室人员认真做好相关会议记录，按照相关规定填制投资者关系活动记录表，并将投资者关系活动记录表</w:t>
      </w:r>
      <w:r>
        <w:rPr>
          <w:spacing w:val="-66"/>
        </w:rPr>
        <w:t> </w:t>
      </w:r>
      <w:r>
        <w:rPr>
          <w:spacing w:val="-66"/>
        </w:rPr>
      </w:r>
      <w:r>
        <w:rPr/>
        <w:t>在深交所指定的网站进行公布。</w:t>
      </w:r>
    </w:p>
    <w:p>
      <w:pPr>
        <w:pStyle w:val="BodyText"/>
        <w:spacing w:line="300" w:lineRule="auto" w:before="19"/>
        <w:ind w:left="514" w:right="92"/>
        <w:jc w:val="left"/>
      </w:pPr>
      <w:r>
        <w:rPr>
          <w:rFonts w:ascii="Times New Roman" w:hAnsi="Times New Roman" w:cs="Times New Roman" w:eastAsia="Times New Roman" w:hint="default"/>
        </w:rPr>
        <w:t>3</w:t>
      </w:r>
      <w:r>
        <w:rPr/>
        <w:t>、其他重大事件的信息保密工作 在其他重大事项未披露前，公司及相关信息披露义务人采取保密措施，签订相关保密协议，以保证信息处于可控范围。</w:t>
      </w:r>
    </w:p>
    <w:p>
      <w:pPr>
        <w:spacing w:line="319" w:lineRule="auto" w:before="31"/>
        <w:ind w:left="514" w:right="92" w:firstLine="0"/>
        <w:jc w:val="left"/>
        <w:rPr>
          <w:rFonts w:ascii="宋体" w:hAnsi="宋体" w:cs="宋体" w:eastAsia="宋体" w:hint="default"/>
          <w:sz w:val="18"/>
          <w:szCs w:val="18"/>
        </w:rPr>
      </w:pPr>
      <w:r>
        <w:rPr>
          <w:rFonts w:ascii="宋体" w:hAnsi="宋体" w:cs="宋体" w:eastAsia="宋体" w:hint="default"/>
          <w:b/>
          <w:bCs/>
          <w:sz w:val="18"/>
          <w:szCs w:val="18"/>
        </w:rPr>
        <w:t>（三）报告期内自查内幕信息知情人涉嫌内幕交易以及监管部门的查处和整改情况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报告期内，公司董事、监事及高级管理人员和其他相关知情人严格遵守了内幕信息知情人管理制度，未发现有内幕信息</w:t>
      </w:r>
    </w:p>
    <w:p>
      <w:pPr>
        <w:pStyle w:val="BodyText"/>
        <w:spacing w:line="316" w:lineRule="auto" w:before="17"/>
        <w:ind w:left="514" w:right="92" w:hanging="360"/>
        <w:jc w:val="left"/>
      </w:pPr>
      <w:r>
        <w:rPr/>
        <w:t>知情人利用内幕信息买卖本公司股份的情况。报告期内公司也未发生受到监管部门查处和整改的情形。 报告期内，公司董事会组织相关人员就《内幕信息知情人登记制度》、《信息披露制度》等规定展开专项学习和讨论，</w:t>
      </w:r>
    </w:p>
    <w:p>
      <w:pPr>
        <w:pStyle w:val="BodyText"/>
        <w:spacing w:line="316" w:lineRule="auto" w:before="19"/>
        <w:ind w:left="514" w:right="92" w:hanging="360"/>
        <w:jc w:val="left"/>
      </w:pPr>
      <w:r>
        <w:rPr/>
        <w:t>以确保真实、准确、完整、及时、公平的披露所有对本公司股票及其衍生品种交易价格可能产生较大影响的信息。 </w:t>
      </w:r>
      <w:r>
        <w:rPr>
          <w:spacing w:val="-2"/>
        </w:rPr>
        <w:t>报告期内，公司现场参观了深圳证监局举办的</w:t>
      </w:r>
      <w:r>
        <w:rPr>
          <w:rFonts w:ascii="Times New Roman" w:hAnsi="Times New Roman" w:cs="Times New Roman" w:eastAsia="Times New Roman" w:hint="default"/>
          <w:spacing w:val="-2"/>
        </w:rPr>
        <w:t>“</w:t>
      </w:r>
      <w:r>
        <w:rPr>
          <w:spacing w:val="-2"/>
        </w:rPr>
        <w:t>内幕交易警示教育展</w:t>
      </w:r>
      <w:r>
        <w:rPr>
          <w:rFonts w:ascii="Times New Roman" w:hAnsi="Times New Roman" w:cs="Times New Roman" w:eastAsia="Times New Roman" w:hint="default"/>
          <w:spacing w:val="-2"/>
        </w:rPr>
        <w:t>”</w:t>
      </w:r>
      <w:r>
        <w:rPr>
          <w:spacing w:val="-2"/>
        </w:rPr>
        <w:t>，展后将本次会议提供的学习资料发送至公司全体</w:t>
      </w:r>
    </w:p>
    <w:p>
      <w:pPr>
        <w:pStyle w:val="BodyText"/>
        <w:spacing w:line="316" w:lineRule="auto"/>
        <w:ind w:right="190"/>
        <w:jc w:val="both"/>
      </w:pPr>
      <w:r>
        <w:rPr>
          <w:spacing w:val="-2"/>
        </w:rPr>
        <w:t>董事、监事、高级管理人员以及财务部、董事办、投资管理部、审计部的工作人员进行学习，同时将学习资料上传公司官方</w:t>
      </w:r>
      <w:r>
        <w:rPr>
          <w:spacing w:val="-67"/>
        </w:rPr>
        <w:t> </w:t>
      </w:r>
      <w:r>
        <w:rPr>
          <w:spacing w:val="-67"/>
        </w:rPr>
      </w:r>
      <w:r>
        <w:rPr/>
        <w:t>网站及公司</w:t>
      </w:r>
      <w:r>
        <w:rPr>
          <w:rFonts w:ascii="Times New Roman" w:hAnsi="Times New Roman" w:cs="Times New Roman" w:eastAsia="Times New Roman" w:hint="default"/>
        </w:rPr>
        <w:t>OA</w:t>
      </w:r>
      <w:r>
        <w:rPr/>
        <w:t>系统，以便公司员工学习。</w:t>
      </w:r>
    </w:p>
    <w:p>
      <w:pPr>
        <w:pStyle w:val="BodyText"/>
        <w:spacing w:line="316" w:lineRule="auto"/>
        <w:ind w:right="92" w:firstLine="360"/>
        <w:jc w:val="left"/>
      </w:pPr>
      <w:r>
        <w:rPr>
          <w:spacing w:val="-2"/>
        </w:rPr>
        <w:t>公司将继续遵守有关信息披露的法律规定并严格执行本公司信息披露事务管理制度，组织有关信息披露规定的专题培训</w:t>
      </w:r>
      <w:r>
        <w:rPr/>
        <w:t> 和深化学习，不断提高公司信息披露的质量和水平。</w:t>
      </w:r>
    </w:p>
    <w:p>
      <w:pPr>
        <w:spacing w:line="240" w:lineRule="auto" w:before="10"/>
        <w:rPr>
          <w:rFonts w:ascii="宋体" w:hAnsi="宋体" w:cs="宋体" w:eastAsia="宋体" w:hint="default"/>
          <w:sz w:val="20"/>
          <w:szCs w:val="20"/>
        </w:rPr>
      </w:pPr>
    </w:p>
    <w:p>
      <w:pPr>
        <w:pStyle w:val="Heading2"/>
        <w:spacing w:line="240" w:lineRule="auto"/>
        <w:ind w:right="92"/>
        <w:jc w:val="left"/>
        <w:rPr>
          <w:b w:val="0"/>
          <w:bCs w:val="0"/>
        </w:rPr>
      </w:pP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pict>
          <v:group style="position:absolute;margin-left:432.23999pt;margin-top:60.011715pt;width:101.6pt;height:33.2pt;mso-position-horizontal-relative:page;mso-position-vertical-relative:paragraph;z-index:-1020616" coordorigin="8645,1200" coordsize="2032,664">
            <v:group style="position:absolute;left:8645;top:1200;width:2032;height:352" coordorigin="8645,1200" coordsize="2032,352">
              <v:shape style="position:absolute;left:8645;top:1200;width:2032;height:352" coordorigin="8645,1200" coordsize="2032,352" path="m8645,1552l10676,1552,10676,1200,8645,1200,8645,1552xe" filled="true" fillcolor="#ffffff" stroked="false">
                <v:path arrowok="t"/>
                <v:fill type="solid"/>
              </v:shape>
            </v:group>
            <v:group style="position:absolute;left:8645;top:1552;width:2032;height:312" coordorigin="8645,1552" coordsize="2032,312">
              <v:shape style="position:absolute;left:8645;top:1552;width:2032;height:312" coordorigin="8645,1552" coordsize="2032,312" path="m8645,1864l10676,1864,10676,1552,8645,1552,8645,186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508"/>
        <w:gridCol w:w="2075"/>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46"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23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0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英大证券、招商证 </w:t>
            </w:r>
            <w:r>
              <w:rPr>
                <w:rFonts w:ascii="宋体" w:hAnsi="宋体" w:cs="宋体" w:eastAsia="宋体" w:hint="default"/>
                <w:spacing w:val="-12"/>
                <w:sz w:val="18"/>
                <w:szCs w:val="18"/>
              </w:rPr>
              <w:t>券、国海创新资本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鼎诺投资、国泰君 安证券、深圳普邦 恒升投资、银泰证 券、华夏财富创新 投资、中山证券、</w:t>
            </w:r>
          </w:p>
        </w:tc>
        <w:tc>
          <w:tcPr>
            <w:tcW w:w="20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z w:val="18"/>
                <w:szCs w:val="18"/>
              </w:rPr>
              <w:t>就投资者关心公司经营、</w:t>
            </w:r>
          </w:p>
          <w:p>
            <w:pPr>
              <w:pStyle w:val="TableParagraph"/>
              <w:spacing w:line="15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right="0"/>
              <w:jc w:val="both"/>
              <w:rPr>
                <w:rFonts w:ascii="宋体" w:hAnsi="宋体" w:cs="宋体" w:eastAsia="宋体" w:hint="default"/>
                <w:sz w:val="18"/>
                <w:szCs w:val="18"/>
              </w:rPr>
            </w:pPr>
            <w:r>
              <w:rPr>
                <w:rFonts w:ascii="宋体" w:hAnsi="宋体" w:cs="宋体" w:eastAsia="宋体" w:hint="default"/>
                <w:sz w:val="18"/>
                <w:szCs w:val="18"/>
              </w:rPr>
              <w:t>并购重组、战略布局等问</w:t>
            </w:r>
          </w:p>
          <w:p>
            <w:pPr>
              <w:pStyle w:val="TableParagraph"/>
              <w:spacing w:line="312" w:lineRule="auto" w:before="77"/>
              <w:ind w:right="72"/>
              <w:jc w:val="both"/>
              <w:rPr>
                <w:rFonts w:ascii="宋体" w:hAnsi="宋体" w:cs="宋体" w:eastAsia="宋体" w:hint="default"/>
                <w:sz w:val="18"/>
                <w:szCs w:val="18"/>
              </w:rPr>
            </w:pPr>
            <w:r>
              <w:rPr>
                <w:rFonts w:ascii="宋体" w:hAnsi="宋体" w:cs="宋体" w:eastAsia="宋体" w:hint="default"/>
                <w:sz w:val="18"/>
                <w:szCs w:val="18"/>
              </w:rPr>
              <w:t>题进行了交流，调研记录 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 的《投资者关系活动记录 </w:t>
            </w:r>
            <w:r>
              <w:rPr>
                <w:rFonts w:ascii="宋体" w:hAnsi="宋体" w:cs="宋体" w:eastAsia="宋体" w:hint="default"/>
                <w:spacing w:val="-30"/>
                <w:sz w:val="18"/>
                <w:szCs w:val="18"/>
              </w:rPr>
              <w:t>表》。</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940"/>
        </w:sectPr>
      </w:pPr>
    </w:p>
    <w:p>
      <w:pPr>
        <w:spacing w:line="240" w:lineRule="auto" w:before="8"/>
        <w:rPr>
          <w:rFonts w:ascii="宋体" w:hAnsi="宋体" w:cs="宋体" w:eastAsia="宋体" w:hint="default"/>
          <w:sz w:val="26"/>
          <w:szCs w:val="26"/>
        </w:rPr>
      </w:pPr>
    </w:p>
    <w:p>
      <w:pPr>
        <w:pStyle w:val="BodyText"/>
        <w:spacing w:line="319" w:lineRule="auto" w:before="44"/>
        <w:ind w:left="6168" w:right="2336"/>
        <w:jc w:val="both"/>
      </w:pPr>
      <w:r>
        <w:rPr/>
        <w:pict>
          <v:group style="position:absolute;margin-left:56.459999pt;margin-top:.951723pt;width:479pt;height:563.050pt;mso-position-horizontal-relative:page;mso-position-vertical-relative:paragraph;z-index:-1020544" coordorigin="1129,19" coordsize="9580,11261">
            <v:group style="position:absolute;left:1139;top:29;width:1485;height:2" coordorigin="1139,29" coordsize="1485,2">
              <v:shape style="position:absolute;left:1139;top:29;width:1485;height:2" coordorigin="1139,29" coordsize="1485,0" path="m1139,29l2624,29e" filled="false" stroked="true" strokeweight=".48pt" strokecolor="#000000">
                <v:path arrowok="t"/>
              </v:shape>
            </v:group>
            <v:group style="position:absolute;left:2633;top:29;width:1488;height:2" coordorigin="2633,29" coordsize="1488,2">
              <v:shape style="position:absolute;left:2633;top:29;width:1488;height:2" coordorigin="2633,29" coordsize="1488,0" path="m2633,29l4121,29e" filled="false" stroked="true" strokeweight=".48pt" strokecolor="#000000">
                <v:path arrowok="t"/>
              </v:shape>
            </v:group>
            <v:group style="position:absolute;left:4131;top:29;width:1488;height:2" coordorigin="4131,29" coordsize="1488,2">
              <v:shape style="position:absolute;left:4131;top:29;width:1488;height:2" coordorigin="4131,29" coordsize="1488,0" path="m4131,29l5618,29e" filled="false" stroked="true" strokeweight=".48pt" strokecolor="#000000">
                <v:path arrowok="t"/>
              </v:shape>
            </v:group>
            <v:group style="position:absolute;left:5628;top:29;width:1488;height:2" coordorigin="5628,29" coordsize="1488,2">
              <v:shape style="position:absolute;left:5628;top:29;width:1488;height:2" coordorigin="5628,29" coordsize="1488,0" path="m5628,29l7116,29e" filled="false" stroked="true" strokeweight=".48pt" strokecolor="#000000">
                <v:path arrowok="t"/>
              </v:shape>
            </v:group>
            <v:group style="position:absolute;left:7125;top:29;width:1488;height:2" coordorigin="7125,29" coordsize="1488,2">
              <v:shape style="position:absolute;left:7125;top:29;width:1488;height:2" coordorigin="7125,29" coordsize="1488,0" path="m7125,29l8612,29e" filled="false" stroked="true" strokeweight=".48pt" strokecolor="#000000">
                <v:path arrowok="t"/>
              </v:shape>
            </v:group>
            <v:group style="position:absolute;left:8622;top:29;width:2078;height:2" coordorigin="8622,29" coordsize="2078,2">
              <v:shape style="position:absolute;left:8622;top:29;width:2078;height:2" coordorigin="8622,29" coordsize="2078,0" path="m8622,29l10699,29e" filled="false" stroked="true" strokeweight=".48pt" strokecolor="#000000">
                <v:path arrowok="t"/>
              </v:shape>
            </v:group>
            <v:group style="position:absolute;left:8622;top:2580;width:2078;height:936" coordorigin="8622,2580" coordsize="2078,936">
              <v:shape style="position:absolute;left:8622;top:2580;width:2078;height:936" coordorigin="8622,2580" coordsize="2078,936" path="m8622,3516l10699,3516,10699,2580,8622,2580,8622,3516xe" filled="true" fillcolor="#ffffff" stroked="false">
                <v:path arrowok="t"/>
                <v:fill type="solid"/>
              </v:shape>
            </v:group>
            <v:group style="position:absolute;left:1139;top:2575;width:1485;height:2" coordorigin="1139,2575" coordsize="1485,2">
              <v:shape style="position:absolute;left:1139;top:2575;width:1485;height:2" coordorigin="1139,2575" coordsize="1485,0" path="m1139,2575l2624,2575e" filled="false" stroked="true" strokeweight=".48pt" strokecolor="#000000">
                <v:path arrowok="t"/>
              </v:shape>
            </v:group>
            <v:group style="position:absolute;left:2633;top:2575;width:1488;height:2" coordorigin="2633,2575" coordsize="1488,2">
              <v:shape style="position:absolute;left:2633;top:2575;width:1488;height:2" coordorigin="2633,2575" coordsize="1488,0" path="m2633,2575l4121,2575e" filled="false" stroked="true" strokeweight=".48pt" strokecolor="#000000">
                <v:path arrowok="t"/>
              </v:shape>
            </v:group>
            <v:group style="position:absolute;left:4131;top:2575;width:1488;height:2" coordorigin="4131,2575" coordsize="1488,2">
              <v:shape style="position:absolute;left:4131;top:2575;width:1488;height:2" coordorigin="4131,2575" coordsize="1488,0" path="m4131,2575l5618,2575e" filled="false" stroked="true" strokeweight=".48pt" strokecolor="#000000">
                <v:path arrowok="t"/>
              </v:shape>
            </v:group>
            <v:group style="position:absolute;left:5628;top:2575;width:1488;height:2" coordorigin="5628,2575" coordsize="1488,2">
              <v:shape style="position:absolute;left:5628;top:2575;width:1488;height:2" coordorigin="5628,2575" coordsize="1488,0" path="m5628,2575l7116,2575e" filled="false" stroked="true" strokeweight=".48pt" strokecolor="#000000">
                <v:path arrowok="t"/>
              </v:shape>
            </v:group>
            <v:group style="position:absolute;left:7125;top:2575;width:1488;height:2" coordorigin="7125,2575" coordsize="1488,2">
              <v:shape style="position:absolute;left:7125;top:2575;width:1488;height:2" coordorigin="7125,2575" coordsize="1488,0" path="m7125,2575l8612,2575e" filled="false" stroked="true" strokeweight=".48pt" strokecolor="#000000">
                <v:path arrowok="t"/>
              </v:shape>
            </v:group>
            <v:group style="position:absolute;left:8622;top:2575;width:2078;height:2" coordorigin="8622,2575" coordsize="2078,2">
              <v:shape style="position:absolute;left:8622;top:2575;width:2078;height:2" coordorigin="8622,2575" coordsize="2078,0" path="m8622,2575l10699,2575e" filled="false" stroked="true" strokeweight=".48pt" strokecolor="#000000">
                <v:path arrowok="t"/>
              </v:shape>
            </v:group>
            <v:group style="position:absolute;left:8622;top:4845;width:2078;height:936" coordorigin="8622,4845" coordsize="2078,936">
              <v:shape style="position:absolute;left:8622;top:4845;width:2078;height:936" coordorigin="8622,4845" coordsize="2078,936" path="m8622,5781l10699,5781,10699,4845,8622,4845,8622,5781xe" filled="true" fillcolor="#ffffff" stroked="false">
                <v:path arrowok="t"/>
                <v:fill type="solid"/>
              </v:shape>
            </v:group>
            <v:group style="position:absolute;left:1139;top:5785;width:1485;height:2" coordorigin="1139,5785" coordsize="1485,2">
              <v:shape style="position:absolute;left:1139;top:5785;width:1485;height:2" coordorigin="1139,5785" coordsize="1485,0" path="m1139,5785l2624,5785e" filled="false" stroked="true" strokeweight=".47998pt" strokecolor="#000000">
                <v:path arrowok="t"/>
              </v:shape>
            </v:group>
            <v:group style="position:absolute;left:2633;top:5785;width:1488;height:2" coordorigin="2633,5785" coordsize="1488,2">
              <v:shape style="position:absolute;left:2633;top:5785;width:1488;height:2" coordorigin="2633,5785" coordsize="1488,0" path="m2633,5785l4121,5785e" filled="false" stroked="true" strokeweight=".47998pt" strokecolor="#000000">
                <v:path arrowok="t"/>
              </v:shape>
            </v:group>
            <v:group style="position:absolute;left:4131;top:5785;width:1488;height:2" coordorigin="4131,5785" coordsize="1488,2">
              <v:shape style="position:absolute;left:4131;top:5785;width:1488;height:2" coordorigin="4131,5785" coordsize="1488,0" path="m4131,5785l5618,5785e" filled="false" stroked="true" strokeweight=".47998pt" strokecolor="#000000">
                <v:path arrowok="t"/>
              </v:shape>
            </v:group>
            <v:group style="position:absolute;left:5628;top:5785;width:1488;height:2" coordorigin="5628,5785" coordsize="1488,2">
              <v:shape style="position:absolute;left:5628;top:5785;width:1488;height:2" coordorigin="5628,5785" coordsize="1488,0" path="m5628,5785l7116,5785e" filled="false" stroked="true" strokeweight=".47998pt" strokecolor="#000000">
                <v:path arrowok="t"/>
              </v:shape>
            </v:group>
            <v:group style="position:absolute;left:7125;top:5785;width:1488;height:2" coordorigin="7125,5785" coordsize="1488,2">
              <v:shape style="position:absolute;left:7125;top:5785;width:1488;height:2" coordorigin="7125,5785" coordsize="1488,0" path="m7125,5785l8612,5785e" filled="false" stroked="true" strokeweight=".47998pt" strokecolor="#000000">
                <v:path arrowok="t"/>
              </v:shape>
            </v:group>
            <v:group style="position:absolute;left:8622;top:5785;width:2078;height:2" coordorigin="8622,5785" coordsize="2078,2">
              <v:shape style="position:absolute;left:8622;top:5785;width:2078;height:2" coordorigin="8622,5785" coordsize="2078,0" path="m8622,5785l10699,5785e" filled="false" stroked="true" strokeweight=".47998pt" strokecolor="#000000">
                <v:path arrowok="t"/>
              </v:shape>
            </v:group>
            <v:group style="position:absolute;left:8633;top:6570;width:2;height:1641" coordorigin="8633,6570" coordsize="2,1641">
              <v:shape style="position:absolute;left:8633;top:6570;width:2;height:1641" coordorigin="8633,6570" coordsize="0,1641" path="m8633,6570l8633,8211e" filled="false" stroked="true" strokeweight="1.140pt" strokecolor="#ffffff">
                <v:path arrowok="t"/>
              </v:shape>
            </v:group>
            <v:group style="position:absolute;left:8622;top:8211;width:2078;height:780" coordorigin="8622,8211" coordsize="2078,780">
              <v:shape style="position:absolute;left:8622;top:8211;width:2078;height:780" coordorigin="8622,8211" coordsize="2078,780" path="m8622,8991l10699,8991,10699,8211,8622,8211,8622,8991xe" filled="true" fillcolor="#ffffff" stroked="false">
                <v:path arrowok="t"/>
                <v:fill type="solid"/>
              </v:shape>
            </v:group>
            <v:group style="position:absolute;left:8645;top:7858;width:2032;height:353" coordorigin="8645,7858" coordsize="2032,353">
              <v:shape style="position:absolute;left:8645;top:7858;width:2032;height:353" coordorigin="8645,7858" coordsize="2032,353" path="m8645,8211l10676,8211,10676,7858,8645,7858,8645,8211xe" filled="true" fillcolor="#ffffff" stroked="false">
                <v:path arrowok="t"/>
                <v:fill type="solid"/>
              </v:shape>
            </v:group>
            <v:group style="position:absolute;left:1139;top:8996;width:1485;height:2" coordorigin="1139,8996" coordsize="1485,2">
              <v:shape style="position:absolute;left:1139;top:8996;width:1485;height:2" coordorigin="1139,8996" coordsize="1485,0" path="m1139,8996l2624,8996e" filled="false" stroked="true" strokeweight=".47998pt" strokecolor="#000000">
                <v:path arrowok="t"/>
              </v:shape>
            </v:group>
            <v:group style="position:absolute;left:2633;top:8996;width:1488;height:2" coordorigin="2633,8996" coordsize="1488,2">
              <v:shape style="position:absolute;left:2633;top:8996;width:1488;height:2" coordorigin="2633,8996" coordsize="1488,0" path="m2633,8996l4121,8996e" filled="false" stroked="true" strokeweight=".47998pt" strokecolor="#000000">
                <v:path arrowok="t"/>
              </v:shape>
            </v:group>
            <v:group style="position:absolute;left:4131;top:8996;width:1488;height:2" coordorigin="4131,8996" coordsize="1488,2">
              <v:shape style="position:absolute;left:4131;top:8996;width:1488;height:2" coordorigin="4131,8996" coordsize="1488,0" path="m4131,8996l5618,8996e" filled="false" stroked="true" strokeweight=".47998pt" strokecolor="#000000">
                <v:path arrowok="t"/>
              </v:shape>
            </v:group>
            <v:group style="position:absolute;left:5628;top:8996;width:1488;height:2" coordorigin="5628,8996" coordsize="1488,2">
              <v:shape style="position:absolute;left:5628;top:8996;width:1488;height:2" coordorigin="5628,8996" coordsize="1488,0" path="m5628,8996l7116,8996e" filled="false" stroked="true" strokeweight=".47998pt" strokecolor="#000000">
                <v:path arrowok="t"/>
              </v:shape>
            </v:group>
            <v:group style="position:absolute;left:7125;top:8996;width:1488;height:2" coordorigin="7125,8996" coordsize="1488,2">
              <v:shape style="position:absolute;left:7125;top:8996;width:1488;height:2" coordorigin="7125,8996" coordsize="1488,0" path="m7125,8996l8612,8996e" filled="false" stroked="true" strokeweight=".47998pt" strokecolor="#000000">
                <v:path arrowok="t"/>
              </v:shape>
            </v:group>
            <v:group style="position:absolute;left:8622;top:8996;width:2078;height:2" coordorigin="8622,8996" coordsize="2078,2">
              <v:shape style="position:absolute;left:8622;top:8996;width:2078;height:2" coordorigin="8622,8996" coordsize="2078,0" path="m8622,8996l10699,8996e" filled="false" stroked="true" strokeweight=".47998pt" strokecolor="#000000">
                <v:path arrowok="t"/>
              </v:shape>
            </v:group>
            <v:group style="position:absolute;left:1134;top:24;width:2;height:11251" coordorigin="1134,24" coordsize="2,11251">
              <v:shape style="position:absolute;left:1134;top:24;width:2;height:11251" coordorigin="1134,24" coordsize="0,11251" path="m1134,24l1134,11275e" filled="false" stroked="true" strokeweight=".48pt" strokecolor="#000000">
                <v:path arrowok="t"/>
              </v:shape>
            </v:group>
            <v:group style="position:absolute;left:1139;top:11270;width:1485;height:2" coordorigin="1139,11270" coordsize="1485,2">
              <v:shape style="position:absolute;left:1139;top:11270;width:1485;height:2" coordorigin="1139,11270" coordsize="1485,0" path="m1139,11270l2624,11270e" filled="false" stroked="true" strokeweight=".47998pt" strokecolor="#000000">
                <v:path arrowok="t"/>
              </v:shape>
            </v:group>
            <v:group style="position:absolute;left:2628;top:24;width:2;height:11251" coordorigin="2628,24" coordsize="2,11251">
              <v:shape style="position:absolute;left:2628;top:24;width:2;height:11251" coordorigin="2628,24" coordsize="0,11251" path="m2628,24l2628,11275e" filled="false" stroked="true" strokeweight=".48001pt" strokecolor="#000000">
                <v:path arrowok="t"/>
              </v:shape>
            </v:group>
            <v:group style="position:absolute;left:2633;top:11270;width:1488;height:2" coordorigin="2633,11270" coordsize="1488,2">
              <v:shape style="position:absolute;left:2633;top:11270;width:1488;height:2" coordorigin="2633,11270" coordsize="1488,0" path="m2633,11270l4121,11270e" filled="false" stroked="true" strokeweight=".47998pt" strokecolor="#000000">
                <v:path arrowok="t"/>
              </v:shape>
            </v:group>
            <v:group style="position:absolute;left:4126;top:24;width:2;height:11251" coordorigin="4126,24" coordsize="2,11251">
              <v:shape style="position:absolute;left:4126;top:24;width:2;height:11251" coordorigin="4126,24" coordsize="0,11251" path="m4126,24l4126,11275e" filled="false" stroked="true" strokeweight=".48pt" strokecolor="#000000">
                <v:path arrowok="t"/>
              </v:shape>
            </v:group>
            <v:group style="position:absolute;left:4131;top:11270;width:1488;height:2" coordorigin="4131,11270" coordsize="1488,2">
              <v:shape style="position:absolute;left:4131;top:11270;width:1488;height:2" coordorigin="4131,11270" coordsize="1488,0" path="m4131,11270l5618,11270e" filled="false" stroked="true" strokeweight=".47998pt" strokecolor="#000000">
                <v:path arrowok="t"/>
              </v:shape>
            </v:group>
            <v:group style="position:absolute;left:5623;top:24;width:2;height:11251" coordorigin="5623,24" coordsize="2,11251">
              <v:shape style="position:absolute;left:5623;top:24;width:2;height:11251" coordorigin="5623,24" coordsize="0,11251" path="m5623,24l5623,11275e" filled="false" stroked="true" strokeweight=".48001pt" strokecolor="#000000">
                <v:path arrowok="t"/>
              </v:shape>
            </v:group>
            <v:group style="position:absolute;left:5628;top:11270;width:1488;height:2" coordorigin="5628,11270" coordsize="1488,2">
              <v:shape style="position:absolute;left:5628;top:11270;width:1488;height:2" coordorigin="5628,11270" coordsize="1488,0" path="m5628,11270l7116,11270e" filled="false" stroked="true" strokeweight=".47998pt" strokecolor="#000000">
                <v:path arrowok="t"/>
              </v:shape>
            </v:group>
            <v:group style="position:absolute;left:7120;top:24;width:2;height:11251" coordorigin="7120,24" coordsize="2,11251">
              <v:shape style="position:absolute;left:7120;top:24;width:2;height:11251" coordorigin="7120,24" coordsize="0,11251" path="m7120,24l7120,11275e" filled="false" stroked="true" strokeweight=".47998pt" strokecolor="#000000">
                <v:path arrowok="t"/>
              </v:shape>
            </v:group>
            <v:group style="position:absolute;left:7125;top:11270;width:1488;height:2" coordorigin="7125,11270" coordsize="1488,2">
              <v:shape style="position:absolute;left:7125;top:11270;width:1488;height:2" coordorigin="7125,11270" coordsize="1488,0" path="m7125,11270l8612,11270e" filled="false" stroked="true" strokeweight=".47998pt" strokecolor="#000000">
                <v:path arrowok="t"/>
              </v:shape>
            </v:group>
            <v:group style="position:absolute;left:8633;top:9157;width:2;height:1953" coordorigin="8633,9157" coordsize="2,1953">
              <v:shape style="position:absolute;left:8633;top:9157;width:2;height:1953" coordorigin="8633,9157" coordsize="0,1953" path="m8633,9157l8633,11109e" filled="false" stroked="true" strokeweight="1.140pt" strokecolor="#ffffff">
                <v:path arrowok="t"/>
              </v:shape>
            </v:group>
            <v:group style="position:absolute;left:8645;top:9157;width:2032;height:352" coordorigin="8645,9157" coordsize="2032,352">
              <v:shape style="position:absolute;left:8645;top:9157;width:2032;height:352" coordorigin="8645,9157" coordsize="2032,352" path="m8645,9508l10676,9508,10676,9157,8645,9157,8645,9508xe" filled="true" fillcolor="#ffffff" stroked="false">
                <v:path arrowok="t"/>
                <v:fill type="solid"/>
              </v:shape>
            </v:group>
            <v:group style="position:absolute;left:8645;top:9508;width:2032;height:312" coordorigin="8645,9508" coordsize="2032,312">
              <v:shape style="position:absolute;left:8645;top:9508;width:2032;height:312" coordorigin="8645,9508" coordsize="2032,312" path="m8645,9820l10676,9820,10676,9508,8645,9508,8645,9820xe" filled="true" fillcolor="#ffffff" stroked="false">
                <v:path arrowok="t"/>
                <v:fill type="solid"/>
              </v:shape>
            </v:group>
            <v:group style="position:absolute;left:8645;top:10132;width:2032;height:312" coordorigin="8645,10132" coordsize="2032,312">
              <v:shape style="position:absolute;left:8645;top:10132;width:2032;height:312" coordorigin="8645,10132" coordsize="2032,312" path="m8645,10444l10676,10444,10676,10132,8645,10132,8645,10444xe" filled="true" fillcolor="#ffffff" stroked="false">
                <v:path arrowok="t"/>
                <v:fill type="solid"/>
              </v:shape>
            </v:group>
            <v:group style="position:absolute;left:8645;top:10444;width:2032;height:312" coordorigin="8645,10444" coordsize="2032,312">
              <v:shape style="position:absolute;left:8645;top:10444;width:2032;height:312" coordorigin="8645,10444" coordsize="2032,312" path="m8645,10756l10676,10756,10676,10444,8645,10444,8645,10756xe" filled="true" fillcolor="#ffffff" stroked="false">
                <v:path arrowok="t"/>
                <v:fill type="solid"/>
              </v:shape>
            </v:group>
            <v:group style="position:absolute;left:8617;top:24;width:2;height:11251" coordorigin="8617,24" coordsize="2,11251">
              <v:shape style="position:absolute;left:8617;top:24;width:2;height:11251" coordorigin="8617,24" coordsize="0,11251" path="m8617,24l8617,11275e" filled="false" stroked="true" strokeweight=".47998pt" strokecolor="#000000">
                <v:path arrowok="t"/>
              </v:shape>
            </v:group>
            <v:group style="position:absolute;left:8622;top:11270;width:2078;height:2" coordorigin="8622,11270" coordsize="2078,2">
              <v:shape style="position:absolute;left:8622;top:11270;width:2078;height:2" coordorigin="8622,11270" coordsize="2078,0" path="m8622,11270l10699,11270e" filled="false" stroked="true" strokeweight=".47998pt" strokecolor="#000000">
                <v:path arrowok="t"/>
              </v:shape>
            </v:group>
            <v:group style="position:absolute;left:10704;top:24;width:2;height:11251" coordorigin="10704,24" coordsize="2,11251">
              <v:shape style="position:absolute;left:10704;top:24;width:2;height:11251" coordorigin="10704,24" coordsize="0,11251" path="m10704,24l10704,11275e" filled="false" stroked="true" strokeweight=".48004pt" strokecolor="#000000">
                <v:path arrowok="t"/>
              </v:shape>
            </v:group>
            <w10:wrap type="none"/>
          </v:group>
        </w:pict>
      </w:r>
      <w:r>
        <w:rPr/>
        <w:t>大成基金、国信证 券、深圳创世翔资 本管理、深圳融捷 资产管理、裕晋投 资、深圳金雨竹投 资、富国基金、融 通基金管理、光大 证券、长城基金</w:t>
      </w:r>
    </w:p>
    <w:p>
      <w:pPr>
        <w:spacing w:after="0" w:line="319" w:lineRule="auto"/>
        <w:jc w:val="both"/>
        <w:sectPr>
          <w:pgSz w:w="11910" w:h="16840"/>
          <w:pgMar w:header="747" w:footer="979" w:top="1060" w:bottom="116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tabs>
          <w:tab w:pos="3173" w:val="left" w:leader="none"/>
          <w:tab w:pos="4670" w:val="left" w:leader="none"/>
        </w:tabs>
        <w:spacing w:line="240" w:lineRule="auto"/>
        <w:ind w:left="181" w:right="-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06</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10"/>
        </w:rPr>
        <w:t> </w:t>
      </w:r>
      <w:r>
        <w:rPr/>
        <w:t>日</w:t>
      </w:r>
      <w:r>
        <w:rPr>
          <w:spacing w:val="-36"/>
        </w:rPr>
        <w:t> </w:t>
      </w:r>
      <w:r>
        <w:rPr/>
        <w:t>公司会议室</w:t>
        <w:tab/>
        <w:t>实地调研</w:t>
        <w:tab/>
        <w:t>机构</w:t>
      </w:r>
    </w:p>
    <w:p>
      <w:pPr>
        <w:pStyle w:val="BodyText"/>
        <w:spacing w:line="316" w:lineRule="auto" w:before="107"/>
        <w:ind w:left="181" w:right="2319"/>
        <w:jc w:val="left"/>
      </w:pPr>
      <w:r>
        <w:rPr/>
        <w:br w:type="column"/>
      </w:r>
      <w:r>
        <w:rPr/>
        <w:t>诺安基金、招商基 金、 博时基金、金元证</w:t>
      </w:r>
    </w:p>
    <w:p>
      <w:pPr>
        <w:pStyle w:val="BodyText"/>
        <w:spacing w:line="314" w:lineRule="auto" w:before="20"/>
        <w:ind w:left="181" w:right="236"/>
        <w:jc w:val="left"/>
      </w:pPr>
      <w:r>
        <w:rPr/>
        <w:pict>
          <v:shape style="position:absolute;margin-left:370.963013pt;margin-top:-48.368309pt;width:164pt;height:46.8pt;mso-position-horizontal-relative:page;mso-position-vertical-relative:paragraph;z-index:-102059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尚诚资产管理、</w:t>
                  </w:r>
                </w:p>
              </w:txbxContent>
            </v:textbox>
            <w10:wrap type="none"/>
          </v:shape>
        </w:pict>
      </w:r>
      <w:r>
        <w:rPr/>
        <w:pict>
          <v:shape style="position:absolute;margin-left:370.963013pt;margin-top:64.851692pt;width:164pt;height:46.8pt;mso-position-horizontal-relative:page;mso-position-vertical-relative:paragraph;z-index:-1020568"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华泰柏瑞基金、</w:t>
                  </w:r>
                </w:p>
              </w:txbxContent>
            </v:textbox>
            <w10:wrap type="none"/>
          </v:shape>
        </w:pict>
      </w:r>
      <w:r>
        <w:rPr/>
        <w:t>券、信诚基金、国</w:t>
      </w:r>
      <w:r>
        <w:rPr>
          <w:spacing w:val="-34"/>
        </w:rPr>
        <w:t> </w:t>
      </w:r>
      <w:r>
        <w:rPr/>
        <w:t>就公司业务拓展等问题进</w:t>
      </w:r>
      <w:r>
        <w:rPr/>
        <w:t> 泰君安证券、交银</w:t>
      </w:r>
      <w:r>
        <w:rPr>
          <w:spacing w:val="-34"/>
        </w:rPr>
        <w:t> </w:t>
      </w:r>
      <w:r>
        <w:rPr/>
        <w:t>行了交流，调研记录见</w:t>
      </w:r>
      <w:r>
        <w:rPr/>
        <w:t> 施罗德基金、南方</w:t>
      </w:r>
      <w:r>
        <w:rPr>
          <w:spacing w:val="-3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spacing w:val="-15"/>
        </w:rPr>
        <w:t>日发布的《投</w:t>
      </w:r>
      <w:r>
        <w:rPr/>
        <w:t> 基金、国海证券、</w:t>
      </w:r>
      <w:r>
        <w:rPr>
          <w:spacing w:val="-32"/>
        </w:rPr>
        <w:t> </w:t>
      </w:r>
      <w:r>
        <w:rPr>
          <w:spacing w:val="-9"/>
        </w:rPr>
        <w:t>资者关系活动记录表》。</w:t>
      </w:r>
      <w:r>
        <w:rPr>
          <w:spacing w:val="-84"/>
        </w:rPr>
        <w:t> </w:t>
      </w:r>
      <w:r>
        <w:rPr>
          <w:spacing w:val="-84"/>
        </w:rPr>
      </w:r>
      <w:r>
        <w:rPr/>
        <w:t>国信证券、德威资</w:t>
      </w:r>
    </w:p>
    <w:p>
      <w:pPr>
        <w:pStyle w:val="BodyText"/>
        <w:spacing w:line="319" w:lineRule="auto" w:before="20"/>
        <w:ind w:left="181" w:right="3039"/>
        <w:jc w:val="left"/>
      </w:pPr>
      <w:r>
        <w:rPr/>
        <w:t>本、 长城基金</w:t>
      </w:r>
    </w:p>
    <w:p>
      <w:pPr>
        <w:spacing w:after="0" w:line="319" w:lineRule="auto"/>
        <w:jc w:val="left"/>
        <w:sectPr>
          <w:type w:val="continuous"/>
          <w:pgSz w:w="11910" w:h="16840"/>
          <w:pgMar w:top="1060" w:bottom="1160" w:left="980" w:right="980"/>
          <w:cols w:num="2" w:equalWidth="0">
            <w:col w:w="5031" w:space="955"/>
            <w:col w:w="396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tabs>
          <w:tab w:pos="3173" w:val="left" w:leader="none"/>
          <w:tab w:pos="4670" w:val="left" w:leader="none"/>
        </w:tabs>
        <w:spacing w:line="240" w:lineRule="auto"/>
        <w:ind w:left="181" w:right="-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w:t>
      </w:r>
      <w:r>
        <w:rPr>
          <w:spacing w:val="-36"/>
        </w:rPr>
        <w:t> </w:t>
      </w:r>
      <w:r>
        <w:rPr/>
        <w:t>公司会议室</w:t>
        <w:tab/>
        <w:t>实地调研</w:t>
        <w:tab/>
        <w:t>机构</w:t>
      </w:r>
    </w:p>
    <w:p>
      <w:pPr>
        <w:pStyle w:val="BodyText"/>
        <w:spacing w:line="316" w:lineRule="auto" w:before="107"/>
        <w:ind w:left="181" w:right="0"/>
        <w:jc w:val="both"/>
      </w:pPr>
      <w:r>
        <w:rPr/>
        <w:br w:type="column"/>
      </w:r>
      <w:r>
        <w:rPr/>
        <w:t>景顺长城基金、华 泰资产管理、毕盛 投资、中金公司、 惠灵顿资产管理、 德盛安联、香港中 银集团人寿、保德 信投信、凯斯博资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16" w:lineRule="auto"/>
        <w:ind w:left="16" w:right="299"/>
        <w:jc w:val="both"/>
      </w:pPr>
      <w:r>
        <w:rPr/>
        <w:t>本次调研为深交所组织的 境外投资者走进创业板公 司活动，本次调研对公司 产品及经营情况进行了交</w:t>
      </w:r>
    </w:p>
    <w:p>
      <w:pPr>
        <w:pStyle w:val="BodyText"/>
        <w:spacing w:line="210" w:lineRule="exact" w:before="20"/>
        <w:ind w:left="16" w:right="0"/>
        <w:jc w:val="both"/>
      </w:pPr>
      <w:r>
        <w:rPr/>
        <w:t>流介绍。</w:t>
      </w:r>
    </w:p>
    <w:p>
      <w:pPr>
        <w:spacing w:after="0" w:line="210" w:lineRule="exact"/>
        <w:jc w:val="both"/>
        <w:sectPr>
          <w:type w:val="continuous"/>
          <w:pgSz w:w="11910" w:h="16840"/>
          <w:pgMar w:top="1060" w:bottom="1160" w:left="980" w:right="980"/>
          <w:cols w:num="3" w:equalWidth="0">
            <w:col w:w="5031" w:space="955"/>
            <w:col w:w="1622" w:space="40"/>
            <w:col w:w="2302"/>
          </w:cols>
        </w:sectPr>
      </w:pPr>
    </w:p>
    <w:p>
      <w:pPr>
        <w:pStyle w:val="BodyText"/>
        <w:spacing w:line="180" w:lineRule="exact"/>
        <w:ind w:left="6168" w:right="0"/>
        <w:jc w:val="left"/>
      </w:pPr>
      <w:r>
        <w:rPr/>
        <w:t>产管理</w:t>
      </w:r>
      <w:r>
        <w:rPr>
          <w:spacing w:val="-89"/>
        </w:rPr>
        <w:t>、</w:t>
      </w:r>
      <w:r>
        <w:rPr/>
        <w:t>丰隆资管、</w:t>
      </w:r>
    </w:p>
    <w:p>
      <w:pPr>
        <w:pStyle w:val="BodyText"/>
        <w:spacing w:line="302" w:lineRule="auto" w:before="76"/>
        <w:ind w:left="6168" w:right="2468"/>
        <w:jc w:val="left"/>
      </w:pPr>
      <w:r>
        <w:rPr/>
        <w:t>永豐投信、</w:t>
      </w:r>
      <w:r>
        <w:rPr>
          <w:rFonts w:ascii="Times New Roman" w:hAnsi="Times New Roman" w:cs="Times New Roman" w:eastAsia="Times New Roman" w:hint="default"/>
        </w:rPr>
        <w:t>Open Door</w:t>
      </w:r>
      <w:r>
        <w:rPr>
          <w:rFonts w:ascii="Times New Roman" w:hAnsi="Times New Roman" w:cs="Times New Roman" w:eastAsia="Times New Roman" w:hint="default"/>
          <w:spacing w:val="-1"/>
        </w:rPr>
        <w:t> </w:t>
      </w:r>
      <w:r>
        <w:rPr/>
        <w:t>资本</w:t>
      </w:r>
    </w:p>
    <w:p>
      <w:pPr>
        <w:spacing w:after="0" w:line="302" w:lineRule="auto"/>
        <w:jc w:val="left"/>
        <w:sectPr>
          <w:type w:val="continuous"/>
          <w:pgSz w:w="11910" w:h="16840"/>
          <w:pgMar w:top="1060" w:bottom="1160" w:left="980" w:right="980"/>
        </w:sectPr>
      </w:pPr>
    </w:p>
    <w:p>
      <w:pPr>
        <w:pStyle w:val="BodyText"/>
        <w:spacing w:line="240" w:lineRule="auto" w:before="101"/>
        <w:ind w:left="0" w:right="0"/>
        <w:jc w:val="right"/>
      </w:pPr>
      <w:r>
        <w:rPr/>
        <w:t>通过国信证券、中</w:t>
      </w:r>
    </w:p>
    <w:p>
      <w:pPr>
        <w:spacing w:line="240" w:lineRule="auto" w:before="8"/>
        <w:rPr>
          <w:rFonts w:ascii="宋体" w:hAnsi="宋体" w:cs="宋体" w:eastAsia="宋体" w:hint="default"/>
          <w:sz w:val="19"/>
          <w:szCs w:val="19"/>
        </w:rPr>
      </w:pPr>
      <w:r>
        <w:rPr/>
        <w:br w:type="column"/>
      </w:r>
      <w:r>
        <w:rPr>
          <w:rFonts w:ascii="宋体"/>
          <w:sz w:val="19"/>
        </w:rPr>
      </w:r>
    </w:p>
    <w:p>
      <w:pPr>
        <w:pStyle w:val="BodyText"/>
        <w:spacing w:line="210" w:lineRule="exact"/>
        <w:ind w:left="16" w:right="0"/>
        <w:jc w:val="left"/>
      </w:pPr>
      <w:r>
        <w:rPr>
          <w:spacing w:val="-4"/>
        </w:rPr>
        <w:t>简介公司概况、技术优势、</w:t>
      </w:r>
    </w:p>
    <w:p>
      <w:pPr>
        <w:spacing w:after="0" w:line="210" w:lineRule="exact"/>
        <w:jc w:val="left"/>
        <w:sectPr>
          <w:type w:val="continuous"/>
          <w:pgSz w:w="11910" w:h="16840"/>
          <w:pgMar w:top="1060" w:bottom="1160" w:left="980" w:right="980"/>
          <w:cols w:num="2" w:equalWidth="0">
            <w:col w:w="7609" w:space="40"/>
            <w:col w:w="2301"/>
          </w:cols>
        </w:sectPr>
      </w:pPr>
    </w:p>
    <w:p>
      <w:pPr>
        <w:pStyle w:val="BodyText"/>
        <w:spacing w:line="140" w:lineRule="exact"/>
        <w:ind w:left="6168" w:right="0"/>
        <w:jc w:val="left"/>
      </w:pPr>
      <w:r>
        <w:rPr/>
        <w:t>投证券</w:t>
      </w:r>
      <w:r>
        <w:rPr>
          <w:spacing w:val="-89"/>
        </w:rPr>
        <w:t>、</w:t>
      </w:r>
      <w:r>
        <w:rPr/>
        <w:t>第一创业、</w:t>
      </w:r>
    </w:p>
    <w:p>
      <w:pPr>
        <w:pStyle w:val="BodyText"/>
        <w:spacing w:line="172" w:lineRule="exact"/>
        <w:ind w:left="0" w:right="266"/>
        <w:jc w:val="right"/>
      </w:pPr>
      <w:r>
        <w:rPr/>
        <w:t>人力资源、</w:t>
      </w:r>
      <w:r>
        <w:rPr>
          <w:rFonts w:ascii="Times New Roman" w:hAnsi="Times New Roman" w:cs="Times New Roman" w:eastAsia="Times New Roman" w:hint="default"/>
        </w:rPr>
        <w:t>O2O</w:t>
      </w:r>
      <w:r>
        <w:rPr>
          <w:rFonts w:ascii="Times New Roman" w:hAnsi="Times New Roman" w:cs="Times New Roman" w:eastAsia="Times New Roman" w:hint="default"/>
          <w:spacing w:val="-3"/>
        </w:rPr>
        <w:t> </w:t>
      </w:r>
      <w:r>
        <w:rPr/>
        <w:t>及大数据</w:t>
      </w:r>
    </w:p>
    <w:p>
      <w:pPr>
        <w:spacing w:after="0" w:line="172" w:lineRule="exact"/>
        <w:jc w:val="right"/>
        <w:sectPr>
          <w:type w:val="continuous"/>
          <w:pgSz w:w="11910" w:h="16840"/>
          <w:pgMar w:top="1060" w:bottom="1160" w:left="980" w:right="980"/>
        </w:sectPr>
      </w:pPr>
    </w:p>
    <w:p>
      <w:pPr>
        <w:spacing w:line="240" w:lineRule="auto" w:before="9"/>
        <w:rPr>
          <w:rFonts w:ascii="宋体" w:hAnsi="宋体" w:cs="宋体" w:eastAsia="宋体" w:hint="default"/>
          <w:sz w:val="19"/>
          <w:szCs w:val="19"/>
        </w:rPr>
      </w:pPr>
    </w:p>
    <w:p>
      <w:pPr>
        <w:pStyle w:val="BodyText"/>
        <w:spacing w:line="240" w:lineRule="auto"/>
        <w:ind w:left="181" w:right="-1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w:t>
      </w:r>
    </w:p>
    <w:p>
      <w:pPr>
        <w:pStyle w:val="BodyText"/>
        <w:spacing w:line="310" w:lineRule="atLeast" w:before="27"/>
        <w:ind w:left="15" w:right="-20"/>
        <w:jc w:val="left"/>
      </w:pPr>
      <w:r>
        <w:rPr/>
        <w:br w:type="column"/>
      </w:r>
      <w:r>
        <w:rPr/>
        <w:t>公司会议室、公司 办公区域</w:t>
      </w:r>
    </w:p>
    <w:p>
      <w:pPr>
        <w:spacing w:line="240" w:lineRule="auto" w:before="9"/>
        <w:rPr>
          <w:rFonts w:ascii="宋体" w:hAnsi="宋体" w:cs="宋体" w:eastAsia="宋体" w:hint="default"/>
          <w:sz w:val="19"/>
          <w:szCs w:val="19"/>
        </w:rPr>
      </w:pPr>
      <w:r>
        <w:rPr/>
        <w:br w:type="column"/>
      </w:r>
      <w:r>
        <w:rPr>
          <w:rFonts w:ascii="宋体"/>
          <w:sz w:val="19"/>
        </w:rPr>
      </w:r>
    </w:p>
    <w:p>
      <w:pPr>
        <w:pStyle w:val="BodyText"/>
        <w:tabs>
          <w:tab w:pos="1514" w:val="left" w:leader="none"/>
        </w:tabs>
        <w:spacing w:line="240" w:lineRule="auto"/>
        <w:ind w:left="17" w:right="-20"/>
        <w:jc w:val="left"/>
      </w:pPr>
      <w:r>
        <w:rPr/>
        <w:t>实地调研</w:t>
        <w:tab/>
        <w:t>个人</w:t>
      </w:r>
    </w:p>
    <w:p>
      <w:pPr>
        <w:pStyle w:val="BodyText"/>
        <w:spacing w:line="180" w:lineRule="exact"/>
        <w:ind w:left="181" w:right="-20"/>
        <w:jc w:val="left"/>
      </w:pPr>
      <w:r>
        <w:rPr/>
        <w:br w:type="column"/>
      </w:r>
      <w:r>
        <w:rPr/>
        <w:t>安信证券、银河证</w:t>
      </w:r>
    </w:p>
    <w:p>
      <w:pPr>
        <w:pStyle w:val="BodyText"/>
        <w:spacing w:line="240" w:lineRule="auto" w:before="76"/>
        <w:ind w:left="181" w:right="-20"/>
        <w:jc w:val="left"/>
      </w:pPr>
      <w:r>
        <w:rPr/>
        <w:t>券、广发证券、海</w:t>
      </w:r>
    </w:p>
    <w:p>
      <w:pPr>
        <w:pStyle w:val="BodyText"/>
        <w:spacing w:line="310" w:lineRule="atLeast" w:before="26"/>
        <w:ind w:left="16" w:right="282"/>
        <w:jc w:val="left"/>
      </w:pPr>
      <w:r>
        <w:rPr/>
        <w:br w:type="column"/>
      </w:r>
      <w:r>
        <w:rPr/>
        <w:t>专题解决方案等，现场进 行公司概况、产品和市场</w:t>
      </w:r>
    </w:p>
    <w:p>
      <w:pPr>
        <w:spacing w:after="0" w:line="310" w:lineRule="atLeast"/>
        <w:jc w:val="left"/>
        <w:sectPr>
          <w:type w:val="continuous"/>
          <w:pgSz w:w="11910" w:h="16840"/>
          <w:pgMar w:top="1060" w:bottom="1160" w:left="980" w:right="980"/>
          <w:cols w:num="5" w:equalWidth="0">
            <w:col w:w="1621" w:space="40"/>
            <w:col w:w="1456" w:space="40"/>
            <w:col w:w="1875" w:space="955"/>
            <w:col w:w="1622" w:space="40"/>
            <w:col w:w="2301"/>
          </w:cols>
        </w:sectPr>
      </w:pPr>
    </w:p>
    <w:p>
      <w:pPr>
        <w:pStyle w:val="BodyText"/>
        <w:spacing w:line="115" w:lineRule="exact"/>
        <w:ind w:left="6168" w:right="0"/>
        <w:jc w:val="left"/>
      </w:pPr>
      <w:r>
        <w:rPr/>
        <w:t>通证券</w:t>
      </w:r>
      <w:r>
        <w:rPr>
          <w:spacing w:val="-89"/>
        </w:rPr>
        <w:t>、</w:t>
      </w:r>
      <w:r>
        <w:rPr/>
        <w:t>华泰证券、</w:t>
      </w:r>
    </w:p>
    <w:p>
      <w:pPr>
        <w:pStyle w:val="BodyText"/>
        <w:spacing w:line="172" w:lineRule="exact"/>
        <w:ind w:left="0" w:right="299"/>
        <w:jc w:val="right"/>
      </w:pPr>
      <w:r>
        <w:rPr/>
        <w:t>布局、公司战略的调研沟</w:t>
      </w:r>
    </w:p>
    <w:p>
      <w:pPr>
        <w:pStyle w:val="BodyText"/>
        <w:spacing w:line="141" w:lineRule="exact"/>
        <w:ind w:left="6168" w:right="0"/>
        <w:jc w:val="left"/>
      </w:pPr>
      <w:r>
        <w:rPr/>
        <w:t>英证证券报名的共</w:t>
      </w:r>
    </w:p>
    <w:p>
      <w:pPr>
        <w:pStyle w:val="BodyText"/>
        <w:spacing w:line="157" w:lineRule="exact"/>
        <w:ind w:left="0" w:right="1919"/>
        <w:jc w:val="right"/>
      </w:pPr>
      <w:r>
        <w:rPr/>
        <w:t>通。</w:t>
      </w:r>
    </w:p>
    <w:p>
      <w:pPr>
        <w:pStyle w:val="BodyText"/>
        <w:spacing w:line="209" w:lineRule="exact"/>
        <w:ind w:left="6168" w:right="0"/>
        <w:jc w:val="left"/>
      </w:pPr>
      <w:r>
        <w:rPr/>
        <w:t>计</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余名投资者</w:t>
      </w:r>
    </w:p>
    <w:p>
      <w:pPr>
        <w:spacing w:after="0" w:line="209" w:lineRule="exact"/>
        <w:jc w:val="lef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061"/>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Heading5"/>
        <w:spacing w:line="240" w:lineRule="auto" w:before="44"/>
        <w:ind w:right="0"/>
        <w:jc w:val="left"/>
        <w:rPr>
          <w:b w:val="0"/>
          <w:bCs w:val="0"/>
        </w:rPr>
      </w:pPr>
      <w:r>
        <w:rPr>
          <w:rFonts w:ascii="Times New Roman" w:hAnsi="Times New Roman" w:cs="Times New Roman" w:eastAsia="Times New Roman" w:hint="default"/>
        </w:rPr>
        <w:t>1</w:t>
      </w:r>
      <w:r>
        <w:rPr/>
        <w:t>、报告期内股权激励计划履行情况</w:t>
      </w:r>
      <w:r>
        <w:rPr>
          <w:b w:val="0"/>
          <w:bCs w:val="0"/>
        </w:rPr>
      </w:r>
    </w:p>
    <w:p>
      <w:pPr>
        <w:pStyle w:val="BodyText"/>
        <w:spacing w:line="307" w:lineRule="auto" w:before="101"/>
        <w:ind w:right="152"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日，公司第三届董事会第七次会议审议通过了《关于调整公司股票期权激励计划首次授予对象名单的 </w:t>
      </w:r>
      <w:r>
        <w:rPr>
          <w:spacing w:val="-2"/>
        </w:rPr>
        <w:t>议案》、《关于对首期股票期权激励计划部分已授予股权进行统一注销的议案》及《关于股票期权激励计划首期授予的股票</w:t>
      </w:r>
      <w:r>
        <w:rPr>
          <w:spacing w:val="-65"/>
        </w:rPr>
        <w:t> </w:t>
      </w:r>
      <w:r>
        <w:rPr>
          <w:spacing w:val="-65"/>
        </w:rPr>
      </w:r>
      <w:r>
        <w:rPr>
          <w:spacing w:val="-1"/>
        </w:rPr>
        <w:t>期权第二个行权期可行权的议案》，确定将激励对象人数调整为</w:t>
      </w:r>
      <w:r>
        <w:rPr>
          <w:rFonts w:ascii="Times New Roman" w:hAnsi="Times New Roman" w:cs="Times New Roman" w:eastAsia="Times New Roman" w:hint="default"/>
          <w:spacing w:val="-1"/>
        </w:rPr>
        <w:t>100</w:t>
      </w:r>
      <w:r>
        <w:rPr>
          <w:spacing w:val="-1"/>
        </w:rPr>
        <w:t>人，行权数量调整为</w:t>
      </w:r>
      <w:r>
        <w:rPr>
          <w:rFonts w:ascii="Times New Roman" w:hAnsi="Times New Roman" w:cs="Times New Roman" w:eastAsia="Times New Roman" w:hint="default"/>
          <w:spacing w:val="-1"/>
        </w:rPr>
        <w:t>1,013</w:t>
      </w:r>
      <w:r>
        <w:rPr>
          <w:spacing w:val="-1"/>
        </w:rPr>
        <w:t>万份，统一注销已授予的股票</w:t>
      </w:r>
      <w:r>
        <w:rPr>
          <w:spacing w:val="-74"/>
        </w:rPr>
        <w:t> </w:t>
      </w:r>
      <w:r>
        <w:rPr>
          <w:spacing w:val="-74"/>
        </w:rPr>
      </w:r>
      <w:r>
        <w:rPr/>
        <w:t>期权</w:t>
      </w:r>
      <w:r>
        <w:rPr>
          <w:rFonts w:ascii="Times New Roman" w:hAnsi="Times New Roman" w:cs="Times New Roman" w:eastAsia="Times New Roman" w:hint="default"/>
        </w:rPr>
        <w:t>41.25</w:t>
      </w:r>
      <w:r>
        <w:rPr/>
        <w:t>万份，并同意</w:t>
      </w:r>
      <w:r>
        <w:rPr>
          <w:rFonts w:ascii="Times New Roman" w:hAnsi="Times New Roman" w:cs="Times New Roman" w:eastAsia="Times New Roman" w:hint="default"/>
        </w:rPr>
        <w:t>100</w:t>
      </w:r>
      <w:r>
        <w:rPr/>
        <w:t>名符合条件的激励对象在第二个行权期内行权。</w:t>
      </w:r>
    </w:p>
    <w:p>
      <w:pPr>
        <w:pStyle w:val="BodyText"/>
        <w:spacing w:line="302" w:lineRule="auto" w:before="46"/>
        <w:ind w:right="149" w:firstLine="36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21</w:t>
      </w:r>
      <w:r>
        <w:rPr>
          <w:spacing w:val="-3"/>
        </w:rPr>
        <w:t>日，公司发布了《关于首期股票期权激励计划部分已授予股权注销完成的公告》，已将需注销的</w:t>
      </w:r>
      <w:r>
        <w:rPr>
          <w:rFonts w:ascii="Times New Roman" w:hAnsi="Times New Roman" w:cs="Times New Roman" w:eastAsia="Times New Roman" w:hint="default"/>
          <w:spacing w:val="-3"/>
        </w:rPr>
        <w:t>41.25</w:t>
      </w:r>
      <w:r>
        <w:rPr>
          <w:rFonts w:ascii="Times New Roman" w:hAnsi="Times New Roman" w:cs="Times New Roman" w:eastAsia="Times New Roman" w:hint="default"/>
        </w:rPr>
        <w:t> </w:t>
      </w:r>
      <w:r>
        <w:rPr/>
        <w:t>万份期权进行注销完毕。</w:t>
      </w:r>
    </w:p>
    <w:p>
      <w:pPr>
        <w:pStyle w:val="BodyText"/>
        <w:spacing w:line="300" w:lineRule="auto" w:before="68"/>
        <w:ind w:right="152"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日，公司发布了《关于首期股票期权激励计划第二个行权期采取自主行权模式的提示性公告》，董事</w:t>
      </w:r>
      <w:r>
        <w:rPr/>
        <w:t> </w:t>
      </w:r>
      <w:r>
        <w:rPr>
          <w:spacing w:val="-1"/>
        </w:rPr>
        <w:t>会同意公司首期股权激励计划</w:t>
      </w:r>
      <w:r>
        <w:rPr>
          <w:rFonts w:ascii="Times New Roman" w:hAnsi="Times New Roman" w:cs="Times New Roman" w:eastAsia="Times New Roman" w:hint="default"/>
          <w:spacing w:val="-1"/>
        </w:rPr>
        <w:t>100</w:t>
      </w:r>
      <w:r>
        <w:rPr>
          <w:spacing w:val="-1"/>
        </w:rPr>
        <w:t>名激励对象在第二个行权期内可自主行权共</w:t>
      </w:r>
      <w:r>
        <w:rPr>
          <w:rFonts w:ascii="Times New Roman" w:hAnsi="Times New Roman" w:cs="Times New Roman" w:eastAsia="Times New Roman" w:hint="default"/>
          <w:spacing w:val="-1"/>
        </w:rPr>
        <w:t>354.34</w:t>
      </w:r>
      <w:r>
        <w:rPr>
          <w:spacing w:val="-1"/>
        </w:rPr>
        <w:t>万份股票期权，行权期自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w:t>
      </w:r>
      <w:r>
        <w:rPr>
          <w:spacing w:val="-68"/>
        </w:rPr>
        <w:t> </w:t>
      </w:r>
      <w:r>
        <w:rPr/>
        <w:t>至</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p>
    <w:p>
      <w:pPr>
        <w:pStyle w:val="BodyText"/>
        <w:spacing w:line="302" w:lineRule="auto" w:before="51"/>
        <w:ind w:right="15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日，公司第三届董事会第九次会议审议通过了《关于调整股票期权行权价格的议案》，根据公司</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年度利润分配方案的实施，将行权价格将从</w:t>
      </w:r>
      <w:r>
        <w:rPr>
          <w:rFonts w:ascii="Times New Roman" w:hAnsi="Times New Roman" w:cs="Times New Roman" w:eastAsia="Times New Roman" w:hint="default"/>
        </w:rPr>
        <w:t>6.61</w:t>
      </w:r>
      <w:r>
        <w:rPr/>
        <w:t>元调整到</w:t>
      </w:r>
      <w:r>
        <w:rPr>
          <w:rFonts w:ascii="Times New Roman" w:hAnsi="Times New Roman" w:cs="Times New Roman" w:eastAsia="Times New Roman" w:hint="default"/>
        </w:rPr>
        <w:t>6.575</w:t>
      </w:r>
      <w:r>
        <w:rPr/>
        <w:t>元。</w:t>
      </w:r>
    </w:p>
    <w:p>
      <w:pPr>
        <w:pStyle w:val="BodyText"/>
        <w:spacing w:line="307" w:lineRule="auto" w:before="50"/>
        <w:ind w:right="152"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日，公司第三届董事会第十三次会议审议通过了《关于调整公司股票期权激励计划首次授予对象名单</w:t>
      </w:r>
      <w:r>
        <w:rPr/>
        <w:t> </w:t>
      </w:r>
      <w:r>
        <w:rPr>
          <w:spacing w:val="-2"/>
        </w:rPr>
        <w:t>的议案》、《关于对首期股票期权激励计划部分已授予股权进行统一注销的议案》及《关于股票期权激励计划首期授予期权</w:t>
      </w:r>
      <w:r>
        <w:rPr>
          <w:spacing w:val="-65"/>
        </w:rPr>
        <w:t> </w:t>
      </w:r>
      <w:r>
        <w:rPr>
          <w:spacing w:val="-65"/>
        </w:rPr>
      </w:r>
      <w:r>
        <w:rPr>
          <w:spacing w:val="-1"/>
        </w:rPr>
        <w:t>第二个行权期完毕及第三个行权期可行权的议案》，确定将激励对象人数调整为</w:t>
      </w:r>
      <w:r>
        <w:rPr>
          <w:rFonts w:ascii="Times New Roman" w:hAnsi="Times New Roman" w:cs="Times New Roman" w:eastAsia="Times New Roman" w:hint="default"/>
          <w:spacing w:val="-1"/>
        </w:rPr>
        <w:t>98</w:t>
      </w:r>
      <w:r>
        <w:rPr>
          <w:spacing w:val="-1"/>
        </w:rPr>
        <w:t>人，行权数量调整为</w:t>
      </w:r>
      <w:r>
        <w:rPr>
          <w:rFonts w:ascii="Times New Roman" w:hAnsi="Times New Roman" w:cs="Times New Roman" w:eastAsia="Times New Roman" w:hint="default"/>
          <w:spacing w:val="-1"/>
        </w:rPr>
        <w:t>979.58</w:t>
      </w:r>
      <w:r>
        <w:rPr>
          <w:spacing w:val="-1"/>
        </w:rPr>
        <w:t>万份，统一注</w:t>
      </w:r>
      <w:r>
        <w:rPr>
          <w:spacing w:val="-72"/>
        </w:rPr>
        <w:t> </w:t>
      </w:r>
      <w:r>
        <w:rPr>
          <w:spacing w:val="-72"/>
        </w:rPr>
      </w:r>
      <w:r>
        <w:rPr/>
        <w:t>销已授予的股票期权</w:t>
      </w:r>
      <w:r>
        <w:rPr>
          <w:rFonts w:ascii="Times New Roman" w:hAnsi="Times New Roman" w:cs="Times New Roman" w:eastAsia="Times New Roman" w:hint="default"/>
        </w:rPr>
        <w:t>19.17</w:t>
      </w:r>
      <w:r>
        <w:rPr/>
        <w:t>万份，并同意</w:t>
      </w:r>
      <w:r>
        <w:rPr>
          <w:rFonts w:ascii="Times New Roman" w:hAnsi="Times New Roman" w:cs="Times New Roman" w:eastAsia="Times New Roman" w:hint="default"/>
        </w:rPr>
        <w:t>98</w:t>
      </w:r>
      <w:r>
        <w:rPr/>
        <w:t>名符合条件的激励对象在第三个行权期内行权。</w:t>
      </w:r>
    </w:p>
    <w:p>
      <w:pPr>
        <w:pStyle w:val="BodyText"/>
        <w:spacing w:line="302" w:lineRule="auto" w:before="45"/>
        <w:ind w:right="149" w:firstLine="360"/>
        <w:jc w:val="both"/>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日，公司发布了《关于首期股票期权激励计划部分已授予股权注销完成的公告》，已将需注销的</w:t>
      </w:r>
      <w:r>
        <w:rPr>
          <w:rFonts w:ascii="Times New Roman" w:hAnsi="Times New Roman" w:cs="Times New Roman" w:eastAsia="Times New Roman" w:hint="default"/>
          <w:spacing w:val="-3"/>
        </w:rPr>
        <w:t>19.17</w:t>
      </w:r>
      <w:r>
        <w:rPr>
          <w:rFonts w:ascii="Times New Roman" w:hAnsi="Times New Roman" w:cs="Times New Roman" w:eastAsia="Times New Roman" w:hint="default"/>
        </w:rPr>
        <w:t> </w:t>
      </w:r>
      <w:r>
        <w:rPr/>
        <w:t>万份期权进行注销完毕。</w:t>
      </w:r>
    </w:p>
    <w:p>
      <w:pPr>
        <w:pStyle w:val="BodyText"/>
        <w:spacing w:line="300" w:lineRule="auto" w:before="68"/>
        <w:ind w:right="153" w:firstLine="360"/>
        <w:jc w:val="both"/>
      </w:pP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日，公司发布了《关于首期股票期权激励计划第三个行权期采取自主行权模式的提示性公告》，董事</w:t>
      </w:r>
      <w:r>
        <w:rPr/>
        <w:t> 会同意公司首期股权激励计划</w:t>
      </w:r>
      <w:r>
        <w:rPr>
          <w:rFonts w:ascii="Times New Roman" w:hAnsi="Times New Roman" w:cs="Times New Roman" w:eastAsia="Times New Roman" w:hint="default"/>
        </w:rPr>
        <w:t>98</w:t>
      </w:r>
      <w:r>
        <w:rPr/>
        <w:t>名激励对象在第三个行权期内可自主行权共</w:t>
      </w:r>
      <w:r>
        <w:rPr>
          <w:rFonts w:ascii="Times New Roman" w:hAnsi="Times New Roman" w:cs="Times New Roman" w:eastAsia="Times New Roman" w:hint="default"/>
        </w:rPr>
        <w:t>436.41</w:t>
      </w:r>
      <w:r>
        <w:rPr/>
        <w:t>万份股票期权，行权期自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 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w:t>
      </w:r>
    </w:p>
    <w:p>
      <w:pPr>
        <w:spacing w:line="352" w:lineRule="auto" w:before="54"/>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实施股权激励计划对公司本报告期及以后各年度财务状况和经营成果的影响</w:t>
      </w:r>
      <w:r>
        <w:rPr>
          <w:rFonts w:ascii="宋体" w:hAnsi="宋体" w:cs="宋体" w:eastAsia="宋体" w:hint="default"/>
          <w:b/>
          <w:bCs/>
          <w:w w:val="99"/>
          <w:sz w:val="18"/>
          <w:szCs w:val="18"/>
        </w:rPr>
        <w:t> </w:t>
      </w:r>
      <w:r>
        <w:rPr>
          <w:rFonts w:ascii="宋体" w:hAnsi="宋体" w:cs="宋体" w:eastAsia="宋体" w:hint="default"/>
          <w:sz w:val="18"/>
          <w:szCs w:val="18"/>
        </w:rPr>
        <w:t>股权激励计划不会对本报告期的财务状况和经营成果产生影响。 按照公司《股票期权激励计划》（草案修订案）中对期权成本的摊销方法： </w:t>
      </w:r>
      <w:r>
        <w:rPr>
          <w:rFonts w:ascii="宋体" w:hAnsi="宋体" w:cs="宋体" w:eastAsia="宋体" w:hint="default"/>
          <w:spacing w:val="-2"/>
          <w:sz w:val="18"/>
          <w:szCs w:val="18"/>
        </w:rPr>
        <w:t>根据《企业会计准则第</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股份支付》的有关规定，公司将在等待期的每个资产负债表日，根据最新取得的可行权</w:t>
      </w:r>
    </w:p>
    <w:p>
      <w:pPr>
        <w:pStyle w:val="BodyText"/>
        <w:spacing w:line="205" w:lineRule="exact"/>
        <w:ind w:right="0"/>
        <w:jc w:val="left"/>
      </w:pPr>
      <w:r>
        <w:rPr/>
        <w:t>人数变动、业绩指标完成情况等后续信息，修正预计可行权的股票期权数量，并按照股票期权授权日的公允价值，将当期取</w:t>
      </w:r>
    </w:p>
    <w:p>
      <w:pPr>
        <w:pStyle w:val="BodyText"/>
        <w:spacing w:line="357" w:lineRule="auto" w:before="77"/>
        <w:ind w:left="514" w:right="0" w:hanging="360"/>
        <w:jc w:val="left"/>
      </w:pPr>
      <w:r>
        <w:rPr/>
        <w:t>得的服务计入相关成本或费用和资本公积。 </w:t>
      </w:r>
      <w:r>
        <w:rPr>
          <w:spacing w:val="-1"/>
        </w:rPr>
        <w:t>假设全部激励对象均符合本计划规定的行权条件且在各行权期内全部行权，以每份期权价值为</w:t>
      </w:r>
      <w:r>
        <w:rPr>
          <w:rFonts w:ascii="Times New Roman" w:hAnsi="Times New Roman" w:cs="Times New Roman" w:eastAsia="Times New Roman" w:hint="default"/>
          <w:spacing w:val="-1"/>
        </w:rPr>
        <w:t>1.1347</w:t>
      </w:r>
      <w:r>
        <w:rPr>
          <w:spacing w:val="-1"/>
        </w:rPr>
        <w:t>元进行测算，得出</w:t>
      </w:r>
    </w:p>
    <w:p>
      <w:pPr>
        <w:pStyle w:val="BodyText"/>
        <w:spacing w:line="202" w:lineRule="exact"/>
        <w:ind w:right="0"/>
        <w:jc w:val="left"/>
      </w:pPr>
      <w:r>
        <w:rPr/>
        <w:t>本次股权激励在各行权期内的费用估算如下：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10"/>
        <w:gridCol w:w="1609"/>
        <w:gridCol w:w="1610"/>
        <w:gridCol w:w="1608"/>
        <w:gridCol w:w="1612"/>
        <w:gridCol w:w="1610"/>
      </w:tblGrid>
      <w:tr>
        <w:trPr>
          <w:trHeight w:val="427" w:hRule="exact"/>
        </w:trPr>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期权份额（万份）</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期权价值（元）</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期权成本（万元）</w:t>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年（万元）</w:t>
            </w:r>
          </w:p>
        </w:tc>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w:t>
            </w:r>
            <w:r>
              <w:rPr>
                <w:rFonts w:ascii="宋体" w:hAnsi="宋体" w:cs="宋体" w:eastAsia="宋体" w:hint="default"/>
                <w:sz w:val="18"/>
                <w:szCs w:val="18"/>
              </w:rPr>
              <w:t>年（万元）</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年（万元）</w:t>
            </w:r>
          </w:p>
        </w:tc>
      </w:tr>
      <w:tr>
        <w:trPr>
          <w:trHeight w:val="427"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979.58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1.1347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1,111.54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3" w:right="0"/>
              <w:jc w:val="center"/>
              <w:rPr>
                <w:rFonts w:ascii="Times New Roman" w:hAnsi="Times New Roman" w:cs="Times New Roman" w:eastAsia="Times New Roman" w:hint="default"/>
                <w:sz w:val="18"/>
                <w:szCs w:val="18"/>
              </w:rPr>
            </w:pPr>
            <w:r>
              <w:rPr>
                <w:rFonts w:ascii="Times New Roman"/>
                <w:sz w:val="18"/>
              </w:rPr>
              <w:t>588.90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 w:right="0"/>
              <w:jc w:val="center"/>
              <w:rPr>
                <w:rFonts w:ascii="Times New Roman" w:hAnsi="Times New Roman" w:cs="Times New Roman" w:eastAsia="Times New Roman" w:hint="default"/>
                <w:sz w:val="18"/>
                <w:szCs w:val="18"/>
              </w:rPr>
            </w:pPr>
            <w:r>
              <w:rPr>
                <w:rFonts w:ascii="Times New Roman"/>
                <w:sz w:val="18"/>
              </w:rPr>
              <w:t>352.88</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 w:right="0"/>
              <w:jc w:val="center"/>
              <w:rPr>
                <w:rFonts w:ascii="Times New Roman" w:hAnsi="Times New Roman" w:cs="Times New Roman" w:eastAsia="Times New Roman" w:hint="default"/>
                <w:sz w:val="18"/>
                <w:szCs w:val="18"/>
              </w:rPr>
            </w:pPr>
            <w:r>
              <w:rPr>
                <w:rFonts w:ascii="Times New Roman"/>
                <w:sz w:val="18"/>
              </w:rPr>
              <w:t>169.76</w:t>
            </w:r>
          </w:p>
        </w:tc>
      </w:tr>
    </w:tbl>
    <w:p>
      <w:pPr>
        <w:pStyle w:val="Heading5"/>
        <w:spacing w:line="240" w:lineRule="auto" w:before="51"/>
        <w:ind w:left="154" w:right="0"/>
        <w:jc w:val="left"/>
        <w:rPr>
          <w:b w:val="0"/>
          <w:bCs w:val="0"/>
        </w:rPr>
      </w:pPr>
      <w:r>
        <w:rPr/>
        <w:t>股权激励事项临时报告披露网站查询</w:t>
      </w:r>
      <w:r>
        <w:rPr>
          <w:b w:val="0"/>
          <w:bCs w:val="0"/>
        </w:rPr>
      </w:r>
    </w:p>
    <w:p>
      <w:pPr>
        <w:spacing w:line="240" w:lineRule="auto" w:before="1"/>
        <w:rPr>
          <w:rFonts w:ascii="宋体" w:hAnsi="宋体" w:cs="宋体" w:eastAsia="宋体" w:hint="default"/>
          <w:b/>
          <w:bCs/>
          <w:sz w:val="8"/>
          <w:szCs w:val="8"/>
        </w:rPr>
      </w:pPr>
    </w:p>
    <w:tbl>
      <w:tblPr>
        <w:tblW w:w="0" w:type="auto"/>
        <w:jc w:val="left"/>
        <w:tblInd w:w="146" w:type="dxa"/>
        <w:tblLayout w:type="fixed"/>
        <w:tblCellMar>
          <w:top w:w="0" w:type="dxa"/>
          <w:left w:w="0" w:type="dxa"/>
          <w:bottom w:w="0" w:type="dxa"/>
          <w:right w:w="0" w:type="dxa"/>
        </w:tblCellMar>
        <w:tblLook w:val="01E0"/>
      </w:tblPr>
      <w:tblGrid>
        <w:gridCol w:w="3829"/>
        <w:gridCol w:w="1842"/>
        <w:gridCol w:w="3899"/>
      </w:tblGrid>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8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22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051"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1"/>
              <w:jc w:val="both"/>
              <w:rPr>
                <w:rFonts w:ascii="宋体" w:hAnsi="宋体" w:cs="宋体" w:eastAsia="宋体" w:hint="default"/>
                <w:sz w:val="18"/>
                <w:szCs w:val="18"/>
              </w:rPr>
            </w:pPr>
            <w:r>
              <w:rPr>
                <w:rFonts w:ascii="宋体" w:hAnsi="宋体" w:cs="宋体" w:eastAsia="宋体" w:hint="default"/>
                <w:sz w:val="18"/>
                <w:szCs w:val="18"/>
              </w:rPr>
              <w:t>关于调整公司股票期权激励计划首次授予的股票 期权激励对象名单及统一注销部分已授予股权的 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2014-04</w:t>
            </w:r>
            <w:r>
              <w:rPr>
                <w:rFonts w:ascii="宋体" w:hAnsi="宋体" w:cs="宋体" w:eastAsia="宋体" w:hint="default"/>
                <w:sz w:val="18"/>
                <w:szCs w:val="18"/>
              </w:rPr>
              <w:t>）</w:t>
            </w:r>
          </w:p>
        </w:tc>
      </w:tr>
      <w:tr>
        <w:trPr>
          <w:trHeight w:val="42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关于公司股票期权第二期行权期可行权的公告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2014-08</w:t>
            </w:r>
            <w:r>
              <w:rPr>
                <w:rFonts w:ascii="宋体" w:hAnsi="宋体" w:cs="宋体" w:eastAsia="宋体" w:hint="default"/>
                <w:sz w:val="18"/>
                <w:szCs w:val="18"/>
              </w:rPr>
              <w:t>）</w:t>
            </w:r>
          </w:p>
        </w:tc>
      </w:tr>
      <w:tr>
        <w:trPr>
          <w:trHeight w:val="73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1"/>
              <w:jc w:val="left"/>
              <w:rPr>
                <w:rFonts w:ascii="宋体" w:hAnsi="宋体" w:cs="宋体" w:eastAsia="宋体" w:hint="default"/>
                <w:sz w:val="18"/>
                <w:szCs w:val="18"/>
              </w:rPr>
            </w:pPr>
            <w:r>
              <w:rPr>
                <w:rFonts w:ascii="宋体" w:hAnsi="宋体" w:cs="宋体" w:eastAsia="宋体" w:hint="default"/>
                <w:sz w:val="18"/>
                <w:szCs w:val="18"/>
              </w:rPr>
              <w:t>关于首期股票期权激励计划部分已授予股权注销 完成的公告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2014-10</w:t>
            </w:r>
            <w:r>
              <w:rPr>
                <w:rFonts w:ascii="宋体" w:hAnsi="宋体" w:cs="宋体" w:eastAsia="宋体" w:hint="default"/>
                <w:sz w:val="18"/>
                <w:szCs w:val="18"/>
              </w:rPr>
              <w:t>）</w:t>
            </w:r>
          </w:p>
        </w:tc>
      </w:tr>
      <w:tr>
        <w:trPr>
          <w:trHeight w:val="42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关于首期股票期权激励计划第二个行权期采取自</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2014-12</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829"/>
        <w:gridCol w:w="1842"/>
        <w:gridCol w:w="3899"/>
      </w:tblGrid>
      <w:tr>
        <w:trPr>
          <w:trHeight w:val="38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主行权模式的提示性公告</w:t>
            </w:r>
          </w:p>
        </w:tc>
        <w:tc>
          <w:tcPr>
            <w:tcW w:w="1842" w:type="dxa"/>
            <w:tcBorders>
              <w:top w:val="single" w:sz="6" w:space="0" w:color="000000"/>
              <w:left w:val="single" w:sz="6" w:space="0" w:color="000000"/>
              <w:bottom w:val="single" w:sz="6" w:space="0" w:color="000000"/>
              <w:right w:val="single" w:sz="6" w:space="0" w:color="000000"/>
            </w:tcBorders>
          </w:tcPr>
          <w:p>
            <w:pPr/>
          </w:p>
        </w:tc>
        <w:tc>
          <w:tcPr>
            <w:tcW w:w="389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关于调整股票期权行权价格的公告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2014-40</w:t>
            </w:r>
            <w:r>
              <w:rPr>
                <w:rFonts w:ascii="宋体" w:hAnsi="宋体" w:cs="宋体" w:eastAsia="宋体" w:hint="default"/>
                <w:sz w:val="18"/>
                <w:szCs w:val="18"/>
              </w:rPr>
              <w:t>）</w:t>
            </w:r>
          </w:p>
        </w:tc>
      </w:tr>
      <w:tr>
        <w:trPr>
          <w:trHeight w:val="1052"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1"/>
              <w:jc w:val="both"/>
              <w:rPr>
                <w:rFonts w:ascii="宋体" w:hAnsi="宋体" w:cs="宋体" w:eastAsia="宋体" w:hint="default"/>
                <w:sz w:val="18"/>
                <w:szCs w:val="18"/>
              </w:rPr>
            </w:pPr>
            <w:r>
              <w:rPr>
                <w:rFonts w:ascii="宋体" w:hAnsi="宋体" w:cs="宋体" w:eastAsia="宋体" w:hint="default"/>
                <w:sz w:val="18"/>
                <w:szCs w:val="18"/>
              </w:rPr>
              <w:t>关于调整公司股票期权激励计划首次授予的股票 期权激励对象名单及统一注销部分已授予股权的 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2015-04</w:t>
            </w:r>
            <w:r>
              <w:rPr>
                <w:rFonts w:ascii="宋体" w:hAnsi="宋体" w:cs="宋体" w:eastAsia="宋体" w:hint="default"/>
                <w:sz w:val="18"/>
                <w:szCs w:val="18"/>
              </w:rPr>
              <w:t>）</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关于公司股票期权第三期行权期可行权的公告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2015-05</w:t>
            </w:r>
            <w:r>
              <w:rPr>
                <w:rFonts w:ascii="宋体" w:hAnsi="宋体" w:cs="宋体" w:eastAsia="宋体" w:hint="default"/>
                <w:sz w:val="18"/>
                <w:szCs w:val="18"/>
              </w:rPr>
              <w:t>）</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1"/>
              <w:jc w:val="left"/>
              <w:rPr>
                <w:rFonts w:ascii="宋体" w:hAnsi="宋体" w:cs="宋体" w:eastAsia="宋体" w:hint="default"/>
                <w:sz w:val="18"/>
                <w:szCs w:val="18"/>
              </w:rPr>
            </w:pPr>
            <w:r>
              <w:rPr>
                <w:rFonts w:ascii="宋体" w:hAnsi="宋体" w:cs="宋体" w:eastAsia="宋体" w:hint="default"/>
                <w:sz w:val="18"/>
                <w:szCs w:val="18"/>
              </w:rPr>
              <w:t>关于首期股票期权激励计划部分已授予股权注销 完成的公告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2015-07</w:t>
            </w:r>
            <w:r>
              <w:rPr>
                <w:rFonts w:ascii="宋体" w:hAnsi="宋体" w:cs="宋体" w:eastAsia="宋体" w:hint="default"/>
                <w:sz w:val="18"/>
                <w:szCs w:val="18"/>
              </w:rPr>
              <w:t>）</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1"/>
              <w:jc w:val="left"/>
              <w:rPr>
                <w:rFonts w:ascii="宋体" w:hAnsi="宋体" w:cs="宋体" w:eastAsia="宋体" w:hint="default"/>
                <w:sz w:val="18"/>
                <w:szCs w:val="18"/>
              </w:rPr>
            </w:pPr>
            <w:r>
              <w:rPr>
                <w:rFonts w:ascii="宋体" w:hAnsi="宋体" w:cs="宋体" w:eastAsia="宋体" w:hint="default"/>
                <w:sz w:val="18"/>
                <w:szCs w:val="18"/>
              </w:rPr>
              <w:t>关于首期股票期权激励计划第三个行权期采取自 主行权模式的提示性公告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2015-08</w:t>
            </w:r>
            <w:r>
              <w:rPr>
                <w:rFonts w:ascii="宋体" w:hAnsi="宋体" w:cs="宋体" w:eastAsia="宋体"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pStyle w:val="Heading2"/>
        <w:spacing w:line="240" w:lineRule="auto" w:before="26"/>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97"/>
        <w:gridCol w:w="810"/>
        <w:gridCol w:w="810"/>
        <w:gridCol w:w="798"/>
        <w:gridCol w:w="824"/>
        <w:gridCol w:w="808"/>
        <w:gridCol w:w="809"/>
        <w:gridCol w:w="809"/>
        <w:gridCol w:w="809"/>
        <w:gridCol w:w="809"/>
        <w:gridCol w:w="805"/>
        <w:gridCol w:w="671"/>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7" w:right="3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9" w:right="2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3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 w:right="3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情况（如有）</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0"/>
        <w:gridCol w:w="1856"/>
        <w:gridCol w:w="1856"/>
        <w:gridCol w:w="1827"/>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9" w:right="98"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深圳市汇巨信息技术有限 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广州天源信息科技有限公 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69.81</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124.91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69.81</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其中：报告期内公司向控股股东及其子公司销售产品或提供劳务的关联交易金额</w:t>
      </w:r>
      <w:r>
        <w:rPr>
          <w:spacing w:val="-45"/>
        </w:rPr>
        <w:t> </w:t>
      </w:r>
      <w:r>
        <w:rPr>
          <w:rFonts w:ascii="Times New Roman" w:hAnsi="Times New Roman" w:cs="Times New Roman" w:eastAsia="Times New Roman" w:hint="default"/>
        </w:rPr>
        <w:t>0 </w:t>
      </w:r>
      <w:r>
        <w:rPr/>
        <w:t>万元。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2"/>
        <w:gridCol w:w="947"/>
        <w:gridCol w:w="953"/>
        <w:gridCol w:w="1229"/>
        <w:gridCol w:w="1195"/>
        <w:gridCol w:w="1107"/>
        <w:gridCol w:w="1033"/>
        <w:gridCol w:w="815"/>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1"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4"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8"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深圳市金华威数码 科技有限公司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合肥天源迪科信息 技术有限公司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上海天缘迪柯信息 技术有限公司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35,800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40,650</w:t>
            </w:r>
          </w:p>
        </w:tc>
      </w:tr>
      <w:tr>
        <w:trPr>
          <w:trHeight w:val="720"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24,258</w:t>
            </w:r>
          </w:p>
        </w:tc>
      </w:tr>
      <w:tr>
        <w:trPr>
          <w:trHeight w:val="396"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35,800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40,650</w:t>
            </w:r>
          </w:p>
        </w:tc>
      </w:tr>
      <w:tr>
        <w:trPr>
          <w:trHeight w:val="715"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24,258</w:t>
            </w:r>
          </w:p>
        </w:tc>
      </w:tr>
      <w:tr>
        <w:trPr>
          <w:trHeight w:val="407"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w:t>
            </w:r>
          </w:p>
        </w:tc>
      </w:tr>
      <w:tr>
        <w:trPr>
          <w:trHeight w:val="39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公司报告期无违规对外担保情况。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23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2" w:lineRule="auto"/>
              <w:ind w:left="16"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、陈友、陈鲁 </w:t>
            </w:r>
            <w:r>
              <w:rPr>
                <w:rFonts w:ascii="宋体" w:hAnsi="宋体" w:cs="宋体" w:eastAsia="宋体" w:hint="default"/>
                <w:spacing w:val="-7"/>
                <w:sz w:val="18"/>
                <w:szCs w:val="18"/>
              </w:rPr>
              <w:t>康、谢晓宾、李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谦益、杨文庆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、陈友、陈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鲁康、谢晓宾、 </w:t>
            </w:r>
            <w:r>
              <w:rPr>
                <w:rFonts w:ascii="宋体" w:hAnsi="宋体" w:cs="宋体" w:eastAsia="宋体" w:hint="default"/>
                <w:spacing w:val="-6"/>
                <w:sz w:val="18"/>
                <w:szCs w:val="18"/>
              </w:rPr>
              <w:t>李谦益、杨文庆</w:t>
            </w:r>
          </w:p>
        </w:tc>
        <w:tc>
          <w:tcPr>
            <w:tcW w:w="1278" w:type="dxa"/>
            <w:vMerge w:val="restart"/>
            <w:tcBorders>
              <w:top w:val="single" w:sz="4" w:space="0" w:color="000000"/>
              <w:left w:val="single" w:sz="13" w:space="0" w:color="FFFFFF"/>
              <w:right w:val="single" w:sz="4" w:space="0" w:color="000000"/>
            </w:tcBorders>
          </w:tcPr>
          <w:p>
            <w:pPr>
              <w:pStyle w:val="TableParagraph"/>
              <w:spacing w:line="316" w:lineRule="auto" w:before="52"/>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、避免同业竞 </w:t>
            </w:r>
            <w:r>
              <w:rPr>
                <w:rFonts w:ascii="宋体" w:hAnsi="宋体" w:cs="宋体" w:eastAsia="宋体" w:hint="default"/>
                <w:spacing w:val="-6"/>
                <w:sz w:val="18"/>
                <w:szCs w:val="18"/>
              </w:rPr>
              <w:t>争承诺：承诺在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持有公司股份 </w:t>
            </w:r>
            <w:r>
              <w:rPr>
                <w:rFonts w:ascii="宋体" w:hAnsi="宋体" w:cs="宋体" w:eastAsia="宋体" w:hint="default"/>
                <w:spacing w:val="-6"/>
                <w:sz w:val="18"/>
                <w:szCs w:val="18"/>
              </w:rPr>
              <w:t>期间，不会以任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何形式从事对 公司的生产经 营构成或可能 构成同业竞争 的业务和经营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公司股票上市 之日起</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4" w:lineRule="auto"/>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、严格履行承 诺。</w:t>
            </w:r>
            <w:r>
              <w:rPr>
                <w:rFonts w:ascii="Times New Roman" w:hAnsi="Times New Roman" w:cs="Times New Roman" w:eastAsia="Times New Roman" w:hint="default"/>
                <w:sz w:val="18"/>
                <w:szCs w:val="18"/>
              </w:rPr>
              <w:t>2</w:t>
            </w:r>
            <w:r>
              <w:rPr>
                <w:rFonts w:ascii="宋体" w:hAnsi="宋体" w:cs="宋体" w:eastAsia="宋体" w:hint="default"/>
                <w:sz w:val="18"/>
                <w:szCs w:val="18"/>
              </w:rPr>
              <w:t>、严格履 </w:t>
            </w:r>
            <w:r>
              <w:rPr>
                <w:rFonts w:ascii="宋体" w:hAnsi="宋体" w:cs="宋体" w:eastAsia="宋体" w:hint="default"/>
                <w:spacing w:val="-7"/>
                <w:sz w:val="18"/>
                <w:szCs w:val="18"/>
              </w:rPr>
              <w:t>行承诺，谢晓宾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9"/>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日起不再担 </w:t>
            </w:r>
            <w:r>
              <w:rPr>
                <w:rFonts w:ascii="宋体" w:hAnsi="宋体" w:cs="宋体" w:eastAsia="宋体" w:hint="default"/>
                <w:spacing w:val="-7"/>
                <w:sz w:val="18"/>
                <w:szCs w:val="18"/>
              </w:rPr>
              <w:t>任高管职务，仍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担任公司董事。</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9" w:space="0" w:color="D2D2D2"/>
              <w:right w:val="single" w:sz="13" w:space="0" w:color="FFFFFF"/>
            </w:tcBorders>
          </w:tcPr>
          <w:p>
            <w:pPr/>
          </w:p>
        </w:tc>
        <w:tc>
          <w:tcPr>
            <w:tcW w:w="1278" w:type="dxa"/>
            <w:vMerge/>
            <w:tcBorders>
              <w:left w:val="single" w:sz="13" w:space="0" w:color="FFFFFF"/>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1232"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13" w:space="0" w:color="FFFFFF"/>
            </w:tcBorders>
          </w:tcPr>
          <w:p>
            <w:pPr/>
          </w:p>
        </w:tc>
        <w:tc>
          <w:tcPr>
            <w:tcW w:w="1278" w:type="dxa"/>
            <w:vMerge/>
            <w:tcBorders>
              <w:left w:val="single" w:sz="13" w:space="0" w:color="FFFFFF"/>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140015pt;margin-top:72.47998pt;width:69.5pt;height:438.9pt;mso-position-horizontal-relative:page;mso-position-vertical-relative:page;z-index:-1020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878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
              <w:jc w:val="left"/>
              <w:rPr>
                <w:rFonts w:ascii="宋体" w:hAnsi="宋体" w:cs="宋体" w:eastAsia="宋体" w:hint="default"/>
                <w:sz w:val="18"/>
                <w:szCs w:val="18"/>
              </w:rPr>
            </w:pPr>
            <w:r>
              <w:rPr>
                <w:rFonts w:ascii="宋体" w:hAnsi="宋体" w:cs="宋体" w:eastAsia="宋体" w:hint="default"/>
                <w:spacing w:val="-6"/>
                <w:sz w:val="18"/>
                <w:szCs w:val="18"/>
              </w:rPr>
              <w:t>活动，也不会以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任何方式为公 司的竞争企业 提供任何资金、 业务及技术等 </w:t>
            </w:r>
            <w:r>
              <w:rPr>
                <w:rFonts w:ascii="宋体" w:hAnsi="宋体" w:cs="宋体" w:eastAsia="宋体" w:hint="default"/>
                <w:spacing w:val="-6"/>
                <w:sz w:val="18"/>
                <w:szCs w:val="18"/>
              </w:rPr>
              <w:t>方面的帮助。</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高管承诺：担任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公司董事、高级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管理人员的股 东陈友、陈鲁 </w:t>
            </w:r>
            <w:r>
              <w:rPr>
                <w:rFonts w:ascii="宋体" w:hAnsi="宋体" w:cs="宋体" w:eastAsia="宋体" w:hint="default"/>
                <w:spacing w:val="-6"/>
                <w:sz w:val="18"/>
                <w:szCs w:val="18"/>
              </w:rPr>
              <w:t>康、李谦益、谢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晓宾以及担任 董事的股东吴 </w:t>
            </w:r>
            <w:r>
              <w:rPr>
                <w:rFonts w:ascii="宋体" w:hAnsi="宋体" w:cs="宋体" w:eastAsia="宋体" w:hint="default"/>
                <w:spacing w:val="-6"/>
                <w:sz w:val="18"/>
                <w:szCs w:val="18"/>
              </w:rPr>
              <w:t>志东、杨文庆还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承诺：除前述锁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定期外，在其任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职期间每年转 让的股份不得 超过其所持有 本公司股份总 数的百分之二 </w:t>
            </w:r>
            <w:r>
              <w:rPr>
                <w:rFonts w:ascii="宋体" w:hAnsi="宋体" w:cs="宋体" w:eastAsia="宋体" w:hint="default"/>
                <w:spacing w:val="-6"/>
                <w:sz w:val="18"/>
                <w:szCs w:val="18"/>
              </w:rPr>
              <w:t>十五；离职后半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年内，不转让其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所持有的本公 </w:t>
            </w:r>
            <w:r>
              <w:rPr>
                <w:rFonts w:ascii="宋体" w:hAnsi="宋体" w:cs="宋体" w:eastAsia="宋体" w:hint="default"/>
                <w:spacing w:val="-6"/>
                <w:sz w:val="18"/>
                <w:szCs w:val="18"/>
              </w:rPr>
              <w:t>司股份。上述承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诺期限届满后， 上述股份可以 上市流通。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877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5"/>
                <w:sz w:val="20"/>
                <w:szCs w:val="20"/>
              </w:rPr>
              <w:pict>
                <v:group style="width:63.4pt;height:438.9pt;mso-position-horizontal-relative:char;mso-position-vertical-relative:line" coordorigin="0,0" coordsize="1268,8778">
                  <v:group style="position:absolute;left:0;top:0;width:1268;height:8778" coordorigin="0,0" coordsize="1268,8778">
                    <v:shape style="position:absolute;left:0;top:0;width:1268;height:8778" coordorigin="0,0" coordsize="1268,8778" path="m0,8778l1268,8778,1268,0,0,0,0,8778xe" filled="true" fillcolor="#ffffff" stroked="false">
                      <v:path arrowok="t"/>
                      <v:fill type="solid"/>
                    </v:shape>
                  </v:group>
                </v:group>
              </w:pict>
            </w:r>
            <w:r>
              <w:rPr>
                <w:rFonts w:ascii="Times New Roman" w:hAnsi="Times New Roman" w:cs="Times New Roman" w:eastAsia="Times New Roman" w:hint="default"/>
                <w:position w:val="-175"/>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9"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、陈友、陈鲁 </w:t>
            </w:r>
            <w:r>
              <w:rPr>
                <w:rFonts w:ascii="宋体" w:hAnsi="宋体" w:cs="宋体" w:eastAsia="宋体" w:hint="default"/>
                <w:spacing w:val="-7"/>
                <w:sz w:val="18"/>
                <w:szCs w:val="18"/>
              </w:rPr>
              <w:t>康、李谦益、谢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晓宾、杨文庆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、公司全体董 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、保持公司控 制权和经营决 策稳定的承诺： 承诺未来股东 大会议案如涉 及公司重大生 </w:t>
            </w:r>
            <w:r>
              <w:rPr>
                <w:rFonts w:ascii="宋体" w:hAnsi="宋体" w:cs="宋体" w:eastAsia="宋体" w:hint="default"/>
                <w:spacing w:val="-6"/>
                <w:sz w:val="18"/>
                <w:szCs w:val="18"/>
              </w:rPr>
              <w:t>产经营决策，在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进行投票表决 </w:t>
            </w:r>
            <w:r>
              <w:rPr>
                <w:rFonts w:ascii="宋体" w:hAnsi="宋体" w:cs="宋体" w:eastAsia="宋体" w:hint="default"/>
                <w:spacing w:val="-19"/>
                <w:sz w:val="18"/>
                <w:szCs w:val="18"/>
              </w:rPr>
              <w:t>时保证：（</w:t>
            </w: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公司发展战略、</w:t>
            </w:r>
            <w:r>
              <w:rPr>
                <w:rFonts w:ascii="宋体" w:hAnsi="宋体" w:cs="宋体" w:eastAsia="宋体" w:hint="default"/>
                <w:sz w:val="18"/>
                <w:szCs w:val="18"/>
              </w:rPr>
              <w:t> </w:t>
            </w:r>
            <w:r>
              <w:rPr>
                <w:rFonts w:ascii="宋体" w:hAnsi="宋体" w:cs="宋体" w:eastAsia="宋体" w:hint="default"/>
                <w:spacing w:val="-6"/>
                <w:sz w:val="18"/>
                <w:szCs w:val="18"/>
              </w:rPr>
              <w:t>发展目标、发展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规划、未来发展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方向等方面，严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格遵守招股说 明书第十二节</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未来发展与规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2"/>
              <w:jc w:val="left"/>
              <w:rPr>
                <w:rFonts w:ascii="宋体" w:hAnsi="宋体" w:cs="宋体" w:eastAsia="宋体" w:hint="default"/>
                <w:sz w:val="18"/>
                <w:szCs w:val="18"/>
              </w:rPr>
            </w:pPr>
            <w:r>
              <w:rPr>
                <w:rFonts w:ascii="宋体" w:hAnsi="宋体" w:cs="宋体" w:eastAsia="宋体" w:hint="default"/>
                <w:sz w:val="18"/>
                <w:szCs w:val="18"/>
              </w:rPr>
              <w:t>公司股票上市 之日起。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15"/>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一节的有关</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6"/>
                <w:sz w:val="18"/>
                <w:szCs w:val="18"/>
              </w:rPr>
              <w:t>内容，且不改变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公司既定的发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展战略、发展目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标、发展规划、</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未来发展方向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公司未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来将专注于目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前的主营业务，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即电信、公安应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用软件产品的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开发、生产和销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售，计算机软、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硬件系统集成，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技术支持与服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务，公司未来不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改变主营业务。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继续贯彻执行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目前既定的生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产经营策略，在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研发方面，按照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行业内技术发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展的趋势组织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研发工作，在销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售方面，继续执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行服务式营销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策略</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0"/>
                <w:sz w:val="18"/>
                <w:szCs w:val="18"/>
              </w:rPr>
              <w:t>）</w:t>
            </w:r>
            <w:r>
              <w:rPr>
                <w:rFonts w:ascii="宋体" w:hAnsi="宋体" w:cs="宋体" w:eastAsia="宋体" w:hint="default"/>
                <w:sz w:val="18"/>
                <w:szCs w:val="18"/>
              </w:rPr>
              <w:t>在未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来提名董事及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对董事人选进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行投票表决时，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将董事是否同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意不改变公司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既定的发展战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略、发展目标、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发展规划、未来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发展方向、主营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业务、生产经营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策略等作为前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提条件。</w:t>
            </w:r>
            <w:r>
              <w:rPr>
                <w:rFonts w:ascii="Times New Roman" w:hAnsi="Times New Roman" w:cs="Times New Roman" w:eastAsia="Times New Roman" w:hint="default"/>
                <w:sz w:val="18"/>
                <w:szCs w:val="18"/>
              </w:rPr>
              <w:t>4</w:t>
            </w:r>
            <w:r>
              <w:rPr>
                <w:rFonts w:ascii="宋体" w:hAnsi="宋体" w:cs="宋体" w:eastAsia="宋体" w:hint="default"/>
                <w:sz w:val="18"/>
                <w:szCs w:val="18"/>
              </w:rPr>
              <w:t>、保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持公司经营决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策不因股权分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散发生重大变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化的承诺：承诺</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12844"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在任职期间内， 董事会议案如 涉及公司重大 生产经营决策， 在进行投票表 </w:t>
            </w:r>
            <w:r>
              <w:rPr>
                <w:rFonts w:ascii="宋体" w:hAnsi="宋体" w:cs="宋体" w:eastAsia="宋体" w:hint="default"/>
                <w:spacing w:val="-12"/>
                <w:sz w:val="18"/>
                <w:szCs w:val="18"/>
              </w:rPr>
              <w:t>决时保证：（</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在公司发展战 略、发展目标、 </w:t>
            </w:r>
            <w:r>
              <w:rPr>
                <w:rFonts w:ascii="宋体" w:hAnsi="宋体" w:cs="宋体" w:eastAsia="宋体" w:hint="default"/>
                <w:spacing w:val="-6"/>
                <w:sz w:val="18"/>
                <w:szCs w:val="18"/>
              </w:rPr>
              <w:t>发展规划、未来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发展方向等方 </w:t>
            </w:r>
            <w:r>
              <w:rPr>
                <w:rFonts w:ascii="宋体" w:hAnsi="宋体" w:cs="宋体" w:eastAsia="宋体" w:hint="default"/>
                <w:spacing w:val="-6"/>
                <w:sz w:val="18"/>
                <w:szCs w:val="18"/>
              </w:rPr>
              <w:t>面，严格遵守招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股说明书第十 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未来发展 与规划</w:t>
            </w:r>
            <w:r>
              <w:rPr>
                <w:rFonts w:ascii="Times New Roman" w:hAnsi="Times New Roman" w:cs="Times New Roman" w:eastAsia="Times New Roman" w:hint="default"/>
                <w:sz w:val="18"/>
                <w:szCs w:val="18"/>
              </w:rPr>
              <w:t>"</w:t>
            </w:r>
            <w:r>
              <w:rPr>
                <w:rFonts w:ascii="宋体" w:hAnsi="宋体" w:cs="宋体" w:eastAsia="宋体" w:hint="default"/>
                <w:sz w:val="18"/>
                <w:szCs w:val="18"/>
              </w:rPr>
              <w:t>一节的 </w:t>
            </w:r>
            <w:r>
              <w:rPr>
                <w:rFonts w:ascii="宋体" w:hAnsi="宋体" w:cs="宋体" w:eastAsia="宋体" w:hint="default"/>
                <w:spacing w:val="-6"/>
                <w:sz w:val="18"/>
                <w:szCs w:val="18"/>
              </w:rPr>
              <w:t>有关内容，且不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改变公司的既 定的发展战略、 </w:t>
            </w:r>
            <w:r>
              <w:rPr>
                <w:rFonts w:ascii="宋体" w:hAnsi="宋体" w:cs="宋体" w:eastAsia="宋体" w:hint="default"/>
                <w:spacing w:val="-6"/>
                <w:sz w:val="18"/>
                <w:szCs w:val="18"/>
              </w:rPr>
              <w:t>发展目标、发展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规划、未来发展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方向等。（</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司未来将专注</w:t>
            </w:r>
            <w:r>
              <w:rPr>
                <w:rFonts w:ascii="宋体" w:hAnsi="宋体" w:cs="宋体" w:eastAsia="宋体" w:hint="default"/>
                <w:sz w:val="18"/>
                <w:szCs w:val="18"/>
              </w:rPr>
              <w:t> 于目前的主营 业务，即电信、 公安应用软件 </w:t>
            </w:r>
            <w:r>
              <w:rPr>
                <w:rFonts w:ascii="宋体" w:hAnsi="宋体" w:cs="宋体" w:eastAsia="宋体" w:hint="default"/>
                <w:spacing w:val="-6"/>
                <w:sz w:val="18"/>
                <w:szCs w:val="18"/>
              </w:rPr>
              <w:t>产品的开发、生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产和销售，计算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机软、硬件系统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集成，技术支持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与服务，公司未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来不改变主营 </w:t>
            </w:r>
            <w:r>
              <w:rPr>
                <w:rFonts w:ascii="宋体" w:hAnsi="宋体" w:cs="宋体" w:eastAsia="宋体" w:hint="default"/>
                <w:spacing w:val="-17"/>
                <w:sz w:val="18"/>
                <w:szCs w:val="18"/>
              </w:rPr>
              <w:t>业务。（</w:t>
            </w: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未来继续贯彻 执行目前既定 的生产经营策 略，在研发方 </w:t>
            </w:r>
            <w:r>
              <w:rPr>
                <w:rFonts w:ascii="宋体" w:hAnsi="宋体" w:cs="宋体" w:eastAsia="宋体" w:hint="default"/>
                <w:spacing w:val="-6"/>
                <w:sz w:val="18"/>
                <w:szCs w:val="18"/>
              </w:rPr>
              <w:t>面，按照行业内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技术发展的趋 势组织研发工 作，在销售方 </w:t>
            </w:r>
            <w:r>
              <w:rPr>
                <w:rFonts w:ascii="宋体" w:hAnsi="宋体" w:cs="宋体" w:eastAsia="宋体" w:hint="default"/>
                <w:spacing w:val="-6"/>
                <w:sz w:val="18"/>
                <w:szCs w:val="18"/>
              </w:rPr>
              <w:t>面，继续执行服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务式营销策略。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、全体董事、 </w:t>
            </w:r>
            <w:r>
              <w:rPr>
                <w:rFonts w:ascii="宋体" w:hAnsi="宋体" w:cs="宋体" w:eastAsia="宋体" w:hint="default"/>
                <w:spacing w:val="-6"/>
                <w:sz w:val="18"/>
                <w:szCs w:val="18"/>
              </w:rPr>
              <w:t>监事、高级管理</w:t>
            </w:r>
            <w:r>
              <w:rPr>
                <w:rFonts w:ascii="宋体" w:hAnsi="宋体" w:cs="宋体" w:eastAsia="宋体" w:hint="default"/>
                <w:sz w:val="18"/>
                <w:szCs w:val="18"/>
              </w:rPr>
              <w:t> 人员</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、在其任职期 间每年转让的 股份不得超过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公司股票上市 之日起。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15"/>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94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其所持有本公 司股份总数的 百分之二十五； 离职后半年内， 不转让其所持 有的本公司股 </w:t>
            </w:r>
            <w:r>
              <w:rPr>
                <w:rFonts w:ascii="宋体" w:hAnsi="宋体" w:cs="宋体" w:eastAsia="宋体" w:hint="default"/>
                <w:spacing w:val="-6"/>
                <w:sz w:val="18"/>
                <w:szCs w:val="18"/>
              </w:rPr>
              <w:t>份。本人若在首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次公开发行股 票上市之日起 </w:t>
            </w:r>
            <w:r>
              <w:rPr>
                <w:rFonts w:ascii="宋体" w:hAnsi="宋体" w:cs="宋体" w:eastAsia="宋体" w:hint="default"/>
                <w:spacing w:val="-6"/>
                <w:sz w:val="18"/>
                <w:szCs w:val="18"/>
              </w:rPr>
              <w:t>六个月内（含六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个月）申报离 </w:t>
            </w:r>
            <w:r>
              <w:rPr>
                <w:rFonts w:ascii="宋体" w:hAnsi="宋体" w:cs="宋体" w:eastAsia="宋体" w:hint="default"/>
                <w:spacing w:val="-6"/>
                <w:sz w:val="18"/>
                <w:szCs w:val="18"/>
              </w:rPr>
              <w:t>职，将自申报离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职之日起十八 </w:t>
            </w:r>
            <w:r>
              <w:rPr>
                <w:rFonts w:ascii="宋体" w:hAnsi="宋体" w:cs="宋体" w:eastAsia="宋体" w:hint="default"/>
                <w:spacing w:val="-6"/>
                <w:sz w:val="18"/>
                <w:szCs w:val="18"/>
              </w:rPr>
              <w:t>个月（含第十八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本人直接持有 的本公司股份； 本人若在首次 公开发行股票 上市之日起第 七个月至第十 </w:t>
            </w:r>
            <w:r>
              <w:rPr>
                <w:rFonts w:ascii="宋体" w:hAnsi="宋体" w:cs="宋体" w:eastAsia="宋体" w:hint="default"/>
                <w:spacing w:val="-6"/>
                <w:sz w:val="18"/>
                <w:szCs w:val="18"/>
              </w:rPr>
              <w:t>二个月（含第七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个月、第十二个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月）之间申报离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职，将自申报离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职之日起十二 </w:t>
            </w:r>
            <w:r>
              <w:rPr>
                <w:rFonts w:ascii="宋体" w:hAnsi="宋体" w:cs="宋体" w:eastAsia="宋体" w:hint="default"/>
                <w:spacing w:val="-6"/>
                <w:sz w:val="18"/>
                <w:szCs w:val="18"/>
              </w:rPr>
              <w:t>个月内（含第十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二个月）不转让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本人直接持有 的本公司股份。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周俊祥、陈勇</w:t>
            </w:r>
          </w:p>
        </w:tc>
      </w:tr>
    </w:tbl>
    <w:p>
      <w:pPr>
        <w:pStyle w:val="BodyText"/>
        <w:spacing w:line="240" w:lineRule="auto" w:before="51"/>
        <w:ind w:right="0"/>
        <w:jc w:val="left"/>
      </w:pPr>
      <w:r>
        <w:rPr/>
        <w:t>是否改聘会计师事务所</w:t>
      </w:r>
    </w:p>
    <w:p>
      <w:pPr>
        <w:pStyle w:val="BodyText"/>
        <w:spacing w:line="338" w:lineRule="auto" w:before="117"/>
        <w:ind w:right="8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原聘任的会计事务所</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瑞华会计师事务所（特殊普通合伙）深圳分所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朱子武、叶庚波</w:t>
            </w:r>
          </w:p>
        </w:tc>
      </w:tr>
    </w:tbl>
    <w:p>
      <w:pPr>
        <w:pStyle w:val="BodyText"/>
        <w:spacing w:line="240" w:lineRule="auto" w:before="51"/>
        <w:ind w:right="0"/>
        <w:jc w:val="left"/>
      </w:pPr>
      <w:r>
        <w:rPr/>
        <w:t>是否在审计期间改聘会计师事务所</w:t>
      </w:r>
    </w:p>
    <w:p>
      <w:pPr>
        <w:pStyle w:val="BodyText"/>
        <w:spacing w:line="338" w:lineRule="auto" w:before="117"/>
        <w:ind w:right="68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40" w:lineRule="auto" w:before="42"/>
        <w:ind w:right="70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04" w:lineRule="auto" w:before="39"/>
        <w:ind w:right="153" w:firstLine="506"/>
        <w:jc w:val="both"/>
      </w:pP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6</w:t>
      </w:r>
      <w:r>
        <w:rPr>
          <w:spacing w:val="-1"/>
        </w:rPr>
        <w:t>日召开第三届董事会第十次会议，审议通过了《关于更换会计师事务所的议案》，公司原审计机构</w:t>
      </w:r>
      <w:r>
        <w:rPr/>
        <w:t> </w:t>
      </w:r>
      <w:r>
        <w:rPr>
          <w:spacing w:val="-2"/>
        </w:rPr>
        <w:t>瑞华会计师事务所（特殊普通合伙），在执业过程中坚持独立审计原则，客观、公正、公允地反映公司财务状况，切实履行</w:t>
      </w:r>
      <w:r>
        <w:rPr>
          <w:spacing w:val="-72"/>
        </w:rPr>
        <w:t> </w:t>
      </w:r>
      <w:r>
        <w:rPr>
          <w:spacing w:val="-72"/>
        </w:rPr>
      </w:r>
      <w:r>
        <w:rPr/>
        <w:t>了审计机构应尽的职责，从专业角度维护了公司及其股东的合法权益。因其审计团队已经连续</w:t>
      </w:r>
      <w:r>
        <w:rPr>
          <w:rFonts w:ascii="Times New Roman" w:hAnsi="Times New Roman" w:cs="Times New Roman" w:eastAsia="Times New Roman" w:hint="default"/>
        </w:rPr>
        <w:t>7</w:t>
      </w:r>
      <w:r>
        <w:rPr/>
        <w:t>年为公司提供审计服务，为 保证上市公司的审计独立性，经公司审计委员会审核通过，全体独立董事事前认可，公司拟聘请立信会计师事务所</w:t>
      </w:r>
      <w:r>
        <w:rPr>
          <w:rFonts w:ascii="Times New Roman" w:hAnsi="Times New Roman" w:cs="Times New Roman" w:eastAsia="Times New Roman" w:hint="default"/>
        </w:rPr>
        <w:t>(</w:t>
      </w:r>
      <w:r>
        <w:rPr/>
        <w:t>特殊普 通合伙</w:t>
      </w:r>
      <w:r>
        <w:rPr>
          <w:rFonts w:ascii="Times New Roman" w:hAnsi="Times New Roman" w:cs="Times New Roman" w:eastAsia="Times New Roman" w:hint="default"/>
        </w:rPr>
        <w:t>)</w:t>
      </w:r>
      <w:r>
        <w:rPr/>
        <w:t>为</w:t>
      </w:r>
      <w:r>
        <w:rPr>
          <w:rFonts w:ascii="Times New Roman" w:hAnsi="Times New Roman" w:cs="Times New Roman" w:eastAsia="Times New Roman" w:hint="default"/>
        </w:rPr>
        <w:t>2014</w:t>
      </w:r>
      <w:r>
        <w:rPr/>
        <w:t>年度公司财务审计机构，聘任期为一年。该议案已经</w:t>
      </w:r>
      <w:r>
        <w:rPr>
          <w:rFonts w:ascii="Times New Roman" w:hAnsi="Times New Roman" w:cs="Times New Roman" w:eastAsia="Times New Roman" w:hint="default"/>
        </w:rPr>
        <w:t>2014</w:t>
      </w:r>
      <w:r>
        <w:rPr/>
        <w:t>年第一次临时股东大会审议通过。</w:t>
      </w:r>
    </w:p>
    <w:p>
      <w:pPr>
        <w:spacing w:line="240" w:lineRule="auto" w:before="0"/>
        <w:rPr>
          <w:rFonts w:ascii="宋体" w:hAnsi="宋体" w:cs="宋体" w:eastAsia="宋体" w:hint="default"/>
          <w:sz w:val="20"/>
          <w:szCs w:val="20"/>
        </w:rPr>
      </w:pPr>
    </w:p>
    <w:p>
      <w:pPr>
        <w:pStyle w:val="Heading2"/>
        <w:spacing w:line="240" w:lineRule="auto"/>
        <w:ind w:right="215"/>
        <w:jc w:val="left"/>
        <w:rPr>
          <w:b w:val="0"/>
          <w:bCs w:val="0"/>
        </w:rPr>
      </w:pP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38" w:lineRule="auto" w:before="43"/>
        <w:ind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after="0" w:line="3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107,680,3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34.11%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273,000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-15,051,04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-14,778,04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92,902,31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29.10%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107,680,3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34.11%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273,000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-15,051,04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-14,778,04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92,902,31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29.10%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107,680,3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34.11%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273,000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-15,051,04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-14,778,04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92,902,31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29.10%</w:t>
            </w:r>
          </w:p>
        </w:tc>
      </w:tr>
      <w:tr>
        <w:trPr>
          <w:trHeight w:val="39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65.89%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3,260,400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15,051,04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70.90%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65.89%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3,260,400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15,051,04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70.90%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315,688,3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3,533,400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3,533,400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因公司股票期权激励计划第二期行权实施，截止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日，累计行权</w:t>
      </w:r>
      <w:r>
        <w:rPr>
          <w:rFonts w:ascii="Times New Roman" w:hAnsi="Times New Roman" w:cs="Times New Roman" w:eastAsia="Times New Roman" w:hint="default"/>
          <w:spacing w:val="-2"/>
        </w:rPr>
        <w:t>3,533,400</w:t>
      </w:r>
      <w:r>
        <w:rPr>
          <w:spacing w:val="-2"/>
        </w:rPr>
        <w:t>股，行权股份来源为公司向激励对象定</w:t>
      </w:r>
      <w:r>
        <w:rPr>
          <w:spacing w:val="-50"/>
        </w:rPr>
        <w:t> </w:t>
      </w:r>
      <w:r>
        <w:rPr>
          <w:spacing w:val="-50"/>
        </w:rPr>
      </w:r>
      <w:r>
        <w:rPr/>
        <w:t>向发行新股，故公司股本增加至</w:t>
      </w:r>
      <w:r>
        <w:rPr>
          <w:rFonts w:ascii="Times New Roman" w:hAnsi="Times New Roman" w:cs="Times New Roman" w:eastAsia="Times New Roman" w:hint="default"/>
        </w:rPr>
        <w:t>319,221,700</w:t>
      </w:r>
      <w:r>
        <w:rPr/>
        <w:t>股。</w:t>
      </w:r>
    </w:p>
    <w:p>
      <w:pPr>
        <w:spacing w:after="0" w:line="319"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股份变动的批准情况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40" w:firstLine="506"/>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日，公司第三届董事会第七次会议审议通过了《关于股票期权激励计划首期授予的股票期权第二个行权期</w:t>
      </w:r>
      <w:r>
        <w:rPr/>
        <w:t> 可行权的议案》，同意</w:t>
      </w:r>
      <w:r>
        <w:rPr>
          <w:rFonts w:ascii="Times New Roman" w:hAnsi="Times New Roman" w:cs="Times New Roman" w:eastAsia="Times New Roman" w:hint="default"/>
        </w:rPr>
        <w:t>100</w:t>
      </w:r>
      <w:r>
        <w:rPr/>
        <w:t>名符合条件的激励对象在第二个行权期内行权。</w:t>
      </w:r>
    </w:p>
    <w:p>
      <w:pPr>
        <w:pStyle w:val="BodyText"/>
        <w:spacing w:line="240" w:lineRule="auto" w:before="54"/>
        <w:ind w:right="0"/>
        <w:jc w:val="left"/>
      </w:pPr>
      <w:r>
        <w:rPr/>
        <w:t>股份变动的过户情况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、经瑞华会计师事务所（特殊普通合伙）于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日出具的验资报告（瑞华验字</w:t>
      </w:r>
      <w:r>
        <w:rPr>
          <w:rFonts w:ascii="Times New Roman" w:hAnsi="Times New Roman" w:cs="Times New Roman" w:eastAsia="Times New Roman" w:hint="default"/>
        </w:rPr>
        <w:t>[2014]48310004</w:t>
      </w:r>
      <w:r>
        <w:rPr/>
        <w:t>号），截止</w:t>
      </w:r>
      <w:r>
        <w:rPr>
          <w:rFonts w:ascii="Times New Roman" w:hAnsi="Times New Roman" w:cs="Times New Roman" w:eastAsia="Times New Roman" w:hint="default"/>
        </w:rPr>
        <w:t>2014</w:t>
      </w:r>
    </w:p>
    <w:p>
      <w:pPr>
        <w:pStyle w:val="BodyText"/>
        <w:spacing w:line="240" w:lineRule="auto" w:before="64"/>
        <w:ind w:right="0"/>
        <w:jc w:val="left"/>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日，公司注册资本变更为人民币</w:t>
      </w:r>
      <w:r>
        <w:rPr>
          <w:rFonts w:ascii="Times New Roman" w:hAnsi="Times New Roman" w:cs="Times New Roman" w:eastAsia="Times New Roman" w:hint="default"/>
        </w:rPr>
        <w:t>318,258,207</w:t>
      </w:r>
      <w:r>
        <w:rPr/>
        <w:t>元，实收资本为人民币币</w:t>
      </w:r>
      <w:r>
        <w:rPr>
          <w:rFonts w:ascii="Times New Roman" w:hAnsi="Times New Roman" w:cs="Times New Roman" w:eastAsia="Times New Roman" w:hint="default"/>
        </w:rPr>
        <w:t>318,258,207</w:t>
      </w:r>
      <w:r>
        <w:rPr/>
        <w:t>元。</w:t>
      </w:r>
    </w:p>
    <w:p>
      <w:pPr>
        <w:pStyle w:val="BodyText"/>
        <w:spacing w:line="302" w:lineRule="auto" w:before="101"/>
        <w:ind w:right="0" w:firstLine="360"/>
        <w:jc w:val="left"/>
      </w:pPr>
      <w:r>
        <w:rPr>
          <w:rFonts w:ascii="Times New Roman" w:hAnsi="Times New Roman" w:cs="Times New Roman" w:eastAsia="Times New Roman" w:hint="default"/>
          <w:spacing w:val="-1"/>
        </w:rPr>
        <w:t>2</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日止，本公司注册资本为</w:t>
      </w:r>
      <w:r>
        <w:rPr>
          <w:rFonts w:ascii="Times New Roman" w:hAnsi="Times New Roman" w:cs="Times New Roman" w:eastAsia="Times New Roman" w:hint="default"/>
          <w:spacing w:val="-1"/>
        </w:rPr>
        <w:t>318,258,207</w:t>
      </w:r>
      <w:r>
        <w:rPr>
          <w:spacing w:val="-1"/>
        </w:rPr>
        <w:t>元，实收资本为</w:t>
      </w:r>
      <w:r>
        <w:rPr>
          <w:rFonts w:ascii="Times New Roman" w:hAnsi="Times New Roman" w:cs="Times New Roman" w:eastAsia="Times New Roman" w:hint="default"/>
          <w:spacing w:val="-1"/>
        </w:rPr>
        <w:t>319,221,700.00</w:t>
      </w:r>
      <w:r>
        <w:rPr>
          <w:spacing w:val="-1"/>
        </w:rPr>
        <w:t>元。注册资本与实收资本的差</w:t>
      </w:r>
      <w:r>
        <w:rPr/>
        <w:t> 异主要系</w:t>
      </w:r>
      <w:r>
        <w:rPr>
          <w:rFonts w:ascii="Times New Roman" w:hAnsi="Times New Roman" w:cs="Times New Roman" w:eastAsia="Times New Roman" w:hint="default"/>
        </w:rPr>
        <w:t>963,493.00</w:t>
      </w:r>
      <w:r>
        <w:rPr/>
        <w:t>股行权股份的工商变更登记手续尚未办理完毕。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338" w:lineRule="auto" w:before="117"/>
        <w:ind w:left="514" w:right="74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相关影响请见财务数据。</w:t>
      </w:r>
    </w:p>
    <w:p>
      <w:pPr>
        <w:pStyle w:val="BodyText"/>
        <w:spacing w:line="240" w:lineRule="auto" w:before="43"/>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34,602,750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34,602,750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23,575,500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18,775,500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18,252,000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14,802,000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1,396,754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1,426,754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1,426,754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8"/>
        <w:gridCol w:w="1379"/>
        <w:gridCol w:w="1367"/>
        <w:gridCol w:w="1367"/>
        <w:gridCol w:w="1368"/>
        <w:gridCol w:w="1367"/>
        <w:gridCol w:w="1367"/>
      </w:tblGrid>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107,680,357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15,051,042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273,000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92,902,315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52" w:firstLine="506"/>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日，公司第三届董事会第七次会议审议通过了《关于股票期权激励计划首期授予的股票期权第二个行权期</w:t>
      </w:r>
      <w:r>
        <w:rPr/>
        <w:t> 可行权的议案》，同意</w:t>
      </w:r>
      <w:r>
        <w:rPr>
          <w:rFonts w:ascii="Times New Roman" w:hAnsi="Times New Roman" w:cs="Times New Roman" w:eastAsia="Times New Roman" w:hint="default"/>
        </w:rPr>
        <w:t>100</w:t>
      </w:r>
      <w:r>
        <w:rPr/>
        <w:t>名符合条件的激励对象在第二个行权期内行权。截止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日，累计行权</w:t>
      </w:r>
      <w:r>
        <w:rPr>
          <w:rFonts w:ascii="Times New Roman" w:hAnsi="Times New Roman" w:cs="Times New Roman" w:eastAsia="Times New Roman" w:hint="default"/>
        </w:rPr>
        <w:t>3,533,400</w:t>
      </w:r>
      <w:r>
        <w:rPr/>
        <w:t>股，行 权股份来源为公司向激励对象定向发行新股，公司股本增加至</w:t>
      </w:r>
      <w:r>
        <w:rPr>
          <w:rFonts w:ascii="Times New Roman" w:hAnsi="Times New Roman" w:cs="Times New Roman" w:eastAsia="Times New Roman" w:hint="default"/>
        </w:rPr>
        <w:t>319,221,700</w:t>
      </w:r>
      <w:r>
        <w:rPr/>
        <w:t>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16,394</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20,510</w:t>
            </w:r>
          </w:p>
        </w:tc>
      </w:tr>
      <w:tr>
        <w:trPr>
          <w:trHeight w:val="391"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5"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0"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44,137,00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-2000000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34,602,75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9,534,250</w:t>
            </w:r>
          </w:p>
        </w:tc>
        <w:tc>
          <w:tcPr>
            <w:tcW w:w="1388" w:type="dxa"/>
            <w:gridSpan w:val="2"/>
            <w:tcBorders>
              <w:top w:val="single" w:sz="44" w:space="0" w:color="D2D2D2"/>
              <w:left w:val="single" w:sz="4" w:space="0" w:color="000000"/>
              <w:bottom w:val="single" w:sz="4" w:space="0" w:color="000000"/>
              <w:right w:val="single" w:sz="4" w:space="0" w:color="000000"/>
            </w:tcBorders>
          </w:tcPr>
          <w:p>
            <w:pPr/>
          </w:p>
        </w:tc>
        <w:tc>
          <w:tcPr>
            <w:tcW w:w="1385" w:type="dxa"/>
            <w:tcBorders>
              <w:top w:val="single" w:sz="44" w:space="0" w:color="D2D2D2"/>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21,034,00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-4000000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18,775,50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2,258,500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16,236,00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-3500000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1,434,000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15,236,00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-4500000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8,940,000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2,235,000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黄燕</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7,245,659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7047049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7,245,659</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史爱昭</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4,348,136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4348136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4,348,136</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孙雷民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2,690,000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489957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刘锡珍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2,505,000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2030000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2,505,000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2,373,585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2373585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2,373,585</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9.740005pt;margin-top:137.399979pt;width:344.05pt;height:19.650pt;mso-position-horizontal-relative:page;mso-position-vertical-relative:page;z-index:-1020472" coordorigin="3795,2748" coordsize="6881,393">
            <v:shape style="position:absolute;left:3795;top:2748;width:6881;height:393" coordorigin="3795,2748" coordsize="6881,393" path="m3795,3141l10675,3141,10675,2748,3795,2748,3795,314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09"/>
        <w:gridCol w:w="809"/>
        <w:gridCol w:w="808"/>
        <w:gridCol w:w="862"/>
        <w:gridCol w:w="1388"/>
        <w:gridCol w:w="1385"/>
      </w:tblGrid>
      <w:tr>
        <w:trPr>
          <w:trHeight w:val="98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2"/>
              <w:jc w:val="both"/>
              <w:rPr>
                <w:rFonts w:ascii="宋体" w:hAnsi="宋体" w:cs="宋体" w:eastAsia="宋体" w:hint="default"/>
                <w:sz w:val="18"/>
                <w:szCs w:val="18"/>
              </w:rPr>
            </w:pPr>
            <w:r>
              <w:rPr>
                <w:rFonts w:ascii="宋体" w:hAnsi="宋体" w:cs="宋体" w:eastAsia="宋体" w:hint="default"/>
                <w:sz w:val="18"/>
                <w:szCs w:val="18"/>
              </w:rPr>
              <w:t>－上投摩根双 息平衡混合型 证券投资基金</w:t>
            </w:r>
          </w:p>
        </w:tc>
        <w:tc>
          <w:tcPr>
            <w:tcW w:w="138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28"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82"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08"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1"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6" w:lineRule="auto" w:before="51"/>
              <w:ind w:left="17" w:right="61"/>
              <w:jc w:val="left"/>
              <w:rPr>
                <w:rFonts w:ascii="宋体" w:hAnsi="宋体" w:cs="宋体" w:eastAsia="宋体" w:hint="default"/>
                <w:sz w:val="18"/>
                <w:szCs w:val="18"/>
              </w:rPr>
            </w:pPr>
            <w:r>
              <w:rPr>
                <w:rFonts w:ascii="宋体" w:hAnsi="宋体" w:cs="宋体" w:eastAsia="宋体" w:hint="default"/>
                <w:sz w:val="18"/>
                <w:szCs w:val="18"/>
              </w:rPr>
              <w:t>公司主要股东陈友、陈鲁康、谢晓宾、李谦益、杨文庆之间不存在关联关系，也不存在 一致行动。未知上述其他股东之间是否存在关联关系及一致行动。</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2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28" w:type="dxa"/>
            <w:gridSpan w:val="2"/>
            <w:vMerge/>
            <w:tcBorders>
              <w:left w:val="single" w:sz="4" w:space="0" w:color="000000"/>
              <w:bottom w:val="nil" w:sz="6" w:space="0" w:color="auto"/>
              <w:right w:val="single" w:sz="4" w:space="0" w:color="000000"/>
            </w:tcBorders>
            <w:shd w:val="clear" w:color="auto" w:fill="D2D2D2"/>
          </w:tcPr>
          <w:p>
            <w:pPr/>
          </w:p>
        </w:tc>
        <w:tc>
          <w:tcPr>
            <w:tcW w:w="4169"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9,534,250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9,534,250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黄燕</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7,245,659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7,245,659</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史爱昭</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4,348,136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4,348,136</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孙雷民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2,690,000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刘锡珍</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2,505,000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2,505,000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中国建设银行－上投摩根双息平 衡混合型证券投资基金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2,373,585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2,373,585</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2,258,500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2,258,500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2,235,000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1,972,338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1,972,338</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招商银行股份有限公司－上投摩 根行业轮动股票型证券投资基金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1,909,955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1,909,955</w:t>
            </w:r>
          </w:p>
        </w:tc>
      </w:tr>
      <w:tr>
        <w:trPr>
          <w:trHeight w:val="133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61"/>
              <w:jc w:val="left"/>
              <w:rPr>
                <w:rFonts w:ascii="宋体" w:hAnsi="宋体" w:cs="宋体" w:eastAsia="宋体" w:hint="default"/>
                <w:sz w:val="18"/>
                <w:szCs w:val="18"/>
              </w:rPr>
            </w:pPr>
            <w:r>
              <w:rPr>
                <w:rFonts w:ascii="宋体" w:hAnsi="宋体" w:cs="宋体" w:eastAsia="宋体" w:hint="default"/>
                <w:sz w:val="18"/>
                <w:szCs w:val="18"/>
              </w:rPr>
              <w:t>公司主要股东陈友、陈鲁康、谢晓宾、李谦益、杨文庆之间不存在关联关系，也不存在 一致行动。未知上述其他股东之间是否存在关联关系及一致行动。</w:t>
            </w:r>
          </w:p>
        </w:tc>
      </w:tr>
      <w:tr>
        <w:trPr>
          <w:trHeight w:val="1026"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公司股东黄燕通过普通证券账户持有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股，通过国元证券股份有限公司客户信用交易担</w:t>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7,245,659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股；公司股东史爱昭通过普通证券账户持有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股，通过国元证</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4,348,136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公司股东在报告期内是否进行约定购回交易</w:t>
      </w:r>
    </w:p>
    <w:p>
      <w:pPr>
        <w:pStyle w:val="BodyText"/>
        <w:spacing w:line="338" w:lineRule="auto" w:before="117"/>
        <w:ind w:right="63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252"/>
        <w:jc w:val="left"/>
      </w:pPr>
      <w:r>
        <w:rPr/>
        <w:t>不存在 公司不存在控股股东情况的说明</w:t>
      </w:r>
    </w:p>
    <w:p>
      <w:pPr>
        <w:pStyle w:val="BodyText"/>
        <w:spacing w:line="240" w:lineRule="auto" w:before="29"/>
        <w:ind w:left="514" w:right="0"/>
        <w:jc w:val="left"/>
      </w:pPr>
      <w:r>
        <w:rPr/>
        <w:t>公司主要股东陈友、陈鲁康、谢晓宾、李谦益、杨文庆，持股比例分散，公司不存在控股股东。</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控股股东报告期内变更</w:t>
      </w:r>
    </w:p>
    <w:p>
      <w:pPr>
        <w:pStyle w:val="BodyText"/>
        <w:spacing w:line="338" w:lineRule="auto" w:before="117"/>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072"/>
        <w:jc w:val="left"/>
      </w:pPr>
      <w:r>
        <w:rPr/>
        <w:t>不存在 公司不存在实际控制人情况的说明</w:t>
      </w:r>
    </w:p>
    <w:p>
      <w:pPr>
        <w:pStyle w:val="BodyText"/>
        <w:spacing w:line="319" w:lineRule="auto" w:before="28"/>
        <w:ind w:right="0" w:firstLine="360"/>
        <w:jc w:val="left"/>
      </w:pPr>
      <w:r>
        <w:rPr>
          <w:spacing w:val="-2"/>
        </w:rPr>
        <w:t>公司主要股东陈友、陈鲁康、谢晓宾、李谦益、杨文庆，持股比例分散，且不存在一致行动，公司不存在实际控制人情</w:t>
      </w:r>
      <w:r>
        <w:rPr/>
        <w:t> 况。</w:t>
      </w:r>
    </w:p>
    <w:p>
      <w:pPr>
        <w:pStyle w:val="BodyText"/>
        <w:spacing w:line="240" w:lineRule="auto" w:before="56"/>
        <w:ind w:right="0"/>
        <w:jc w:val="left"/>
      </w:pPr>
      <w:r>
        <w:rPr/>
        <w:t>无实际控制人的，公司最终控制层面是否存在持股比例在</w:t>
      </w:r>
      <w:r>
        <w:rPr>
          <w:spacing w:val="-45"/>
        </w:rPr>
        <w:t> </w:t>
      </w:r>
      <w:r>
        <w:rPr>
          <w:rFonts w:ascii="Times New Roman" w:hAnsi="Times New Roman" w:cs="Times New Roman" w:eastAsia="Times New Roman" w:hint="default"/>
        </w:rPr>
        <w:t>5%</w:t>
      </w:r>
      <w:r>
        <w:rPr/>
        <w:t>以上的股东情况</w:t>
      </w:r>
    </w:p>
    <w:p>
      <w:pPr>
        <w:pStyle w:val="BodyText"/>
        <w:spacing w:line="340" w:lineRule="auto" w:before="102"/>
        <w:ind w:right="84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自然人</w:t>
      </w:r>
    </w:p>
    <w:p>
      <w:pPr>
        <w:pStyle w:val="BodyText"/>
        <w:spacing w:line="240" w:lineRule="auto" w:before="40"/>
        <w:ind w:right="0"/>
        <w:jc w:val="left"/>
      </w:pPr>
      <w:r>
        <w:rPr/>
        <w:t>最终控制层面</w:t>
      </w:r>
      <w:r>
        <w:rPr>
          <w:spacing w:val="-46"/>
        </w:rPr>
        <w:t> </w:t>
      </w:r>
      <w:r>
        <w:rPr>
          <w:rFonts w:ascii="Times New Roman" w:hAnsi="Times New Roman" w:cs="Times New Roman" w:eastAsia="Times New Roman" w:hint="default"/>
        </w:rPr>
        <w:t>5%</w:t>
      </w:r>
      <w:r>
        <w:rPr/>
        <w:t>以上股东情况</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6"/>
              <w:jc w:val="both"/>
              <w:rPr>
                <w:rFonts w:ascii="宋体" w:hAnsi="宋体" w:cs="宋体" w:eastAsia="宋体" w:hint="default"/>
                <w:sz w:val="18"/>
                <w:szCs w:val="18"/>
              </w:rPr>
            </w:pPr>
            <w:r>
              <w:rPr>
                <w:rFonts w:ascii="宋体" w:hAnsi="宋体" w:cs="宋体" w:eastAsia="宋体" w:hint="default"/>
                <w:sz w:val="18"/>
                <w:szCs w:val="18"/>
              </w:rPr>
              <w:t>陈友：</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月至今担任公司总经理。 陈鲁康：</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月至今担任公司董事、副总经理。谢晓宾：</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 今担任公司董事，</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月担任公司副总经理。</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48" w:lineRule="auto" w:before="11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4770" w:lineRule="exact"/>
        <w:ind w:left="1356"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590702" cy="30289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4590702" cy="3028950"/>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0"/>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18,775,500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67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1,491,253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日解锁其所持有公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_TOC_250003" w:id="7"/>
      <w:r>
        <w:rPr/>
        <w:t>第七节</w:t>
      </w:r>
      <w:r>
        <w:rPr>
          <w:spacing w:val="-16"/>
        </w:rPr>
        <w:t> </w:t>
      </w:r>
      <w:r>
        <w:rPr/>
        <w:t>董事、监事、高级管理人员和员工情况</w:t>
      </w:r>
      <w:bookmarkEnd w:id="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6"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5"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46,137,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44,137,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21,034,</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9"/>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19,736,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15,236,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19,736,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16,236,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行权买 入</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独立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869,091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849,091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行权买 入</w:t>
            </w: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488,119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64"/>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行权买 入 </w:t>
            </w:r>
            <w:r>
              <w:rPr>
                <w:rFonts w:ascii="Times New Roman" w:hAnsi="Times New Roman" w:cs="Times New Roman" w:eastAsia="Times New Roman" w:hint="default"/>
                <w:sz w:val="18"/>
                <w:szCs w:val="18"/>
              </w:rPr>
              <w:t>122,500</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股，二</w:t>
            </w:r>
          </w:p>
          <w:p>
            <w:pPr>
              <w:pStyle w:val="TableParagraph"/>
              <w:spacing w:line="338" w:lineRule="auto" w:before="76"/>
              <w:ind w:left="22"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级市场 减持 </w:t>
            </w:r>
            <w:r>
              <w:rPr>
                <w:rFonts w:ascii="Times New Roman" w:hAnsi="Times New Roman" w:cs="Times New Roman" w:eastAsia="Times New Roman" w:hint="default"/>
                <w:sz w:val="18"/>
                <w:szCs w:val="18"/>
              </w:rPr>
              <w:t>488,119</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行权买 入</w:t>
            </w: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596,702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613,202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行权买 入 </w:t>
            </w:r>
            <w:r>
              <w:rPr>
                <w:rFonts w:ascii="Times New Roman" w:hAnsi="Times New Roman" w:cs="Times New Roman" w:eastAsia="Times New Roman" w:hint="default"/>
                <w:sz w:val="18"/>
                <w:szCs w:val="18"/>
              </w:rPr>
              <w:t>66,500</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股，二</w:t>
            </w:r>
          </w:p>
          <w:p>
            <w:pPr>
              <w:pStyle w:val="TableParagraph"/>
              <w:spacing w:line="338" w:lineRule="auto" w:before="76"/>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级市场 减持 </w:t>
            </w:r>
            <w:r>
              <w:rPr>
                <w:rFonts w:ascii="Times New Roman" w:hAnsi="Times New Roman" w:cs="Times New Roman" w:eastAsia="Times New Roman" w:hint="default"/>
                <w:sz w:val="18"/>
                <w:szCs w:val="18"/>
              </w:rPr>
              <w:t>50,000</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2"/>
              <w:jc w:val="both"/>
              <w:rPr>
                <w:rFonts w:ascii="宋体" w:hAnsi="宋体" w:cs="宋体" w:eastAsia="宋体" w:hint="default"/>
                <w:sz w:val="18"/>
                <w:szCs w:val="18"/>
              </w:rPr>
            </w:pPr>
            <w:r>
              <w:rPr>
                <w:rFonts w:ascii="宋体" w:hAnsi="宋体" w:cs="宋体" w:eastAsia="宋体" w:hint="default"/>
                <w:sz w:val="18"/>
                <w:szCs w:val="18"/>
              </w:rPr>
              <w:t>董事 会秘 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522,624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490,124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行权买 入 </w:t>
            </w:r>
            <w:r>
              <w:rPr>
                <w:rFonts w:ascii="Times New Roman" w:hAnsi="Times New Roman" w:cs="Times New Roman" w:eastAsia="Times New Roman" w:hint="default"/>
                <w:sz w:val="18"/>
                <w:szCs w:val="18"/>
              </w:rPr>
              <w:t>45,500</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股，二</w:t>
            </w:r>
          </w:p>
          <w:p>
            <w:pPr>
              <w:pStyle w:val="TableParagraph"/>
              <w:spacing w:line="338" w:lineRule="auto" w:before="76"/>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级市场 减持 </w:t>
            </w:r>
            <w:r>
              <w:rPr>
                <w:rFonts w:ascii="Times New Roman" w:hAnsi="Times New Roman" w:cs="Times New Roman" w:eastAsia="Times New Roman" w:hint="default"/>
                <w:sz w:val="18"/>
                <w:szCs w:val="18"/>
              </w:rPr>
              <w:t>78,000</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126,773</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,808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14,636,1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112,694,</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189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3"/>
        <w:gridCol w:w="1194"/>
        <w:gridCol w:w="1196"/>
        <w:gridCol w:w="1198"/>
        <w:gridCol w:w="1196"/>
        <w:gridCol w:w="1198"/>
        <w:gridCol w:w="1196"/>
        <w:gridCol w:w="1186"/>
      </w:tblGrid>
      <w:tr>
        <w:trPr>
          <w:trHeight w:val="383"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期初持有股票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本期获授予股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本期已行权股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本期注销的股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期末持有股票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6"/>
          <w:szCs w:val="26"/>
        </w:rPr>
      </w:pPr>
    </w:p>
    <w:p>
      <w:pPr>
        <w:pStyle w:val="BodyText"/>
        <w:spacing w:line="240" w:lineRule="auto" w:before="44"/>
        <w:ind w:left="0" w:right="199"/>
        <w:jc w:val="right"/>
      </w:pPr>
      <w:r>
        <w:rPr/>
        <w:pict>
          <v:shape style="position:absolute;margin-left:56.459999pt;margin-top:1.131746pt;width:479.2pt;height:190.5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7"/>
                    <w:gridCol w:w="105"/>
                    <w:gridCol w:w="1092"/>
                    <w:gridCol w:w="1197"/>
                    <w:gridCol w:w="1198"/>
                    <w:gridCol w:w="1196"/>
                  </w:tblGrid>
                  <w:tr>
                    <w:trPr>
                      <w:trHeight w:val="674"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5"/>
                            <w:sz w:val="18"/>
                            <w:szCs w:val="18"/>
                          </w:rPr>
                          <w:t>期权数量（份</w:t>
                        </w:r>
                      </w:p>
                    </w:tc>
                    <w:tc>
                      <w:tcPr>
                        <w:tcW w:w="10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98"/>
                          <w:jc w:val="center"/>
                          <w:rPr>
                            <w:rFonts w:ascii="宋体" w:hAnsi="宋体" w:cs="宋体" w:eastAsia="宋体" w:hint="default"/>
                            <w:sz w:val="18"/>
                            <w:szCs w:val="18"/>
                          </w:rPr>
                        </w:pPr>
                        <w:r>
                          <w:rPr>
                            <w:rFonts w:ascii="宋体" w:hAnsi="宋体" w:cs="宋体" w:eastAsia="宋体" w:hint="default"/>
                            <w:sz w:val="18"/>
                            <w:szCs w:val="18"/>
                          </w:rPr>
                          <w:t>票期权数量</w:t>
                        </w:r>
                      </w:p>
                      <w:p>
                        <w:pPr>
                          <w:pStyle w:val="TableParagraph"/>
                          <w:spacing w:line="240" w:lineRule="auto" w:before="77"/>
                          <w:ind w:right="98"/>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票期权数量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票期权数量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5"/>
                            <w:sz w:val="18"/>
                            <w:szCs w:val="18"/>
                          </w:rPr>
                          <w:t>期权数量（份</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157,500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1,272,000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715,500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right="92"/>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5"/>
        <w:spacing w:line="240" w:lineRule="auto" w:before="102"/>
        <w:ind w:left="154" w:right="92"/>
        <w:jc w:val="left"/>
        <w:rPr>
          <w:b w:val="0"/>
          <w:bCs w:val="0"/>
        </w:rPr>
      </w:pPr>
      <w:r>
        <w:rPr>
          <w:rFonts w:ascii="Times New Roman" w:hAnsi="Times New Roman" w:cs="Times New Roman" w:eastAsia="Times New Roman" w:hint="default"/>
        </w:rPr>
        <w:t>1</w:t>
      </w:r>
      <w:r>
        <w:rPr/>
        <w:t>、董事会成员</w:t>
      </w:r>
      <w:r>
        <w:rPr>
          <w:b w:val="0"/>
          <w:bCs w:val="0"/>
        </w:rPr>
      </w:r>
    </w:p>
    <w:p>
      <w:pPr>
        <w:pStyle w:val="BodyText"/>
        <w:spacing w:line="240" w:lineRule="auto" w:before="102"/>
        <w:ind w:left="515" w:right="92"/>
        <w:jc w:val="left"/>
      </w:pPr>
      <w:r>
        <w:rPr>
          <w:rFonts w:ascii="宋体" w:hAnsi="宋体" w:cs="宋体" w:eastAsia="宋体" w:hint="default"/>
          <w:b/>
          <w:bCs/>
        </w:rPr>
        <w:t>陈友</w:t>
      </w:r>
      <w:r>
        <w:rPr/>
        <w:t>，中国国籍，无境外居留权，男，生于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月，工学硕士、</w:t>
      </w:r>
      <w:r>
        <w:rPr>
          <w:rFonts w:ascii="Times New Roman" w:hAnsi="Times New Roman" w:cs="Times New Roman" w:eastAsia="Times New Roman" w:hint="default"/>
        </w:rPr>
        <w:t>MBA</w:t>
      </w:r>
      <w:r>
        <w:rPr/>
        <w:t>，现任本公司董事长、总经理，任期为</w:t>
      </w:r>
      <w:r>
        <w:rPr>
          <w:rFonts w:ascii="Times New Roman" w:hAnsi="Times New Roman" w:cs="Times New Roman" w:eastAsia="Times New Roman" w:hint="default"/>
        </w:rPr>
        <w:t>2013</w:t>
      </w:r>
      <w:r>
        <w:rPr/>
        <w:t>年</w:t>
      </w:r>
    </w:p>
    <w:p>
      <w:pPr>
        <w:pStyle w:val="BodyText"/>
        <w:spacing w:line="240" w:lineRule="auto" w:before="63"/>
        <w:ind w:right="92"/>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514" w:right="92"/>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月担任天源迪科有限公司副总经理；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月担任天源迪科有限公司董事、总经理；</w:t>
      </w:r>
    </w:p>
    <w:p>
      <w:pPr>
        <w:pStyle w:val="BodyText"/>
        <w:spacing w:line="300" w:lineRule="auto" w:before="63"/>
        <w:ind w:left="515" w:right="192" w:hanging="362"/>
        <w:jc w:val="left"/>
        <w:rPr>
          <w:rFonts w:ascii="Times New Roman" w:hAnsi="Times New Roman" w:cs="Times New Roman" w:eastAsia="Times New Roman" w:hint="default"/>
        </w:rPr>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月至今担任公司董事长、总经理。 </w:t>
      </w:r>
      <w:r>
        <w:rPr>
          <w:rFonts w:ascii="宋体" w:hAnsi="宋体" w:cs="宋体" w:eastAsia="宋体" w:hint="default"/>
          <w:b/>
          <w:bCs/>
          <w:spacing w:val="-6"/>
        </w:rPr>
        <w:t>陈鲁康</w:t>
      </w:r>
      <w:r>
        <w:rPr>
          <w:spacing w:val="-6"/>
        </w:rPr>
        <w:t>，中国国籍，无境外居留权，男，生于</w:t>
      </w:r>
      <w:r>
        <w:rPr>
          <w:rFonts w:ascii="Times New Roman" w:hAnsi="Times New Roman" w:cs="Times New Roman" w:eastAsia="Times New Roman" w:hint="default"/>
          <w:spacing w:val="-6"/>
        </w:rPr>
        <w:t>1959</w:t>
      </w:r>
      <w:r>
        <w:rPr>
          <w:spacing w:val="-6"/>
        </w:rPr>
        <w:t>年</w:t>
      </w:r>
      <w:r>
        <w:rPr>
          <w:rFonts w:ascii="Times New Roman" w:hAnsi="Times New Roman" w:cs="Times New Roman" w:eastAsia="Times New Roman" w:hint="default"/>
          <w:spacing w:val="-6"/>
        </w:rPr>
        <w:t>8</w:t>
      </w:r>
      <w:r>
        <w:rPr>
          <w:spacing w:val="-6"/>
        </w:rPr>
        <w:t>月，本科学历。现任本公司董事、副总经理，任期为</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-2016</w:t>
      </w:r>
    </w:p>
    <w:p>
      <w:pPr>
        <w:pStyle w:val="BodyText"/>
        <w:spacing w:line="240" w:lineRule="auto" w:before="13"/>
        <w:ind w:right="92"/>
        <w:jc w:val="left"/>
      </w:pPr>
      <w:r>
        <w:rPr/>
        <w:t>年</w:t>
      </w:r>
      <w:r>
        <w:rPr>
          <w:rFonts w:ascii="Times New Roman" w:hAnsi="Times New Roman" w:cs="Times New Roman" w:eastAsia="Times New Roman" w:hint="default"/>
        </w:rPr>
        <w:t>4</w:t>
      </w:r>
      <w:r>
        <w:rPr/>
        <w:t>月。同时兼任上海子公司董事长。</w:t>
      </w:r>
    </w:p>
    <w:p>
      <w:pPr>
        <w:pStyle w:val="BodyText"/>
        <w:spacing w:line="300" w:lineRule="auto" w:before="63"/>
        <w:ind w:right="182"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t>月加入天源迪科，先后担任公司工程师、上海办事处副经理、上海办事处经理、公司总经理、副总经理兼上海 分公司总经理、副总经理兼上海子公司总经理；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w:t>
      </w:r>
    </w:p>
    <w:p>
      <w:pPr>
        <w:pStyle w:val="BodyText"/>
        <w:spacing w:line="240" w:lineRule="auto" w:before="13"/>
        <w:ind w:left="515" w:right="92"/>
        <w:jc w:val="left"/>
      </w:pPr>
      <w:r>
        <w:rPr>
          <w:rFonts w:ascii="宋体" w:hAnsi="宋体" w:cs="宋体" w:eastAsia="宋体" w:hint="default"/>
          <w:b/>
          <w:bCs/>
        </w:rPr>
        <w:t>李谦益</w:t>
      </w:r>
      <w:r>
        <w:rPr/>
        <w:t>，中国国籍，无境外居留权，男，生于</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12</w:t>
      </w:r>
      <w:r>
        <w:rPr/>
        <w:t>月，本科学历。现任本公司董事、副总经理，任期为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right="9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92"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月加入天源迪科，先后担任公司工程师、支持服务部副经理、支持服务部经理、公司副总经理；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月至今</w:t>
      </w:r>
      <w:r>
        <w:rPr/>
        <w:t> 担任公司董事。</w:t>
      </w:r>
    </w:p>
    <w:p>
      <w:pPr>
        <w:pStyle w:val="BodyText"/>
        <w:spacing w:line="300" w:lineRule="auto" w:before="31"/>
        <w:ind w:right="92" w:firstLine="361"/>
        <w:jc w:val="left"/>
      </w:pPr>
      <w:r>
        <w:rPr>
          <w:rFonts w:ascii="宋体" w:hAnsi="宋体" w:cs="宋体" w:eastAsia="宋体" w:hint="default"/>
          <w:b/>
          <w:bCs/>
          <w:spacing w:val="-1"/>
        </w:rPr>
        <w:t>谢晓宾</w:t>
      </w:r>
      <w:r>
        <w:rPr>
          <w:spacing w:val="-1"/>
        </w:rPr>
        <w:t>，中国国籍，无境外居留权，男，生于</w:t>
      </w:r>
      <w:r>
        <w:rPr>
          <w:rFonts w:ascii="Times New Roman" w:hAnsi="Times New Roman" w:cs="Times New Roman" w:eastAsia="Times New Roman" w:hint="default"/>
          <w:spacing w:val="-1"/>
        </w:rPr>
        <w:t>1967</w:t>
      </w:r>
      <w:r>
        <w:rPr>
          <w:spacing w:val="-1"/>
        </w:rPr>
        <w:t>年</w:t>
      </w:r>
      <w:r>
        <w:rPr>
          <w:rFonts w:ascii="Times New Roman" w:hAnsi="Times New Roman" w:cs="Times New Roman" w:eastAsia="Times New Roman" w:hint="default"/>
          <w:spacing w:val="-1"/>
        </w:rPr>
        <w:t>7</w:t>
      </w:r>
      <w:r>
        <w:rPr>
          <w:spacing w:val="-1"/>
        </w:rPr>
        <w:t>月，工学硕士、</w:t>
      </w:r>
      <w:r>
        <w:rPr>
          <w:rFonts w:ascii="Times New Roman" w:hAnsi="Times New Roman" w:cs="Times New Roman" w:eastAsia="Times New Roman" w:hint="default"/>
          <w:spacing w:val="-1"/>
        </w:rPr>
        <w:t>MBA</w:t>
      </w:r>
      <w:r>
        <w:rPr>
          <w:spacing w:val="-1"/>
        </w:rPr>
        <w:t>。现任本公司董事，任期为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p>
    <w:p>
      <w:pPr>
        <w:pStyle w:val="BodyText"/>
        <w:spacing w:line="300" w:lineRule="auto" w:before="13"/>
        <w:ind w:right="92"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月加入天源迪科，先后担任公司工程师、销售代表、销售部副经理、销售部经理、公司副总经理；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 </w:t>
      </w:r>
      <w:r>
        <w:rPr/>
        <w:t>今担任公司董事。</w:t>
      </w:r>
    </w:p>
    <w:p>
      <w:pPr>
        <w:pStyle w:val="BodyText"/>
        <w:spacing w:line="300" w:lineRule="auto" w:before="31"/>
        <w:ind w:left="514" w:right="90" w:firstLine="1"/>
        <w:jc w:val="left"/>
      </w:pPr>
      <w:r>
        <w:rPr>
          <w:rFonts w:ascii="宋体" w:hAnsi="宋体" w:cs="宋体" w:eastAsia="宋体" w:hint="default"/>
          <w:b/>
          <w:bCs/>
          <w:spacing w:val="-1"/>
        </w:rPr>
        <w:t>杨文庆</w:t>
      </w:r>
      <w:r>
        <w:rPr>
          <w:spacing w:val="-1"/>
        </w:rPr>
        <w:t>，中国国籍，无境外居留权，男，生于</w:t>
      </w:r>
      <w:r>
        <w:rPr>
          <w:rFonts w:ascii="Times New Roman" w:hAnsi="Times New Roman" w:cs="Times New Roman" w:eastAsia="Times New Roman" w:hint="default"/>
          <w:spacing w:val="-1"/>
        </w:rPr>
        <w:t>1966</w:t>
      </w:r>
      <w:r>
        <w:rPr>
          <w:spacing w:val="-1"/>
        </w:rPr>
        <w:t>年</w:t>
      </w:r>
      <w:r>
        <w:rPr>
          <w:rFonts w:ascii="Times New Roman" w:hAnsi="Times New Roman" w:cs="Times New Roman" w:eastAsia="Times New Roman" w:hint="default"/>
          <w:spacing w:val="-1"/>
        </w:rPr>
        <w:t>10</w:t>
      </w:r>
      <w:r>
        <w:rPr>
          <w:spacing w:val="-1"/>
        </w:rPr>
        <w:t>月，本科学历。现任本公司董事，任期为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spacing w:val="1"/>
        </w:rPr>
        <w:t> </w:t>
      </w:r>
      <w:r>
        <w:rPr/>
        <w:t>先后担任天源迪科有限公司社保事业部销售经理、上海雷米贸易有限公司副经理；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月至今就职于中联资本置业</w:t>
      </w:r>
    </w:p>
    <w:p>
      <w:pPr>
        <w:pStyle w:val="BodyText"/>
        <w:spacing w:line="300" w:lineRule="auto" w:before="13"/>
        <w:ind w:left="515" w:right="179" w:hanging="362"/>
        <w:jc w:val="left"/>
      </w:pPr>
      <w:r>
        <w:rPr/>
        <w:t>基金，任项目经理；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月至今担任公司董事。 </w:t>
      </w:r>
      <w:r>
        <w:rPr>
          <w:rFonts w:ascii="宋体" w:hAnsi="宋体" w:cs="宋体" w:eastAsia="宋体" w:hint="default"/>
          <w:b/>
          <w:bCs/>
        </w:rPr>
        <w:t>汪东升</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11</w:t>
      </w:r>
      <w:r>
        <w:rPr/>
        <w:t>月，工学硕士。现任本公司董事、副总经理，任期为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13"/>
        <w:ind w:right="9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82" w:firstLine="360"/>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月加入天源迪科，先后担任公司工程师、软件二部副经理、电信软件部经理、电信行业技术总监、软件设计部 经理、公司副总经理；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月至今担任公司董事。</w:t>
      </w:r>
    </w:p>
    <w:p>
      <w:pPr>
        <w:pStyle w:val="BodyText"/>
        <w:spacing w:line="300" w:lineRule="auto" w:before="13"/>
        <w:ind w:left="514" w:right="92" w:firstLine="1"/>
        <w:jc w:val="left"/>
        <w:rPr>
          <w:rFonts w:ascii="Times New Roman" w:hAnsi="Times New Roman" w:cs="Times New Roman" w:eastAsia="Times New Roman" w:hint="default"/>
        </w:rPr>
      </w:pPr>
      <w:r>
        <w:rPr>
          <w:rFonts w:ascii="宋体" w:hAnsi="宋体" w:cs="宋体" w:eastAsia="宋体" w:hint="default"/>
          <w:b/>
          <w:bCs/>
        </w:rPr>
        <w:t>俞虹（离任）</w:t>
      </w:r>
      <w:r>
        <w:rPr/>
        <w:t>，中国国籍，无境外居留权，女，生于</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3</w:t>
      </w:r>
      <w:r>
        <w:rPr/>
        <w:t>月，本科学历。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月担任本公司董事。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月至今担任武汉金家房地产开发有限公司财务经理，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月至今兼任武汉翰潭投资管理有限公司财务总监。 </w:t>
      </w:r>
      <w:r>
        <w:rPr>
          <w:rFonts w:ascii="宋体" w:hAnsi="宋体" w:cs="宋体" w:eastAsia="宋体" w:hint="default"/>
          <w:b/>
          <w:bCs/>
          <w:spacing w:val="-4"/>
        </w:rPr>
        <w:t>杜庆山</w:t>
      </w:r>
      <w:r>
        <w:rPr>
          <w:spacing w:val="-4"/>
        </w:rPr>
        <w:t>，中国国籍，无境外居留权，男，生于</w:t>
      </w:r>
      <w:r>
        <w:rPr>
          <w:rFonts w:ascii="Times New Roman" w:hAnsi="Times New Roman" w:cs="Times New Roman" w:eastAsia="Times New Roman" w:hint="default"/>
          <w:spacing w:val="-4"/>
        </w:rPr>
        <w:t>1957</w:t>
      </w:r>
      <w:r>
        <w:rPr>
          <w:spacing w:val="-4"/>
        </w:rPr>
        <w:t>年</w:t>
      </w:r>
      <w:r>
        <w:rPr>
          <w:rFonts w:ascii="Times New Roman" w:hAnsi="Times New Roman" w:cs="Times New Roman" w:eastAsia="Times New Roman" w:hint="default"/>
          <w:spacing w:val="-4"/>
        </w:rPr>
        <w:t>9</w:t>
      </w:r>
      <w:r>
        <w:rPr>
          <w:spacing w:val="-4"/>
        </w:rPr>
        <w:t>月，博士研究生、高级工程师。现任本公司独立董事，任期为</w:t>
      </w:r>
      <w:r>
        <w:rPr>
          <w:rFonts w:ascii="Times New Roman" w:hAnsi="Times New Roman" w:cs="Times New Roman" w:eastAsia="Times New Roman" w:hint="default"/>
          <w:spacing w:val="-4"/>
        </w:rPr>
        <w:t>2013</w:t>
      </w:r>
    </w:p>
    <w:p>
      <w:pPr>
        <w:pStyle w:val="BodyText"/>
        <w:spacing w:line="240" w:lineRule="auto" w:before="13"/>
        <w:ind w:right="92"/>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2" w:firstLine="360"/>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月年先后任深圳市科技信息局规划处处长、监督处处长，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月任深圳市科工贸 信委科技发展处处长，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月至今任深圳市汉达英诺创新工程研究院有限公司院长。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300" w:lineRule="auto" w:before="13"/>
        <w:ind w:left="515" w:right="179" w:hanging="2"/>
        <w:jc w:val="left"/>
      </w:pPr>
      <w:r>
        <w:rPr/>
        <w:t>包括本公司在内，杜庆山兼任独立董事的上市公司不超过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rPr>
        <w:t>梁金华</w:t>
      </w:r>
      <w:r>
        <w:rPr/>
        <w:t>，中国国籍，无境外居留权，男，生于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月，中国注册会计师、注册资产评估师。现任本公司独立董事，</w:t>
      </w:r>
    </w:p>
    <w:p>
      <w:pPr>
        <w:pStyle w:val="BodyText"/>
        <w:spacing w:line="240" w:lineRule="auto" w:before="13"/>
        <w:ind w:right="92"/>
        <w:jc w:val="left"/>
      </w:pPr>
      <w:r>
        <w:rPr/>
        <w:t>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82" w:firstLine="360"/>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月担任深圳市港泰源集团有限公司常务副总裁；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月至今担任深圳联杰会计师事务所主任 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300" w:lineRule="auto" w:before="13"/>
        <w:ind w:left="515" w:right="92" w:hanging="2"/>
        <w:jc w:val="left"/>
      </w:pPr>
      <w:r>
        <w:rPr/>
        <w:t>包括本公司在内，梁金华兼任独立董事的上市公司不超过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spacing w:val="-3"/>
        </w:rPr>
        <w:t>盛宝军</w:t>
      </w:r>
      <w:r>
        <w:rPr>
          <w:spacing w:val="-3"/>
        </w:rPr>
        <w:t>，中国国籍，无境外居留权，男，生于</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7</w:t>
      </w:r>
      <w:r>
        <w:rPr>
          <w:spacing w:val="-3"/>
        </w:rPr>
        <w:t>月，复旦大学</w:t>
      </w:r>
      <w:r>
        <w:rPr>
          <w:rFonts w:ascii="Times New Roman" w:hAnsi="Times New Roman" w:cs="Times New Roman" w:eastAsia="Times New Roman" w:hint="default"/>
          <w:spacing w:val="-3"/>
        </w:rPr>
        <w:t>MBA</w:t>
      </w:r>
      <w:r>
        <w:rPr>
          <w:spacing w:val="-3"/>
        </w:rPr>
        <w:t>，武汉大学、美国芝加哥肯特法学院法学硕士。</w:t>
      </w:r>
    </w:p>
    <w:p>
      <w:pPr>
        <w:pStyle w:val="BodyText"/>
        <w:spacing w:line="240" w:lineRule="auto" w:before="13"/>
        <w:ind w:right="92"/>
        <w:jc w:val="left"/>
      </w:pPr>
      <w:r>
        <w:rPr/>
        <w:t>现任本公司独立董事，任期为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514" w:right="92"/>
        <w:jc w:val="left"/>
        <w:rPr>
          <w:rFonts w:ascii="Times New Roman" w:hAnsi="Times New Roman" w:cs="Times New Roman" w:eastAsia="Times New Roman" w:hint="default"/>
        </w:rPr>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月担任广东深天成律师事务所执业律师；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月至今任北京市中伦律师事务所合伙人律师。</w:t>
      </w:r>
      <w:r>
        <w:rPr>
          <w:rFonts w:ascii="Times New Roman" w:hAnsi="Times New Roman" w:cs="Times New Roman" w:eastAsia="Times New Roman" w:hint="default"/>
        </w:rPr>
        <w:t>2013</w:t>
      </w:r>
    </w:p>
    <w:p>
      <w:pPr>
        <w:pStyle w:val="BodyText"/>
        <w:spacing w:line="300" w:lineRule="auto" w:before="63"/>
        <w:ind w:left="514" w:right="4502" w:hanging="360"/>
        <w:jc w:val="left"/>
      </w:pPr>
      <w:r>
        <w:rPr/>
        <w:t>年</w:t>
      </w:r>
      <w:r>
        <w:rPr>
          <w:rFonts w:ascii="Times New Roman" w:hAnsi="Times New Roman" w:cs="Times New Roman" w:eastAsia="Times New Roman" w:hint="default"/>
        </w:rPr>
        <w:t>4</w:t>
      </w:r>
      <w:r>
        <w:rPr/>
        <w:t>月起任公司独立董事。 包括本公司在内，盛宝军兼任独立董事的上市公司不超过</w:t>
      </w:r>
      <w:r>
        <w:rPr>
          <w:rFonts w:ascii="Times New Roman" w:hAnsi="Times New Roman" w:cs="Times New Roman" w:eastAsia="Times New Roman" w:hint="default"/>
        </w:rPr>
        <w:t>5</w:t>
      </w:r>
      <w:r>
        <w:rPr/>
        <w:t>家。</w:t>
      </w:r>
    </w:p>
    <w:p>
      <w:pPr>
        <w:pStyle w:val="BodyText"/>
        <w:spacing w:line="240" w:lineRule="auto" w:before="13"/>
        <w:ind w:left="515" w:right="92"/>
        <w:jc w:val="left"/>
      </w:pPr>
      <w:r>
        <w:rPr>
          <w:rFonts w:ascii="宋体" w:hAnsi="宋体" w:cs="宋体" w:eastAsia="宋体" w:hint="default"/>
          <w:b/>
          <w:bCs/>
        </w:rPr>
        <w:t>郑飞</w:t>
      </w:r>
      <w:r>
        <w:rPr/>
        <w:t>，中国国籍，无境外居留权，男，生于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月，武汉大学工学硕士。现任本公司独立董事，任期为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right="9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91" w:firstLine="360"/>
        <w:jc w:val="both"/>
      </w:pP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月担任深圳市吉大远望软件有限公司软件部经理；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5</w:t>
      </w:r>
      <w:r>
        <w:rPr>
          <w:spacing w:val="-1"/>
        </w:rPr>
        <w:t>月至今先后担任深圳市软件行业协会综合</w:t>
      </w:r>
      <w:r>
        <w:rPr/>
        <w:t> 部主任、副秘书长，现任深圳市软件行业协会执行副会长、秘书长，中国软件行业协会常务理事秘书长。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 司独立董事。</w:t>
      </w:r>
    </w:p>
    <w:p>
      <w:pPr>
        <w:pStyle w:val="BodyText"/>
        <w:spacing w:line="240" w:lineRule="auto" w:before="31"/>
        <w:ind w:left="514" w:right="92"/>
        <w:jc w:val="left"/>
      </w:pPr>
      <w:r>
        <w:rPr/>
        <w:t>包括本公司在内，郑飞兼任独立董事的上市公司不超过</w:t>
      </w:r>
      <w:r>
        <w:rPr>
          <w:rFonts w:ascii="Times New Roman" w:hAnsi="Times New Roman" w:cs="Times New Roman" w:eastAsia="Times New Roman" w:hint="default"/>
        </w:rPr>
        <w:t>5</w:t>
      </w:r>
      <w:r>
        <w:rPr/>
        <w:t>家。</w:t>
      </w:r>
    </w:p>
    <w:p>
      <w:pPr>
        <w:pStyle w:val="Heading5"/>
        <w:spacing w:line="240" w:lineRule="auto" w:before="103"/>
        <w:ind w:left="154" w:right="92"/>
        <w:jc w:val="left"/>
        <w:rPr>
          <w:b w:val="0"/>
          <w:bCs w:val="0"/>
        </w:rPr>
      </w:pPr>
      <w:r>
        <w:rPr>
          <w:rFonts w:ascii="Times New Roman" w:hAnsi="Times New Roman" w:cs="Times New Roman" w:eastAsia="Times New Roman" w:hint="default"/>
        </w:rPr>
        <w:t>2</w:t>
      </w:r>
      <w:r>
        <w:rPr/>
        <w:t>、监事会成员</w:t>
      </w:r>
      <w:r>
        <w:rPr>
          <w:b w:val="0"/>
          <w:bCs w:val="0"/>
        </w:rPr>
      </w:r>
    </w:p>
    <w:p>
      <w:pPr>
        <w:pStyle w:val="BodyText"/>
        <w:spacing w:line="240" w:lineRule="auto" w:before="102"/>
        <w:ind w:left="515" w:right="92"/>
        <w:jc w:val="left"/>
      </w:pPr>
      <w:r>
        <w:rPr>
          <w:rFonts w:ascii="宋体" w:hAnsi="宋体" w:cs="宋体" w:eastAsia="宋体" w:hint="default"/>
          <w:b/>
          <w:bCs/>
        </w:rPr>
        <w:t>周发军</w:t>
      </w:r>
      <w:r>
        <w:rPr/>
        <w:t>，中国国籍，无境外居留权，男，生于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10</w:t>
      </w:r>
      <w:r>
        <w:rPr/>
        <w:t>月，工学硕士。现任本公司监事会主席，监事任期为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right="9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92" w:firstLine="360"/>
        <w:jc w:val="left"/>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8</w:t>
      </w:r>
      <w:r>
        <w:rPr>
          <w:spacing w:val="-2"/>
        </w:rPr>
        <w:t>月加入天源迪科，先后担任公司软件工程师、软件一部经理、研发一部经理、产品总监；</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月至今担任天</w:t>
      </w:r>
      <w:r>
        <w:rPr/>
        <w:t> 源迪科股份公司监事会主席。</w:t>
      </w:r>
    </w:p>
    <w:p>
      <w:pPr>
        <w:pStyle w:val="BodyText"/>
        <w:spacing w:line="240" w:lineRule="auto" w:before="31"/>
        <w:ind w:left="515" w:right="92"/>
        <w:jc w:val="left"/>
      </w:pPr>
      <w:r>
        <w:rPr>
          <w:rFonts w:ascii="宋体" w:hAnsi="宋体" w:cs="宋体" w:eastAsia="宋体" w:hint="default"/>
          <w:b/>
          <w:bCs/>
        </w:rPr>
        <w:t>梁凌琳</w:t>
      </w:r>
      <w:r>
        <w:rPr/>
        <w:t>，中国国籍，无境外居留权，女，生于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日，经济学学士。现任本公司监事，监事任期为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right="9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514" w:right="0"/>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月就职于深圳富士康科技集团；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月担任天源迪科有限公司人力资源部培训专员；</w:t>
      </w:r>
    </w:p>
    <w:p>
      <w:pPr>
        <w:pStyle w:val="BodyText"/>
        <w:spacing w:line="300" w:lineRule="auto" w:before="63"/>
        <w:ind w:right="212"/>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月担任天源迪科有限公司人力资源部招聘专员；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月至今担任天源迪科股份公司人力资源部副经 理。</w:t>
      </w:r>
    </w:p>
    <w:p>
      <w:pPr>
        <w:pStyle w:val="BodyText"/>
        <w:spacing w:line="300" w:lineRule="auto" w:before="31"/>
        <w:ind w:right="195" w:firstLine="361"/>
        <w:jc w:val="left"/>
      </w:pPr>
      <w:r>
        <w:rPr>
          <w:rFonts w:ascii="宋体" w:hAnsi="宋体" w:cs="宋体" w:eastAsia="宋体" w:hint="default"/>
          <w:b/>
          <w:bCs/>
        </w:rPr>
        <w:t>易绚雯</w:t>
      </w:r>
      <w:r>
        <w:rPr/>
        <w:t>，中国国籍，无境外居留权，女，生于</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6</w:t>
      </w:r>
      <w:r>
        <w:rPr/>
        <w:t>月，产业经济学硕士。于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日经公司职工代表大会选举 为公司职工代表监事，现任本公司监事，监事任期为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13"/>
        <w:ind w:left="514" w:right="9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月加入天源迪科，先后任公司董事会办公室投资经理、投资管理部经理。</w:t>
      </w:r>
    </w:p>
    <w:p>
      <w:pPr>
        <w:pStyle w:val="BodyText"/>
        <w:spacing w:line="338" w:lineRule="auto" w:before="103"/>
        <w:ind w:left="514" w:right="5872" w:hanging="360"/>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陈友，总经理，参见本节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陈鲁康，副总经理，参见本节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李谦益，副总经理，参见本节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汪东升，副总经理，参见本节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300" w:lineRule="auto" w:before="20"/>
        <w:ind w:right="304" w:firstLine="361"/>
        <w:jc w:val="left"/>
      </w:pPr>
      <w:r>
        <w:rPr>
          <w:rFonts w:ascii="宋体" w:hAnsi="宋体" w:cs="宋体" w:eastAsia="宋体" w:hint="default"/>
          <w:b/>
          <w:bCs/>
        </w:rPr>
        <w:t>林容</w:t>
      </w:r>
      <w:r>
        <w:rPr/>
        <w:t>，中国国籍，无境外居留权，女，生于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月，现任公司任联通事业部总经理，公司副总经理，</w:t>
      </w:r>
      <w:r>
        <w:rPr>
          <w:spacing w:val="-20"/>
        </w:rPr>
        <w:t> </w:t>
      </w:r>
      <w:r>
        <w:rPr/>
        <w:t>任期为</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13"/>
        <w:ind w:right="92" w:firstLine="360"/>
        <w:jc w:val="left"/>
      </w:pP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2008</w:t>
      </w:r>
      <w:r>
        <w:rPr>
          <w:spacing w:val="-2"/>
        </w:rPr>
        <w:t>年就职于北京朗新信息系统有限公司；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月加入天源迪科，担任联通事业部总经理至今，全面负责</w:t>
      </w:r>
      <w:r>
        <w:rPr/>
        <w:t> 公司面向中国联通的业务；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月至今担任公司副总经理。</w:t>
      </w:r>
    </w:p>
    <w:p>
      <w:pPr>
        <w:pStyle w:val="BodyText"/>
        <w:spacing w:line="300" w:lineRule="auto" w:before="13"/>
        <w:ind w:right="92" w:firstLine="361"/>
        <w:jc w:val="left"/>
      </w:pPr>
      <w:r>
        <w:rPr>
          <w:rFonts w:ascii="宋体" w:hAnsi="宋体" w:cs="宋体" w:eastAsia="宋体" w:hint="default"/>
          <w:b/>
          <w:bCs/>
          <w:spacing w:val="-3"/>
        </w:rPr>
        <w:t>邹立文</w:t>
      </w:r>
      <w:r>
        <w:rPr>
          <w:spacing w:val="-3"/>
        </w:rPr>
        <w:t>，中国国籍，无境外居留权，男，生于</w:t>
      </w:r>
      <w:r>
        <w:rPr>
          <w:rFonts w:ascii="Times New Roman" w:hAnsi="Times New Roman" w:cs="Times New Roman" w:eastAsia="Times New Roman" w:hint="default"/>
          <w:spacing w:val="-3"/>
        </w:rPr>
        <w:t>1956</w:t>
      </w:r>
      <w:r>
        <w:rPr>
          <w:spacing w:val="-3"/>
        </w:rPr>
        <w:t>年</w:t>
      </w:r>
      <w:r>
        <w:rPr>
          <w:rFonts w:ascii="Times New Roman" w:hAnsi="Times New Roman" w:cs="Times New Roman" w:eastAsia="Times New Roman" w:hint="default"/>
          <w:spacing w:val="-3"/>
        </w:rPr>
        <w:t>9</w:t>
      </w:r>
      <w:r>
        <w:rPr>
          <w:spacing w:val="-3"/>
        </w:rPr>
        <w:t>月，国际会计硕士。现任本公司财务总监，任期为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5" w:right="179" w:hanging="2"/>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月加入天源迪科，先后担任公司财务部经理、财务总监。 </w:t>
      </w:r>
      <w:r>
        <w:rPr>
          <w:rFonts w:ascii="宋体" w:hAnsi="宋体" w:cs="宋体" w:eastAsia="宋体" w:hint="default"/>
          <w:b/>
          <w:bCs/>
        </w:rPr>
        <w:t>陈秀琴</w:t>
      </w:r>
      <w:r>
        <w:rPr/>
        <w:t>，中国国籍，无境外居留权，女，生于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10</w:t>
      </w:r>
      <w:r>
        <w:rPr/>
        <w:t>月，暨南大学毕业，中级会计师，英国威尔士大学</w:t>
      </w:r>
      <w:r>
        <w:rPr>
          <w:rFonts w:ascii="Times New Roman" w:hAnsi="Times New Roman" w:cs="Times New Roman" w:eastAsia="Times New Roman" w:hint="default"/>
        </w:rPr>
        <w:t>MBA</w:t>
      </w:r>
      <w:r>
        <w:rPr/>
        <w:t>。现任</w:t>
      </w:r>
    </w:p>
    <w:p>
      <w:pPr>
        <w:pStyle w:val="BodyText"/>
        <w:spacing w:line="240" w:lineRule="auto" w:before="13"/>
        <w:ind w:right="0"/>
        <w:jc w:val="left"/>
      </w:pPr>
      <w:r>
        <w:rPr/>
        <w:t>本公司副总经理、董事会秘书，任期为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spacing w:line="319" w:lineRule="auto" w:before="63"/>
        <w:ind w:left="154" w:right="14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月加入天源迪科，先后任公司总帐会计、税务会计、成本会计、往来款会计、财务经理、审计总监。</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月起任公司董事会秘书，</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月起任公司副总经理，同时担任公司董事会秘书。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、董事、监事、高级管理人员（包括前任）受监管监管机构处罚的情况</w:t>
      </w:r>
      <w:r>
        <w:rPr>
          <w:rFonts w:ascii="宋体" w:hAnsi="宋体" w:cs="宋体" w:eastAsia="宋体" w:hint="default"/>
          <w:sz w:val="18"/>
          <w:szCs w:val="18"/>
        </w:rPr>
      </w:r>
    </w:p>
    <w:p>
      <w:pPr>
        <w:pStyle w:val="BodyText"/>
        <w:spacing w:line="360" w:lineRule="auto" w:before="36"/>
        <w:ind w:right="3075" w:firstLine="217"/>
        <w:jc w:val="left"/>
      </w:pPr>
      <w:r>
        <w:rPr/>
        <w:t>公司不存在董事、监事、高级管理人员（包括前任）受监管监管机构处罚的情况。 在股东单位任职情况</w:t>
      </w:r>
    </w:p>
    <w:p>
      <w:pPr>
        <w:pStyle w:val="BodyText"/>
        <w:spacing w:line="340" w:lineRule="auto" w:before="26"/>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深圳市同洲电子股份有限公司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中联资本置业基金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武汉金家房地产开发有限公司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深圳市汉达英诺创新工程研究院有限公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深圳联杰会计师事务所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北京市中伦律师事务所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深圳市软件行业协会、中国软件行业协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执行副会长、 秘书长、 中 国软件行业 协会常务理</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59.3pt;height:31.2pt;mso-position-horizontal-relative:char;mso-position-vertical-relative:line" coordorigin="0,0" coordsize="1186,624">
                  <v:group style="position:absolute;left:0;top:0;width:1186;height:624" coordorigin="0,0" coordsize="1186,624">
                    <v:shape style="position:absolute;left:0;top:0;width:1186;height:624" coordorigin="0,0" coordsize="1186,624" path="m0,624l1186,624,1186,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338"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日，公司第三届董事会第八次会议审议通过了《关</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董</w:t>
            </w:r>
            <w:r>
              <w:rPr>
                <w:rFonts w:ascii="宋体" w:hAnsi="宋体" w:cs="宋体" w:eastAsia="宋体" w:hint="default"/>
                <w:sz w:val="18"/>
                <w:szCs w:val="18"/>
              </w:rPr>
              <w:t>事、监事、高级管理人员薪酬的议案</w:t>
            </w:r>
            <w:r>
              <w:rPr>
                <w:rFonts w:ascii="宋体" w:hAnsi="宋体" w:cs="宋体" w:eastAsia="宋体" w:hint="default"/>
                <w:spacing w:val="-90"/>
                <w:sz w:val="18"/>
                <w:szCs w:val="18"/>
              </w:rPr>
              <w:t>》</w:t>
            </w:r>
            <w:r>
              <w:rPr>
                <w:rFonts w:ascii="宋体" w:hAnsi="宋体" w:cs="宋体" w:eastAsia="宋体" w:hint="default"/>
                <w:sz w:val="18"/>
                <w:szCs w:val="18"/>
              </w:rPr>
              <w:t>，议案中对公</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年度董事、监事、高级管理人员的薪酬标准及考核办法进行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了明确。</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年度董事、监事、高级管理人员的薪酬标准及考核办法由公司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298"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8"/>
              <w:jc w:val="both"/>
              <w:rPr>
                <w:rFonts w:ascii="宋体" w:hAnsi="宋体" w:cs="宋体" w:eastAsia="宋体" w:hint="default"/>
                <w:sz w:val="18"/>
                <w:szCs w:val="18"/>
              </w:rPr>
            </w:pPr>
            <w:r>
              <w:rPr>
                <w:rFonts w:ascii="宋体" w:hAnsi="宋体" w:cs="宋体" w:eastAsia="宋体" w:hint="default"/>
                <w:sz w:val="18"/>
                <w:szCs w:val="18"/>
              </w:rPr>
              <w:t>董事会薪酬与考核委员会拟订。在公司兼职董事、监事的人员按其 在公司所任行政职务领取薪酬；独立董事津贴为税前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 高管薪酬实行年薪制，年薪分为基础年薪和绩效奖金，高管绩效奖 金所得基于其年度绩效考核结果、岗位职责确定。</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独立董事津贴根据规定按照季度支付；高级管理人员基础年薪已按 月支付，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年度绩效奖金已根据公司考核情况发放。</w:t>
            </w:r>
          </w:p>
        </w:tc>
      </w:tr>
    </w:tbl>
    <w:p>
      <w:pPr>
        <w:pStyle w:val="BodyText"/>
        <w:spacing w:line="240" w:lineRule="auto" w:before="51"/>
        <w:ind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719.99</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魏丽（离任）</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梁林志（离 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副总经理、董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事会秘书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556,500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谢晓宾先生自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年入职天源迪科，从事公司电信事</w:t>
            </w:r>
            <w:r>
              <w:rPr>
                <w:rFonts w:ascii="宋体" w:hAnsi="宋体" w:cs="宋体" w:eastAsia="宋体" w:hint="default"/>
                <w:sz w:val="18"/>
                <w:szCs w:val="18"/>
              </w:rPr>
              <w:t> 业部管理、海外开拓等工作，因其个人原因辞去公司 副总经理职务，继续担任公司董事职务。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因个人原因辞去公司副总经理职务，以员工身份继续 在公司工作。</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梁林志先生因身体原因不适合从事高强度工作，故辞 去公司副总经理的职务。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2617"/>
        <w:jc w:val="left"/>
      </w:pPr>
      <w:r>
        <w:rPr/>
        <w:t>截止报告期末，公司共有员工</w:t>
      </w:r>
      <w:r>
        <w:rPr>
          <w:rFonts w:ascii="Times New Roman" w:hAnsi="Times New Roman" w:cs="Times New Roman" w:eastAsia="Times New Roman" w:hint="default"/>
        </w:rPr>
        <w:t>2,932</w:t>
      </w:r>
      <w:r>
        <w:rPr/>
        <w:t>人（合并报表范围），承担费用的离退休人员</w:t>
      </w:r>
      <w:r>
        <w:rPr>
          <w:rFonts w:ascii="Times New Roman" w:hAnsi="Times New Roman" w:cs="Times New Roman" w:eastAsia="Times New Roman" w:hint="default"/>
        </w:rPr>
        <w:t>0</w:t>
      </w:r>
      <w:r>
        <w:rPr/>
        <w:t>人。 员工构成如下：</w:t>
      </w:r>
    </w:p>
    <w:p>
      <w:pPr>
        <w:spacing w:line="240" w:lineRule="auto" w:before="12"/>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100"/>
        <w:gridCol w:w="1780"/>
        <w:gridCol w:w="1101"/>
        <w:gridCol w:w="1339"/>
      </w:tblGrid>
      <w:tr>
        <w:trPr>
          <w:trHeight w:val="336" w:hRule="exact"/>
        </w:trPr>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13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占总数比例</w:t>
            </w:r>
            <w:r>
              <w:rPr>
                <w:rFonts w:ascii="宋体" w:hAnsi="宋体" w:cs="宋体" w:eastAsia="宋体" w:hint="default"/>
                <w:sz w:val="21"/>
                <w:szCs w:val="21"/>
              </w:rPr>
            </w:r>
          </w:p>
        </w:tc>
      </w:tr>
      <w:tr>
        <w:trPr>
          <w:trHeight w:val="352" w:hRule="exact"/>
        </w:trPr>
        <w:tc>
          <w:tcPr>
            <w:tcW w:w="110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left="120" w:right="0"/>
              <w:jc w:val="left"/>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c>
          <w:tcPr>
            <w:tcW w:w="1780"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1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2,002</w:t>
            </w:r>
          </w:p>
        </w:tc>
        <w:tc>
          <w:tcPr>
            <w:tcW w:w="133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68.28%</w:t>
            </w:r>
          </w:p>
        </w:tc>
      </w:tr>
      <w:tr>
        <w:trPr>
          <w:trHeight w:val="348" w:hRule="exact"/>
        </w:trPr>
        <w:tc>
          <w:tcPr>
            <w:tcW w:w="1100" w:type="dxa"/>
            <w:vMerge/>
            <w:tcBorders>
              <w:left w:val="single" w:sz="6" w:space="0" w:color="000000"/>
              <w:bottom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101"/>
        <w:gridCol w:w="1780"/>
        <w:gridCol w:w="1101"/>
        <w:gridCol w:w="1339"/>
      </w:tblGrid>
      <w:tr>
        <w:trPr>
          <w:trHeight w:val="347" w:hRule="exact"/>
        </w:trPr>
        <w:tc>
          <w:tcPr>
            <w:tcW w:w="1101" w:type="dxa"/>
            <w:vMerge w:val="restart"/>
            <w:tcBorders>
              <w:top w:val="single" w:sz="6" w:space="0" w:color="000000"/>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8.32%</w:t>
            </w:r>
          </w:p>
        </w:tc>
      </w:tr>
      <w:tr>
        <w:trPr>
          <w:trHeight w:val="347"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管理及行政人员</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w:t>
            </w:r>
          </w:p>
        </w:tc>
      </w:tr>
      <w:tr>
        <w:trPr>
          <w:trHeight w:val="348" w:hRule="exact"/>
        </w:trPr>
        <w:tc>
          <w:tcPr>
            <w:tcW w:w="1101" w:type="dxa"/>
            <w:vMerge/>
            <w:tcBorders>
              <w:left w:val="single" w:sz="6" w:space="0" w:color="000000"/>
              <w:bottom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2,932</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426" w:hRule="exact"/>
        </w:trPr>
        <w:tc>
          <w:tcPr>
            <w:tcW w:w="1101" w:type="dxa"/>
            <w:vMerge w:val="restart"/>
            <w:tcBorders>
              <w:top w:val="single" w:sz="6" w:space="0" w:color="000000"/>
              <w:left w:val="single" w:sz="6" w:space="0" w:color="000000"/>
              <w:right w:val="single" w:sz="6" w:space="0" w:color="000000"/>
            </w:tcBorders>
            <w:shd w:val="clear" w:color="auto" w:fill="D9D9D9"/>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硕士</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128</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4.37%</w:t>
            </w:r>
          </w:p>
        </w:tc>
      </w:tr>
      <w:tr>
        <w:trPr>
          <w:trHeight w:val="427"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1994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68.01%</w:t>
            </w:r>
          </w:p>
        </w:tc>
      </w:tr>
      <w:tr>
        <w:trPr>
          <w:trHeight w:val="427"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707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24.11%</w:t>
            </w:r>
          </w:p>
        </w:tc>
      </w:tr>
      <w:tr>
        <w:trPr>
          <w:trHeight w:val="427"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103</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3.51%</w:t>
            </w:r>
          </w:p>
        </w:tc>
      </w:tr>
      <w:tr>
        <w:trPr>
          <w:trHeight w:val="347" w:hRule="exact"/>
        </w:trPr>
        <w:tc>
          <w:tcPr>
            <w:tcW w:w="1101" w:type="dxa"/>
            <w:vMerge/>
            <w:tcBorders>
              <w:left w:val="single" w:sz="6" w:space="0" w:color="000000"/>
              <w:bottom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2,932</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27" w:hRule="exact"/>
        </w:trPr>
        <w:tc>
          <w:tcPr>
            <w:tcW w:w="1101" w:type="dxa"/>
            <w:vMerge w:val="restart"/>
            <w:tcBorders>
              <w:top w:val="single" w:sz="6" w:space="0" w:color="000000"/>
              <w:left w:val="single" w:sz="6" w:space="0" w:color="000000"/>
              <w:right w:val="single" w:sz="6" w:space="0" w:color="000000"/>
            </w:tcBorders>
            <w:shd w:val="clear" w:color="auto" w:fill="D9D9D9"/>
          </w:tcPr>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1,801</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61.43%</w:t>
            </w:r>
          </w:p>
        </w:tc>
      </w:tr>
      <w:tr>
        <w:trPr>
          <w:trHeight w:val="427"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岁</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999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34.07%</w:t>
            </w:r>
          </w:p>
        </w:tc>
      </w:tr>
      <w:tr>
        <w:trPr>
          <w:trHeight w:val="426"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113</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3.85%</w:t>
            </w:r>
          </w:p>
        </w:tc>
      </w:tr>
      <w:tr>
        <w:trPr>
          <w:trHeight w:val="427" w:hRule="exact"/>
        </w:trPr>
        <w:tc>
          <w:tcPr>
            <w:tcW w:w="1101" w:type="dxa"/>
            <w:vMerge/>
            <w:tcBorders>
              <w:left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0.65%</w:t>
            </w:r>
          </w:p>
        </w:tc>
      </w:tr>
      <w:tr>
        <w:trPr>
          <w:trHeight w:val="348" w:hRule="exact"/>
        </w:trPr>
        <w:tc>
          <w:tcPr>
            <w:tcW w:w="1101" w:type="dxa"/>
            <w:vMerge/>
            <w:tcBorders>
              <w:left w:val="single" w:sz="6" w:space="0" w:color="000000"/>
              <w:bottom w:val="single" w:sz="6" w:space="0" w:color="000000"/>
              <w:right w:val="single" w:sz="6" w:space="0" w:color="000000"/>
            </w:tcBorders>
            <w:shd w:val="clear" w:color="auto" w:fill="D9D9D9"/>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2,932</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591" w:right="3629"/>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r>
        <w:rPr/>
        <w:t>一、公司治理的基本状况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92" w:hanging="360"/>
        <w:jc w:val="left"/>
      </w:pPr>
      <w:r>
        <w:rPr>
          <w:rFonts w:ascii="宋体" w:hAnsi="宋体" w:cs="宋体" w:eastAsia="宋体" w:hint="default"/>
          <w:b/>
          <w:bCs/>
        </w:rPr>
        <w:t>（一）公司治理情况综述</w:t>
      </w:r>
      <w:r>
        <w:rPr>
          <w:rFonts w:ascii="宋体" w:hAnsi="宋体" w:cs="宋体" w:eastAsia="宋体" w:hint="default"/>
          <w:b/>
          <w:bCs/>
          <w:w w:val="99"/>
        </w:rPr>
        <w:t> </w:t>
      </w:r>
      <w:r>
        <w:rPr>
          <w:spacing w:val="-2"/>
        </w:rPr>
        <w:t>报告期内，公司严格按照《公司法》、《证券法》、《深圳证券交易所创业板股票上市规则》、《深圳证券交易所创业</w:t>
      </w:r>
    </w:p>
    <w:p>
      <w:pPr>
        <w:pStyle w:val="BodyText"/>
        <w:spacing w:line="224" w:lineRule="exact"/>
        <w:ind w:right="0"/>
        <w:jc w:val="left"/>
      </w:pPr>
      <w:r>
        <w:rPr/>
        <w:t>板上市公司规范运作指引》及《上市公司治理准则》及中国证监会有关法律、法规和公司规章的要求，继续完善公司的法人</w:t>
      </w:r>
    </w:p>
    <w:p>
      <w:pPr>
        <w:pStyle w:val="BodyText"/>
        <w:spacing w:line="240" w:lineRule="auto" w:before="77"/>
        <w:ind w:right="92"/>
        <w:jc w:val="left"/>
      </w:pPr>
      <w:r>
        <w:rPr/>
        <w:t>治理结构，健全内部管理、规范公司运作。</w:t>
      </w:r>
    </w:p>
    <w:p>
      <w:pPr>
        <w:pStyle w:val="BodyText"/>
        <w:spacing w:line="309" w:lineRule="auto" w:before="115"/>
        <w:ind w:right="193" w:firstLine="360"/>
        <w:jc w:val="both"/>
      </w:pPr>
      <w:r>
        <w:rPr>
          <w:rFonts w:ascii="Times New Roman" w:hAnsi="Times New Roman" w:cs="Times New Roman" w:eastAsia="Times New Roman" w:hint="default"/>
        </w:rPr>
        <w:t>1</w:t>
      </w:r>
      <w:r>
        <w:rPr/>
        <w:t>、关于股东与股东大会：公司严格按照《公司章程》、《股东大会议事规则》等规定和要求，规范地召集、召开股东 </w:t>
      </w:r>
      <w:r>
        <w:rPr>
          <w:spacing w:val="-2"/>
        </w:rPr>
        <w:t>大会。报告期内，对《公司章程》进行修订，股东大会除现场召开，提供网络投票方式，为股东参加股东大会提供便利，确</w:t>
      </w:r>
      <w:r>
        <w:rPr>
          <w:spacing w:val="-67"/>
        </w:rPr>
        <w:t> </w:t>
      </w:r>
      <w:r>
        <w:rPr>
          <w:spacing w:val="-67"/>
        </w:rPr>
      </w:r>
      <w:r>
        <w:rPr/>
        <w:t>保股东合法行使权力。</w:t>
      </w:r>
    </w:p>
    <w:p>
      <w:pPr>
        <w:pStyle w:val="BodyText"/>
        <w:spacing w:line="309" w:lineRule="auto" w:before="64"/>
        <w:ind w:right="192" w:firstLine="360"/>
        <w:jc w:val="both"/>
      </w:pPr>
      <w:r>
        <w:rPr>
          <w:rFonts w:ascii="Times New Roman" w:hAnsi="Times New Roman" w:cs="Times New Roman" w:eastAsia="Times New Roman" w:hint="default"/>
        </w:rPr>
        <w:t>2</w:t>
      </w:r>
      <w:r>
        <w:rPr/>
        <w:t>、关于公司与控股股东：公司无大股东及实际控制人。公司股东严格规范自己的行为，没有超越股东大会直接或间接 </w:t>
      </w:r>
      <w:r>
        <w:rPr>
          <w:spacing w:val="-2"/>
        </w:rPr>
        <w:t>干预公司的决策和经营活动，公司不存在向大股东、实际控制人提供未公开信息的情况。公司拥有独立完整的业务和自主经</w:t>
      </w:r>
      <w:r>
        <w:rPr>
          <w:spacing w:val="-65"/>
        </w:rPr>
        <w:t> </w:t>
      </w:r>
      <w:r>
        <w:rPr>
          <w:spacing w:val="-65"/>
        </w:rPr>
      </w:r>
      <w:r>
        <w:rPr/>
        <w:t>营能力，在业务、人员、资产、机构、财务上独立，公司董事会、监事会和内部机构独立运作。</w:t>
      </w:r>
    </w:p>
    <w:p>
      <w:pPr>
        <w:pStyle w:val="BodyText"/>
        <w:spacing w:line="309" w:lineRule="auto" w:before="62"/>
        <w:ind w:right="110" w:firstLine="360"/>
        <w:jc w:val="both"/>
      </w:pPr>
      <w:r>
        <w:rPr>
          <w:rFonts w:ascii="Times New Roman" w:hAnsi="Times New Roman" w:cs="Times New Roman" w:eastAsia="Times New Roman" w:hint="default"/>
          <w:spacing w:val="-2"/>
        </w:rPr>
        <w:t>3</w:t>
      </w:r>
      <w:r>
        <w:rPr>
          <w:spacing w:val="-2"/>
        </w:rPr>
        <w:t>、关于董事和董事会：公司董事会设董事</w:t>
      </w:r>
      <w:r>
        <w:rPr>
          <w:rFonts w:ascii="Times New Roman" w:hAnsi="Times New Roman" w:cs="Times New Roman" w:eastAsia="Times New Roman" w:hint="default"/>
          <w:spacing w:val="-2"/>
        </w:rPr>
        <w:t>11</w:t>
      </w:r>
      <w:r>
        <w:rPr>
          <w:spacing w:val="-2"/>
        </w:rPr>
        <w:t>名，其中独立董事</w:t>
      </w:r>
      <w:r>
        <w:rPr>
          <w:rFonts w:ascii="Times New Roman" w:hAnsi="Times New Roman" w:cs="Times New Roman" w:eastAsia="Times New Roman" w:hint="default"/>
          <w:spacing w:val="-2"/>
        </w:rPr>
        <w:t>4</w:t>
      </w:r>
      <w:r>
        <w:rPr>
          <w:spacing w:val="-2"/>
        </w:rPr>
        <w:t>名，董事会的人数及人员构成符合法律、法规和《公司</w:t>
      </w:r>
      <w:r>
        <w:rPr/>
        <w:t> </w:t>
      </w:r>
      <w:r>
        <w:rPr>
          <w:spacing w:val="-2"/>
        </w:rPr>
        <w:t>章程》的要求。各位董事能够依据《董事会议事规则》、《独立董事工作制度》、《深圳证券交易所创业板上市公司规范运</w:t>
      </w:r>
      <w:r>
        <w:rPr>
          <w:spacing w:val="-68"/>
        </w:rPr>
        <w:t> </w:t>
      </w:r>
      <w:r>
        <w:rPr>
          <w:spacing w:val="-68"/>
        </w:rPr>
      </w:r>
      <w:r>
        <w:rPr/>
        <w:t>作指引》等开展工作，出席董事会和股东大会，勤勉尽责地履行职责和义务，同时积极参加相关培训，熟悉相关法律法规。</w:t>
      </w:r>
    </w:p>
    <w:p>
      <w:pPr>
        <w:pStyle w:val="BodyText"/>
        <w:spacing w:line="309" w:lineRule="auto" w:before="62"/>
        <w:ind w:right="193" w:firstLine="360"/>
        <w:jc w:val="both"/>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名，监事会的人数和构成符合法律、法规的要求。各位 </w:t>
      </w:r>
      <w:r>
        <w:rPr>
          <w:spacing w:val="-2"/>
        </w:rPr>
        <w:t>监事能够按照《监事会议事规则》的要求，认真履行自己的职责，对公司重大事项、关联交易、财务状况以及董事、高管人</w:t>
      </w:r>
      <w:r>
        <w:rPr>
          <w:spacing w:val="-72"/>
        </w:rPr>
        <w:t> </w:t>
      </w:r>
      <w:r>
        <w:rPr>
          <w:spacing w:val="-72"/>
        </w:rPr>
      </w:r>
      <w:r>
        <w:rPr/>
        <w:t>员履行职责的合法合规性进行监督。</w:t>
      </w:r>
    </w:p>
    <w:p>
      <w:pPr>
        <w:pStyle w:val="BodyText"/>
        <w:spacing w:line="302" w:lineRule="auto" w:before="64"/>
        <w:ind w:right="101" w:firstLine="360"/>
        <w:jc w:val="both"/>
      </w:pPr>
      <w:r>
        <w:rPr>
          <w:rFonts w:ascii="Times New Roman" w:hAnsi="Times New Roman" w:cs="Times New Roman" w:eastAsia="Times New Roman" w:hint="default"/>
          <w:spacing w:val="-2"/>
        </w:rPr>
        <w:t>5</w:t>
      </w:r>
      <w:r>
        <w:rPr>
          <w:spacing w:val="-2"/>
        </w:rPr>
        <w:t>、关于绩效评价与激励约束机制：公司董事会下设的薪酬和考核委员会负责对公司的董事、监事、高管进行绩效考核，</w:t>
      </w:r>
      <w:r>
        <w:rPr/>
        <w:t> 公司现有的考核及激励约束机制符合公司的发展现状。</w:t>
      </w:r>
    </w:p>
    <w:p>
      <w:pPr>
        <w:pStyle w:val="BodyText"/>
        <w:spacing w:line="309" w:lineRule="auto" w:before="68"/>
        <w:ind w:right="92" w:firstLine="360"/>
        <w:jc w:val="left"/>
      </w:pPr>
      <w:r>
        <w:rPr>
          <w:rFonts w:ascii="Times New Roman" w:hAnsi="Times New Roman" w:cs="Times New Roman" w:eastAsia="Times New Roman" w:hint="default"/>
        </w:rPr>
        <w:t>6</w:t>
      </w:r>
      <w:r>
        <w:rPr/>
        <w:t>、关于信息披露与透明度：公司严格按照有关法律法规以及《信息披露管理制度》、《投资者关系管理制度》等的要 求，真实、准确、及时、公平、完整地披露有关信息；《信息披露制度》中年报信息披露重大差错责任追究做出明确规定； </w:t>
      </w:r>
      <w:r>
        <w:rPr>
          <w:spacing w:val="-2"/>
        </w:rPr>
        <w:t>指定公司董事会秘书负责信息披露工作，协调公司与投资者的关系，接待股东来访，回答投资者咨询，向投资者提供公司已</w:t>
      </w:r>
      <w:r>
        <w:rPr>
          <w:spacing w:val="-66"/>
        </w:rPr>
        <w:t> </w:t>
      </w:r>
      <w:r>
        <w:rPr>
          <w:spacing w:val="-66"/>
        </w:rPr>
      </w:r>
      <w:r>
        <w:rPr/>
        <w:t>披露的资料；并指定《证券时报》、《中国证券报》、《上海证券报》、《证券日报》和巨潮网（</w:t>
      </w:r>
      <w:hyperlink r:id="rId13">
        <w:r>
          <w:rPr>
            <w:rFonts w:ascii="Times New Roman" w:hAnsi="Times New Roman" w:cs="Times New Roman" w:eastAsia="Times New Roman" w:hint="default"/>
          </w:rPr>
          <w:t>www.cninfo.com.cn</w:t>
        </w:r>
      </w:hyperlink>
      <w:r>
        <w:rPr/>
        <w:t>）为</w:t>
      </w:r>
      <w:r>
        <w:rPr>
          <w:w w:val="99"/>
        </w:rPr>
        <w:t> </w:t>
      </w:r>
      <w:r>
        <w:rPr/>
        <w:t>公司信息披露的指定报纸和网站，确保公司所有股东能够以平等的机会获得信息。</w:t>
      </w:r>
    </w:p>
    <w:p>
      <w:pPr>
        <w:pStyle w:val="BodyText"/>
        <w:spacing w:line="302" w:lineRule="auto" w:before="62"/>
        <w:ind w:right="200" w:firstLine="360"/>
        <w:jc w:val="both"/>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w:t>
      </w:r>
    </w:p>
    <w:p>
      <w:pPr>
        <w:spacing w:line="348" w:lineRule="auto" w:before="70"/>
        <w:ind w:left="514" w:right="5042" w:hanging="360"/>
        <w:jc w:val="left"/>
        <w:rPr>
          <w:rFonts w:ascii="宋体" w:hAnsi="宋体" w:cs="宋体" w:eastAsia="宋体" w:hint="default"/>
          <w:sz w:val="18"/>
          <w:szCs w:val="18"/>
        </w:rPr>
      </w:pPr>
      <w:r>
        <w:rPr>
          <w:rFonts w:ascii="宋体" w:hAnsi="宋体" w:cs="宋体" w:eastAsia="宋体" w:hint="default"/>
          <w:b/>
          <w:bCs/>
          <w:sz w:val="18"/>
          <w:szCs w:val="18"/>
        </w:rPr>
        <w:t>（二）报告期内年度股东大会、临时股东大会、董事会情况</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、股东大会情况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报告期内，公司分别召开</w:t>
      </w:r>
      <w:r>
        <w:rPr>
          <w:rFonts w:ascii="Times New Roman" w:hAnsi="Times New Roman" w:cs="Times New Roman" w:eastAsia="Times New Roman" w:hint="default"/>
          <w:sz w:val="18"/>
          <w:szCs w:val="18"/>
        </w:rPr>
        <w:t>2</w:t>
      </w:r>
      <w:r>
        <w:rPr>
          <w:rFonts w:ascii="宋体" w:hAnsi="宋体" w:cs="宋体" w:eastAsia="宋体" w:hint="default"/>
          <w:sz w:val="18"/>
          <w:szCs w:val="18"/>
        </w:rPr>
        <w:t>次股东大会，具体情况如下：</w:t>
      </w:r>
    </w:p>
    <w:p>
      <w:pPr>
        <w:pStyle w:val="BodyText"/>
        <w:spacing w:line="240" w:lineRule="auto" w:before="14"/>
        <w:ind w:left="514" w:right="9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年年度股东大会</w:t>
      </w:r>
    </w:p>
    <w:p>
      <w:pPr>
        <w:pStyle w:val="BodyText"/>
        <w:spacing w:line="304" w:lineRule="auto" w:before="101"/>
        <w:ind w:right="18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日，于公司三楼会议室以现场方式召开了</w:t>
      </w:r>
      <w:r>
        <w:rPr>
          <w:rFonts w:ascii="Times New Roman" w:hAnsi="Times New Roman" w:cs="Times New Roman" w:eastAsia="Times New Roman" w:hint="default"/>
        </w:rPr>
        <w:t>2013</w:t>
      </w:r>
      <w:r>
        <w:rPr/>
        <w:t>年年度股东大会，本次会议采用现场方式召开。出席会议的 股东（代理人）共</w:t>
      </w:r>
      <w:r>
        <w:rPr>
          <w:rFonts w:ascii="Times New Roman" w:hAnsi="Times New Roman" w:cs="Times New Roman" w:eastAsia="Times New Roman" w:hint="default"/>
        </w:rPr>
        <w:t>13</w:t>
      </w:r>
      <w:r>
        <w:rPr/>
        <w:t>名，共持有公司股份</w:t>
      </w:r>
      <w:r>
        <w:rPr>
          <w:rFonts w:ascii="Times New Roman" w:hAnsi="Times New Roman" w:cs="Times New Roman" w:eastAsia="Times New Roman" w:hint="default"/>
        </w:rPr>
        <w:t>113,835,007</w:t>
      </w:r>
      <w:r>
        <w:rPr/>
        <w:t>股，占公司总股份的</w:t>
      </w:r>
      <w:r>
        <w:rPr>
          <w:rFonts w:ascii="Times New Roman" w:hAnsi="Times New Roman" w:cs="Times New Roman" w:eastAsia="Times New Roman" w:hint="default"/>
        </w:rPr>
        <w:t>36.04%</w:t>
      </w:r>
      <w:r>
        <w:rPr/>
        <w:t>。会议审议通过了《</w:t>
      </w:r>
      <w:r>
        <w:rPr>
          <w:rFonts w:ascii="Times New Roman" w:hAnsi="Times New Roman" w:cs="Times New Roman" w:eastAsia="Times New Roman" w:hint="default"/>
        </w:rPr>
        <w:t>2013</w:t>
      </w:r>
      <w:r>
        <w:rPr/>
        <w:t>年年度报告及摘 </w:t>
      </w:r>
      <w:r>
        <w:rPr>
          <w:spacing w:val="-2"/>
        </w:rPr>
        <w:t>要》、《</w:t>
      </w:r>
      <w:r>
        <w:rPr>
          <w:rFonts w:ascii="Times New Roman" w:hAnsi="Times New Roman" w:cs="Times New Roman" w:eastAsia="Times New Roman" w:hint="default"/>
          <w:spacing w:val="-2"/>
        </w:rPr>
        <w:t>2013</w:t>
      </w:r>
      <w:r>
        <w:rPr>
          <w:spacing w:val="-2"/>
        </w:rPr>
        <w:t>年董事会工作报告》、《</w:t>
      </w:r>
      <w:r>
        <w:rPr>
          <w:rFonts w:ascii="Times New Roman" w:hAnsi="Times New Roman" w:cs="Times New Roman" w:eastAsia="Times New Roman" w:hint="default"/>
          <w:spacing w:val="-2"/>
        </w:rPr>
        <w:t>2013</w:t>
      </w:r>
      <w:r>
        <w:rPr>
          <w:spacing w:val="-2"/>
        </w:rPr>
        <w:t>年监事会工作报告》、《经审计的</w:t>
      </w:r>
      <w:r>
        <w:rPr>
          <w:rFonts w:ascii="Times New Roman" w:hAnsi="Times New Roman" w:cs="Times New Roman" w:eastAsia="Times New Roman" w:hint="default"/>
          <w:spacing w:val="-2"/>
        </w:rPr>
        <w:t>2013</w:t>
      </w:r>
      <w:r>
        <w:rPr>
          <w:spacing w:val="-2"/>
        </w:rPr>
        <w:t>年度财务报告》、《</w:t>
      </w:r>
      <w:r>
        <w:rPr>
          <w:rFonts w:ascii="Times New Roman" w:hAnsi="Times New Roman" w:cs="Times New Roman" w:eastAsia="Times New Roman" w:hint="default"/>
          <w:spacing w:val="-2"/>
        </w:rPr>
        <w:t>2014</w:t>
      </w:r>
      <w:r>
        <w:rPr>
          <w:spacing w:val="-2"/>
        </w:rPr>
        <w:t>年度财务预算报</w:t>
      </w:r>
      <w:r>
        <w:rPr>
          <w:spacing w:val="-54"/>
        </w:rPr>
        <w:t> </w:t>
      </w:r>
      <w:r>
        <w:rPr>
          <w:spacing w:val="-54"/>
        </w:rPr>
      </w:r>
      <w:r>
        <w:rPr>
          <w:spacing w:val="-2"/>
        </w:rPr>
        <w:t>告》、《</w:t>
      </w:r>
      <w:r>
        <w:rPr>
          <w:rFonts w:ascii="Times New Roman" w:hAnsi="Times New Roman" w:cs="Times New Roman" w:eastAsia="Times New Roman" w:hint="default"/>
          <w:spacing w:val="-2"/>
        </w:rPr>
        <w:t>2013</w:t>
      </w:r>
      <w:r>
        <w:rPr>
          <w:spacing w:val="-2"/>
        </w:rPr>
        <w:t>年度利润分配方案》、《</w:t>
      </w:r>
      <w:r>
        <w:rPr>
          <w:rFonts w:ascii="Times New Roman" w:hAnsi="Times New Roman" w:cs="Times New Roman" w:eastAsia="Times New Roman" w:hint="default"/>
          <w:spacing w:val="-2"/>
        </w:rPr>
        <w:t>2013</w:t>
      </w:r>
      <w:r>
        <w:rPr>
          <w:spacing w:val="-2"/>
        </w:rPr>
        <w:t>年募集资金存放与使用情况专项报告》、《关于</w:t>
      </w:r>
      <w:r>
        <w:rPr>
          <w:rFonts w:ascii="Times New Roman" w:hAnsi="Times New Roman" w:cs="Times New Roman" w:eastAsia="Times New Roman" w:hint="default"/>
          <w:spacing w:val="-2"/>
        </w:rPr>
        <w:t>2014</w:t>
      </w:r>
      <w:r>
        <w:rPr>
          <w:spacing w:val="-2"/>
        </w:rPr>
        <w:t>年度董事、监事、高级管理</w:t>
      </w:r>
      <w:r>
        <w:rPr>
          <w:spacing w:val="-59"/>
        </w:rPr>
        <w:t> </w:t>
      </w:r>
      <w:r>
        <w:rPr>
          <w:spacing w:val="-59"/>
        </w:rPr>
      </w:r>
      <w:r>
        <w:rPr>
          <w:spacing w:val="-2"/>
        </w:rPr>
        <w:t>人员薪酬的议案》、《关于对控股子公司申请使用公司银行授信额度并提供担保的议案》、《关于公司向银行申请综合授信</w:t>
      </w:r>
      <w:r>
        <w:rPr>
          <w:spacing w:val="-68"/>
        </w:rPr>
        <w:t> </w:t>
      </w:r>
      <w:r>
        <w:rPr>
          <w:spacing w:val="-68"/>
        </w:rPr>
      </w:r>
      <w:r>
        <w:rPr/>
        <w:t>额度的议案》、《关于修订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分红管理制度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投资管理制度</w:t>
      </w:r>
      <w:r>
        <w:rPr>
          <w:rFonts w:ascii="Times New Roman" w:hAnsi="Times New Roman" w:cs="Times New Roman" w:eastAsia="Times New Roman" w:hint="default"/>
        </w:rPr>
        <w:t>&gt;</w:t>
      </w:r>
      <w:r>
        <w:rPr/>
        <w:t>的议 案》。</w:t>
      </w:r>
    </w:p>
    <w:p>
      <w:pPr>
        <w:spacing w:after="0" w:line="304"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4" w:right="9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年第一次临时股东大会</w:t>
      </w:r>
    </w:p>
    <w:p>
      <w:pPr>
        <w:pStyle w:val="BodyText"/>
        <w:spacing w:line="300" w:lineRule="auto" w:before="101"/>
        <w:ind w:right="9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日，于公司三楼会议室以现场会议加网络会议方式召开了</w:t>
      </w:r>
      <w:r>
        <w:rPr>
          <w:rFonts w:ascii="Times New Roman" w:hAnsi="Times New Roman" w:cs="Times New Roman" w:eastAsia="Times New Roman" w:hint="default"/>
        </w:rPr>
        <w:t>2014</w:t>
      </w:r>
      <w:r>
        <w:rPr/>
        <w:t>年第一次临时股东大会，出席现场会议的股 东（代理人）共</w:t>
      </w:r>
      <w:r>
        <w:rPr>
          <w:rFonts w:ascii="Times New Roman" w:hAnsi="Times New Roman" w:cs="Times New Roman" w:eastAsia="Times New Roman" w:hint="default"/>
        </w:rPr>
        <w:t>12</w:t>
      </w:r>
      <w:r>
        <w:rPr/>
        <w:t>名，代表公司有表决权股份</w:t>
      </w:r>
      <w:r>
        <w:rPr>
          <w:rFonts w:ascii="Times New Roman" w:hAnsi="Times New Roman" w:cs="Times New Roman" w:eastAsia="Times New Roman" w:hint="default"/>
        </w:rPr>
        <w:t>116,533,559</w:t>
      </w:r>
      <w:r>
        <w:rPr>
          <w:rFonts w:ascii="Times New Roman" w:hAnsi="Times New Roman" w:cs="Times New Roman" w:eastAsia="Times New Roman" w:hint="default"/>
          <w:spacing w:val="26"/>
        </w:rPr>
        <w:t> </w:t>
      </w:r>
      <w:r>
        <w:rPr/>
        <w:t>股，占公司有表决权股份总数的</w:t>
      </w:r>
      <w:r>
        <w:rPr>
          <w:rFonts w:ascii="Times New Roman" w:hAnsi="Times New Roman" w:cs="Times New Roman" w:eastAsia="Times New Roman" w:hint="default"/>
        </w:rPr>
        <w:t>36.581%</w:t>
      </w:r>
      <w:r>
        <w:rPr/>
        <w:t>。网络投票参会股东</w:t>
      </w:r>
      <w:r>
        <w:rPr>
          <w:rFonts w:ascii="Times New Roman" w:hAnsi="Times New Roman" w:cs="Times New Roman" w:eastAsia="Times New Roman" w:hint="default"/>
        </w:rPr>
        <w:t>11 </w:t>
      </w:r>
      <w:r>
        <w:rPr/>
        <w:t>名，共持有公司股票</w:t>
      </w:r>
      <w:r>
        <w:rPr>
          <w:rFonts w:ascii="Times New Roman" w:hAnsi="Times New Roman" w:cs="Times New Roman" w:eastAsia="Times New Roman" w:hint="default"/>
        </w:rPr>
        <w:t>98,653</w:t>
      </w:r>
      <w:r>
        <w:rPr/>
        <w:t>股，占公司有表决权股份总数的</w:t>
      </w:r>
      <w:r>
        <w:rPr>
          <w:rFonts w:ascii="Times New Roman" w:hAnsi="Times New Roman" w:cs="Times New Roman" w:eastAsia="Times New Roman" w:hint="default"/>
        </w:rPr>
        <w:t>0.031%</w:t>
      </w:r>
      <w:r>
        <w:rPr/>
        <w:t>。合计参会股东</w:t>
      </w:r>
      <w:r>
        <w:rPr>
          <w:rFonts w:ascii="Times New Roman" w:hAnsi="Times New Roman" w:cs="Times New Roman" w:eastAsia="Times New Roman" w:hint="default"/>
        </w:rPr>
        <w:t>23</w:t>
      </w:r>
      <w:r>
        <w:rPr/>
        <w:t>名，代表股份</w:t>
      </w:r>
      <w:r>
        <w:rPr>
          <w:rFonts w:ascii="Times New Roman" w:hAnsi="Times New Roman" w:cs="Times New Roman" w:eastAsia="Times New Roman" w:hint="default"/>
        </w:rPr>
        <w:t>116,632,212</w:t>
      </w:r>
      <w:r>
        <w:rPr/>
        <w:t>股，占公司有 </w:t>
      </w:r>
      <w:r>
        <w:rPr>
          <w:spacing w:val="-3"/>
        </w:rPr>
        <w:t>表决权股份总数的</w:t>
      </w:r>
      <w:r>
        <w:rPr>
          <w:rFonts w:ascii="Times New Roman" w:hAnsi="Times New Roman" w:cs="Times New Roman" w:eastAsia="Times New Roman" w:hint="default"/>
          <w:spacing w:val="-3"/>
        </w:rPr>
        <w:t>36.612%</w:t>
      </w:r>
      <w:r>
        <w:rPr>
          <w:spacing w:val="-3"/>
        </w:rPr>
        <w:t>。会议审议通过了《关于对控股子公司提供财务资助的议案》、《关于修订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的议案》、</w:t>
      </w:r>
    </w:p>
    <w:p>
      <w:pPr>
        <w:pStyle w:val="BodyText"/>
        <w:spacing w:line="240" w:lineRule="auto" w:before="14"/>
        <w:ind w:right="92"/>
        <w:jc w:val="left"/>
      </w:pPr>
      <w:r>
        <w:rPr/>
        <w:t>《关于修订</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的议案》、《关于更换会计师事务所的议案》。</w:t>
      </w:r>
    </w:p>
    <w:p>
      <w:pPr>
        <w:spacing w:line="338" w:lineRule="auto" w:before="103"/>
        <w:ind w:left="514" w:right="63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、董事会情况</w:t>
      </w:r>
      <w:r>
        <w:rPr>
          <w:rFonts w:ascii="宋体" w:hAnsi="宋体" w:cs="宋体" w:eastAsia="宋体" w:hint="default"/>
          <w:b/>
          <w:bCs/>
          <w:w w:val="99"/>
          <w:sz w:val="18"/>
          <w:szCs w:val="18"/>
        </w:rPr>
        <w:t> </w:t>
      </w:r>
      <w:r>
        <w:rPr>
          <w:rFonts w:ascii="宋体" w:hAnsi="宋体" w:cs="宋体" w:eastAsia="宋体" w:hint="default"/>
          <w:sz w:val="18"/>
          <w:szCs w:val="18"/>
        </w:rPr>
        <w:t>报告期内董事出席董事会的情况如下：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360"/>
        <w:gridCol w:w="1358"/>
        <w:gridCol w:w="1359"/>
        <w:gridCol w:w="1207"/>
        <w:gridCol w:w="1206"/>
        <w:gridCol w:w="109"/>
        <w:gridCol w:w="1099"/>
        <w:gridCol w:w="1961"/>
      </w:tblGrid>
      <w:tr>
        <w:trPr>
          <w:trHeight w:val="734" w:hRule="exact"/>
        </w:trPr>
        <w:tc>
          <w:tcPr>
            <w:tcW w:w="1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6"/>
              <w:ind w:left="400" w:right="41" w:hanging="360"/>
              <w:jc w:val="left"/>
              <w:rPr>
                <w:rFonts w:ascii="宋体" w:hAnsi="宋体" w:cs="宋体" w:eastAsia="宋体" w:hint="default"/>
                <w:sz w:val="18"/>
                <w:szCs w:val="18"/>
              </w:rPr>
            </w:pPr>
            <w:r>
              <w:rPr>
                <w:rFonts w:ascii="宋体" w:hAnsi="宋体" w:cs="宋体" w:eastAsia="宋体" w:hint="default"/>
                <w:sz w:val="18"/>
                <w:szCs w:val="18"/>
              </w:rPr>
              <w:t>本年应参加董事 会次数</w:t>
            </w:r>
          </w:p>
        </w:tc>
        <w:tc>
          <w:tcPr>
            <w:tcW w:w="1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17"/>
              <w:jc w:val="center"/>
              <w:rPr>
                <w:rFonts w:ascii="宋体" w:hAnsi="宋体" w:cs="宋体" w:eastAsia="宋体" w:hint="default"/>
                <w:sz w:val="18"/>
                <w:szCs w:val="18"/>
              </w:rPr>
            </w:pPr>
            <w:r>
              <w:rPr>
                <w:rFonts w:ascii="宋体" w:hAnsi="宋体" w:cs="宋体" w:eastAsia="宋体" w:hint="default"/>
                <w:spacing w:val="-8"/>
                <w:sz w:val="18"/>
                <w:szCs w:val="18"/>
              </w:rPr>
              <w:t>亲自出席（次）</w:t>
            </w:r>
            <w:r>
              <w:rPr>
                <w:rFonts w:ascii="宋体" w:hAnsi="宋体" w:cs="宋体" w:eastAsia="宋体" w:hint="default"/>
                <w:sz w:val="18"/>
                <w:szCs w:val="18"/>
              </w:rPr>
            </w:r>
          </w:p>
        </w:tc>
        <w:tc>
          <w:tcPr>
            <w:tcW w:w="12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13"/>
              <w:jc w:val="center"/>
              <w:rPr>
                <w:rFonts w:ascii="宋体" w:hAnsi="宋体" w:cs="宋体" w:eastAsia="宋体" w:hint="default"/>
                <w:sz w:val="18"/>
                <w:szCs w:val="18"/>
              </w:rPr>
            </w:pPr>
            <w:r>
              <w:rPr>
                <w:rFonts w:ascii="宋体" w:hAnsi="宋体" w:cs="宋体" w:eastAsia="宋体" w:hint="default"/>
                <w:sz w:val="18"/>
                <w:szCs w:val="18"/>
              </w:rPr>
              <w:t>委托出席（次</w:t>
            </w:r>
          </w:p>
        </w:tc>
        <w:tc>
          <w:tcPr>
            <w:tcW w:w="109" w:type="dxa"/>
            <w:tcBorders>
              <w:top w:val="single" w:sz="6" w:space="0" w:color="000000"/>
              <w:left w:val="single" w:sz="6" w:space="0" w:color="000000"/>
              <w:bottom w:val="single" w:sz="6" w:space="0" w:color="000000"/>
              <w:right w:val="nil" w:sz="6" w:space="0" w:color="auto"/>
            </w:tcBorders>
            <w:shd w:val="clear" w:color="auto" w:fill="D9D9D9"/>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99"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56"/>
              <w:ind w:left="44" w:right="0"/>
              <w:jc w:val="left"/>
              <w:rPr>
                <w:rFonts w:ascii="宋体" w:hAnsi="宋体" w:cs="宋体" w:eastAsia="宋体" w:hint="default"/>
                <w:sz w:val="18"/>
                <w:szCs w:val="18"/>
              </w:rPr>
            </w:pPr>
            <w:r>
              <w:rPr>
                <w:rFonts w:ascii="宋体" w:hAnsi="宋体" w:cs="宋体" w:eastAsia="宋体" w:hint="default"/>
                <w:sz w:val="18"/>
                <w:szCs w:val="18"/>
              </w:rPr>
              <w:t>缺席（次）</w:t>
            </w:r>
          </w:p>
        </w:tc>
        <w:tc>
          <w:tcPr>
            <w:tcW w:w="1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陈友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陈鲁康</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谢晓宾</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李谦益</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杨文庆</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汪东升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俞</w:t>
            </w:r>
            <w:r>
              <w:rPr>
                <w:rFonts w:ascii="宋体" w:hAnsi="宋体" w:cs="宋体" w:eastAsia="宋体" w:hint="default"/>
                <w:spacing w:val="55"/>
                <w:sz w:val="18"/>
                <w:szCs w:val="18"/>
              </w:rPr>
              <w:t> </w:t>
            </w:r>
            <w:r>
              <w:rPr>
                <w:rFonts w:ascii="宋体" w:hAnsi="宋体" w:cs="宋体" w:eastAsia="宋体" w:hint="default"/>
                <w:sz w:val="18"/>
                <w:szCs w:val="18"/>
              </w:rPr>
              <w:t>虹</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杜庆山</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梁金华</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盛宝军</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郑</w:t>
            </w:r>
            <w:r>
              <w:rPr>
                <w:rFonts w:ascii="宋体" w:hAnsi="宋体" w:cs="宋体" w:eastAsia="宋体" w:hint="default"/>
                <w:spacing w:val="55"/>
                <w:sz w:val="18"/>
                <w:szCs w:val="18"/>
              </w:rPr>
              <w:t> </w:t>
            </w:r>
            <w:r>
              <w:rPr>
                <w:rFonts w:ascii="宋体" w:hAnsi="宋体" w:cs="宋体" w:eastAsia="宋体" w:hint="default"/>
                <w:sz w:val="18"/>
                <w:szCs w:val="18"/>
              </w:rPr>
              <w:t>飞</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w:t>
            </w:r>
          </w:p>
        </w:tc>
        <w:tc>
          <w:tcPr>
            <w:tcW w:w="196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left="514" w:right="92"/>
        <w:jc w:val="left"/>
      </w:pPr>
      <w:r>
        <w:rPr/>
        <w:t>报告期内共召开六次董事会，具体情况如下：</w:t>
      </w:r>
    </w:p>
    <w:p>
      <w:pPr>
        <w:pStyle w:val="BodyText"/>
        <w:spacing w:line="240" w:lineRule="auto" w:before="116"/>
        <w:ind w:left="514" w:right="92"/>
        <w:jc w:val="left"/>
      </w:pPr>
      <w:r>
        <w:rPr/>
        <w:t>（</w:t>
      </w:r>
      <w:r>
        <w:rPr>
          <w:rFonts w:ascii="Times New Roman" w:hAnsi="Times New Roman" w:cs="Times New Roman" w:eastAsia="Times New Roman" w:hint="default"/>
        </w:rPr>
        <w:t>1</w:t>
      </w:r>
      <w:r>
        <w:rPr/>
        <w:t>）第三届董事会第七次会议</w:t>
      </w:r>
    </w:p>
    <w:p>
      <w:pPr>
        <w:pStyle w:val="BodyText"/>
        <w:spacing w:line="300" w:lineRule="auto" w:before="102"/>
        <w:ind w:right="92"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日，公司召开第三届董事会第七次会议，应到董事</w:t>
      </w:r>
      <w:r>
        <w:rPr>
          <w:rFonts w:ascii="Times New Roman" w:hAnsi="Times New Roman" w:cs="Times New Roman" w:eastAsia="Times New Roman" w:hint="default"/>
          <w:spacing w:val="-2"/>
        </w:rPr>
        <w:t>11</w:t>
      </w:r>
      <w:r>
        <w:rPr>
          <w:spacing w:val="-2"/>
        </w:rPr>
        <w:t>人，实际参会董事</w:t>
      </w:r>
      <w:r>
        <w:rPr>
          <w:rFonts w:ascii="Times New Roman" w:hAnsi="Times New Roman" w:cs="Times New Roman" w:eastAsia="Times New Roman" w:hint="default"/>
          <w:spacing w:val="-2"/>
        </w:rPr>
        <w:t>11</w:t>
      </w:r>
      <w:r>
        <w:rPr>
          <w:spacing w:val="-2"/>
        </w:rPr>
        <w:t>人，会议审议通过了《关于调整公</w:t>
      </w:r>
      <w:r>
        <w:rPr/>
        <w:t> 司股票期权激励计划首次授予对象名单的议案》、《关于对首期股票期权激励计划部分已授予股权进行统一注销的议案》、</w:t>
      </w:r>
    </w:p>
    <w:p>
      <w:pPr>
        <w:pStyle w:val="BodyText"/>
        <w:spacing w:line="319" w:lineRule="auto" w:before="31"/>
        <w:ind w:right="92"/>
        <w:jc w:val="left"/>
      </w:pPr>
      <w:r>
        <w:rPr>
          <w:spacing w:val="-2"/>
        </w:rPr>
        <w:t>《关于股票期权激励计划首期授予的股票期权第二个行权期可行权的议案》、《关于深圳证监局现场检查发现问题的整改总</w:t>
      </w:r>
      <w:r>
        <w:rPr>
          <w:spacing w:val="-65"/>
        </w:rPr>
        <w:t> </w:t>
      </w:r>
      <w:r>
        <w:rPr>
          <w:spacing w:val="-65"/>
        </w:rPr>
      </w:r>
      <w:r>
        <w:rPr/>
        <w:t>结报告》。</w:t>
      </w:r>
    </w:p>
    <w:p>
      <w:pPr>
        <w:pStyle w:val="BodyText"/>
        <w:spacing w:line="240" w:lineRule="auto" w:before="56"/>
        <w:ind w:left="514" w:right="92"/>
        <w:jc w:val="left"/>
      </w:pPr>
      <w:r>
        <w:rPr/>
        <w:t>（</w:t>
      </w:r>
      <w:r>
        <w:rPr>
          <w:rFonts w:ascii="Times New Roman" w:hAnsi="Times New Roman" w:cs="Times New Roman" w:eastAsia="Times New Roman" w:hint="default"/>
        </w:rPr>
        <w:t>2</w:t>
      </w:r>
      <w:r>
        <w:rPr/>
        <w:t>）第三届董事会第八次会议</w:t>
      </w:r>
    </w:p>
    <w:p>
      <w:pPr>
        <w:pStyle w:val="BodyText"/>
        <w:spacing w:line="300" w:lineRule="auto" w:before="101"/>
        <w:ind w:right="10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日，公司召开第三届董事会第八次会议，应到董事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人，会议审议通过了《</w:t>
      </w:r>
      <w:r>
        <w:rPr>
          <w:rFonts w:ascii="Times New Roman" w:hAnsi="Times New Roman" w:cs="Times New Roman" w:eastAsia="Times New Roman" w:hint="default"/>
        </w:rPr>
        <w:t>2013</w:t>
      </w:r>
      <w:r>
        <w:rPr/>
        <w:t>年年 </w:t>
      </w:r>
      <w:r>
        <w:rPr>
          <w:spacing w:val="-2"/>
        </w:rPr>
        <w:t>度报告及摘要》、《</w:t>
      </w:r>
      <w:r>
        <w:rPr>
          <w:rFonts w:ascii="Times New Roman" w:hAnsi="Times New Roman" w:cs="Times New Roman" w:eastAsia="Times New Roman" w:hint="default"/>
          <w:spacing w:val="-2"/>
        </w:rPr>
        <w:t>2013</w:t>
      </w:r>
      <w:r>
        <w:rPr>
          <w:spacing w:val="-2"/>
        </w:rPr>
        <w:t>年董事会工作报告》、《经审计的</w:t>
      </w:r>
      <w:r>
        <w:rPr>
          <w:rFonts w:ascii="Times New Roman" w:hAnsi="Times New Roman" w:cs="Times New Roman" w:eastAsia="Times New Roman" w:hint="default"/>
          <w:spacing w:val="-2"/>
        </w:rPr>
        <w:t>2013</w:t>
      </w:r>
      <w:r>
        <w:rPr>
          <w:spacing w:val="-2"/>
        </w:rPr>
        <w:t>年度财务报告》、《</w:t>
      </w:r>
      <w:r>
        <w:rPr>
          <w:rFonts w:ascii="Times New Roman" w:hAnsi="Times New Roman" w:cs="Times New Roman" w:eastAsia="Times New Roman" w:hint="default"/>
          <w:spacing w:val="-2"/>
        </w:rPr>
        <w:t>2014</w:t>
      </w:r>
      <w:r>
        <w:rPr>
          <w:spacing w:val="-2"/>
        </w:rPr>
        <w:t>年度财务预算报告》、《</w:t>
      </w:r>
      <w:r>
        <w:rPr>
          <w:rFonts w:ascii="Times New Roman" w:hAnsi="Times New Roman" w:cs="Times New Roman" w:eastAsia="Times New Roman" w:hint="default"/>
          <w:spacing w:val="-2"/>
        </w:rPr>
        <w:t>2013</w:t>
      </w:r>
      <w:r>
        <w:rPr>
          <w:spacing w:val="-2"/>
        </w:rPr>
        <w:t>年度</w:t>
      </w:r>
      <w:r>
        <w:rPr>
          <w:spacing w:val="-55"/>
        </w:rPr>
        <w:t> </w:t>
      </w:r>
      <w:r>
        <w:rPr>
          <w:spacing w:val="-3"/>
        </w:rPr>
        <w:t>利润分配方案》、《关于</w:t>
      </w:r>
      <w:r>
        <w:rPr>
          <w:rFonts w:ascii="Times New Roman" w:hAnsi="Times New Roman" w:cs="Times New Roman" w:eastAsia="Times New Roman" w:hint="default"/>
          <w:spacing w:val="-3"/>
        </w:rPr>
        <w:t>2014</w:t>
      </w:r>
      <w:r>
        <w:rPr>
          <w:spacing w:val="-3"/>
        </w:rPr>
        <w:t>年度董事、监事、高级管理人员薪酬的议案》、《</w:t>
      </w:r>
      <w:r>
        <w:rPr>
          <w:rFonts w:ascii="Times New Roman" w:hAnsi="Times New Roman" w:cs="Times New Roman" w:eastAsia="Times New Roman" w:hint="default"/>
          <w:spacing w:val="-3"/>
        </w:rPr>
        <w:t>2013</w:t>
      </w:r>
      <w:r>
        <w:rPr>
          <w:spacing w:val="-3"/>
        </w:rPr>
        <w:t>年募集资金存放与使用情况专项报告》、</w:t>
      </w:r>
    </w:p>
    <w:p>
      <w:pPr>
        <w:pStyle w:val="BodyText"/>
        <w:spacing w:line="300" w:lineRule="auto" w:before="13"/>
        <w:ind w:right="92"/>
        <w:jc w:val="left"/>
      </w:pPr>
      <w:r>
        <w:rPr>
          <w:spacing w:val="-2"/>
        </w:rPr>
        <w:t>《</w:t>
      </w:r>
      <w:r>
        <w:rPr>
          <w:rFonts w:ascii="Times New Roman" w:hAnsi="Times New Roman" w:cs="Times New Roman" w:eastAsia="Times New Roman" w:hint="default"/>
          <w:spacing w:val="-2"/>
        </w:rPr>
        <w:t>2013</w:t>
      </w:r>
      <w:r>
        <w:rPr>
          <w:spacing w:val="-2"/>
        </w:rPr>
        <w:t>年度内部控制自我评价报告》、《</w:t>
      </w:r>
      <w:r>
        <w:rPr>
          <w:rFonts w:ascii="Times New Roman" w:hAnsi="Times New Roman" w:cs="Times New Roman" w:eastAsia="Times New Roman" w:hint="default"/>
          <w:spacing w:val="-2"/>
        </w:rPr>
        <w:t>2013</w:t>
      </w:r>
      <w:r>
        <w:rPr>
          <w:spacing w:val="-2"/>
        </w:rPr>
        <w:t>年度社会责任报告》、《关于对控股子公司申请使用公司银行授信额度并提供</w:t>
      </w:r>
      <w:r>
        <w:rPr>
          <w:spacing w:val="-60"/>
        </w:rPr>
        <w:t> </w:t>
      </w:r>
      <w:r>
        <w:rPr>
          <w:spacing w:val="-60"/>
        </w:rPr>
      </w:r>
      <w:r>
        <w:rPr>
          <w:spacing w:val="-4"/>
        </w:rPr>
        <w:t>担保的议案》、《关于为全资子公司向银行申请授信额度提供担保的议案》、《关于公司向银行申请综合授信额度的议案》、</w:t>
      </w:r>
    </w:p>
    <w:p>
      <w:pPr>
        <w:pStyle w:val="BodyText"/>
        <w:spacing w:line="240" w:lineRule="auto" w:before="31"/>
        <w:ind w:right="92"/>
        <w:jc w:val="left"/>
      </w:pPr>
      <w:r>
        <w:rPr/>
        <w:t>《关于</w:t>
      </w:r>
      <w:r>
        <w:rPr>
          <w:rFonts w:ascii="Times New Roman" w:hAnsi="Times New Roman" w:cs="Times New Roman" w:eastAsia="Times New Roman" w:hint="default"/>
        </w:rPr>
        <w:t>2014</w:t>
      </w:r>
      <w:r>
        <w:rPr/>
        <w:t>年度日常性关联交易预计的议案》、《关于修订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分红管理制度</w:t>
      </w:r>
      <w:r>
        <w:rPr>
          <w:rFonts w:ascii="Times New Roman" w:hAnsi="Times New Roman" w:cs="Times New Roman" w:eastAsia="Times New Roman" w:hint="default"/>
        </w:rPr>
        <w:t>&gt;</w:t>
      </w:r>
      <w:r>
        <w:rPr/>
        <w:t>的议案》、</w:t>
      </w:r>
    </w:p>
    <w:p>
      <w:pPr>
        <w:pStyle w:val="BodyText"/>
        <w:spacing w:line="240" w:lineRule="auto" w:before="64"/>
        <w:ind w:right="92"/>
        <w:jc w:val="left"/>
      </w:pPr>
      <w:r>
        <w:rPr/>
        <w:t>《关于召开</w:t>
      </w:r>
      <w:r>
        <w:rPr>
          <w:rFonts w:ascii="Times New Roman" w:hAnsi="Times New Roman" w:cs="Times New Roman" w:eastAsia="Times New Roman" w:hint="default"/>
        </w:rPr>
        <w:t>2013</w:t>
      </w:r>
      <w:r>
        <w:rPr/>
        <w:t>年年度股东大会的议案》。</w:t>
      </w:r>
    </w:p>
    <w:p>
      <w:pPr>
        <w:pStyle w:val="BodyText"/>
        <w:spacing w:line="240" w:lineRule="auto" w:before="103"/>
        <w:ind w:left="514" w:right="92"/>
        <w:jc w:val="left"/>
      </w:pPr>
      <w:r>
        <w:rPr/>
        <w:t>（</w:t>
      </w:r>
      <w:r>
        <w:rPr>
          <w:rFonts w:ascii="Times New Roman" w:hAnsi="Times New Roman" w:cs="Times New Roman" w:eastAsia="Times New Roman" w:hint="default"/>
        </w:rPr>
        <w:t>3</w:t>
      </w:r>
      <w:r>
        <w:rPr/>
        <w:t>）第三届董事会第九次会议</w:t>
      </w:r>
    </w:p>
    <w:p>
      <w:pPr>
        <w:pStyle w:val="BodyText"/>
        <w:spacing w:line="302" w:lineRule="auto" w:before="101"/>
        <w:ind w:right="18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日，公司召开第三届董事会第九次会议，应到董事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人，会议审议通过了《</w:t>
      </w:r>
      <w:r>
        <w:rPr>
          <w:rFonts w:ascii="Times New Roman" w:hAnsi="Times New Roman" w:cs="Times New Roman" w:eastAsia="Times New Roman" w:hint="default"/>
        </w:rPr>
        <w:t>2014</w:t>
      </w:r>
      <w:r>
        <w:rPr/>
        <w:t>年第 一季度报告》、《关于调整股票期权行权价格的议案》、《关于公司设立昆明办事处的议案》。</w:t>
      </w:r>
    </w:p>
    <w:p>
      <w:pPr>
        <w:spacing w:after="0" w:line="302"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4" w:right="92"/>
        <w:jc w:val="left"/>
      </w:pPr>
      <w:r>
        <w:rPr/>
        <w:t>（</w:t>
      </w:r>
      <w:r>
        <w:rPr>
          <w:rFonts w:ascii="Times New Roman" w:hAnsi="Times New Roman" w:cs="Times New Roman" w:eastAsia="Times New Roman" w:hint="default"/>
        </w:rPr>
        <w:t>4</w:t>
      </w:r>
      <w:r>
        <w:rPr/>
        <w:t>）第三届董事会第十次会议</w:t>
      </w:r>
    </w:p>
    <w:p>
      <w:pPr>
        <w:pStyle w:val="BodyText"/>
        <w:spacing w:line="300" w:lineRule="auto" w:before="101"/>
        <w:ind w:right="190"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日，公司召开第三届董事会第十次会议，应到董事</w:t>
      </w:r>
      <w:r>
        <w:rPr>
          <w:rFonts w:ascii="Times New Roman" w:hAnsi="Times New Roman" w:cs="Times New Roman" w:eastAsia="Times New Roman" w:hint="default"/>
          <w:spacing w:val="-2"/>
        </w:rPr>
        <w:t>11</w:t>
      </w:r>
      <w:r>
        <w:rPr>
          <w:spacing w:val="-2"/>
        </w:rPr>
        <w:t>人，实际参会董事</w:t>
      </w:r>
      <w:r>
        <w:rPr>
          <w:rFonts w:ascii="Times New Roman" w:hAnsi="Times New Roman" w:cs="Times New Roman" w:eastAsia="Times New Roman" w:hint="default"/>
          <w:spacing w:val="-2"/>
        </w:rPr>
        <w:t>11</w:t>
      </w:r>
      <w:r>
        <w:rPr>
          <w:spacing w:val="-2"/>
        </w:rPr>
        <w:t>人，会议审议通过了《关于对控股</w:t>
      </w:r>
      <w:r>
        <w:rPr/>
        <w:t> </w:t>
      </w:r>
      <w:r>
        <w:rPr>
          <w:spacing w:val="-1"/>
        </w:rPr>
        <w:t>子公司提供财务资助的议案》、《关于修订</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的议案》、《关于修订</w:t>
      </w:r>
      <w:r>
        <w:rPr>
          <w:rFonts w:ascii="Times New Roman" w:hAnsi="Times New Roman" w:cs="Times New Roman" w:eastAsia="Times New Roman" w:hint="default"/>
          <w:spacing w:val="-1"/>
        </w:rPr>
        <w:t>&lt;</w:t>
      </w:r>
      <w:r>
        <w:rPr>
          <w:spacing w:val="-1"/>
        </w:rPr>
        <w:t>股东大会议事规则</w:t>
      </w:r>
      <w:r>
        <w:rPr>
          <w:rFonts w:ascii="Times New Roman" w:hAnsi="Times New Roman" w:cs="Times New Roman" w:eastAsia="Times New Roman" w:hint="default"/>
          <w:spacing w:val="-1"/>
        </w:rPr>
        <w:t>&gt;</w:t>
      </w:r>
      <w:r>
        <w:rPr>
          <w:spacing w:val="-1"/>
        </w:rPr>
        <w:t>的议案》、《关于修订</w:t>
      </w:r>
      <w:r>
        <w:rPr>
          <w:rFonts w:ascii="Times New Roman" w:hAnsi="Times New Roman" w:cs="Times New Roman" w:eastAsia="Times New Roman" w:hint="default"/>
          <w:spacing w:val="-1"/>
        </w:rPr>
        <w:t>&lt;</w:t>
      </w:r>
      <w:r>
        <w:rPr>
          <w:rFonts w:ascii="Times New Roman" w:hAnsi="Times New Roman" w:cs="Times New Roman" w:eastAsia="Times New Roman" w:hint="default"/>
        </w:rPr>
        <w:t> </w:t>
      </w:r>
      <w:r>
        <w:rPr/>
        <w:t>对外提供财务资助管理制度</w:t>
      </w:r>
      <w:r>
        <w:rPr>
          <w:rFonts w:ascii="Times New Roman" w:hAnsi="Times New Roman" w:cs="Times New Roman" w:eastAsia="Times New Roman" w:hint="default"/>
        </w:rPr>
        <w:t>&gt;</w:t>
      </w:r>
      <w:r>
        <w:rPr/>
        <w:t>的议案》、《关于更换会计师事务所的议案》、《关于聘任公司副总经理的议案》、《关于召 开</w:t>
      </w:r>
      <w:r>
        <w:rPr>
          <w:rFonts w:ascii="Times New Roman" w:hAnsi="Times New Roman" w:cs="Times New Roman" w:eastAsia="Times New Roman" w:hint="default"/>
        </w:rPr>
        <w:t>2014</w:t>
      </w:r>
      <w:r>
        <w:rPr/>
        <w:t>年第一次临时股东大会的议案》。</w:t>
      </w:r>
    </w:p>
    <w:p>
      <w:pPr>
        <w:pStyle w:val="BodyText"/>
        <w:spacing w:line="240" w:lineRule="auto" w:before="53"/>
        <w:ind w:left="514" w:right="92"/>
        <w:jc w:val="left"/>
      </w:pPr>
      <w:r>
        <w:rPr/>
        <w:t>（</w:t>
      </w:r>
      <w:r>
        <w:rPr>
          <w:rFonts w:ascii="Times New Roman" w:hAnsi="Times New Roman" w:cs="Times New Roman" w:eastAsia="Times New Roman" w:hint="default"/>
        </w:rPr>
        <w:t>5</w:t>
      </w:r>
      <w:r>
        <w:rPr/>
        <w:t>）第三届董事会第十一次会议</w:t>
      </w:r>
    </w:p>
    <w:p>
      <w:pPr>
        <w:pStyle w:val="BodyText"/>
        <w:spacing w:line="302" w:lineRule="auto" w:before="101"/>
        <w:ind w:right="18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日，公司召开第三届董事会第十一次会议，应到董事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人，会议审议通过了《</w:t>
      </w:r>
      <w:r>
        <w:rPr>
          <w:rFonts w:ascii="Times New Roman" w:hAnsi="Times New Roman" w:cs="Times New Roman" w:eastAsia="Times New Roman" w:hint="default"/>
        </w:rPr>
        <w:t>2014</w:t>
      </w:r>
      <w:r>
        <w:rPr/>
        <w:t>年 半年度报告》全文及摘要。</w:t>
      </w:r>
    </w:p>
    <w:p>
      <w:pPr>
        <w:pStyle w:val="BodyText"/>
        <w:spacing w:line="240" w:lineRule="auto" w:before="69"/>
        <w:ind w:left="514" w:right="92"/>
        <w:jc w:val="left"/>
      </w:pPr>
      <w:r>
        <w:rPr/>
        <w:t>（</w:t>
      </w:r>
      <w:r>
        <w:rPr>
          <w:rFonts w:ascii="Times New Roman" w:hAnsi="Times New Roman" w:cs="Times New Roman" w:eastAsia="Times New Roman" w:hint="default"/>
        </w:rPr>
        <w:t>6</w:t>
      </w:r>
      <w:r>
        <w:rPr/>
        <w:t>）第三届董事会第十二次会议</w:t>
      </w:r>
    </w:p>
    <w:p>
      <w:pPr>
        <w:pStyle w:val="BodyText"/>
        <w:spacing w:line="240" w:lineRule="auto" w:before="102"/>
        <w:ind w:left="514" w:right="92"/>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日，公司召开第三届董事会第十二次会议，应到董事</w:t>
      </w:r>
      <w:r>
        <w:rPr>
          <w:rFonts w:ascii="Times New Roman" w:hAnsi="Times New Roman" w:cs="Times New Roman" w:eastAsia="Times New Roman" w:hint="default"/>
        </w:rPr>
        <w:t>11</w:t>
      </w:r>
      <w:r>
        <w:rPr/>
        <w:t>人，实际参会董事</w:t>
      </w:r>
      <w:r>
        <w:rPr>
          <w:rFonts w:ascii="Times New Roman" w:hAnsi="Times New Roman" w:cs="Times New Roman" w:eastAsia="Times New Roman" w:hint="default"/>
        </w:rPr>
        <w:t>11</w:t>
      </w:r>
      <w:r>
        <w:rPr/>
        <w:t>人。会议审议通过了《</w:t>
      </w:r>
      <w:r>
        <w:rPr>
          <w:rFonts w:ascii="Times New Roman" w:hAnsi="Times New Roman" w:cs="Times New Roman" w:eastAsia="Times New Roman" w:hint="default"/>
        </w:rPr>
        <w:t>2014</w:t>
      </w:r>
    </w:p>
    <w:p>
      <w:pPr>
        <w:pStyle w:val="BodyText"/>
        <w:spacing w:line="240" w:lineRule="auto" w:before="64"/>
        <w:ind w:right="92"/>
        <w:jc w:val="left"/>
      </w:pPr>
      <w:r>
        <w:rPr/>
        <w:t>年第三季度报告》全文。</w:t>
      </w:r>
    </w:p>
    <w:p>
      <w:pPr>
        <w:pStyle w:val="Heading5"/>
        <w:spacing w:line="240" w:lineRule="auto" w:before="116"/>
        <w:ind w:left="606" w:right="92"/>
        <w:jc w:val="left"/>
        <w:rPr>
          <w:b w:val="0"/>
          <w:bCs w:val="0"/>
        </w:rPr>
      </w:pPr>
      <w:r>
        <w:rPr>
          <w:rFonts w:ascii="Times New Roman" w:hAnsi="Times New Roman" w:cs="Times New Roman" w:eastAsia="Times New Roman" w:hint="default"/>
        </w:rPr>
        <w:t>3</w:t>
      </w:r>
      <w:r>
        <w:rPr/>
        <w:t>、独立董事履职情况</w:t>
      </w:r>
      <w:r>
        <w:rPr>
          <w:b w:val="0"/>
          <w:bCs w:val="0"/>
        </w:rPr>
      </w:r>
    </w:p>
    <w:p>
      <w:pPr>
        <w:pStyle w:val="BodyText"/>
        <w:spacing w:line="309" w:lineRule="auto" w:before="101"/>
        <w:ind w:right="193" w:firstLine="360"/>
        <w:jc w:val="both"/>
      </w:pPr>
      <w:r>
        <w:rPr/>
        <w:t>（</w:t>
      </w:r>
      <w:r>
        <w:rPr>
          <w:rFonts w:ascii="Times New Roman" w:hAnsi="Times New Roman" w:cs="Times New Roman" w:eastAsia="Times New Roman" w:hint="default"/>
        </w:rPr>
        <w:t>1</w:t>
      </w:r>
      <w:r>
        <w:rPr/>
        <w:t>）报告期内，独立董事根据《公司章程》及《独立董事工作制度》的要求，恪尽职守，切实维护公司的整体利益及 </w:t>
      </w:r>
      <w:r>
        <w:rPr>
          <w:spacing w:val="-2"/>
        </w:rPr>
        <w:t>中小股东的合法权益，认真履行了作为董事的忠实诚信、勤勉尽职的义务，按时出席了报告期内公司召开的各次股东会及董</w:t>
      </w:r>
      <w:r>
        <w:rPr>
          <w:spacing w:val="-66"/>
        </w:rPr>
        <w:t> </w:t>
      </w:r>
      <w:r>
        <w:rPr>
          <w:spacing w:val="-66"/>
        </w:rPr>
      </w:r>
      <w:r>
        <w:rPr/>
        <w:t>事会会议，对各项议案和其他事项进行了认真调查及讨论并进行了审慎表决，切实发挥了独立董事作用。</w:t>
      </w:r>
    </w:p>
    <w:p>
      <w:pPr>
        <w:pStyle w:val="BodyText"/>
        <w:spacing w:line="338" w:lineRule="auto" w:before="65"/>
        <w:ind w:left="514" w:right="92"/>
        <w:jc w:val="left"/>
      </w:pPr>
      <w:r>
        <w:rPr/>
        <w:t>（</w:t>
      </w:r>
      <w:r>
        <w:rPr>
          <w:rFonts w:ascii="Times New Roman" w:hAnsi="Times New Roman" w:cs="Times New Roman" w:eastAsia="Times New Roman" w:hint="default"/>
        </w:rPr>
        <w:t>2</w:t>
      </w:r>
      <w:r>
        <w:rPr/>
        <w:t>）独立董事对公司有关事项提出异议的情况 </w:t>
      </w:r>
      <w:r>
        <w:rPr>
          <w:spacing w:val="-2"/>
        </w:rPr>
        <w:t>报告期内，公司四位独立董事，能够严格按照《公司章程》、《独立董事工作制度》等的规定，本着对公司、股东负责</w:t>
      </w:r>
    </w:p>
    <w:p>
      <w:pPr>
        <w:pStyle w:val="BodyText"/>
        <w:spacing w:line="319" w:lineRule="auto" w:before="2"/>
        <w:ind w:right="92"/>
        <w:jc w:val="left"/>
      </w:pPr>
      <w:r>
        <w:rPr>
          <w:spacing w:val="-2"/>
        </w:rPr>
        <w:t>的态度，勤勉尽责，忠实履行职责，积极出席相关会议，认真审议各项议案，客观地发表自己的看法及观点，对公司发生的</w:t>
      </w:r>
      <w:r>
        <w:rPr>
          <w:spacing w:val="-68"/>
        </w:rPr>
        <w:t> </w:t>
      </w:r>
      <w:r>
        <w:rPr>
          <w:spacing w:val="-68"/>
        </w:rPr>
      </w:r>
      <w:r>
        <w:rPr/>
        <w:t>凡需要独立董事发表意见的重大事项均进行了认真审核，并提出了书面的独立董事意见函。</w:t>
      </w:r>
    </w:p>
    <w:p>
      <w:pPr>
        <w:pStyle w:val="BodyText"/>
        <w:spacing w:line="240" w:lineRule="auto" w:before="56"/>
        <w:ind w:left="514" w:right="92"/>
        <w:jc w:val="left"/>
      </w:pPr>
      <w:r>
        <w:rPr/>
        <w:t>报告期内，公司四位独立董事，对公司董事会审议的议案以及公司其它事项均未提出异议。</w:t>
      </w:r>
    </w:p>
    <w:p>
      <w:pPr>
        <w:pStyle w:val="Heading5"/>
        <w:spacing w:line="240" w:lineRule="auto" w:before="117"/>
        <w:ind w:right="92"/>
        <w:jc w:val="left"/>
        <w:rPr>
          <w:b w:val="0"/>
          <w:bCs w:val="0"/>
        </w:rPr>
      </w:pPr>
      <w:r>
        <w:rPr>
          <w:rFonts w:ascii="Times New Roman" w:hAnsi="Times New Roman" w:cs="Times New Roman" w:eastAsia="Times New Roman" w:hint="default"/>
        </w:rPr>
        <w:t>4</w:t>
      </w:r>
      <w:r>
        <w:rPr/>
        <w:t>、董事会专门委员会履职情况</w:t>
      </w:r>
      <w:r>
        <w:rPr>
          <w:b w:val="0"/>
          <w:bCs w:val="0"/>
        </w:rPr>
      </w:r>
    </w:p>
    <w:p>
      <w:pPr>
        <w:pStyle w:val="Heading5"/>
        <w:spacing w:line="240" w:lineRule="auto" w:before="103"/>
        <w:ind w:right="92"/>
        <w:jc w:val="left"/>
        <w:rPr>
          <w:b w:val="0"/>
          <w:bCs w:val="0"/>
        </w:rPr>
      </w:pPr>
      <w:r>
        <w:rPr>
          <w:rFonts w:ascii="Times New Roman" w:hAnsi="Times New Roman" w:cs="Times New Roman" w:eastAsia="Times New Roman" w:hint="default"/>
        </w:rPr>
        <w:t>4.1</w:t>
      </w:r>
      <w:r>
        <w:rPr>
          <w:rFonts w:ascii="Times New Roman" w:hAnsi="Times New Roman" w:cs="Times New Roman" w:eastAsia="Times New Roman" w:hint="default"/>
          <w:spacing w:val="29"/>
        </w:rPr>
        <w:t> </w:t>
      </w:r>
      <w:r>
        <w:rPr/>
        <w:t>审计委员会履职情况</w:t>
      </w:r>
      <w:r>
        <w:rPr>
          <w:b w:val="0"/>
          <w:bCs w:val="0"/>
        </w:rPr>
      </w:r>
    </w:p>
    <w:p>
      <w:pPr>
        <w:pStyle w:val="BodyText"/>
        <w:spacing w:line="240" w:lineRule="auto" w:before="102"/>
        <w:ind w:left="514" w:right="92"/>
        <w:jc w:val="left"/>
      </w:pPr>
      <w:r>
        <w:rPr>
          <w:rFonts w:ascii="Times New Roman" w:hAnsi="Times New Roman" w:cs="Times New Roman" w:eastAsia="Times New Roman" w:hint="default"/>
        </w:rPr>
        <w:t>4.1.1</w:t>
      </w:r>
      <w:r>
        <w:rPr>
          <w:rFonts w:ascii="Times New Roman" w:hAnsi="Times New Roman" w:cs="Times New Roman" w:eastAsia="Times New Roman" w:hint="default"/>
          <w:spacing w:val="25"/>
        </w:rPr>
        <w:t> </w:t>
      </w:r>
      <w:r>
        <w:rPr/>
        <w:t>本年度会议召开情况</w:t>
      </w:r>
    </w:p>
    <w:p>
      <w:pPr>
        <w:pStyle w:val="BodyText"/>
        <w:spacing w:line="240" w:lineRule="auto" w:before="103"/>
        <w:ind w:left="514" w:right="92"/>
        <w:jc w:val="left"/>
      </w:pPr>
      <w:r>
        <w:rPr>
          <w:rFonts w:ascii="Times New Roman" w:hAnsi="Times New Roman" w:cs="Times New Roman" w:eastAsia="Times New Roman" w:hint="default"/>
        </w:rPr>
        <w:t>2014</w:t>
      </w:r>
      <w:r>
        <w:rPr/>
        <w:t>年度，审计委员会共召开会议七次，具体情况如下：</w:t>
      </w:r>
    </w:p>
    <w:p>
      <w:pPr>
        <w:pStyle w:val="BodyText"/>
        <w:spacing w:line="300" w:lineRule="auto" w:before="101"/>
        <w:ind w:right="19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日，审计委员会和公司独立董事及瑞华会计师事务所（特殊普通合伙）签字注册会计师就天源迪科公 </w:t>
      </w:r>
      <w:r>
        <w:rPr>
          <w:spacing w:val="-2"/>
        </w:rPr>
        <w:t>司</w:t>
      </w:r>
      <w:r>
        <w:rPr>
          <w:rFonts w:ascii="Times New Roman" w:hAnsi="Times New Roman" w:cs="Times New Roman" w:eastAsia="Times New Roman" w:hint="default"/>
          <w:spacing w:val="-2"/>
        </w:rPr>
        <w:t>2013</w:t>
      </w:r>
      <w:r>
        <w:rPr>
          <w:spacing w:val="-2"/>
        </w:rPr>
        <w:t>年度财务审计相关事项进行了第一次充分沟通。本次沟通确定了审计的目的、审计计划、风险判断、风险及舞弊测试</w:t>
      </w:r>
      <w:r>
        <w:rPr>
          <w:spacing w:val="-62"/>
        </w:rPr>
        <w:t> </w:t>
      </w:r>
      <w:r>
        <w:rPr>
          <w:spacing w:val="-62"/>
        </w:rPr>
      </w:r>
      <w:r>
        <w:rPr/>
        <w:t>和评价方法、重点审计内容及审计时间和人员安排。公司内部审计部门向审计委员会成员提交了</w:t>
      </w:r>
      <w:r>
        <w:rPr>
          <w:rFonts w:ascii="Times New Roman" w:hAnsi="Times New Roman" w:cs="Times New Roman" w:eastAsia="Times New Roman" w:hint="default"/>
        </w:rPr>
        <w:t>2014</w:t>
      </w:r>
      <w:r>
        <w:rPr/>
        <w:t>年内部审计计划。</w:t>
      </w:r>
    </w:p>
    <w:p>
      <w:pPr>
        <w:pStyle w:val="BodyText"/>
        <w:spacing w:line="300" w:lineRule="auto" w:before="51"/>
        <w:ind w:right="19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日，审计委员会和公司独立董事及瑞华会计师事务所（特殊普通合伙）签字注册会计师就天源迪科公</w:t>
      </w:r>
      <w:r>
        <w:rPr/>
        <w:t> </w:t>
      </w:r>
      <w:r>
        <w:rPr>
          <w:spacing w:val="-2"/>
        </w:rPr>
        <w:t>司</w:t>
      </w:r>
      <w:r>
        <w:rPr>
          <w:rFonts w:ascii="Times New Roman" w:hAnsi="Times New Roman" w:cs="Times New Roman" w:eastAsia="Times New Roman" w:hint="default"/>
          <w:spacing w:val="-2"/>
        </w:rPr>
        <w:t>2013</w:t>
      </w:r>
      <w:r>
        <w:rPr>
          <w:spacing w:val="-2"/>
        </w:rPr>
        <w:t>年度财务审计相关事项进行了第二次充分沟通。本次沟通审核了审计初稿，对前期审计执行情况进行了总结，对审计</w:t>
      </w:r>
      <w:r>
        <w:rPr>
          <w:spacing w:val="-62"/>
        </w:rPr>
        <w:t> </w:t>
      </w:r>
      <w:r>
        <w:rPr>
          <w:spacing w:val="-62"/>
        </w:rPr>
      </w:r>
      <w:r>
        <w:rPr/>
        <w:t>中发现的问题提出了要求和完善建议。公司内部审计部门向公司董事会审计委员会成员提交</w:t>
      </w:r>
      <w:r>
        <w:rPr>
          <w:rFonts w:ascii="Times New Roman" w:hAnsi="Times New Roman" w:cs="Times New Roman" w:eastAsia="Times New Roman" w:hint="default"/>
        </w:rPr>
        <w:t>2013</w:t>
      </w:r>
      <w:r>
        <w:rPr/>
        <w:t>年内部审计工作总结。</w:t>
      </w:r>
    </w:p>
    <w:p>
      <w:pPr>
        <w:pStyle w:val="BodyText"/>
        <w:spacing w:line="300" w:lineRule="auto" w:before="52"/>
        <w:ind w:right="89" w:firstLine="36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日，审计委员会审核了年审会计师提交的</w:t>
      </w:r>
      <w:r>
        <w:rPr>
          <w:rFonts w:ascii="Times New Roman" w:hAnsi="Times New Roman" w:cs="Times New Roman" w:eastAsia="Times New Roman" w:hint="default"/>
          <w:spacing w:val="-3"/>
        </w:rPr>
        <w:t>2013</w:t>
      </w:r>
      <w:r>
        <w:rPr>
          <w:spacing w:val="-3"/>
        </w:rPr>
        <w:t>年度财务报表，审计委员会成员根据其专业知识与经验，</w:t>
      </w:r>
      <w:r>
        <w:rPr/>
        <w:t> </w:t>
      </w:r>
      <w:r>
        <w:rPr>
          <w:spacing w:val="-2"/>
        </w:rPr>
        <w:t>按照中国证监会有关的规定和要求，对公司</w:t>
      </w:r>
      <w:r>
        <w:rPr>
          <w:rFonts w:ascii="Times New Roman" w:hAnsi="Times New Roman" w:cs="Times New Roman" w:eastAsia="Times New Roman" w:hint="default"/>
          <w:spacing w:val="-2"/>
        </w:rPr>
        <w:t>2013</w:t>
      </w:r>
      <w:r>
        <w:rPr>
          <w:spacing w:val="-2"/>
        </w:rPr>
        <w:t>年年度财务报表进行了审阅，并发表了书面意见，同意将经审计的</w:t>
      </w:r>
      <w:r>
        <w:rPr>
          <w:rFonts w:ascii="Times New Roman" w:hAnsi="Times New Roman" w:cs="Times New Roman" w:eastAsia="Times New Roman" w:hint="default"/>
          <w:spacing w:val="-2"/>
        </w:rPr>
        <w:t>2013</w:t>
      </w:r>
      <w:r>
        <w:rPr>
          <w:spacing w:val="-2"/>
        </w:rPr>
        <w:t>年度</w:t>
      </w:r>
      <w:r>
        <w:rPr>
          <w:spacing w:val="-58"/>
        </w:rPr>
        <w:t> </w:t>
      </w:r>
      <w:r>
        <w:rPr/>
        <w:t>财务报表报请第三届董事会第八次会议审议。</w:t>
      </w:r>
    </w:p>
    <w:p>
      <w:pPr>
        <w:pStyle w:val="BodyText"/>
        <w:spacing w:line="240" w:lineRule="auto" w:before="71"/>
        <w:ind w:left="514" w:right="92"/>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日，审计委员会召开会议审阅了</w:t>
      </w:r>
      <w:r>
        <w:rPr>
          <w:rFonts w:ascii="Times New Roman" w:hAnsi="Times New Roman" w:cs="Times New Roman" w:eastAsia="Times New Roman" w:hint="default"/>
        </w:rPr>
        <w:t>2014</w:t>
      </w:r>
      <w:r>
        <w:rPr/>
        <w:t>年第一季度财务报表。</w:t>
      </w:r>
    </w:p>
    <w:p>
      <w:pPr>
        <w:pStyle w:val="BodyText"/>
        <w:spacing w:line="302" w:lineRule="auto" w:before="101"/>
        <w:ind w:right="182" w:firstLine="36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日，审计委员会就聘任</w:t>
      </w:r>
      <w:r>
        <w:rPr>
          <w:rFonts w:ascii="Times New Roman" w:hAnsi="Times New Roman" w:cs="Times New Roman" w:eastAsia="Times New Roman" w:hint="default"/>
        </w:rPr>
        <w:t>2014</w:t>
      </w:r>
      <w:r>
        <w:rPr/>
        <w:t>年度审计机构的事项进行了董事会会前沟通，同意公司聘任立信会计师事 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为公司</w:t>
      </w:r>
      <w:r>
        <w:rPr>
          <w:rFonts w:ascii="Times New Roman" w:hAnsi="Times New Roman" w:cs="Times New Roman" w:eastAsia="Times New Roman" w:hint="default"/>
        </w:rPr>
        <w:t>2014</w:t>
      </w:r>
      <w:r>
        <w:rPr/>
        <w:t>年度审计机构，并报请第三届董事会第十次会议审议。</w:t>
      </w:r>
    </w:p>
    <w:p>
      <w:pPr>
        <w:pStyle w:val="BodyText"/>
        <w:spacing w:line="240" w:lineRule="auto" w:before="52"/>
        <w:ind w:left="514" w:right="92"/>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日，审计委员会召开会议审阅了</w:t>
      </w:r>
      <w:r>
        <w:rPr>
          <w:rFonts w:ascii="Times New Roman" w:hAnsi="Times New Roman" w:cs="Times New Roman" w:eastAsia="Times New Roman" w:hint="default"/>
        </w:rPr>
        <w:t>2014</w:t>
      </w:r>
      <w:r>
        <w:rPr/>
        <w:t>年半年报财务报表、审计部</w:t>
      </w:r>
      <w:r>
        <w:rPr>
          <w:rFonts w:ascii="Times New Roman" w:hAnsi="Times New Roman" w:cs="Times New Roman" w:eastAsia="Times New Roman" w:hint="default"/>
        </w:rPr>
        <w:t>2014</w:t>
      </w:r>
      <w:r>
        <w:rPr/>
        <w:t>年半年度审计计划执行情况。</w:t>
      </w:r>
    </w:p>
    <w:p>
      <w:pPr>
        <w:pStyle w:val="BodyText"/>
        <w:spacing w:line="302" w:lineRule="auto" w:before="101"/>
        <w:ind w:right="182" w:firstLine="36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日，审计委员会召开会议审阅了</w:t>
      </w:r>
      <w:r>
        <w:rPr>
          <w:rFonts w:ascii="Times New Roman" w:hAnsi="Times New Roman" w:cs="Times New Roman" w:eastAsia="Times New Roman" w:hint="default"/>
        </w:rPr>
        <w:t>2014</w:t>
      </w:r>
      <w:r>
        <w:rPr/>
        <w:t>年三季报财务报表、审计部</w:t>
      </w:r>
      <w:r>
        <w:rPr>
          <w:rFonts w:ascii="Times New Roman" w:hAnsi="Times New Roman" w:cs="Times New Roman" w:eastAsia="Times New Roman" w:hint="default"/>
        </w:rPr>
        <w:t>2014</w:t>
      </w:r>
      <w:r>
        <w:rPr/>
        <w:t>年三季度审计工作总结和四季 度审计计划。</w:t>
      </w:r>
    </w:p>
    <w:p>
      <w:pPr>
        <w:pStyle w:val="BodyText"/>
        <w:spacing w:line="240" w:lineRule="auto" w:before="69"/>
        <w:ind w:left="514" w:right="92"/>
        <w:jc w:val="left"/>
      </w:pPr>
      <w:r>
        <w:rPr>
          <w:rFonts w:ascii="Times New Roman" w:hAnsi="Times New Roman" w:cs="Times New Roman" w:eastAsia="Times New Roman" w:hint="default"/>
        </w:rPr>
        <w:t>4.1.2</w:t>
      </w:r>
      <w:r>
        <w:rPr>
          <w:rFonts w:ascii="Times New Roman" w:hAnsi="Times New Roman" w:cs="Times New Roman" w:eastAsia="Times New Roman" w:hint="default"/>
          <w:spacing w:val="25"/>
        </w:rPr>
        <w:t> </w:t>
      </w:r>
      <w:r>
        <w:rPr/>
        <w:t>对公司</w:t>
      </w:r>
      <w:r>
        <w:rPr>
          <w:rFonts w:ascii="Times New Roman" w:hAnsi="Times New Roman" w:cs="Times New Roman" w:eastAsia="Times New Roman" w:hint="default"/>
        </w:rPr>
        <w:t>2014</w:t>
      </w:r>
      <w:r>
        <w:rPr/>
        <w:t>年度财务报告的审计的工作情况</w:t>
      </w:r>
    </w:p>
    <w:p>
      <w:pPr>
        <w:pStyle w:val="BodyText"/>
        <w:spacing w:line="240" w:lineRule="auto" w:before="103"/>
        <w:ind w:left="514" w:right="92"/>
        <w:jc w:val="left"/>
      </w:pPr>
      <w:r>
        <w:rPr/>
        <w:t>（</w:t>
      </w:r>
      <w:r>
        <w:rPr>
          <w:rFonts w:ascii="Times New Roman" w:hAnsi="Times New Roman" w:cs="Times New Roman" w:eastAsia="Times New Roman" w:hint="default"/>
        </w:rPr>
        <w:t>1</w:t>
      </w:r>
      <w:r>
        <w:rPr/>
        <w:t>）确定总体审计计划</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9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日，公司独立董事及审计委员会与立信会计师事务所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签字注册会计师就公司</w:t>
      </w:r>
      <w:r>
        <w:rPr>
          <w:rFonts w:ascii="Times New Roman" w:hAnsi="Times New Roman" w:cs="Times New Roman" w:eastAsia="Times New Roman" w:hint="default"/>
        </w:rPr>
        <w:t>2014</w:t>
      </w:r>
      <w:r>
        <w:rPr/>
        <w:t>年度财务 审计相关事项（包括审计工作小组人员构成、审计计划、风险判断、风险及舞弊测试和评价方法、本年度审计重点等内容） 以现场会议方式进行了充分沟通，确定了公司</w:t>
      </w:r>
      <w:r>
        <w:rPr>
          <w:rFonts w:ascii="Times New Roman" w:hAnsi="Times New Roman" w:cs="Times New Roman" w:eastAsia="Times New Roman" w:hint="default"/>
        </w:rPr>
        <w:t>2014</w:t>
      </w:r>
      <w:r>
        <w:rPr/>
        <w:t>年度财务总体审计时间表及审计重点。</w:t>
      </w:r>
    </w:p>
    <w:p>
      <w:pPr>
        <w:pStyle w:val="BodyText"/>
        <w:spacing w:line="240" w:lineRule="auto" w:before="44"/>
        <w:ind w:left="514" w:right="92"/>
        <w:jc w:val="left"/>
      </w:pPr>
      <w:r>
        <w:rPr/>
        <w:t>（</w:t>
      </w:r>
      <w:r>
        <w:rPr>
          <w:rFonts w:ascii="Times New Roman" w:hAnsi="Times New Roman" w:cs="Times New Roman" w:eastAsia="Times New Roman" w:hint="default"/>
        </w:rPr>
        <w:t>2</w:t>
      </w:r>
      <w:r>
        <w:rPr/>
        <w:t>）与会计师事务所审计初稿的沟通情况</w:t>
      </w:r>
    </w:p>
    <w:p>
      <w:pPr>
        <w:pStyle w:val="BodyText"/>
        <w:spacing w:line="302" w:lineRule="auto" w:before="103"/>
        <w:ind w:right="18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日，审计委员会在审阅了拟出具初步审计意见的财务会计报表后，以电话会议及邮件方式与会计师进行审 计情况沟通，并交换意见。</w:t>
      </w:r>
    </w:p>
    <w:p>
      <w:pPr>
        <w:pStyle w:val="BodyText"/>
        <w:spacing w:line="240" w:lineRule="auto" w:before="69"/>
        <w:ind w:left="514" w:right="92"/>
        <w:jc w:val="left"/>
      </w:pPr>
      <w:r>
        <w:rPr/>
        <w:t>（</w:t>
      </w:r>
      <w:r>
        <w:rPr>
          <w:rFonts w:ascii="Times New Roman" w:hAnsi="Times New Roman" w:cs="Times New Roman" w:eastAsia="Times New Roman" w:hint="default"/>
        </w:rPr>
        <w:t>3</w:t>
      </w:r>
      <w:r>
        <w:rPr/>
        <w:t>）对公司财务报告的两次审议意见</w:t>
      </w:r>
    </w:p>
    <w:p>
      <w:pPr>
        <w:pStyle w:val="BodyText"/>
        <w:spacing w:line="307" w:lineRule="auto" w:before="101"/>
        <w:ind w:right="19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日，审计委员会审阅了拟出具初步审计意见的财务会计报表，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日召开审计委员会审议公司</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spacing w:val="-2"/>
        </w:rPr>
        <w:t>年度财务报告。审计委员会审议后认为：公司财务报表严格按照企业会计准则的规定编制，在所有重大方面公允反映了公司</w:t>
      </w:r>
      <w:r>
        <w:rPr>
          <w:spacing w:val="-66"/>
        </w:rPr>
        <w:t> </w:t>
      </w:r>
      <w:r>
        <w:rPr>
          <w:spacing w:val="-66"/>
        </w:rPr>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2014</w:t>
      </w:r>
      <w:r>
        <w:rPr>
          <w:spacing w:val="-2"/>
        </w:rPr>
        <w:t>年度的经营成果和现金流量，同意会计师事务所对公司拟发表</w:t>
      </w:r>
      <w:r>
        <w:rPr>
          <w:rFonts w:ascii="Times New Roman" w:hAnsi="Times New Roman" w:cs="Times New Roman" w:eastAsia="Times New Roman" w:hint="default"/>
          <w:spacing w:val="-2"/>
        </w:rPr>
        <w:t>2014</w:t>
      </w:r>
      <w:r>
        <w:rPr>
          <w:spacing w:val="-2"/>
        </w:rPr>
        <w:t>年年度财务报告标准</w:t>
      </w:r>
      <w:r>
        <w:rPr>
          <w:spacing w:val="-48"/>
        </w:rPr>
        <w:t> </w:t>
      </w:r>
      <w:r>
        <w:rPr/>
        <w:t>无保留审计意见的审计报告，并提请董事会审议。</w:t>
      </w:r>
    </w:p>
    <w:p>
      <w:pPr>
        <w:pStyle w:val="BodyText"/>
        <w:spacing w:line="338" w:lineRule="auto" w:before="67"/>
        <w:ind w:left="514" w:right="92"/>
        <w:jc w:val="left"/>
      </w:pPr>
      <w:r>
        <w:rPr>
          <w:rFonts w:ascii="Times New Roman" w:hAnsi="Times New Roman" w:cs="Times New Roman" w:eastAsia="Times New Roman" w:hint="default"/>
        </w:rPr>
        <w:t>4.1.3</w:t>
      </w:r>
      <w:r>
        <w:rPr>
          <w:rFonts w:ascii="Times New Roman" w:hAnsi="Times New Roman" w:cs="Times New Roman" w:eastAsia="Times New Roman" w:hint="default"/>
          <w:spacing w:val="27"/>
        </w:rPr>
        <w:t> </w:t>
      </w:r>
      <w:r>
        <w:rPr/>
        <w:t>对公司内部控制制度进行检查和评估后发表的专项意见 </w:t>
      </w:r>
      <w:r>
        <w:rPr>
          <w:spacing w:val="-4"/>
        </w:rPr>
        <w:t>审计委员会对内部控制进行了认真的自查和分析，认为：公司现有的内部控制制度符合我国有关法规和监管部门的要求，</w:t>
      </w:r>
    </w:p>
    <w:p>
      <w:pPr>
        <w:pStyle w:val="BodyText"/>
        <w:spacing w:line="319" w:lineRule="auto" w:before="2"/>
        <w:ind w:right="92"/>
        <w:jc w:val="left"/>
      </w:pPr>
      <w:r>
        <w:rPr>
          <w:spacing w:val="-2"/>
        </w:rPr>
        <w:t>符合公司实际情况。公司严格执行了内部控制制度，在对子公司的管理控制、关联交易、对外担保、募集资金使用、重大投</w:t>
      </w:r>
      <w:r>
        <w:rPr>
          <w:spacing w:val="-68"/>
        </w:rPr>
        <w:t> </w:t>
      </w:r>
      <w:r>
        <w:rPr>
          <w:spacing w:val="-68"/>
        </w:rPr>
      </w:r>
      <w:r>
        <w:rPr/>
        <w:t>资、信息披露等方面不存在重大缺陷。</w:t>
      </w:r>
    </w:p>
    <w:p>
      <w:pPr>
        <w:pStyle w:val="BodyText"/>
        <w:spacing w:line="338" w:lineRule="auto" w:before="56"/>
        <w:ind w:left="514" w:right="92"/>
        <w:jc w:val="left"/>
      </w:pPr>
      <w:r>
        <w:rPr>
          <w:rFonts w:ascii="Times New Roman" w:hAnsi="Times New Roman" w:cs="Times New Roman" w:eastAsia="Times New Roman" w:hint="default"/>
        </w:rPr>
        <w:t>4.1.4</w:t>
      </w:r>
      <w:r>
        <w:rPr>
          <w:rFonts w:ascii="Times New Roman" w:hAnsi="Times New Roman" w:cs="Times New Roman" w:eastAsia="Times New Roman" w:hint="default"/>
          <w:spacing w:val="27"/>
        </w:rPr>
        <w:t> </w:t>
      </w:r>
      <w:r>
        <w:rPr/>
        <w:t>对会计师事务所审计工作的督促情况 </w:t>
      </w:r>
      <w:r>
        <w:rPr>
          <w:spacing w:val="-2"/>
        </w:rPr>
        <w:t>在年审注册会计师进行现场审计的过程中，审计委员会委托公司内审部门全程跟进，积极配合年报审计工作的开展，督</w:t>
      </w:r>
    </w:p>
    <w:p>
      <w:pPr>
        <w:pStyle w:val="BodyText"/>
        <w:spacing w:line="240" w:lineRule="auto" w:before="4"/>
        <w:ind w:right="92"/>
        <w:jc w:val="left"/>
      </w:pPr>
      <w:r>
        <w:rPr/>
        <w:t>促年审会计师在约定的时限内及时提交审计报告。</w:t>
      </w:r>
    </w:p>
    <w:p>
      <w:pPr>
        <w:pStyle w:val="BodyText"/>
        <w:spacing w:line="338" w:lineRule="auto" w:before="116"/>
        <w:ind w:left="514" w:right="92"/>
        <w:jc w:val="left"/>
      </w:pPr>
      <w:r>
        <w:rPr>
          <w:rFonts w:ascii="Times New Roman" w:hAnsi="Times New Roman" w:cs="Times New Roman" w:eastAsia="Times New Roman" w:hint="default"/>
        </w:rPr>
        <w:t>4.1.5</w:t>
      </w:r>
      <w:r>
        <w:rPr>
          <w:rFonts w:ascii="Times New Roman" w:hAnsi="Times New Roman" w:cs="Times New Roman" w:eastAsia="Times New Roman" w:hint="default"/>
          <w:spacing w:val="27"/>
        </w:rPr>
        <w:t> </w:t>
      </w:r>
      <w:r>
        <w:rPr/>
        <w:t>会计师事务所从事</w:t>
      </w:r>
      <w:r>
        <w:rPr>
          <w:rFonts w:ascii="Times New Roman" w:hAnsi="Times New Roman" w:cs="Times New Roman" w:eastAsia="Times New Roman" w:hint="default"/>
        </w:rPr>
        <w:t>2014</w:t>
      </w:r>
      <w:r>
        <w:rPr/>
        <w:t>年公司审计工作的总结报告 </w:t>
      </w:r>
      <w:r>
        <w:rPr>
          <w:spacing w:val="-1"/>
        </w:rPr>
        <w:t>立信会计师事务所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在</w:t>
      </w:r>
      <w:r>
        <w:rPr>
          <w:rFonts w:ascii="Times New Roman" w:hAnsi="Times New Roman" w:cs="Times New Roman" w:eastAsia="Times New Roman" w:hint="default"/>
          <w:spacing w:val="-1"/>
        </w:rPr>
        <w:t>2014</w:t>
      </w:r>
      <w:r>
        <w:rPr>
          <w:spacing w:val="-1"/>
        </w:rPr>
        <w:t>年度的公司审计工作中很好地履行了双方签订的《</w:t>
      </w:r>
      <w:r>
        <w:rPr>
          <w:rFonts w:ascii="Times New Roman" w:hAnsi="Times New Roman" w:cs="Times New Roman" w:eastAsia="Times New Roman" w:hint="default"/>
          <w:spacing w:val="-1"/>
        </w:rPr>
        <w:t>2014</w:t>
      </w:r>
      <w:r>
        <w:rPr>
          <w:spacing w:val="-1"/>
        </w:rPr>
        <w:t>年年度报表审计业务约</w:t>
      </w:r>
    </w:p>
    <w:p>
      <w:pPr>
        <w:pStyle w:val="BodyText"/>
        <w:spacing w:line="230" w:lineRule="exact"/>
        <w:ind w:right="92"/>
        <w:jc w:val="left"/>
      </w:pPr>
      <w:r>
        <w:rPr/>
        <w:t>定书》所规定的责任与义务，对</w:t>
      </w:r>
      <w:r>
        <w:rPr>
          <w:spacing w:val="-1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日的公司及合并资产负债表，</w:t>
      </w:r>
      <w:r>
        <w:rPr>
          <w:rFonts w:ascii="Times New Roman" w:hAnsi="Times New Roman" w:cs="Times New Roman" w:eastAsia="Times New Roman" w:hint="default"/>
        </w:rPr>
        <w:t>2014</w:t>
      </w:r>
      <w:r>
        <w:rPr/>
        <w:t>年度的公司及合并利润表、公司及合并股</w:t>
      </w:r>
    </w:p>
    <w:p>
      <w:pPr>
        <w:pStyle w:val="BodyText"/>
        <w:spacing w:line="302" w:lineRule="auto" w:before="63"/>
        <w:ind w:right="92"/>
        <w:jc w:val="left"/>
      </w:pPr>
      <w:r>
        <w:rPr/>
        <w:t>东权益变动表和公司及合并现金流量表以及财务报表附注进行审计并出具标准无保留意见的审计报告，对</w:t>
      </w:r>
      <w:r>
        <w:rPr>
          <w:rFonts w:ascii="Times New Roman" w:hAnsi="Times New Roman" w:cs="Times New Roman" w:eastAsia="Times New Roman" w:hint="default"/>
        </w:rPr>
        <w:t>2014</w:t>
      </w:r>
      <w:r>
        <w:rPr/>
        <w:t>年内部控制、 关联方占用资金情况进行专项审核并发表鉴证意见。</w:t>
      </w:r>
    </w:p>
    <w:p>
      <w:pPr>
        <w:pStyle w:val="Heading5"/>
        <w:spacing w:line="240" w:lineRule="auto" w:before="70"/>
        <w:ind w:right="92"/>
        <w:jc w:val="left"/>
        <w:rPr>
          <w:b w:val="0"/>
          <w:bCs w:val="0"/>
        </w:rPr>
      </w:pPr>
      <w:r>
        <w:rPr>
          <w:rFonts w:ascii="Times New Roman" w:hAnsi="Times New Roman" w:cs="Times New Roman" w:eastAsia="Times New Roman" w:hint="default"/>
        </w:rPr>
        <w:t>4.2</w:t>
      </w:r>
      <w:r>
        <w:rPr>
          <w:rFonts w:ascii="Times New Roman" w:hAnsi="Times New Roman" w:cs="Times New Roman" w:eastAsia="Times New Roman" w:hint="default"/>
          <w:spacing w:val="29"/>
        </w:rPr>
        <w:t> </w:t>
      </w:r>
      <w:r>
        <w:rPr/>
        <w:t>提名委员会履职情况</w:t>
      </w:r>
      <w:r>
        <w:rPr>
          <w:b w:val="0"/>
          <w:bCs w:val="0"/>
        </w:rPr>
      </w:r>
    </w:p>
    <w:p>
      <w:pPr>
        <w:pStyle w:val="BodyText"/>
        <w:spacing w:line="302" w:lineRule="auto" w:before="101"/>
        <w:ind w:right="92"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日，提名委员会审议通过了《关于聘任副总经理的议案》，提名陈秀琴女士为公司副总经理，提名委员会对</w:t>
      </w:r>
      <w:r>
        <w:rPr/>
        <w:t> 候选人的简历进行了核查，认为被提名人符合相关的任职要求，同意将该议案提请董事会审议。</w:t>
      </w:r>
    </w:p>
    <w:p>
      <w:pPr>
        <w:pStyle w:val="Heading5"/>
        <w:spacing w:line="240" w:lineRule="auto" w:before="69"/>
        <w:ind w:right="92"/>
        <w:jc w:val="left"/>
        <w:rPr>
          <w:b w:val="0"/>
          <w:bCs w:val="0"/>
        </w:rPr>
      </w:pPr>
      <w:r>
        <w:rPr>
          <w:rFonts w:ascii="Times New Roman" w:hAnsi="Times New Roman" w:cs="Times New Roman" w:eastAsia="Times New Roman" w:hint="default"/>
        </w:rPr>
        <w:t>4.3</w:t>
      </w:r>
      <w:r>
        <w:rPr>
          <w:rFonts w:ascii="Times New Roman" w:hAnsi="Times New Roman" w:cs="Times New Roman" w:eastAsia="Times New Roman" w:hint="default"/>
          <w:spacing w:val="28"/>
        </w:rPr>
        <w:t> </w:t>
      </w:r>
      <w:r>
        <w:rPr/>
        <w:t>薪酬与考核委员会履职情况</w:t>
      </w:r>
      <w:r>
        <w:rPr>
          <w:b w:val="0"/>
          <w:bCs w:val="0"/>
        </w:rPr>
      </w:r>
    </w:p>
    <w:p>
      <w:pPr>
        <w:pStyle w:val="BodyText"/>
        <w:spacing w:line="240" w:lineRule="auto" w:before="103"/>
        <w:ind w:left="514" w:right="92"/>
        <w:jc w:val="left"/>
      </w:pPr>
      <w:r>
        <w:rPr>
          <w:rFonts w:ascii="Times New Roman" w:hAnsi="Times New Roman" w:cs="Times New Roman" w:eastAsia="Times New Roman" w:hint="default"/>
        </w:rPr>
        <w:t>4.3.1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2014</w:t>
      </w:r>
      <w:r>
        <w:rPr/>
        <w:t>年度，薪酬和考核委员会召开会议两次，情况如下：</w:t>
      </w:r>
    </w:p>
    <w:p>
      <w:pPr>
        <w:pStyle w:val="BodyText"/>
        <w:spacing w:line="302" w:lineRule="auto" w:before="101"/>
        <w:ind w:right="92" w:firstLine="36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6</w:t>
      </w:r>
      <w:r>
        <w:rPr>
          <w:spacing w:val="-4"/>
        </w:rPr>
        <w:t>日，薪酬和考核委员会审议通过了《关于调整公司股票期权激励计划首次授予对象名单的议案》、《关</w:t>
      </w:r>
      <w:r>
        <w:rPr/>
        <w:t> 于股票期权激励计划首期授予的股票期权第二个行权期可行权的议案》，并同意将上述议案提交公司董事会审议。</w:t>
      </w:r>
    </w:p>
    <w:p>
      <w:pPr>
        <w:pStyle w:val="BodyText"/>
        <w:spacing w:line="302" w:lineRule="auto" w:before="68"/>
        <w:ind w:right="92"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日，薪酬和考核委员会审议通过了《关于公司</w:t>
      </w:r>
      <w:r>
        <w:rPr>
          <w:rFonts w:ascii="Times New Roman" w:hAnsi="Times New Roman" w:cs="Times New Roman" w:eastAsia="Times New Roman" w:hint="default"/>
        </w:rPr>
        <w:t>2013</w:t>
      </w:r>
      <w:r>
        <w:rPr/>
        <w:t>年度高级管理人员薪酬考核》、《</w:t>
      </w:r>
      <w:r>
        <w:rPr>
          <w:rFonts w:ascii="Times New Roman" w:hAnsi="Times New Roman" w:cs="Times New Roman" w:eastAsia="Times New Roman" w:hint="default"/>
        </w:rPr>
        <w:t>2014</w:t>
      </w:r>
      <w:r>
        <w:rPr/>
        <w:t>年度董事、 监事、高管薪酬方案》，并同意将上述议案提交公司董事会审议。</w:t>
      </w:r>
    </w:p>
    <w:p>
      <w:pPr>
        <w:pStyle w:val="BodyText"/>
        <w:spacing w:line="338" w:lineRule="auto" w:before="70"/>
        <w:ind w:left="514" w:right="92"/>
        <w:jc w:val="left"/>
      </w:pPr>
      <w:r>
        <w:rPr>
          <w:rFonts w:ascii="Times New Roman" w:hAnsi="Times New Roman" w:cs="Times New Roman" w:eastAsia="Times New Roman" w:hint="default"/>
        </w:rPr>
        <w:t>4.3.2</w:t>
      </w:r>
      <w:r>
        <w:rPr>
          <w:rFonts w:ascii="Times New Roman" w:hAnsi="Times New Roman" w:cs="Times New Roman" w:eastAsia="Times New Roman" w:hint="default"/>
          <w:spacing w:val="27"/>
        </w:rPr>
        <w:t> </w:t>
      </w:r>
      <w:r>
        <w:rPr/>
        <w:t>对公司董事、监事和高级管理人员披露薪酬的审核意见 </w:t>
      </w:r>
      <w:r>
        <w:rPr>
          <w:spacing w:val="-2"/>
        </w:rPr>
        <w:t>公司薪酬与考核委员会对公司</w:t>
      </w:r>
      <w:r>
        <w:rPr>
          <w:rFonts w:ascii="Times New Roman" w:hAnsi="Times New Roman" w:cs="Times New Roman" w:eastAsia="Times New Roman" w:hint="default"/>
          <w:spacing w:val="-2"/>
        </w:rPr>
        <w:t>2013</w:t>
      </w:r>
      <w:r>
        <w:rPr>
          <w:spacing w:val="-2"/>
        </w:rPr>
        <w:t>年度董事、监事、高级管理人员的薪酬情况进行了审核，认为公司董事、监事、高级</w:t>
      </w:r>
    </w:p>
    <w:p>
      <w:pPr>
        <w:pStyle w:val="BodyText"/>
        <w:spacing w:line="231" w:lineRule="exact"/>
        <w:ind w:right="92"/>
        <w:jc w:val="left"/>
      </w:pPr>
      <w:r>
        <w:rPr/>
        <w:t>管理人员</w:t>
      </w:r>
      <w:r>
        <w:rPr>
          <w:rFonts w:ascii="Times New Roman" w:hAnsi="Times New Roman" w:cs="Times New Roman" w:eastAsia="Times New Roman" w:hint="default"/>
        </w:rPr>
        <w:t>2013</w:t>
      </w:r>
      <w:r>
        <w:rPr/>
        <w:t>年度薪酬符合公司股东大会、董事会制定的相关制度和方案，符合公司的经营业绩和个人绩效。</w:t>
      </w:r>
    </w:p>
    <w:p>
      <w:pPr>
        <w:pStyle w:val="BodyText"/>
        <w:spacing w:line="338" w:lineRule="auto" w:before="102"/>
        <w:ind w:left="514" w:right="92"/>
        <w:jc w:val="left"/>
      </w:pPr>
      <w:r>
        <w:rPr>
          <w:rFonts w:ascii="Times New Roman" w:hAnsi="Times New Roman" w:cs="Times New Roman" w:eastAsia="Times New Roman" w:hint="default"/>
        </w:rPr>
        <w:t>4.3.3</w:t>
      </w:r>
      <w:r>
        <w:rPr>
          <w:rFonts w:ascii="Times New Roman" w:hAnsi="Times New Roman" w:cs="Times New Roman" w:eastAsia="Times New Roman" w:hint="default"/>
          <w:spacing w:val="27"/>
        </w:rPr>
        <w:t> </w:t>
      </w:r>
      <w:r>
        <w:rPr/>
        <w:t>公司股权激励计划实施过程授权合规性核实情况 </w:t>
      </w:r>
      <w:r>
        <w:rPr>
          <w:spacing w:val="-1"/>
        </w:rPr>
        <w:t>报告期内，公司实施的股权激励计划</w:t>
      </w:r>
      <w:r>
        <w:rPr>
          <w:rFonts w:ascii="Times New Roman" w:hAnsi="Times New Roman" w:cs="Times New Roman" w:eastAsia="Times New Roman" w:hint="default"/>
          <w:spacing w:val="-1"/>
        </w:rPr>
        <w:t>(</w:t>
      </w:r>
      <w:r>
        <w:rPr>
          <w:spacing w:val="-1"/>
        </w:rPr>
        <w:t>草案修订案</w:t>
      </w:r>
      <w:r>
        <w:rPr>
          <w:rFonts w:ascii="Times New Roman" w:hAnsi="Times New Roman" w:cs="Times New Roman" w:eastAsia="Times New Roman" w:hint="default"/>
          <w:spacing w:val="-1"/>
        </w:rPr>
        <w:t>)</w:t>
      </w:r>
      <w:r>
        <w:rPr>
          <w:spacing w:val="-1"/>
        </w:rPr>
        <w:t>有利于进一步完善公司治理结构，健全公司激励机制，增强公司管理</w:t>
      </w:r>
    </w:p>
    <w:p>
      <w:pPr>
        <w:pStyle w:val="BodyText"/>
        <w:spacing w:line="218" w:lineRule="exact"/>
        <w:ind w:right="0"/>
        <w:jc w:val="left"/>
      </w:pPr>
      <w:r>
        <w:rPr/>
        <w:t>团队和业务骨干对实现公司持续、健康发展的责任感、使命感，有利于公司的持续发展，不会损害公司及全体股东的利益。</w:t>
      </w:r>
    </w:p>
    <w:p>
      <w:pPr>
        <w:pStyle w:val="BodyText"/>
        <w:spacing w:line="338" w:lineRule="auto" w:before="116"/>
        <w:ind w:left="514" w:right="92" w:firstLine="1"/>
        <w:jc w:val="left"/>
      </w:pPr>
      <w:r>
        <w:rPr>
          <w:rFonts w:ascii="Times New Roman" w:hAnsi="Times New Roman" w:cs="Times New Roman" w:eastAsia="Times New Roman" w:hint="default"/>
          <w:b/>
          <w:bCs/>
        </w:rPr>
        <w:t>5</w:t>
      </w:r>
      <w:r>
        <w:rPr>
          <w:rFonts w:ascii="宋体" w:hAnsi="宋体" w:cs="宋体" w:eastAsia="宋体" w:hint="default"/>
          <w:b/>
          <w:bCs/>
        </w:rPr>
        <w:t>、监事会情况</w:t>
      </w:r>
      <w:r>
        <w:rPr>
          <w:rFonts w:ascii="宋体" w:hAnsi="宋体" w:cs="宋体" w:eastAsia="宋体" w:hint="default"/>
          <w:b/>
          <w:bCs/>
          <w:w w:val="99"/>
        </w:rPr>
        <w:t> </w:t>
      </w:r>
      <w:r>
        <w:rPr>
          <w:spacing w:val="-2"/>
        </w:rPr>
        <w:t>报告期内，公司监事会根据《公司法》、《证券法》、《公司章程》和《监事会议事规则》的有关规定，认真履行各项</w:t>
      </w:r>
    </w:p>
    <w:p>
      <w:pPr>
        <w:pStyle w:val="BodyText"/>
        <w:spacing w:line="240" w:lineRule="auto" w:before="4"/>
        <w:ind w:right="92"/>
        <w:jc w:val="left"/>
      </w:pPr>
      <w:r>
        <w:rPr/>
        <w:t>职权和义务，充分行使对公司董事及管理人员的监督职能，维护了股东的合法权益。</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spacing w:line="338" w:lineRule="auto" w:before="44"/>
        <w:ind w:left="514" w:right="495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报告期内监事会会议召开情况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报告期内，公司共召开六次监事会会议。具体内容如下：</w:t>
      </w:r>
    </w:p>
    <w:p>
      <w:pPr>
        <w:pStyle w:val="BodyText"/>
        <w:spacing w:line="240" w:lineRule="auto" w:before="43"/>
        <w:ind w:left="514" w:right="92"/>
        <w:jc w:val="left"/>
      </w:pPr>
      <w:r>
        <w:rPr/>
        <w:t>（</w:t>
      </w:r>
      <w:r>
        <w:rPr>
          <w:rFonts w:ascii="Times New Roman" w:hAnsi="Times New Roman" w:cs="Times New Roman" w:eastAsia="Times New Roman" w:hint="default"/>
        </w:rPr>
        <w:t>1</w:t>
      </w:r>
      <w:r>
        <w:rPr/>
        <w:t>）第三届监事会第七次会议</w:t>
      </w:r>
    </w:p>
    <w:p>
      <w:pPr>
        <w:pStyle w:val="BodyText"/>
        <w:spacing w:line="309" w:lineRule="auto" w:before="101"/>
        <w:ind w:right="190"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日，在公司会议室以现场方式召开了第三届监事会第七次会议，审议通过了《关于调整公司股票期权激励计</w:t>
      </w:r>
      <w:r>
        <w:rPr/>
        <w:t> </w:t>
      </w:r>
      <w:r>
        <w:rPr>
          <w:spacing w:val="-2"/>
        </w:rPr>
        <w:t>划首次授予对象名单的议案》、《关于对首期股票期权激励计划部分已授予股权进行统一注销的议案》、《关于股票期权激</w:t>
      </w:r>
      <w:r>
        <w:rPr>
          <w:spacing w:val="-67"/>
        </w:rPr>
        <w:t> </w:t>
      </w:r>
      <w:r>
        <w:rPr>
          <w:spacing w:val="-67"/>
        </w:rPr>
      </w:r>
      <w:r>
        <w:rPr/>
        <w:t>励计划首期授予的股票期权第二个行权期可行权的议案》、《关于深圳证监局现场检查发现问题的整改总结报告》。</w:t>
      </w:r>
    </w:p>
    <w:p>
      <w:pPr>
        <w:pStyle w:val="BodyText"/>
        <w:spacing w:line="240" w:lineRule="auto" w:before="64"/>
        <w:ind w:left="514" w:right="92"/>
        <w:jc w:val="left"/>
      </w:pPr>
      <w:r>
        <w:rPr/>
        <w:t>（</w:t>
      </w:r>
      <w:r>
        <w:rPr>
          <w:rFonts w:ascii="Times New Roman" w:hAnsi="Times New Roman" w:cs="Times New Roman" w:eastAsia="Times New Roman" w:hint="default"/>
        </w:rPr>
        <w:t>2</w:t>
      </w:r>
      <w:r>
        <w:rPr/>
        <w:t>）第三届监事会第八次会议</w:t>
      </w:r>
    </w:p>
    <w:p>
      <w:pPr>
        <w:pStyle w:val="BodyText"/>
        <w:spacing w:line="240" w:lineRule="auto" w:before="102"/>
        <w:ind w:left="514" w:right="9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日，在公司会议室以现场方式召开了第三届监事会第八次会议，审议通过了《</w:t>
      </w:r>
      <w:r>
        <w:rPr>
          <w:rFonts w:ascii="Times New Roman" w:hAnsi="Times New Roman" w:cs="Times New Roman" w:eastAsia="Times New Roman" w:hint="default"/>
        </w:rPr>
        <w:t>2013</w:t>
      </w:r>
      <w:r>
        <w:rPr/>
        <w:t>年年度报告及摘要》、</w:t>
      </w:r>
    </w:p>
    <w:p>
      <w:pPr>
        <w:pStyle w:val="BodyText"/>
        <w:spacing w:line="307" w:lineRule="auto" w:before="63"/>
        <w:ind w:right="92"/>
        <w:jc w:val="left"/>
      </w:pPr>
      <w:r>
        <w:rPr/>
        <w:t>《</w:t>
      </w:r>
      <w:r>
        <w:rPr>
          <w:rFonts w:ascii="Times New Roman" w:hAnsi="Times New Roman" w:cs="Times New Roman" w:eastAsia="Times New Roman" w:hint="default"/>
        </w:rPr>
        <w:t>2013</w:t>
      </w:r>
      <w:r>
        <w:rPr/>
        <w:t>年监事会工作报告》、《经审计的</w:t>
      </w:r>
      <w:r>
        <w:rPr>
          <w:rFonts w:ascii="Times New Roman" w:hAnsi="Times New Roman" w:cs="Times New Roman" w:eastAsia="Times New Roman" w:hint="default"/>
        </w:rPr>
        <w:t>2013</w:t>
      </w:r>
      <w:r>
        <w:rPr/>
        <w:t>年度财务报告》、《</w:t>
      </w:r>
      <w:r>
        <w:rPr>
          <w:rFonts w:ascii="Times New Roman" w:hAnsi="Times New Roman" w:cs="Times New Roman" w:eastAsia="Times New Roman" w:hint="default"/>
        </w:rPr>
        <w:t>2013</w:t>
      </w:r>
      <w:r>
        <w:rPr/>
        <w:t>年度利润分配方案》、《关于</w:t>
      </w:r>
      <w:r>
        <w:rPr>
          <w:rFonts w:ascii="Times New Roman" w:hAnsi="Times New Roman" w:cs="Times New Roman" w:eastAsia="Times New Roman" w:hint="default"/>
        </w:rPr>
        <w:t>2014</w:t>
      </w:r>
      <w:r>
        <w:rPr/>
        <w:t>年度董事、监事、 </w:t>
      </w:r>
      <w:r>
        <w:rPr>
          <w:spacing w:val="-2"/>
        </w:rPr>
        <w:t>高级管理人员薪酬的议案》、《</w:t>
      </w:r>
      <w:r>
        <w:rPr>
          <w:rFonts w:ascii="Times New Roman" w:hAnsi="Times New Roman" w:cs="Times New Roman" w:eastAsia="Times New Roman" w:hint="default"/>
          <w:spacing w:val="-2"/>
        </w:rPr>
        <w:t>2013</w:t>
      </w:r>
      <w:r>
        <w:rPr>
          <w:spacing w:val="-2"/>
        </w:rPr>
        <w:t>年募集资金存放与使用情况专项报告》、《</w:t>
      </w:r>
      <w:r>
        <w:rPr>
          <w:rFonts w:ascii="Times New Roman" w:hAnsi="Times New Roman" w:cs="Times New Roman" w:eastAsia="Times New Roman" w:hint="default"/>
          <w:spacing w:val="-2"/>
        </w:rPr>
        <w:t>2013</w:t>
      </w:r>
      <w:r>
        <w:rPr>
          <w:spacing w:val="-2"/>
        </w:rPr>
        <w:t>年度内部控制自我评价报告》、《</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3"/>
        </w:rPr>
        <w:t> </w:t>
      </w:r>
      <w:r>
        <w:rPr>
          <w:spacing w:val="-2"/>
        </w:rPr>
        <w:t>年度社会责任报告》、《关于对控股子公司申请使用公司银行授信额度并提供担保的议案》、《关于为全资子公司向银行申</w:t>
      </w:r>
      <w:r>
        <w:rPr>
          <w:spacing w:val="-68"/>
        </w:rPr>
        <w:t> </w:t>
      </w:r>
      <w:r>
        <w:rPr>
          <w:spacing w:val="-68"/>
        </w:rPr>
      </w:r>
      <w:r>
        <w:rPr>
          <w:spacing w:val="-7"/>
        </w:rPr>
        <w:t>请授信额度提供担保的议案》、《关于公司向银行申请综合授信额度的议案》、《关于</w:t>
      </w:r>
      <w:r>
        <w:rPr>
          <w:rFonts w:ascii="Times New Roman" w:hAnsi="Times New Roman" w:cs="Times New Roman" w:eastAsia="Times New Roman" w:hint="default"/>
          <w:spacing w:val="-7"/>
        </w:rPr>
        <w:t>2014</w:t>
      </w:r>
      <w:r>
        <w:rPr>
          <w:spacing w:val="-7"/>
        </w:rPr>
        <w:t>年度日常性关联交易预计的议案》、</w:t>
      </w:r>
    </w:p>
    <w:p>
      <w:pPr>
        <w:pStyle w:val="BodyText"/>
        <w:spacing w:line="240" w:lineRule="auto" w:before="8"/>
        <w:ind w:right="92"/>
        <w:jc w:val="left"/>
      </w:pPr>
      <w:r>
        <w:rPr/>
        <w:t>《关于修订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分红管理制度</w:t>
      </w:r>
      <w:r>
        <w:rPr>
          <w:rFonts w:ascii="Times New Roman" w:hAnsi="Times New Roman" w:cs="Times New Roman" w:eastAsia="Times New Roman" w:hint="default"/>
        </w:rPr>
        <w:t>&gt;</w:t>
      </w:r>
      <w:r>
        <w:rPr/>
        <w:t>的议案》。</w:t>
      </w:r>
    </w:p>
    <w:p>
      <w:pPr>
        <w:pStyle w:val="BodyText"/>
        <w:spacing w:line="240" w:lineRule="auto" w:before="102"/>
        <w:ind w:left="514" w:right="92"/>
        <w:jc w:val="left"/>
      </w:pPr>
      <w:r>
        <w:rPr/>
        <w:t>（</w:t>
      </w:r>
      <w:r>
        <w:rPr>
          <w:rFonts w:ascii="Times New Roman" w:hAnsi="Times New Roman" w:cs="Times New Roman" w:eastAsia="Times New Roman" w:hint="default"/>
        </w:rPr>
        <w:t>3</w:t>
      </w:r>
      <w:r>
        <w:rPr/>
        <w:t>）第三届监事会第九次会议</w:t>
      </w:r>
    </w:p>
    <w:p>
      <w:pPr>
        <w:pStyle w:val="BodyText"/>
        <w:spacing w:line="302" w:lineRule="auto" w:before="101"/>
        <w:ind w:right="176" w:firstLine="36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日，在公司会议室以现场方式召开了第三届监事会第九次会议，审议通过了《</w:t>
      </w:r>
      <w:r>
        <w:rPr>
          <w:rFonts w:ascii="Times New Roman" w:hAnsi="Times New Roman" w:cs="Times New Roman" w:eastAsia="Times New Roman" w:hint="default"/>
          <w:spacing w:val="-3"/>
        </w:rPr>
        <w:t>2014</w:t>
      </w:r>
      <w:r>
        <w:rPr>
          <w:spacing w:val="-3"/>
        </w:rPr>
        <w:t>年第一季度报告》、《关</w:t>
      </w:r>
      <w:r>
        <w:rPr/>
        <w:t> 于调整股票期权行权价格的议案》。</w:t>
      </w:r>
    </w:p>
    <w:p>
      <w:pPr>
        <w:pStyle w:val="BodyText"/>
        <w:spacing w:line="240" w:lineRule="auto" w:before="70"/>
        <w:ind w:left="514" w:right="92"/>
        <w:jc w:val="left"/>
      </w:pPr>
      <w:r>
        <w:rPr/>
        <w:t>（</w:t>
      </w:r>
      <w:r>
        <w:rPr>
          <w:rFonts w:ascii="Times New Roman" w:hAnsi="Times New Roman" w:cs="Times New Roman" w:eastAsia="Times New Roman" w:hint="default"/>
        </w:rPr>
        <w:t>4</w:t>
      </w:r>
      <w:r>
        <w:rPr/>
        <w:t>）第三届监事会第十次会议</w:t>
      </w:r>
    </w:p>
    <w:p>
      <w:pPr>
        <w:pStyle w:val="BodyText"/>
        <w:spacing w:line="302" w:lineRule="auto" w:before="101"/>
        <w:ind w:right="92"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日，在公司会议室以现场方式召开了第三届监事会第十次会议，审议通过了《关于对控股子公司提供财务资</w:t>
      </w:r>
      <w:r>
        <w:rPr/>
        <w:t> 助的议案》、《关于修订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的议案》、《关于更换会计师事务所的议案》。</w:t>
      </w:r>
    </w:p>
    <w:p>
      <w:pPr>
        <w:pStyle w:val="BodyText"/>
        <w:spacing w:line="240" w:lineRule="auto" w:before="50"/>
        <w:ind w:left="514" w:right="92"/>
        <w:jc w:val="left"/>
      </w:pPr>
      <w:r>
        <w:rPr/>
        <w:t>（</w:t>
      </w:r>
      <w:r>
        <w:rPr>
          <w:rFonts w:ascii="Times New Roman" w:hAnsi="Times New Roman" w:cs="Times New Roman" w:eastAsia="Times New Roman" w:hint="default"/>
        </w:rPr>
        <w:t>5</w:t>
      </w:r>
      <w:r>
        <w:rPr/>
        <w:t>）第三届监事会第十一次会议</w:t>
      </w:r>
    </w:p>
    <w:p>
      <w:pPr>
        <w:pStyle w:val="BodyText"/>
        <w:spacing w:line="302" w:lineRule="auto" w:before="102"/>
        <w:ind w:right="18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日，在公司会议室以现场方式召开了第三届监事会第十一次会议，审议通过了《</w:t>
      </w:r>
      <w:r>
        <w:rPr>
          <w:rFonts w:ascii="Times New Roman" w:hAnsi="Times New Roman" w:cs="Times New Roman" w:eastAsia="Times New Roman" w:hint="default"/>
        </w:rPr>
        <w:t>2014</w:t>
      </w:r>
      <w:r>
        <w:rPr/>
        <w:t>年半年度报告》全文 及摘要。</w:t>
      </w:r>
    </w:p>
    <w:p>
      <w:pPr>
        <w:pStyle w:val="BodyText"/>
        <w:spacing w:line="240" w:lineRule="auto" w:before="69"/>
        <w:ind w:left="514" w:right="92"/>
        <w:jc w:val="left"/>
      </w:pPr>
      <w:r>
        <w:rPr/>
        <w:t>（</w:t>
      </w:r>
      <w:r>
        <w:rPr>
          <w:rFonts w:ascii="Times New Roman" w:hAnsi="Times New Roman" w:cs="Times New Roman" w:eastAsia="Times New Roman" w:hint="default"/>
        </w:rPr>
        <w:t>6</w:t>
      </w:r>
      <w:r>
        <w:rPr/>
        <w:t>）第三届监事会第十二次会议</w:t>
      </w:r>
    </w:p>
    <w:p>
      <w:pPr>
        <w:pStyle w:val="BodyText"/>
        <w:spacing w:line="302" w:lineRule="auto" w:before="101"/>
        <w:ind w:right="92"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日，在公司会议室以现场方式召开了第三届监事会第十二次会议，审议通过了《</w:t>
      </w:r>
      <w:r>
        <w:rPr>
          <w:rFonts w:ascii="Times New Roman" w:hAnsi="Times New Roman" w:cs="Times New Roman" w:eastAsia="Times New Roman" w:hint="default"/>
          <w:spacing w:val="-2"/>
        </w:rPr>
        <w:t>2014</w:t>
      </w:r>
      <w:r>
        <w:rPr>
          <w:spacing w:val="-2"/>
        </w:rPr>
        <w:t>年第三季度报告》全</w:t>
      </w:r>
      <w:r>
        <w:rPr/>
        <w:t> 文。</w:t>
      </w:r>
    </w:p>
    <w:p>
      <w:pPr>
        <w:spacing w:line="338" w:lineRule="auto" w:before="70"/>
        <w:ind w:left="514" w:right="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监事会对公司报告期内有关事项的审核意见</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报告期内，公司监事会严格按照有关法律、法规及公司章程的规定，对公司依法运作情况、公司财务情况、募集资金投</w:t>
      </w:r>
    </w:p>
    <w:p>
      <w:pPr>
        <w:pStyle w:val="BodyText"/>
        <w:spacing w:line="240" w:lineRule="auto" w:before="4"/>
        <w:ind w:right="92"/>
        <w:jc w:val="left"/>
      </w:pPr>
      <w:r>
        <w:rPr/>
        <w:t>入情况、关联交易等事项进行了认真监督检查，根据检查结果，对报告期内公司有关情况发表如下独立意见：</w:t>
      </w:r>
    </w:p>
    <w:p>
      <w:pPr>
        <w:pStyle w:val="BodyText"/>
        <w:spacing w:line="240" w:lineRule="auto" w:before="116"/>
        <w:ind w:left="514" w:right="92"/>
        <w:jc w:val="left"/>
      </w:pPr>
      <w:r>
        <w:rPr/>
        <w:t>（</w:t>
      </w:r>
      <w:r>
        <w:rPr>
          <w:rFonts w:ascii="Times New Roman" w:hAnsi="Times New Roman" w:cs="Times New Roman" w:eastAsia="Times New Roman" w:hint="default"/>
        </w:rPr>
        <w:t>1</w:t>
      </w:r>
      <w:r>
        <w:rPr/>
        <w:t>）公司依法运作情况</w:t>
      </w:r>
    </w:p>
    <w:p>
      <w:pPr>
        <w:pStyle w:val="BodyText"/>
        <w:spacing w:line="314" w:lineRule="auto" w:before="102"/>
        <w:ind w:right="92" w:firstLine="360"/>
        <w:jc w:val="left"/>
      </w:pPr>
      <w:r>
        <w:rPr>
          <w:rFonts w:ascii="Times New Roman" w:hAnsi="Times New Roman" w:cs="Times New Roman" w:eastAsia="Times New Roman" w:hint="default"/>
          <w:spacing w:val="-2"/>
        </w:rPr>
        <w:t>2014</w:t>
      </w:r>
      <w:r>
        <w:rPr>
          <w:spacing w:val="-2"/>
        </w:rPr>
        <w:t>年，公司监事会依据《公司法》、《公司章程》、《监事会议事规则》等赋予的职权，积极参加股东大会，列席董</w:t>
      </w:r>
      <w:r>
        <w:rPr/>
        <w:t> </w:t>
      </w:r>
      <w:r>
        <w:rPr>
          <w:spacing w:val="-2"/>
        </w:rPr>
        <w:t>事会会议，对公司的决策程序、内部控制制度的建立与执行情况以及公司董事、高级管理人员履行职务情况进行了监督。监</w:t>
      </w:r>
      <w:r>
        <w:rPr>
          <w:spacing w:val="-66"/>
        </w:rPr>
        <w:t> </w:t>
      </w:r>
      <w:r>
        <w:rPr>
          <w:spacing w:val="-66"/>
        </w:rPr>
      </w:r>
      <w:r>
        <w:rPr/>
        <w:t>事会认为：公司决策程序遵守了《公司法》、《证券法》等法律、法规以及《公司章程》等的相关规定；董事会运作规范、 </w:t>
      </w:r>
      <w:r>
        <w:rPr>
          <w:spacing w:val="-2"/>
        </w:rPr>
        <w:t>决策合理、程序合法，认真执行股东大会的各项决议；公司董事、高级管理人员执行公司职务时忠于职守、勤勉尽责，不存</w:t>
      </w:r>
      <w:r>
        <w:rPr>
          <w:spacing w:val="-68"/>
        </w:rPr>
        <w:t> </w:t>
      </w:r>
      <w:r>
        <w:rPr>
          <w:spacing w:val="-68"/>
        </w:rPr>
      </w:r>
      <w:r>
        <w:rPr/>
        <w:t>在违反法律、法规、《公司章程》或损害公司利益的行为。</w:t>
      </w:r>
    </w:p>
    <w:p>
      <w:pPr>
        <w:pStyle w:val="BodyText"/>
        <w:spacing w:line="338" w:lineRule="auto" w:before="60"/>
        <w:ind w:left="514" w:right="92"/>
        <w:jc w:val="left"/>
      </w:pPr>
      <w:r>
        <w:rPr/>
        <w:t>（</w:t>
      </w:r>
      <w:r>
        <w:rPr>
          <w:rFonts w:ascii="Times New Roman" w:hAnsi="Times New Roman" w:cs="Times New Roman" w:eastAsia="Times New Roman" w:hint="default"/>
        </w:rPr>
        <w:t>2</w:t>
      </w:r>
      <w:r>
        <w:rPr/>
        <w:t>）公司财务情况 </w:t>
      </w:r>
      <w:r>
        <w:rPr>
          <w:spacing w:val="-2"/>
        </w:rPr>
        <w:t>监事会通过听取公司财务负责人等专项汇报、审议公司年度报告、查阅公司审计会计师审计资料底稿等方式，对公司财</w:t>
      </w:r>
    </w:p>
    <w:p>
      <w:pPr>
        <w:pStyle w:val="BodyText"/>
        <w:spacing w:line="302" w:lineRule="auto" w:before="2"/>
        <w:ind w:right="92"/>
        <w:jc w:val="left"/>
      </w:pPr>
      <w:r>
        <w:rPr>
          <w:spacing w:val="-2"/>
        </w:rPr>
        <w:t>务运作情况进行检查、监督，认为：</w:t>
      </w:r>
      <w:r>
        <w:rPr>
          <w:rFonts w:ascii="Times New Roman" w:hAnsi="Times New Roman" w:cs="Times New Roman" w:eastAsia="Times New Roman" w:hint="default"/>
          <w:spacing w:val="-2"/>
        </w:rPr>
        <w:t>2014</w:t>
      </w:r>
      <w:r>
        <w:rPr>
          <w:spacing w:val="-2"/>
        </w:rPr>
        <w:t>年度公司财务制度健全，各项费用提取合理，公司</w:t>
      </w:r>
      <w:r>
        <w:rPr>
          <w:rFonts w:ascii="Times New Roman" w:hAnsi="Times New Roman" w:cs="Times New Roman" w:eastAsia="Times New Roman" w:hint="default"/>
          <w:spacing w:val="-2"/>
        </w:rPr>
        <w:t>2013</w:t>
      </w:r>
      <w:r>
        <w:rPr>
          <w:spacing w:val="-2"/>
        </w:rPr>
        <w:t>年度财务报告真实地反映了</w:t>
      </w:r>
      <w:r>
        <w:rPr>
          <w:spacing w:val="-58"/>
        </w:rPr>
        <w:t> </w:t>
      </w:r>
      <w:r>
        <w:rPr/>
        <w:t>公司</w:t>
      </w:r>
      <w:r>
        <w:rPr>
          <w:rFonts w:ascii="Times New Roman" w:hAnsi="Times New Roman" w:cs="Times New Roman" w:eastAsia="Times New Roman" w:hint="default"/>
        </w:rPr>
        <w:t>2014</w:t>
      </w:r>
      <w:r>
        <w:rPr/>
        <w:t>年度的财务状况和经营成果。</w:t>
      </w:r>
    </w:p>
    <w:p>
      <w:pPr>
        <w:pStyle w:val="BodyText"/>
        <w:spacing w:line="338" w:lineRule="auto" w:before="52"/>
        <w:ind w:left="514" w:right="92"/>
        <w:jc w:val="left"/>
      </w:pPr>
      <w:r>
        <w:rPr/>
        <w:t>（</w:t>
      </w:r>
      <w:r>
        <w:rPr>
          <w:rFonts w:ascii="Times New Roman" w:hAnsi="Times New Roman" w:cs="Times New Roman" w:eastAsia="Times New Roman" w:hint="default"/>
        </w:rPr>
        <w:t>3</w:t>
      </w:r>
      <w:r>
        <w:rPr/>
        <w:t>）公司募集资金使用与管理情况 </w:t>
      </w:r>
      <w:r>
        <w:rPr>
          <w:spacing w:val="-2"/>
        </w:rPr>
        <w:t>经核查，公司募集资金实际投入项目与承诺投入项目一致，没有变更投向和用途，公司募集资金使用与管理符合全体股</w:t>
      </w:r>
    </w:p>
    <w:p>
      <w:pPr>
        <w:pStyle w:val="BodyText"/>
        <w:spacing w:line="240" w:lineRule="auto" w:before="4"/>
        <w:ind w:right="92"/>
        <w:jc w:val="left"/>
      </w:pPr>
      <w:r>
        <w:rPr/>
        <w:t>东的利益，符合有关法律、法规和《公司章程》及超募资金使用的相关规定。</w:t>
      </w:r>
    </w:p>
    <w:p>
      <w:pPr>
        <w:pStyle w:val="BodyText"/>
        <w:spacing w:line="240" w:lineRule="auto" w:before="116"/>
        <w:ind w:left="514" w:right="92"/>
        <w:jc w:val="left"/>
      </w:pPr>
      <w:r>
        <w:rPr/>
        <w:t>（</w:t>
      </w:r>
      <w:r>
        <w:rPr>
          <w:rFonts w:ascii="Times New Roman" w:hAnsi="Times New Roman" w:cs="Times New Roman" w:eastAsia="Times New Roman" w:hint="default"/>
        </w:rPr>
        <w:t>4</w:t>
      </w:r>
      <w:r>
        <w:rPr/>
        <w:t>）公司收购、出售资产交易情况</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4" w:right="92"/>
        <w:jc w:val="left"/>
      </w:pPr>
      <w:r>
        <w:rPr/>
        <w:t>报告期内，监事会未审议收购、出售资产交易情况。</w:t>
      </w:r>
    </w:p>
    <w:p>
      <w:pPr>
        <w:pStyle w:val="BodyText"/>
        <w:spacing w:line="338" w:lineRule="auto" w:before="116"/>
        <w:ind w:left="514" w:right="92"/>
        <w:jc w:val="left"/>
      </w:pPr>
      <w:r>
        <w:rPr/>
        <w:t>（</w:t>
      </w:r>
      <w:r>
        <w:rPr>
          <w:rFonts w:ascii="Times New Roman" w:hAnsi="Times New Roman" w:cs="Times New Roman" w:eastAsia="Times New Roman" w:hint="default"/>
        </w:rPr>
        <w:t>5</w:t>
      </w:r>
      <w:r>
        <w:rPr/>
        <w:t>）对内部控制自我评价报告的意见 </w:t>
      </w:r>
      <w:r>
        <w:rPr>
          <w:spacing w:val="-4"/>
        </w:rPr>
        <w:t>根据深圳证券交易所《上市公司内部控制指引》有关规定，监事会对《</w:t>
      </w:r>
      <w:r>
        <w:rPr>
          <w:rFonts w:ascii="Times New Roman" w:hAnsi="Times New Roman" w:cs="Times New Roman" w:eastAsia="Times New Roman" w:hint="default"/>
          <w:spacing w:val="-4"/>
        </w:rPr>
        <w:t>2014</w:t>
      </w:r>
      <w:r>
        <w:rPr>
          <w:spacing w:val="-4"/>
        </w:rPr>
        <w:t>年度内部控制自我评价报告》发表意见如下：</w:t>
      </w:r>
    </w:p>
    <w:p>
      <w:pPr>
        <w:pStyle w:val="BodyText"/>
        <w:spacing w:line="217" w:lineRule="exact"/>
        <w:ind w:right="0"/>
        <w:jc w:val="left"/>
      </w:pPr>
      <w:r>
        <w:rPr/>
        <w:t>公司按照《公司法》、《证券法》以及深圳证券交易所有关创业板上市公司的有关规定，制订了各项内控制度，形成了比较</w:t>
      </w:r>
    </w:p>
    <w:p>
      <w:pPr>
        <w:pStyle w:val="BodyText"/>
        <w:spacing w:line="312" w:lineRule="auto" w:before="77"/>
        <w:ind w:right="92"/>
        <w:jc w:val="left"/>
      </w:pPr>
      <w:r>
        <w:rPr/>
        <w:t>系统的公司治理框架，完善了公司法人治理结构，建立了公司规范运行的内部控制环境。保证了公司各项业务活动的有序、 </w:t>
      </w:r>
      <w:r>
        <w:rPr>
          <w:spacing w:val="-2"/>
        </w:rPr>
        <w:t>有效开展，保护了公司资产的安全、完整，维护了公司及股东的利益。公司内部控制组织机构完整，内部控制重点活动执行</w:t>
      </w:r>
      <w:r>
        <w:rPr>
          <w:spacing w:val="-66"/>
        </w:rPr>
        <w:t> </w:t>
      </w:r>
      <w:r>
        <w:rPr>
          <w:spacing w:val="-66"/>
        </w:rPr>
      </w:r>
      <w:r>
        <w:rPr>
          <w:spacing w:val="-2"/>
        </w:rPr>
        <w:t>及监督充分有效。公司</w:t>
      </w:r>
      <w:r>
        <w:rPr>
          <w:rFonts w:ascii="Times New Roman" w:hAnsi="Times New Roman" w:cs="Times New Roman" w:eastAsia="Times New Roman" w:hint="default"/>
          <w:spacing w:val="-2"/>
        </w:rPr>
        <w:t>2014</w:t>
      </w:r>
      <w:r>
        <w:rPr>
          <w:spacing w:val="-2"/>
        </w:rPr>
        <w:t>年度内部控制自我评价报告是真实、有效的。同时，公司董事会对《</w:t>
      </w:r>
      <w:r>
        <w:rPr>
          <w:rFonts w:ascii="Times New Roman" w:hAnsi="Times New Roman" w:cs="Times New Roman" w:eastAsia="Times New Roman" w:hint="default"/>
          <w:spacing w:val="-2"/>
        </w:rPr>
        <w:t>2014</w:t>
      </w:r>
      <w:r>
        <w:rPr>
          <w:spacing w:val="-2"/>
        </w:rPr>
        <w:t>年度内部控制自我评价</w:t>
      </w:r>
      <w:r>
        <w:rPr>
          <w:spacing w:val="-58"/>
        </w:rPr>
        <w:t> </w:t>
      </w:r>
      <w:r>
        <w:rPr/>
        <w:t>报告》无异议。</w:t>
      </w:r>
    </w:p>
    <w:p>
      <w:pPr>
        <w:pStyle w:val="BodyText"/>
        <w:spacing w:line="338" w:lineRule="auto" w:before="62"/>
        <w:ind w:left="514" w:right="92"/>
        <w:jc w:val="left"/>
      </w:pPr>
      <w:r>
        <w:rPr/>
        <w:t>（</w:t>
      </w:r>
      <w:r>
        <w:rPr>
          <w:rFonts w:ascii="Times New Roman" w:hAnsi="Times New Roman" w:cs="Times New Roman" w:eastAsia="Times New Roman" w:hint="default"/>
        </w:rPr>
        <w:t>6</w:t>
      </w:r>
      <w:r>
        <w:rPr/>
        <w:t>）对社会责任报告的意见 </w:t>
      </w:r>
      <w:r>
        <w:rPr>
          <w:spacing w:val="-2"/>
        </w:rPr>
        <w:t>监事会对公司编制的社会责任报告进行了细致的阅读和审核，监事会认为：</w:t>
      </w:r>
      <w:r>
        <w:rPr>
          <w:rFonts w:ascii="Times New Roman" w:hAnsi="Times New Roman" w:cs="Times New Roman" w:eastAsia="Times New Roman" w:hint="default"/>
          <w:spacing w:val="-2"/>
        </w:rPr>
        <w:t>2014</w:t>
      </w:r>
      <w:r>
        <w:rPr>
          <w:spacing w:val="-2"/>
        </w:rPr>
        <w:t>年年度社会责任报告从经济、社会和环</w:t>
      </w:r>
    </w:p>
    <w:p>
      <w:pPr>
        <w:pStyle w:val="BodyText"/>
        <w:spacing w:line="217" w:lineRule="exact"/>
        <w:ind w:right="0"/>
        <w:jc w:val="left"/>
      </w:pPr>
      <w:r>
        <w:rPr/>
        <w:t>境等各方面披露了公司的相关战略、政策、管理和绩效，体现了公司勇于承担社会责任，实现企业价值的勇气。公司发布社</w:t>
      </w:r>
    </w:p>
    <w:p>
      <w:pPr>
        <w:pStyle w:val="BodyText"/>
        <w:spacing w:line="240" w:lineRule="auto" w:before="77"/>
        <w:ind w:right="92"/>
        <w:jc w:val="left"/>
      </w:pPr>
      <w:r>
        <w:rPr/>
        <w:t>会责任报告能够起到提升企业社会形象，加强企业与外部沟通、提高风险管理能力和提升企业管理绩效的作用。</w:t>
      </w:r>
    </w:p>
    <w:p>
      <w:pPr>
        <w:pStyle w:val="BodyText"/>
        <w:spacing w:line="338" w:lineRule="auto" w:before="117"/>
        <w:ind w:left="514" w:right="92"/>
        <w:jc w:val="left"/>
      </w:pPr>
      <w:r>
        <w:rPr/>
        <w:t>（</w:t>
      </w:r>
      <w:r>
        <w:rPr>
          <w:rFonts w:ascii="Times New Roman" w:hAnsi="Times New Roman" w:cs="Times New Roman" w:eastAsia="Times New Roman" w:hint="default"/>
        </w:rPr>
        <w:t>7</w:t>
      </w:r>
      <w:r>
        <w:rPr/>
        <w:t>）对公司</w:t>
      </w:r>
      <w:r>
        <w:rPr>
          <w:rFonts w:ascii="Times New Roman" w:hAnsi="Times New Roman" w:cs="Times New Roman" w:eastAsia="Times New Roman" w:hint="default"/>
        </w:rPr>
        <w:t>2014</w:t>
      </w:r>
      <w:r>
        <w:rPr/>
        <w:t>年年度报告的审核意见 </w:t>
      </w:r>
      <w:r>
        <w:rPr>
          <w:spacing w:val="-2"/>
        </w:rPr>
        <w:t>监事会根据《证券法》第</w:t>
      </w:r>
      <w:r>
        <w:rPr>
          <w:rFonts w:ascii="Times New Roman" w:hAnsi="Times New Roman" w:cs="Times New Roman" w:eastAsia="Times New Roman" w:hint="default"/>
          <w:spacing w:val="-2"/>
        </w:rPr>
        <w:t>68</w:t>
      </w:r>
      <w:r>
        <w:rPr>
          <w:spacing w:val="-2"/>
        </w:rPr>
        <w:t>条和《公开发行证券的公司信息披露内容与格式准则第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创业板上市公司年度报告的</w:t>
      </w:r>
    </w:p>
    <w:p>
      <w:pPr>
        <w:pStyle w:val="BodyText"/>
        <w:spacing w:line="230" w:lineRule="exact"/>
        <w:ind w:right="0"/>
        <w:jc w:val="left"/>
      </w:pPr>
      <w:r>
        <w:rPr/>
        <w:t>内容与格式（修订）》的相关规定，对董事会编制的</w:t>
      </w:r>
      <w:r>
        <w:rPr>
          <w:rFonts w:ascii="Times New Roman" w:hAnsi="Times New Roman" w:cs="Times New Roman" w:eastAsia="Times New Roman" w:hint="default"/>
        </w:rPr>
        <w:t>2014</w:t>
      </w:r>
      <w:r>
        <w:rPr/>
        <w:t>年度报告进行了认真审核。通过审核，监事会提出如下书面审核意</w:t>
      </w:r>
    </w:p>
    <w:p>
      <w:pPr>
        <w:pStyle w:val="BodyText"/>
        <w:spacing w:line="302" w:lineRule="auto" w:before="63"/>
        <w:ind w:right="92"/>
        <w:jc w:val="left"/>
      </w:pPr>
      <w:r>
        <w:rPr>
          <w:spacing w:val="-2"/>
        </w:rPr>
        <w:t>见：董事会编制和审核公司</w:t>
      </w:r>
      <w:r>
        <w:rPr>
          <w:rFonts w:ascii="Times New Roman" w:hAnsi="Times New Roman" w:cs="Times New Roman" w:eastAsia="Times New Roman" w:hint="default"/>
          <w:spacing w:val="-2"/>
        </w:rPr>
        <w:t>2014</w:t>
      </w:r>
      <w:r>
        <w:rPr>
          <w:spacing w:val="-2"/>
        </w:rPr>
        <w:t>年年度报告的程序符合法律、行政法规和中国证监会的规定，报告内容真实、准确、完整地</w:t>
      </w:r>
      <w:r>
        <w:rPr>
          <w:spacing w:val="-62"/>
        </w:rPr>
        <w:t> </w:t>
      </w:r>
      <w:r>
        <w:rPr>
          <w:spacing w:val="-62"/>
        </w:rPr>
      </w:r>
      <w:r>
        <w:rPr/>
        <w:t>反映了公司</w:t>
      </w:r>
      <w:r>
        <w:rPr>
          <w:rFonts w:ascii="Times New Roman" w:hAnsi="Times New Roman" w:cs="Times New Roman" w:eastAsia="Times New Roman" w:hint="default"/>
        </w:rPr>
        <w:t>2014</w:t>
      </w:r>
      <w:r>
        <w:rPr/>
        <w:t>年度经营的的实际情况，不存在任何虚假、误导性陈述或者重大遗漏。</w:t>
      </w:r>
    </w:p>
    <w:p>
      <w:pPr>
        <w:pStyle w:val="BodyText"/>
        <w:spacing w:line="338" w:lineRule="auto" w:before="50"/>
        <w:ind w:left="514" w:right="92"/>
        <w:jc w:val="left"/>
      </w:pPr>
      <w:r>
        <w:rPr/>
        <w:t>（</w:t>
      </w:r>
      <w:r>
        <w:rPr>
          <w:rFonts w:ascii="Times New Roman" w:hAnsi="Times New Roman" w:cs="Times New Roman" w:eastAsia="Times New Roman" w:hint="default"/>
        </w:rPr>
        <w:t>8</w:t>
      </w:r>
      <w:r>
        <w:rPr/>
        <w:t>）对公司</w:t>
      </w:r>
      <w:r>
        <w:rPr>
          <w:rFonts w:ascii="Times New Roman" w:hAnsi="Times New Roman" w:cs="Times New Roman" w:eastAsia="Times New Roman" w:hint="default"/>
        </w:rPr>
        <w:t>2014</w:t>
      </w:r>
      <w:r>
        <w:rPr/>
        <w:t>年年度财务报告的审核意见 </w:t>
      </w:r>
      <w:r>
        <w:rPr>
          <w:spacing w:val="-2"/>
        </w:rPr>
        <w:t>监事会对立信会计师事务所（特殊普通合伙）出具的关于</w:t>
      </w:r>
      <w:r>
        <w:rPr>
          <w:rFonts w:ascii="Times New Roman" w:hAnsi="Times New Roman" w:cs="Times New Roman" w:eastAsia="Times New Roman" w:hint="default"/>
          <w:spacing w:val="-2"/>
        </w:rPr>
        <w:t>2014</w:t>
      </w:r>
      <w:r>
        <w:rPr>
          <w:spacing w:val="-2"/>
        </w:rPr>
        <w:t>年年度财务报告的标准无保留意见的审计报告进行了仔细</w:t>
      </w:r>
    </w:p>
    <w:p>
      <w:pPr>
        <w:pStyle w:val="BodyText"/>
        <w:spacing w:line="230" w:lineRule="exact"/>
        <w:ind w:right="0"/>
        <w:jc w:val="left"/>
      </w:pPr>
      <w:r>
        <w:rPr/>
        <w:t>检查。通过检查，监事会提出如下书面审核意见：公司</w:t>
      </w:r>
      <w:r>
        <w:rPr>
          <w:rFonts w:ascii="Times New Roman" w:hAnsi="Times New Roman" w:cs="Times New Roman" w:eastAsia="Times New Roman" w:hint="default"/>
        </w:rPr>
        <w:t>2014</w:t>
      </w:r>
      <w:r>
        <w:rPr/>
        <w:t>年年度财务报告真实可靠，在所有重大方面公允地反映了公司的</w:t>
      </w:r>
    </w:p>
    <w:p>
      <w:pPr>
        <w:pStyle w:val="BodyText"/>
        <w:spacing w:line="240" w:lineRule="auto" w:before="64"/>
        <w:ind w:right="92"/>
        <w:jc w:val="left"/>
      </w:pPr>
      <w:r>
        <w:rPr/>
        <w:t>财务状况和经营成果。</w:t>
      </w:r>
    </w:p>
    <w:p>
      <w:pPr>
        <w:pStyle w:val="BodyText"/>
        <w:spacing w:line="338" w:lineRule="auto" w:before="116"/>
        <w:ind w:left="514" w:right="92"/>
        <w:jc w:val="left"/>
      </w:pPr>
      <w:r>
        <w:rPr/>
        <w:t>（</w:t>
      </w:r>
      <w:r>
        <w:rPr>
          <w:rFonts w:ascii="Times New Roman" w:hAnsi="Times New Roman" w:cs="Times New Roman" w:eastAsia="Times New Roman" w:hint="default"/>
        </w:rPr>
        <w:t>9</w:t>
      </w:r>
      <w:r>
        <w:rPr/>
        <w:t>）对公司建立和实施内幕信息知情人管理制度的核查意见 </w:t>
      </w:r>
      <w:r>
        <w:rPr>
          <w:spacing w:val="-2"/>
        </w:rPr>
        <w:t>公司监事会对报告期内公司建立和实施内幕信息知情人管理制度的情况进行了核查，监事会认为：公司已根据相关法律</w:t>
      </w:r>
    </w:p>
    <w:p>
      <w:pPr>
        <w:pStyle w:val="BodyText"/>
        <w:spacing w:line="319" w:lineRule="auto" w:before="2"/>
        <w:ind w:right="92"/>
        <w:jc w:val="left"/>
      </w:pPr>
      <w:r>
        <w:rPr/>
        <w:t>法规的要求，建立了内幕信息知情人管理制度体系。报告期内，公司严格执行内幕信息保密制度，严格规范信息传递流程， </w:t>
      </w:r>
      <w:r>
        <w:rPr>
          <w:spacing w:val="-2"/>
        </w:rPr>
        <w:t>公司董事、监事及高级管理人员和其他相关知情人严格遵守了内幕信息知情人管理制度，未发现有内幕信息知情人利用内幕</w:t>
      </w:r>
      <w:r>
        <w:rPr>
          <w:spacing w:val="-64"/>
        </w:rPr>
        <w:t> </w:t>
      </w:r>
      <w:r>
        <w:rPr>
          <w:spacing w:val="-64"/>
        </w:rPr>
      </w:r>
      <w:r>
        <w:rPr>
          <w:spacing w:val="-2"/>
        </w:rPr>
        <w:t>信息买卖本公司股份的情况，也未发生受到监管部门查处和整改的情形。公司将会依据相关法律法规以及《关于要求深圳上</w:t>
      </w:r>
      <w:r>
        <w:rPr>
          <w:spacing w:val="-66"/>
        </w:rPr>
        <w:t> </w:t>
      </w:r>
      <w:r>
        <w:rPr>
          <w:spacing w:val="-66"/>
        </w:rPr>
      </w:r>
      <w:r>
        <w:rPr/>
        <w:t>市公司进一步做好内幕信息管理有关工作的通知》等一系列通知的要求，进一步完善内幕信息知情人管理工作。</w:t>
      </w:r>
    </w:p>
    <w:p>
      <w:pPr>
        <w:spacing w:line="338" w:lineRule="auto" w:before="58"/>
        <w:ind w:left="514" w:right="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、公司内部控制制度的建立健全情况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公司自上市以来，严格按照《公司法》、《证券法》、《深圳证券交易所创业板股票上市规则》以及中国证监会有关法</w:t>
      </w:r>
    </w:p>
    <w:p>
      <w:pPr>
        <w:pStyle w:val="BodyText"/>
        <w:spacing w:line="319" w:lineRule="auto" w:before="2"/>
        <w:ind w:right="92"/>
        <w:jc w:val="left"/>
      </w:pPr>
      <w:r>
        <w:rPr>
          <w:spacing w:val="-2"/>
        </w:rPr>
        <w:t>律法规的要求，规范运作，完善公司法人治理结构。公司致力于建立完善的内部控制体系，公司按照《企业内部控制基本规</w:t>
      </w:r>
      <w:r>
        <w:rPr>
          <w:spacing w:val="-66"/>
        </w:rPr>
        <w:t> </w:t>
      </w:r>
      <w:r>
        <w:rPr>
          <w:spacing w:val="-66"/>
        </w:rPr>
      </w:r>
      <w:r>
        <w:rPr/>
        <w:t>范》和《企业内部控制配套指引》的相关要求建立健全并有效执行内部控制制度，目前已建立起较为健全的内部控制制度， </w:t>
      </w:r>
      <w:r>
        <w:rPr>
          <w:spacing w:val="-2"/>
        </w:rPr>
        <w:t>整套内部控制制度包括法人治理、生产经营、财务管理、行政及人力资源管理、信息披露等方面，基本涵盖公司经营管理的</w:t>
      </w:r>
      <w:r>
        <w:rPr>
          <w:spacing w:val="-66"/>
        </w:rPr>
        <w:t> </w:t>
      </w:r>
      <w:r>
        <w:rPr>
          <w:spacing w:val="-66"/>
        </w:rPr>
      </w:r>
      <w:r>
        <w:rPr>
          <w:spacing w:val="-2"/>
        </w:rPr>
        <w:t>各层面和各主要业务环节。通过对公司各项治理制度的规范和落实，公司的治理水平不断提高。有效的保证了公司经营效益</w:t>
      </w:r>
      <w:r>
        <w:rPr>
          <w:spacing w:val="-66"/>
        </w:rPr>
        <w:t> </w:t>
      </w:r>
      <w:r>
        <w:rPr>
          <w:spacing w:val="-66"/>
        </w:rPr>
      </w:r>
      <w:r>
        <w:rPr/>
        <w:t>水平的不断提升和战略目标的实现。</w:t>
      </w:r>
    </w:p>
    <w:p>
      <w:pPr>
        <w:pStyle w:val="BodyText"/>
        <w:spacing w:line="338" w:lineRule="auto" w:before="56"/>
        <w:ind w:left="514" w:right="92"/>
        <w:jc w:val="left"/>
      </w:pPr>
      <w:r>
        <w:rPr/>
        <w:t>（</w:t>
      </w:r>
      <w:r>
        <w:rPr>
          <w:rFonts w:ascii="Times New Roman" w:hAnsi="Times New Roman" w:cs="Times New Roman" w:eastAsia="Times New Roman" w:hint="default"/>
        </w:rPr>
        <w:t>1</w:t>
      </w:r>
      <w:r>
        <w:rPr/>
        <w:t>）法人治理方面 </w:t>
      </w:r>
      <w:r>
        <w:rPr>
          <w:spacing w:val="-2"/>
        </w:rPr>
        <w:t>公司于报告期内对《公司章程》、《股东大会议事规则》、《对外提供财务资助管理制度》、《分红管理制度》进行了</w:t>
      </w:r>
    </w:p>
    <w:p>
      <w:pPr>
        <w:pStyle w:val="BodyText"/>
        <w:spacing w:line="240" w:lineRule="auto" w:before="4"/>
        <w:ind w:right="92"/>
        <w:jc w:val="left"/>
      </w:pPr>
      <w:r>
        <w:rPr/>
        <w:t>修订。</w:t>
      </w:r>
    </w:p>
    <w:p>
      <w:pPr>
        <w:pStyle w:val="BodyText"/>
        <w:spacing w:line="240" w:lineRule="auto" w:before="116"/>
        <w:ind w:left="514" w:right="92"/>
        <w:jc w:val="left"/>
      </w:pPr>
      <w:r>
        <w:rPr/>
        <w:t>这些制度对公司治理结构进一步进行了完善，对规范公司决策和运作发挥着重要的作用。</w:t>
      </w:r>
    </w:p>
    <w:p>
      <w:pPr>
        <w:pStyle w:val="BodyText"/>
        <w:spacing w:line="338" w:lineRule="auto" w:before="116"/>
        <w:ind w:left="514" w:right="92"/>
        <w:jc w:val="left"/>
      </w:pPr>
      <w:r>
        <w:rPr/>
        <w:t>（</w:t>
      </w:r>
      <w:r>
        <w:rPr>
          <w:rFonts w:ascii="Times New Roman" w:hAnsi="Times New Roman" w:cs="Times New Roman" w:eastAsia="Times New Roman" w:hint="default"/>
        </w:rPr>
        <w:t>2</w:t>
      </w:r>
      <w:r>
        <w:rPr/>
        <w:t>）经营管理方面 </w:t>
      </w:r>
      <w:r>
        <w:rPr>
          <w:spacing w:val="-2"/>
        </w:rPr>
        <w:t>为规范经营管理，公司各研发、运营、销售部门都制订了详细的经营管理制度。公司修订了《公司章程》、《股东大会</w:t>
      </w:r>
    </w:p>
    <w:p>
      <w:pPr>
        <w:pStyle w:val="BodyText"/>
        <w:spacing w:line="319" w:lineRule="auto" w:before="2"/>
        <w:ind w:right="92"/>
        <w:jc w:val="left"/>
      </w:pPr>
      <w:r>
        <w:rPr>
          <w:spacing w:val="-2"/>
        </w:rPr>
        <w:t>议事规则》、《对外提供财务资助管理制度》、《分红管理制度》制度，在具体业务管理方面，公司也制订了一系列规范文</w:t>
      </w:r>
      <w:r>
        <w:rPr>
          <w:spacing w:val="-67"/>
        </w:rPr>
        <w:t> </w:t>
      </w:r>
      <w:r>
        <w:rPr>
          <w:spacing w:val="-67"/>
        </w:rPr>
      </w:r>
      <w:r>
        <w:rPr/>
        <w:t>件，保证各项业务有章可循，规范操作。</w:t>
      </w:r>
    </w:p>
    <w:p>
      <w:pPr>
        <w:spacing w:after="0" w:line="319"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14" w:right="92"/>
        <w:jc w:val="left"/>
      </w:pPr>
      <w:r>
        <w:rPr/>
        <w:t>（</w:t>
      </w:r>
      <w:r>
        <w:rPr>
          <w:rFonts w:ascii="Times New Roman" w:hAnsi="Times New Roman" w:cs="Times New Roman" w:eastAsia="Times New Roman" w:hint="default"/>
        </w:rPr>
        <w:t>3</w:t>
      </w:r>
      <w:r>
        <w:rPr/>
        <w:t>）财务管理方面 </w:t>
      </w:r>
      <w:r>
        <w:rPr>
          <w:spacing w:val="-4"/>
        </w:rPr>
        <w:t>公司已基本建立一套与公司财务信息相关的、符合公司实际情况的、较为合理的内部控制制度，并且得到了有效的执行。</w:t>
      </w:r>
    </w:p>
    <w:p>
      <w:pPr>
        <w:pStyle w:val="BodyText"/>
        <w:spacing w:line="319" w:lineRule="auto" w:before="2"/>
        <w:ind w:right="190"/>
        <w:jc w:val="both"/>
      </w:pPr>
      <w:r>
        <w:rPr>
          <w:spacing w:val="-2"/>
        </w:rPr>
        <w:t>在财务管理和会计审核方面均设置了较为合理的岗位职责权限，并配备了相应的人员以保证财会工作的顺利开展，财务会计</w:t>
      </w:r>
      <w:r>
        <w:rPr>
          <w:spacing w:val="-64"/>
        </w:rPr>
        <w:t> </w:t>
      </w:r>
      <w:r>
        <w:rPr>
          <w:spacing w:val="-64"/>
        </w:rPr>
      </w:r>
      <w:r>
        <w:rPr>
          <w:spacing w:val="-2"/>
        </w:rPr>
        <w:t>机构人员分工明确，实行岗位责任制，各岗位都能相互牵制相互制衡。公司的会计管理内部控制完整、合理、有效，公司各</w:t>
      </w:r>
      <w:r>
        <w:rPr>
          <w:spacing w:val="-67"/>
        </w:rPr>
        <w:t> </w:t>
      </w:r>
      <w:r>
        <w:rPr>
          <w:spacing w:val="-67"/>
        </w:rPr>
      </w:r>
      <w:r>
        <w:rPr>
          <w:spacing w:val="-2"/>
        </w:rPr>
        <w:t>级会计人员具备了相应的专业素质，不定期的参加相关业务培训，对重要会计业务和电算化操作制定和执行了明确的授权规</w:t>
      </w:r>
      <w:r>
        <w:rPr>
          <w:spacing w:val="-64"/>
        </w:rPr>
        <w:t> </w:t>
      </w:r>
      <w:r>
        <w:rPr>
          <w:spacing w:val="-64"/>
        </w:rPr>
      </w:r>
      <w:r>
        <w:rPr/>
        <w:t>定。</w:t>
      </w:r>
    </w:p>
    <w:p>
      <w:pPr>
        <w:pStyle w:val="BodyText"/>
        <w:spacing w:line="240" w:lineRule="auto" w:before="58"/>
        <w:ind w:left="514" w:right="92"/>
        <w:jc w:val="left"/>
      </w:pPr>
      <w:r>
        <w:rPr/>
        <w:t>公司的内部控制机制较为完善，能够得到切实有效地实施。</w:t>
      </w:r>
    </w:p>
    <w:p>
      <w:pPr>
        <w:pStyle w:val="BodyText"/>
        <w:spacing w:line="338" w:lineRule="auto" w:before="116"/>
        <w:ind w:left="514" w:right="92"/>
        <w:jc w:val="left"/>
      </w:pPr>
      <w:r>
        <w:rPr/>
        <w:t>（</w:t>
      </w:r>
      <w:r>
        <w:rPr>
          <w:rFonts w:ascii="Times New Roman" w:hAnsi="Times New Roman" w:cs="Times New Roman" w:eastAsia="Times New Roman" w:hint="default"/>
        </w:rPr>
        <w:t>4</w:t>
      </w:r>
      <w:r>
        <w:rPr/>
        <w:t>）信息披露方面 </w:t>
      </w:r>
      <w:r>
        <w:rPr>
          <w:spacing w:val="-2"/>
        </w:rPr>
        <w:t>公司制定了《内幕信息知情人登记制度》、《重大信息内部报告及保密制度》、《突发事件处理制度》、《外部信息使</w:t>
      </w:r>
    </w:p>
    <w:p>
      <w:pPr>
        <w:pStyle w:val="BodyText"/>
        <w:spacing w:line="319" w:lineRule="auto" w:before="2"/>
        <w:ind w:right="192"/>
        <w:jc w:val="both"/>
      </w:pPr>
      <w:r>
        <w:rPr>
          <w:spacing w:val="-2"/>
        </w:rPr>
        <w:t>用人管理制度》、《年报信息披露重大差错责任追究制度》，报告期内，公司在信息披露方面严格执行相关制度，加强公司</w:t>
      </w:r>
      <w:r>
        <w:rPr>
          <w:spacing w:val="-68"/>
        </w:rPr>
        <w:t> </w:t>
      </w:r>
      <w:r>
        <w:rPr>
          <w:spacing w:val="-68"/>
        </w:rPr>
      </w:r>
      <w:r>
        <w:rPr/>
        <w:t>与投资者之间的信息交流，使投资者能够全面、完整、真实、准确、及时、公平地了解和掌握公司的经营状况。</w:t>
      </w:r>
    </w:p>
    <w:p>
      <w:pPr>
        <w:pStyle w:val="BodyText"/>
        <w:spacing w:line="338" w:lineRule="auto" w:before="58"/>
        <w:ind w:left="514" w:right="92"/>
        <w:jc w:val="left"/>
      </w:pPr>
      <w:r>
        <w:rPr/>
        <w:t>（</w:t>
      </w:r>
      <w:r>
        <w:rPr>
          <w:rFonts w:ascii="Times New Roman" w:hAnsi="Times New Roman" w:cs="Times New Roman" w:eastAsia="Times New Roman" w:hint="default"/>
        </w:rPr>
        <w:t>5</w:t>
      </w:r>
      <w:r>
        <w:rPr/>
        <w:t>）高级管理人员的考评及激励情况 </w:t>
      </w:r>
      <w:r>
        <w:rPr>
          <w:spacing w:val="-2"/>
        </w:rPr>
        <w:t>公司建立了完善的高级管理人员绩效考评体系和薪酬制度，高级管理人员的工作绩效与其收入直接挂钩。为激励公司高</w:t>
      </w:r>
    </w:p>
    <w:p>
      <w:pPr>
        <w:pStyle w:val="BodyText"/>
        <w:spacing w:line="319" w:lineRule="auto" w:before="2"/>
        <w:ind w:right="191"/>
        <w:jc w:val="both"/>
      </w:pPr>
      <w:r>
        <w:rPr>
          <w:spacing w:val="-2"/>
        </w:rPr>
        <w:t>级管理人员勤勉尽责，恪守职责，努力完成和超额完成公司制定的各项任务，对公司高管的业绩完成情况进行考核，强化了</w:t>
      </w:r>
      <w:r>
        <w:rPr>
          <w:spacing w:val="-66"/>
        </w:rPr>
        <w:t> </w:t>
      </w:r>
      <w:r>
        <w:rPr>
          <w:spacing w:val="-66"/>
        </w:rPr>
      </w:r>
      <w:r>
        <w:rPr>
          <w:spacing w:val="-2"/>
        </w:rPr>
        <w:t>对高级管理人员的考评激励作用，使高级管理人员与股东利益取向一致，最终实现股东价值最大化。除此之外，公司本报告</w:t>
      </w:r>
      <w:r>
        <w:rPr>
          <w:spacing w:val="-66"/>
        </w:rPr>
        <w:t> </w:t>
      </w:r>
      <w:r>
        <w:rPr>
          <w:spacing w:val="-66"/>
        </w:rPr>
      </w:r>
      <w:r>
        <w:rPr/>
        <w:t>期内没有对高级管理人员的考评制度进行补充和修改。</w:t>
      </w:r>
    </w:p>
    <w:p>
      <w:pPr>
        <w:pStyle w:val="BodyText"/>
        <w:spacing w:line="338" w:lineRule="auto" w:before="56"/>
        <w:ind w:left="514" w:right="92"/>
        <w:jc w:val="left"/>
      </w:pPr>
      <w:r>
        <w:rPr/>
        <w:t>（</w:t>
      </w:r>
      <w:r>
        <w:rPr>
          <w:rFonts w:ascii="Times New Roman" w:hAnsi="Times New Roman" w:cs="Times New Roman" w:eastAsia="Times New Roman" w:hint="default"/>
        </w:rPr>
        <w:t>6</w:t>
      </w:r>
      <w:r>
        <w:rPr/>
        <w:t>）公司各项内部控制制度的修订情况 公司根据《公司法》、《证券法》、《企业内部控制基本规范》等有关法律、法规和规章制度，结合公司的实际情况、</w:t>
      </w:r>
    </w:p>
    <w:p>
      <w:pPr>
        <w:pStyle w:val="BodyText"/>
        <w:spacing w:line="357" w:lineRule="auto" w:before="4"/>
        <w:ind w:left="514" w:right="2072" w:hanging="360"/>
        <w:jc w:val="left"/>
      </w:pPr>
      <w:r>
        <w:rPr/>
        <w:t>自身特点和管理需要，制定了贯穿于公司生产经营各层面、各环节的内部控制体系，并不断完善。 公司对各项内部控制制度及修订最新情况见下表：</w:t>
      </w:r>
    </w:p>
    <w:tbl>
      <w:tblPr>
        <w:tblW w:w="0" w:type="auto"/>
        <w:jc w:val="left"/>
        <w:tblInd w:w="146" w:type="dxa"/>
        <w:tblLayout w:type="fixed"/>
        <w:tblCellMar>
          <w:top w:w="0" w:type="dxa"/>
          <w:left w:w="0" w:type="dxa"/>
          <w:bottom w:w="0" w:type="dxa"/>
          <w:right w:w="0" w:type="dxa"/>
        </w:tblCellMar>
        <w:tblLook w:val="01E0"/>
      </w:tblPr>
      <w:tblGrid>
        <w:gridCol w:w="1319"/>
        <w:gridCol w:w="5874"/>
        <w:gridCol w:w="2466"/>
      </w:tblGrid>
      <w:tr>
        <w:trPr>
          <w:trHeight w:val="428" w:hRule="exact"/>
        </w:trPr>
        <w:tc>
          <w:tcPr>
            <w:tcW w:w="13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1" w:right="0"/>
              <w:jc w:val="center"/>
              <w:rPr>
                <w:rFonts w:ascii="宋体" w:hAnsi="宋体" w:cs="宋体" w:eastAsia="宋体" w:hint="default"/>
                <w:sz w:val="18"/>
                <w:szCs w:val="18"/>
              </w:rPr>
            </w:pPr>
            <w:r>
              <w:rPr>
                <w:rFonts w:ascii="宋体" w:hAnsi="宋体" w:cs="宋体" w:eastAsia="宋体" w:hint="default"/>
                <w:sz w:val="18"/>
                <w:szCs w:val="18"/>
              </w:rPr>
              <w:t>最新制定</w:t>
            </w:r>
            <w:r>
              <w:rPr>
                <w:rFonts w:ascii="Times New Roman" w:hAnsi="Times New Roman" w:cs="Times New Roman" w:eastAsia="Times New Roman" w:hint="default"/>
                <w:sz w:val="18"/>
                <w:szCs w:val="18"/>
              </w:rPr>
              <w:t>/</w:t>
            </w:r>
            <w:r>
              <w:rPr>
                <w:rFonts w:ascii="宋体" w:hAnsi="宋体" w:cs="宋体" w:eastAsia="宋体" w:hint="default"/>
                <w:sz w:val="18"/>
                <w:szCs w:val="18"/>
              </w:rPr>
              <w:t>修订时间</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《董事会专门委员会工作细则》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《关联交易公允决策制度》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《天源迪科累积投票制实施细则》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《天源迪科募集资金管理办法》</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《董事、监事和高级管理人员所持本公司股份及其变动管理制度》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19"/>
        <w:gridCol w:w="5874"/>
        <w:gridCol w:w="2466"/>
      </w:tblGrid>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《独立董事年报工作规程》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《重大信息内部报告和保密制度》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25</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《防范大股东及其关联方资金占用制度》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《财务负责人管理制度》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《对外提供财务资助管理制度》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28</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《分红管理制度》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《股票期权激励计划考核管理办法》</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月制定</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《项目财务编码规则》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月制定</w:t>
            </w:r>
          </w:p>
        </w:tc>
      </w:tr>
    </w:tbl>
    <w:p>
      <w:pPr>
        <w:spacing w:line="338" w:lineRule="auto" w:before="51"/>
        <w:ind w:left="514" w:right="92"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、内部控制自我评价报告相关情况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根据《创业板上市公司规范运作指引》、上市公司内部审计工作指引以及《公开发行证券的公司信息披露编报规则第</w:t>
      </w:r>
      <w:r>
        <w:rPr>
          <w:rFonts w:ascii="Times New Roman" w:hAnsi="Times New Roman" w:cs="Times New Roman" w:eastAsia="Times New Roman" w:hint="default"/>
          <w:spacing w:val="-2"/>
          <w:sz w:val="18"/>
          <w:szCs w:val="18"/>
        </w:rPr>
        <w:t>21</w:t>
      </w:r>
    </w:p>
    <w:p>
      <w:pPr>
        <w:pStyle w:val="BodyText"/>
        <w:spacing w:line="230" w:lineRule="exact"/>
        <w:ind w:right="0"/>
        <w:jc w:val="left"/>
      </w:pPr>
      <w:r>
        <w:rPr/>
        <w:t>号</w:t>
      </w:r>
      <w:r>
        <w:rPr>
          <w:rFonts w:ascii="Times New Roman" w:hAnsi="Times New Roman" w:cs="Times New Roman" w:eastAsia="Times New Roman" w:hint="default"/>
        </w:rPr>
        <w:t>—</w:t>
      </w:r>
      <w:r>
        <w:rPr/>
        <w:t>年度内部控制评价报告的一般规定》的规定，公司董事会对与财务报告和信息披露事务相关的内部控制制度的建立和实</w:t>
      </w:r>
    </w:p>
    <w:p>
      <w:pPr>
        <w:pStyle w:val="BodyText"/>
        <w:spacing w:line="240" w:lineRule="auto" w:before="64"/>
        <w:ind w:right="92"/>
        <w:jc w:val="left"/>
      </w:pPr>
      <w:r>
        <w:rPr/>
        <w:t>施情况出具了</w:t>
      </w:r>
      <w:r>
        <w:rPr>
          <w:rFonts w:ascii="Times New Roman" w:hAnsi="Times New Roman" w:cs="Times New Roman" w:eastAsia="Times New Roman" w:hint="default"/>
        </w:rPr>
        <w:t>2014</w:t>
      </w:r>
      <w:r>
        <w:rPr/>
        <w:t>年度《内部控制自我评价报告》。</w:t>
      </w:r>
    </w:p>
    <w:p>
      <w:pPr>
        <w:pStyle w:val="BodyText"/>
        <w:spacing w:line="338" w:lineRule="auto" w:before="103"/>
        <w:ind w:left="514" w:right="92"/>
        <w:jc w:val="left"/>
      </w:pPr>
      <w:r>
        <w:rPr/>
        <w:t>（</w:t>
      </w:r>
      <w:r>
        <w:rPr>
          <w:rFonts w:ascii="Times New Roman" w:hAnsi="Times New Roman" w:cs="Times New Roman" w:eastAsia="Times New Roman" w:hint="default"/>
        </w:rPr>
        <w:t>1</w:t>
      </w:r>
      <w:r>
        <w:rPr/>
        <w:t>）董事会对内部控制责任的声明 </w:t>
      </w:r>
      <w:r>
        <w:rPr>
          <w:spacing w:val="-4"/>
        </w:rPr>
        <w:t>为规范经营管理，降低内控风险，公司已建立起较为健全的内部控制制度，整套内部控制制度包括法人治理、生产经营、</w:t>
      </w:r>
    </w:p>
    <w:p>
      <w:pPr>
        <w:pStyle w:val="BodyText"/>
        <w:spacing w:line="319" w:lineRule="auto" w:before="2"/>
        <w:ind w:right="92"/>
        <w:jc w:val="left"/>
      </w:pPr>
      <w:r>
        <w:rPr>
          <w:spacing w:val="-2"/>
        </w:rPr>
        <w:t>财务管理、行政及人力资源管理、信息披露等方面，基本涵盖公司经营管理的各层面和各主要业务环节。通过对公司各项治</w:t>
      </w:r>
      <w:r>
        <w:rPr>
          <w:spacing w:val="-66"/>
        </w:rPr>
        <w:t> </w:t>
      </w:r>
      <w:r>
        <w:rPr>
          <w:spacing w:val="-66"/>
        </w:rPr>
      </w:r>
      <w:r>
        <w:rPr/>
        <w:t>理制度的规范和落实，公司的治理水平不断提高。有效的保证了公司经营效益水平的不断提升和战略目标的实现。</w:t>
      </w:r>
    </w:p>
    <w:p>
      <w:pPr>
        <w:pStyle w:val="BodyText"/>
        <w:spacing w:line="302" w:lineRule="auto" w:before="55"/>
        <w:ind w:right="200" w:firstLine="360"/>
        <w:jc w:val="left"/>
      </w:pPr>
      <w:r>
        <w:rPr/>
        <w:t>公司董事会认为，公司按照《企业内部控制基本规范》及相关规范于</w:t>
      </w:r>
      <w:r>
        <w:rPr>
          <w:spacing w:val="-1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日在所有重大方面保持了有效的内 部控制，并出具了《</w:t>
      </w:r>
      <w:r>
        <w:rPr>
          <w:rFonts w:ascii="Times New Roman" w:hAnsi="Times New Roman" w:cs="Times New Roman" w:eastAsia="Times New Roman" w:hint="default"/>
        </w:rPr>
        <w:t>2014</w:t>
      </w:r>
      <w:r>
        <w:rPr/>
        <w:t>年度内部控制自我评价报告》。</w:t>
      </w:r>
    </w:p>
    <w:p>
      <w:pPr>
        <w:pStyle w:val="BodyText"/>
        <w:spacing w:line="338" w:lineRule="auto" w:before="52"/>
        <w:ind w:left="514" w:right="92"/>
        <w:jc w:val="left"/>
      </w:pPr>
      <w:r>
        <w:rPr/>
        <w:t>（</w:t>
      </w:r>
      <w:r>
        <w:rPr>
          <w:rFonts w:ascii="Times New Roman" w:hAnsi="Times New Roman" w:cs="Times New Roman" w:eastAsia="Times New Roman" w:hint="default"/>
        </w:rPr>
        <w:t>2</w:t>
      </w:r>
      <w:r>
        <w:rPr/>
        <w:t>）公司董事会对《内部控制自我评价报告》的审核意见 </w:t>
      </w:r>
      <w:r>
        <w:rPr>
          <w:spacing w:val="-2"/>
        </w:rPr>
        <w:t>董事会已经审阅了公司《</w:t>
      </w:r>
      <w:r>
        <w:rPr>
          <w:rFonts w:ascii="Times New Roman" w:hAnsi="Times New Roman" w:cs="Times New Roman" w:eastAsia="Times New Roman" w:hint="default"/>
          <w:spacing w:val="-2"/>
        </w:rPr>
        <w:t>2014</w:t>
      </w:r>
      <w:r>
        <w:rPr>
          <w:spacing w:val="-2"/>
        </w:rPr>
        <w:t>年度内部控制自我评价报告》，认为该报告对公司内部控制制度体系建立和完善、重点环</w:t>
      </w:r>
    </w:p>
    <w:p>
      <w:pPr>
        <w:pStyle w:val="BodyText"/>
        <w:spacing w:line="218" w:lineRule="exact"/>
        <w:ind w:right="92"/>
        <w:jc w:val="left"/>
      </w:pPr>
      <w:r>
        <w:rPr/>
        <w:t>节的控制、整改措施等方面的内容作了详细的说明，能够全面、客观地反映公司内部控制的实际情况。</w:t>
      </w:r>
    </w:p>
    <w:p>
      <w:pPr>
        <w:pStyle w:val="BodyText"/>
        <w:spacing w:line="338" w:lineRule="auto" w:before="116"/>
        <w:ind w:left="514" w:right="92"/>
        <w:jc w:val="left"/>
      </w:pPr>
      <w:r>
        <w:rPr/>
        <w:t>（</w:t>
      </w:r>
      <w:r>
        <w:rPr>
          <w:rFonts w:ascii="Times New Roman" w:hAnsi="Times New Roman" w:cs="Times New Roman" w:eastAsia="Times New Roman" w:hint="default"/>
        </w:rPr>
        <w:t>3</w:t>
      </w:r>
      <w:r>
        <w:rPr/>
        <w:t>）公司监事会对《内部控制自我评价报告》的审核意见 监事会认为，</w:t>
      </w:r>
      <w:r>
        <w:rPr>
          <w:rFonts w:ascii="Times New Roman" w:hAnsi="Times New Roman" w:cs="Times New Roman" w:eastAsia="Times New Roman" w:hint="default"/>
        </w:rPr>
        <w:t>2014</w:t>
      </w:r>
      <w:r>
        <w:rPr/>
        <w:t>年度，公司制订了各项内控制度，完善了公司法人治理结构，建立了公司规范运行的内部控制环境，</w:t>
      </w:r>
    </w:p>
    <w:p>
      <w:pPr>
        <w:pStyle w:val="BodyText"/>
        <w:spacing w:line="217" w:lineRule="exact"/>
        <w:ind w:right="0"/>
        <w:jc w:val="left"/>
      </w:pPr>
      <w:r>
        <w:rPr/>
        <w:t>保证了公司各项业务活动的有序、有效开展，保护了公司资产的安全、完整，维护了公司及股东的利益。公司内部控制组织</w:t>
      </w:r>
    </w:p>
    <w:p>
      <w:pPr>
        <w:pStyle w:val="BodyText"/>
        <w:spacing w:line="240" w:lineRule="auto" w:before="77"/>
        <w:ind w:right="92"/>
        <w:jc w:val="left"/>
      </w:pPr>
      <w:r>
        <w:rPr/>
        <w:t>机构完整，内部控制重点活动执行及监督充分有效。公司</w:t>
      </w:r>
      <w:r>
        <w:rPr>
          <w:rFonts w:ascii="Times New Roman" w:hAnsi="Times New Roman" w:cs="Times New Roman" w:eastAsia="Times New Roman" w:hint="default"/>
        </w:rPr>
        <w:t>2014</w:t>
      </w:r>
      <w:r>
        <w:rPr/>
        <w:t>年度内部控制自我评价报告是真实、有效的。</w:t>
      </w:r>
    </w:p>
    <w:p>
      <w:pPr>
        <w:pStyle w:val="BodyText"/>
        <w:spacing w:line="338" w:lineRule="auto" w:before="103"/>
        <w:ind w:left="514" w:right="92"/>
        <w:jc w:val="left"/>
      </w:pPr>
      <w:r>
        <w:rPr/>
        <w:t>（</w:t>
      </w:r>
      <w:r>
        <w:rPr>
          <w:rFonts w:ascii="Times New Roman" w:hAnsi="Times New Roman" w:cs="Times New Roman" w:eastAsia="Times New Roman" w:hint="default"/>
        </w:rPr>
        <w:t>4</w:t>
      </w:r>
      <w:r>
        <w:rPr/>
        <w:t>）公司独立董事对《内部控制自我评价报告》的审核意见 </w:t>
      </w:r>
      <w:r>
        <w:rPr>
          <w:spacing w:val="-2"/>
        </w:rPr>
        <w:t>报告期内，公司制订、修改和完善了一系列的内控管理制度，内部控制制度健全，符合国家有关法律、法规和监管部门</w:t>
      </w:r>
    </w:p>
    <w:p>
      <w:pPr>
        <w:pStyle w:val="BodyText"/>
        <w:spacing w:line="316" w:lineRule="auto" w:before="2"/>
        <w:ind w:right="92"/>
        <w:jc w:val="left"/>
      </w:pPr>
      <w:r>
        <w:rPr>
          <w:spacing w:val="-2"/>
        </w:rPr>
        <w:t>的要求，符合公司的实际情况。公司重点活动能够严格、规范地执行公司内部控制各项制度，对子公司控制、关联交易、重</w:t>
      </w:r>
      <w:r>
        <w:rPr>
          <w:spacing w:val="-67"/>
        </w:rPr>
        <w:t> </w:t>
      </w:r>
      <w:r>
        <w:rPr>
          <w:spacing w:val="-67"/>
        </w:rPr>
      </w:r>
      <w:r>
        <w:rPr>
          <w:spacing w:val="-2"/>
        </w:rPr>
        <w:t>大投资、信息披露的内部控制符合国家法律法规和证券监管部门的规章要求，保证了公司正常运行。公司开展的各项重要内</w:t>
      </w:r>
    </w:p>
    <w:p>
      <w:pPr>
        <w:spacing w:after="0" w:line="316"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4" w:right="0" w:hanging="360"/>
        <w:jc w:val="left"/>
      </w:pPr>
      <w:r>
        <w:rPr/>
        <w:t>部控制活动符合公司内外部形势要求，取得了较好的成效。 </w:t>
      </w:r>
      <w:r>
        <w:rPr>
          <w:spacing w:val="-2"/>
        </w:rPr>
        <w:t>公司《</w:t>
      </w:r>
      <w:r>
        <w:rPr>
          <w:rFonts w:ascii="Times New Roman" w:hAnsi="Times New Roman" w:cs="Times New Roman" w:eastAsia="Times New Roman" w:hint="default"/>
          <w:spacing w:val="-2"/>
        </w:rPr>
        <w:t>2014</w:t>
      </w:r>
      <w:r>
        <w:rPr>
          <w:spacing w:val="-2"/>
        </w:rPr>
        <w:t>年度内部控制自我评价报告》客观地反映了内部控制的真实情况和存在的问题，整改计划明确，有较强的可</w:t>
      </w:r>
    </w:p>
    <w:p>
      <w:pPr>
        <w:pStyle w:val="BodyText"/>
        <w:spacing w:line="202" w:lineRule="exact"/>
        <w:ind w:right="0"/>
        <w:jc w:val="left"/>
      </w:pPr>
      <w:r>
        <w:rPr/>
        <w:t>操作性。</w:t>
      </w:r>
    </w:p>
    <w:p>
      <w:pPr>
        <w:pStyle w:val="BodyText"/>
        <w:spacing w:line="240" w:lineRule="auto" w:before="117"/>
        <w:ind w:right="0"/>
        <w:jc w:val="left"/>
      </w:pPr>
      <w:r>
        <w:rPr/>
        <w:t>公司治理与《公司法》和中国证监会相关规定的要求是否存在差异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 网址</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；中国证 </w:t>
            </w:r>
            <w:r>
              <w:rPr>
                <w:rFonts w:ascii="宋体" w:hAnsi="宋体" w:cs="宋体" w:eastAsia="宋体" w:hint="default"/>
                <w:spacing w:val="-6"/>
                <w:sz w:val="18"/>
                <w:szCs w:val="18"/>
              </w:rPr>
              <w:t>券网，网址</w:t>
            </w:r>
            <w:r>
              <w:rPr>
                <w:rFonts w:ascii="宋体" w:hAnsi="宋体" w:cs="宋体" w:eastAsia="宋体" w:hint="default"/>
                <w:spacing w:val="-34"/>
                <w:sz w:val="18"/>
                <w:szCs w:val="18"/>
              </w:rPr>
              <w:t> </w:t>
            </w:r>
            <w:hyperlink r:id="rId15">
              <w:r>
                <w:rPr>
                  <w:rFonts w:ascii="Times New Roman" w:hAnsi="Times New Roman" w:cs="Times New Roman" w:eastAsia="Times New Roman" w:hint="default"/>
                  <w:spacing w:val="-4"/>
                  <w:sz w:val="18"/>
                  <w:szCs w:val="18"/>
                </w:rPr>
                <w:t>www.cnstock.com</w:t>
              </w:r>
            </w:hyperlink>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证券时报网，网址</w:t>
            </w:r>
            <w:r>
              <w:rPr>
                <w:rFonts w:ascii="宋体" w:hAnsi="宋体" w:cs="宋体" w:eastAsia="宋体" w:hint="default"/>
                <w:sz w:val="18"/>
                <w:szCs w:val="18"/>
              </w:rPr>
              <w:t> </w:t>
            </w:r>
            <w:hyperlink r:id="rId16">
              <w:r>
                <w:rPr>
                  <w:rFonts w:ascii="Times New Roman" w:hAnsi="Times New Roman" w:cs="Times New Roman" w:eastAsia="Times New Roman" w:hint="default"/>
                  <w:spacing w:val="-4"/>
                  <w:sz w:val="18"/>
                  <w:szCs w:val="18"/>
                </w:rPr>
                <w:t>www.secutimes.com</w:t>
              </w:r>
            </w:hyperlink>
            <w:r>
              <w:rPr>
                <w:rFonts w:ascii="宋体" w:hAnsi="宋体" w:cs="宋体" w:eastAsia="宋体" w:hint="default"/>
                <w:spacing w:val="-4"/>
                <w:sz w:val="18"/>
                <w:szCs w:val="18"/>
              </w:rPr>
              <w:t>；中国资本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证券网，网址</w:t>
            </w:r>
            <w:r>
              <w:rPr>
                <w:rFonts w:ascii="宋体" w:hAnsi="宋体" w:cs="宋体" w:eastAsia="宋体" w:hint="default"/>
                <w:spacing w:val="-61"/>
                <w:sz w:val="18"/>
                <w:szCs w:val="18"/>
              </w:rPr>
              <w:t> </w:t>
            </w:r>
            <w:hyperlink r:id="rId17">
              <w:r>
                <w:rPr>
                  <w:rFonts w:ascii="Times New Roman" w:hAnsi="Times New Roman" w:cs="Times New Roman" w:eastAsia="Times New Roman" w:hint="default"/>
                  <w:sz w:val="18"/>
                  <w:szCs w:val="18"/>
                </w:rPr>
                <w:t>www.ccstock.cn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pict>
          <v:group style="position:absolute;margin-left:415.799988pt;margin-top:-80.036331pt;width:118pt;height:20.8pt;mso-position-horizontal-relative:page;mso-position-vertical-relative:paragraph;z-index:-1020400" coordorigin="8316,-1601" coordsize="2360,416">
            <v:group style="position:absolute;left:8327;top:-1589;width:2;height:393" coordorigin="8327,-1589" coordsize="2,393">
              <v:shape style="position:absolute;left:8327;top:-1589;width:2;height:393" coordorigin="8327,-1589" coordsize="0,393" path="m8327,-1589l8327,-1197e" filled="false" stroked="true" strokeweight="1.140pt" strokecolor="#ffffff">
                <v:path arrowok="t"/>
              </v:shape>
            </v:group>
            <v:group style="position:absolute;left:8339;top:-1589;width:2337;height:393" coordorigin="8339,-1589" coordsize="2337,393">
              <v:shape style="position:absolute;left:8339;top:-1589;width:2337;height:393" coordorigin="8339,-1589" coordsize="2337,393" path="m8339,-1197l10675,-1197,10675,-1589,8339,-1589,8339,-1197xe" filled="true" fillcolor="#ffffff" stroked="false">
                <v:path arrowok="t"/>
                <v:fill type="solid"/>
              </v:shape>
            </v:group>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 网址</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；中国证 </w:t>
            </w:r>
            <w:r>
              <w:rPr>
                <w:rFonts w:ascii="宋体" w:hAnsi="宋体" w:cs="宋体" w:eastAsia="宋体" w:hint="default"/>
                <w:spacing w:val="-6"/>
                <w:sz w:val="18"/>
                <w:szCs w:val="18"/>
              </w:rPr>
              <w:t>券网，网址</w:t>
            </w:r>
            <w:r>
              <w:rPr>
                <w:rFonts w:ascii="宋体" w:hAnsi="宋体" w:cs="宋体" w:eastAsia="宋体" w:hint="default"/>
                <w:spacing w:val="-34"/>
                <w:sz w:val="18"/>
                <w:szCs w:val="18"/>
              </w:rPr>
              <w:t> </w:t>
            </w:r>
            <w:hyperlink r:id="rId15">
              <w:r>
                <w:rPr>
                  <w:rFonts w:ascii="Times New Roman" w:hAnsi="Times New Roman" w:cs="Times New Roman" w:eastAsia="Times New Roman" w:hint="default"/>
                  <w:spacing w:val="-4"/>
                  <w:sz w:val="18"/>
                  <w:szCs w:val="18"/>
                </w:rPr>
                <w:t>www.cnstock.com</w:t>
              </w:r>
            </w:hyperlink>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证券时报网，网址</w:t>
            </w:r>
            <w:r>
              <w:rPr>
                <w:rFonts w:ascii="宋体" w:hAnsi="宋体" w:cs="宋体" w:eastAsia="宋体" w:hint="default"/>
                <w:sz w:val="18"/>
                <w:szCs w:val="18"/>
              </w:rPr>
              <w:t> </w:t>
            </w:r>
            <w:hyperlink r:id="rId16">
              <w:r>
                <w:rPr>
                  <w:rFonts w:ascii="Times New Roman" w:hAnsi="Times New Roman" w:cs="Times New Roman" w:eastAsia="Times New Roman" w:hint="default"/>
                  <w:spacing w:val="-4"/>
                  <w:sz w:val="18"/>
                  <w:szCs w:val="18"/>
                </w:rPr>
                <w:t>www.secutimes.com</w:t>
              </w:r>
            </w:hyperlink>
            <w:r>
              <w:rPr>
                <w:rFonts w:ascii="宋体" w:hAnsi="宋体" w:cs="宋体" w:eastAsia="宋体" w:hint="default"/>
                <w:spacing w:val="-4"/>
                <w:sz w:val="18"/>
                <w:szCs w:val="18"/>
              </w:rPr>
              <w:t>；中国资本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证券网，网址</w:t>
            </w:r>
            <w:r>
              <w:rPr>
                <w:rFonts w:ascii="宋体" w:hAnsi="宋体" w:cs="宋体" w:eastAsia="宋体" w:hint="default"/>
                <w:spacing w:val="-61"/>
                <w:sz w:val="18"/>
                <w:szCs w:val="18"/>
              </w:rPr>
              <w:t> </w:t>
            </w:r>
            <w:hyperlink r:id="rId17">
              <w:r>
                <w:rPr>
                  <w:rFonts w:ascii="Times New Roman" w:hAnsi="Times New Roman" w:cs="Times New Roman" w:eastAsia="Times New Roman" w:hint="default"/>
                  <w:sz w:val="18"/>
                  <w:szCs w:val="18"/>
                </w:rPr>
                <w:t>www.ccstock.cn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415.799988pt;margin-top:-79.334381pt;width:118pt;height:20.8pt;mso-position-horizontal-relative:page;mso-position-vertical-relative:paragraph;z-index:-1020376" coordorigin="8316,-1587" coordsize="2360,416">
            <v:group style="position:absolute;left:8327;top:-1575;width:2;height:393" coordorigin="8327,-1575" coordsize="2,393">
              <v:shape style="position:absolute;left:8327;top:-1575;width:2;height:393" coordorigin="8327,-1575" coordsize="0,393" path="m8327,-1575l8327,-1183e" filled="false" stroked="true" strokeweight="1.140pt" strokecolor="#ffffff">
                <v:path arrowok="t"/>
              </v:shape>
            </v:group>
            <v:group style="position:absolute;left:8339;top:-1575;width:2337;height:393" coordorigin="8339,-1575" coordsize="2337,393">
              <v:shape style="position:absolute;left:8339;top:-1575;width:2337;height:393" coordorigin="8339,-1575" coordsize="2337,393" path="m8339,-1183l10675,-1183,10675,-1575,8339,-1575,8339,-1183xe" filled="true" fillcolor="#ffffff" stroked="false">
                <v:path arrowok="t"/>
                <v:fill type="solid"/>
              </v:shape>
            </v:group>
            <w10:wrap type="none"/>
          </v:group>
        </w:pict>
      </w:r>
      <w:r>
        <w:rPr/>
        <w:pict>
          <v:group style="position:absolute;margin-left:415.799988pt;margin-top:107.445618pt;width:119.1pt;height:58.2pt;mso-position-horizontal-relative:page;mso-position-vertical-relative:paragraph;z-index:-1020352" coordorigin="8316,2149" coordsize="2382,1164">
            <v:group style="position:absolute;left:8327;top:2160;width:2;height:392" coordorigin="8327,2160" coordsize="2,392">
              <v:shape style="position:absolute;left:8327;top:2160;width:2;height:392" coordorigin="8327,2160" coordsize="0,392" path="m8327,2160l8327,2552e" filled="false" stroked="true" strokeweight="1.140pt" strokecolor="#ffffff">
                <v:path arrowok="t"/>
              </v:shape>
            </v:group>
            <v:group style="position:absolute;left:8316;top:2552;width:2382;height:761" coordorigin="8316,2552" coordsize="2382,761">
              <v:shape style="position:absolute;left:8316;top:2552;width:2382;height:761" coordorigin="8316,2552" coordsize="2382,761" path="m8316,3313l10698,3313,10698,2552,8316,2552,8316,3313xe" filled="true" fillcolor="#ffffff" stroked="false">
                <v:path arrowok="t"/>
                <v:fill type="solid"/>
              </v:shape>
            </v:group>
            <v:group style="position:absolute;left:8339;top:2160;width:2337;height:392" coordorigin="8339,2160" coordsize="2337,392">
              <v:shape style="position:absolute;left:8339;top:2160;width:2337;height:392" coordorigin="8339,2160" coordsize="2337,392" path="m8339,2552l10675,2552,10675,2160,8339,2160,8339,2552xe" filled="true" fillcolor="#ffffff" stroked="false">
                <v:path arrowok="t"/>
                <v:fill type="solid"/>
              </v:shape>
            </v:group>
            <w10:wrap type="none"/>
          </v:group>
        </w:pict>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9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巨潮资讯网，网址 </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；中证网，</w:t>
            </w:r>
            <w:r>
              <w:rPr>
                <w:rFonts w:ascii="宋体" w:hAnsi="宋体" w:cs="宋体" w:eastAsia="宋体" w:hint="default"/>
                <w:spacing w:val="-84"/>
                <w:sz w:val="18"/>
                <w:szCs w:val="18"/>
              </w:rPr>
              <w:t> </w:t>
            </w:r>
            <w:r>
              <w:rPr>
                <w:rFonts w:ascii="宋体" w:hAnsi="宋体" w:cs="宋体" w:eastAsia="宋体" w:hint="default"/>
                <w:sz w:val="18"/>
                <w:szCs w:val="18"/>
              </w:rPr>
              <w:t>网址</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；中国证 </w:t>
            </w:r>
            <w:r>
              <w:rPr>
                <w:rFonts w:ascii="宋体" w:hAnsi="宋体" w:cs="宋体" w:eastAsia="宋体" w:hint="default"/>
                <w:spacing w:val="-6"/>
                <w:sz w:val="18"/>
                <w:szCs w:val="18"/>
              </w:rPr>
              <w:t>券网，网址</w:t>
            </w:r>
            <w:r>
              <w:rPr>
                <w:rFonts w:ascii="宋体" w:hAnsi="宋体" w:cs="宋体" w:eastAsia="宋体" w:hint="default"/>
                <w:spacing w:val="-50"/>
                <w:sz w:val="18"/>
                <w:szCs w:val="18"/>
              </w:rPr>
              <w:t> </w:t>
            </w:r>
            <w:hyperlink r:id="rId15">
              <w:r>
                <w:rPr>
                  <w:rFonts w:ascii="Times New Roman" w:hAnsi="Times New Roman" w:cs="Times New Roman" w:eastAsia="Times New Roman" w:hint="default"/>
                  <w:sz w:val="18"/>
                  <w:szCs w:val="18"/>
                </w:rPr>
                <w:t>www.cnstock.com</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证券时报网，网址 </w:t>
            </w:r>
            <w:hyperlink r:id="rId16">
              <w:r>
                <w:rPr>
                  <w:rFonts w:ascii="Times New Roman" w:hAnsi="Times New Roman" w:cs="Times New Roman" w:eastAsia="Times New Roman" w:hint="default"/>
                  <w:spacing w:val="-4"/>
                  <w:sz w:val="18"/>
                  <w:szCs w:val="18"/>
                </w:rPr>
                <w:t>www.secutimes.com</w:t>
              </w:r>
            </w:hyperlink>
            <w:r>
              <w:rPr>
                <w:rFonts w:ascii="宋体" w:hAnsi="宋体" w:cs="宋体" w:eastAsia="宋体" w:hint="default"/>
                <w:spacing w:val="-4"/>
                <w:sz w:val="18"/>
                <w:szCs w:val="18"/>
              </w:rPr>
              <w:t>；中国资本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199" w:lineRule="exact"/>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证券网，网址</w:t>
            </w:r>
            <w:r>
              <w:rPr>
                <w:rFonts w:ascii="宋体" w:hAnsi="宋体" w:cs="宋体" w:eastAsia="宋体" w:hint="default"/>
                <w:spacing w:val="-61"/>
                <w:sz w:val="18"/>
                <w:szCs w:val="18"/>
              </w:rPr>
              <w:t> </w:t>
            </w:r>
            <w:hyperlink r:id="rId17">
              <w:r>
                <w:rPr>
                  <w:rFonts w:ascii="Times New Roman" w:hAnsi="Times New Roman" w:cs="Times New Roman" w:eastAsia="Times New Roman" w:hint="default"/>
                  <w:sz w:val="18"/>
                  <w:szCs w:val="18"/>
                </w:rPr>
                <w:t>www.ccstock.cn</w:t>
              </w:r>
            </w:hyperlink>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 网址</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；中国证 </w:t>
            </w:r>
            <w:r>
              <w:rPr>
                <w:rFonts w:ascii="宋体" w:hAnsi="宋体" w:cs="宋体" w:eastAsia="宋体" w:hint="default"/>
                <w:spacing w:val="-6"/>
                <w:sz w:val="18"/>
                <w:szCs w:val="18"/>
              </w:rPr>
              <w:t>券网，网址</w:t>
            </w:r>
            <w:r>
              <w:rPr>
                <w:rFonts w:ascii="宋体" w:hAnsi="宋体" w:cs="宋体" w:eastAsia="宋体" w:hint="default"/>
                <w:spacing w:val="-34"/>
                <w:sz w:val="18"/>
                <w:szCs w:val="18"/>
              </w:rPr>
              <w:t> </w:t>
            </w:r>
            <w:hyperlink r:id="rId15">
              <w:r>
                <w:rPr>
                  <w:rFonts w:ascii="Times New Roman" w:hAnsi="Times New Roman" w:cs="Times New Roman" w:eastAsia="Times New Roman" w:hint="default"/>
                  <w:spacing w:val="-4"/>
                  <w:sz w:val="18"/>
                  <w:szCs w:val="18"/>
                </w:rPr>
                <w:t>www.cnstock.com</w:t>
              </w:r>
            </w:hyperlink>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证券时报网，网址</w:t>
            </w:r>
            <w:r>
              <w:rPr>
                <w:rFonts w:ascii="宋体" w:hAnsi="宋体" w:cs="宋体" w:eastAsia="宋体" w:hint="default"/>
                <w:sz w:val="18"/>
                <w:szCs w:val="18"/>
              </w:rPr>
              <w:t> </w:t>
            </w:r>
            <w:hyperlink r:id="rId16">
              <w:r>
                <w:rPr>
                  <w:rFonts w:ascii="Times New Roman" w:hAnsi="Times New Roman" w:cs="Times New Roman" w:eastAsia="Times New Roman" w:hint="default"/>
                  <w:spacing w:val="-4"/>
                  <w:sz w:val="18"/>
                  <w:szCs w:val="18"/>
                </w:rPr>
                <w:t>www.secutimes.com</w:t>
              </w:r>
            </w:hyperlink>
            <w:r>
              <w:rPr>
                <w:rFonts w:ascii="宋体" w:hAnsi="宋体" w:cs="宋体" w:eastAsia="宋体" w:hint="default"/>
                <w:spacing w:val="-4"/>
                <w:sz w:val="18"/>
                <w:szCs w:val="18"/>
              </w:rPr>
              <w:t>；中国资本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证券网，网址</w:t>
            </w:r>
            <w:r>
              <w:rPr>
                <w:rFonts w:ascii="宋体" w:hAnsi="宋体" w:cs="宋体" w:eastAsia="宋体" w:hint="default"/>
                <w:spacing w:val="-61"/>
                <w:sz w:val="18"/>
                <w:szCs w:val="18"/>
              </w:rPr>
              <w:t> </w:t>
            </w:r>
            <w:hyperlink r:id="rId17">
              <w:r>
                <w:rPr>
                  <w:rFonts w:ascii="Times New Roman" w:hAnsi="Times New Roman" w:cs="Times New Roman" w:eastAsia="Times New Roman" w:hint="default"/>
                  <w:sz w:val="18"/>
                  <w:szCs w:val="18"/>
                </w:rPr>
                <w:t>www.ccstock.cn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118pt;height:20.8pt;mso-position-horizontal-relative:char;mso-position-vertical-relative:line" coordorigin="0,0" coordsize="2360,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2337;height:393" coordorigin="23,11" coordsize="2337,393">
                    <v:shape style="position:absolute;left:23;top:11;width:2337;height:393" coordorigin="23,11" coordsize="2337,393" path="m23,404l2359,404,2359,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 网址</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；中国证 </w:t>
            </w:r>
            <w:r>
              <w:rPr>
                <w:rFonts w:ascii="宋体" w:hAnsi="宋体" w:cs="宋体" w:eastAsia="宋体" w:hint="default"/>
                <w:spacing w:val="-6"/>
                <w:sz w:val="18"/>
                <w:szCs w:val="18"/>
              </w:rPr>
              <w:t>券网，网址</w:t>
            </w:r>
            <w:r>
              <w:rPr>
                <w:rFonts w:ascii="宋体" w:hAnsi="宋体" w:cs="宋体" w:eastAsia="宋体" w:hint="default"/>
                <w:spacing w:val="-34"/>
                <w:sz w:val="18"/>
                <w:szCs w:val="18"/>
              </w:rPr>
              <w:t> </w:t>
            </w:r>
            <w:hyperlink r:id="rId15">
              <w:r>
                <w:rPr>
                  <w:rFonts w:ascii="Times New Roman" w:hAnsi="Times New Roman" w:cs="Times New Roman" w:eastAsia="Times New Roman" w:hint="default"/>
                  <w:spacing w:val="-4"/>
                  <w:sz w:val="18"/>
                  <w:szCs w:val="18"/>
                </w:rPr>
                <w:t>www.cnstock.com</w:t>
              </w:r>
            </w:hyperlink>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证券时报网，网址</w:t>
            </w:r>
            <w:r>
              <w:rPr>
                <w:rFonts w:ascii="宋体" w:hAnsi="宋体" w:cs="宋体" w:eastAsia="宋体" w:hint="default"/>
                <w:sz w:val="18"/>
                <w:szCs w:val="18"/>
              </w:rPr>
              <w:t> </w:t>
            </w:r>
            <w:hyperlink r:id="rId16">
              <w:r>
                <w:rPr>
                  <w:rFonts w:ascii="Times New Roman" w:hAnsi="Times New Roman" w:cs="Times New Roman" w:eastAsia="Times New Roman" w:hint="default"/>
                  <w:spacing w:val="-4"/>
                  <w:sz w:val="18"/>
                  <w:szCs w:val="18"/>
                </w:rPr>
                <w:t>www.secutimes.com</w:t>
              </w:r>
            </w:hyperlink>
            <w:r>
              <w:rPr>
                <w:rFonts w:ascii="宋体" w:hAnsi="宋体" w:cs="宋体" w:eastAsia="宋体" w:hint="default"/>
                <w:spacing w:val="-4"/>
                <w:sz w:val="18"/>
                <w:szCs w:val="18"/>
              </w:rPr>
              <w:t>；中国资本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证券网，网址</w:t>
            </w:r>
            <w:r>
              <w:rPr>
                <w:rFonts w:ascii="宋体" w:hAnsi="宋体" w:cs="宋体" w:eastAsia="宋体" w:hint="default"/>
                <w:spacing w:val="-61"/>
                <w:sz w:val="18"/>
                <w:szCs w:val="18"/>
              </w:rPr>
              <w:t> </w:t>
            </w:r>
            <w:hyperlink r:id="rId17">
              <w:r>
                <w:rPr>
                  <w:rFonts w:ascii="Times New Roman" w:hAnsi="Times New Roman" w:cs="Times New Roman" w:eastAsia="Times New Roman" w:hint="default"/>
                  <w:sz w:val="18"/>
                  <w:szCs w:val="18"/>
                </w:rPr>
                <w:t>www.ccstock.cn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118pt;height:20.8pt;mso-position-horizontal-relative:char;mso-position-vertical-relative:line" coordorigin="0,0" coordsize="2360,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2337;height:393" coordorigin="23,11" coordsize="2337,393">
                    <v:shape style="position:absolute;left:23;top:11;width:2337;height:393" coordorigin="23,11" coordsize="2337,393" path="m23,404l2359,404,2359,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；中证网， 网址</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www.cs.com.cn</w:t>
              </w:r>
            </w:hyperlink>
            <w:r>
              <w:rPr>
                <w:rFonts w:ascii="宋体" w:hAnsi="宋体" w:cs="宋体" w:eastAsia="宋体" w:hint="default"/>
                <w:sz w:val="18"/>
                <w:szCs w:val="18"/>
              </w:rPr>
              <w:t>；中国证 </w:t>
            </w:r>
            <w:r>
              <w:rPr>
                <w:rFonts w:ascii="宋体" w:hAnsi="宋体" w:cs="宋体" w:eastAsia="宋体" w:hint="default"/>
                <w:spacing w:val="-6"/>
                <w:sz w:val="18"/>
                <w:szCs w:val="18"/>
              </w:rPr>
              <w:t>券网，网址</w:t>
            </w:r>
            <w:r>
              <w:rPr>
                <w:rFonts w:ascii="宋体" w:hAnsi="宋体" w:cs="宋体" w:eastAsia="宋体" w:hint="default"/>
                <w:spacing w:val="-34"/>
                <w:sz w:val="18"/>
                <w:szCs w:val="18"/>
              </w:rPr>
              <w:t> </w:t>
            </w:r>
            <w:hyperlink r:id="rId15">
              <w:r>
                <w:rPr>
                  <w:rFonts w:ascii="Times New Roman" w:hAnsi="Times New Roman" w:cs="Times New Roman" w:eastAsia="Times New Roman" w:hint="default"/>
                  <w:spacing w:val="-4"/>
                  <w:sz w:val="18"/>
                  <w:szCs w:val="18"/>
                </w:rPr>
                <w:t>www.cnstock.com</w:t>
              </w:r>
            </w:hyperlink>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证券时报网，网址</w:t>
            </w:r>
            <w:r>
              <w:rPr>
                <w:rFonts w:ascii="宋体" w:hAnsi="宋体" w:cs="宋体" w:eastAsia="宋体" w:hint="default"/>
                <w:sz w:val="18"/>
                <w:szCs w:val="18"/>
              </w:rPr>
              <w:t> </w:t>
            </w:r>
            <w:hyperlink r:id="rId16">
              <w:r>
                <w:rPr>
                  <w:rFonts w:ascii="Times New Roman" w:hAnsi="Times New Roman" w:cs="Times New Roman" w:eastAsia="Times New Roman" w:hint="default"/>
                  <w:spacing w:val="-4"/>
                  <w:sz w:val="18"/>
                  <w:szCs w:val="18"/>
                </w:rPr>
                <w:t>www.secutimes.com</w:t>
              </w:r>
            </w:hyperlink>
            <w:r>
              <w:rPr>
                <w:rFonts w:ascii="宋体" w:hAnsi="宋体" w:cs="宋体" w:eastAsia="宋体" w:hint="default"/>
                <w:spacing w:val="-4"/>
                <w:sz w:val="18"/>
                <w:szCs w:val="18"/>
              </w:rPr>
              <w:t>；中国资本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证券网，网址</w:t>
            </w:r>
            <w:r>
              <w:rPr>
                <w:rFonts w:ascii="宋体" w:hAnsi="宋体" w:cs="宋体" w:eastAsia="宋体" w:hint="default"/>
                <w:spacing w:val="-60"/>
                <w:sz w:val="18"/>
                <w:szCs w:val="18"/>
              </w:rPr>
              <w:t> </w:t>
            </w:r>
            <w:hyperlink r:id="rId17">
              <w:r>
                <w:rPr>
                  <w:rFonts w:ascii="Times New Roman" w:hAnsi="Times New Roman" w:cs="Times New Roman" w:eastAsia="Times New Roman" w:hint="default"/>
                  <w:sz w:val="18"/>
                  <w:szCs w:val="18"/>
                </w:rPr>
                <w:t>www.ccstock.cn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118pt;height:20.8pt;mso-position-horizontal-relative:char;mso-position-vertical-relative:line" coordorigin="0,0" coordsize="2360,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2337;height:393" coordorigin="23,11" coordsize="2337,393">
                    <v:shape style="position:absolute;left:23;top:11;width:2337;height:393" coordorigin="23,11" coordsize="2337,393" path="m23,404l2359,404,2359,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bl>
    <w:p>
      <w:pPr>
        <w:spacing w:line="240" w:lineRule="auto" w:before="2"/>
        <w:rPr>
          <w:rFonts w:ascii="宋体" w:hAnsi="宋体" w:cs="宋体" w:eastAsia="宋体" w:hint="default"/>
          <w:b/>
          <w:bCs/>
          <w:sz w:val="18"/>
          <w:szCs w:val="18"/>
        </w:rPr>
      </w:pPr>
    </w:p>
    <w:p>
      <w:pPr>
        <w:pStyle w:val="Heading2"/>
        <w:spacing w:line="240" w:lineRule="auto" w:before="26"/>
        <w:ind w:right="92"/>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2" w:firstLine="360"/>
        <w:jc w:val="left"/>
      </w:pPr>
      <w:r>
        <w:rPr/>
        <w:t>公司根据有关法律法规的要求制定了《年报信息披露重大差错责任追究制度》，对年报编制和披露的环节都进行规定， </w:t>
      </w:r>
      <w:r>
        <w:rPr>
          <w:spacing w:val="-4"/>
        </w:rPr>
        <w:t>明确了参与编制和披露工作人员各自的责任。</w:t>
      </w:r>
      <w:r>
        <w:rPr>
          <w:rFonts w:ascii="Times New Roman" w:hAnsi="Times New Roman" w:cs="Times New Roman" w:eastAsia="Times New Roman" w:hint="default"/>
          <w:spacing w:val="-4"/>
        </w:rPr>
        <w:t>2014</w:t>
      </w:r>
      <w:r>
        <w:rPr>
          <w:spacing w:val="-4"/>
        </w:rPr>
        <w:t>年，制度得到有效执行，对提高公司信息披露质量起到了非常重大的作用。</w:t>
      </w:r>
    </w:p>
    <w:p>
      <w:pPr>
        <w:pStyle w:val="BodyText"/>
        <w:spacing w:line="240" w:lineRule="auto" w:before="36"/>
        <w:ind w:left="514" w:right="92"/>
        <w:jc w:val="left"/>
      </w:pPr>
      <w:r>
        <w:rPr/>
        <w:t>报告期内，公司未发生重大会计差错更正、重大遗漏信息补充以及业绩预告修正等情况。</w:t>
      </w:r>
    </w:p>
    <w:p>
      <w:pPr>
        <w:spacing w:line="240" w:lineRule="auto" w:before="1"/>
        <w:rPr>
          <w:rFonts w:ascii="宋体" w:hAnsi="宋体" w:cs="宋体" w:eastAsia="宋体" w:hint="default"/>
          <w:sz w:val="25"/>
          <w:szCs w:val="25"/>
        </w:rPr>
      </w:pPr>
    </w:p>
    <w:p>
      <w:pPr>
        <w:pStyle w:val="Heading2"/>
        <w:spacing w:line="240" w:lineRule="auto"/>
        <w:ind w:right="92"/>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监事会在报告期内的监督活动是否发现公司存在风险</w:t>
      </w:r>
    </w:p>
    <w:p>
      <w:pPr>
        <w:pStyle w:val="BodyText"/>
        <w:spacing w:line="338" w:lineRule="auto" w:before="117"/>
        <w:ind w:right="63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9"/>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310224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周俊祥、陈勇</w:t>
            </w:r>
          </w:p>
        </w:tc>
      </w:tr>
    </w:tbl>
    <w:p>
      <w:pPr>
        <w:pStyle w:val="BodyText"/>
        <w:spacing w:line="240" w:lineRule="auto" w:before="51"/>
        <w:ind w:left="3591" w:right="3627"/>
        <w:jc w:val="center"/>
      </w:pPr>
      <w:r>
        <w:rPr/>
        <w:t>审计报告正文</w:t>
      </w:r>
    </w:p>
    <w:p>
      <w:pPr>
        <w:pStyle w:val="BodyText"/>
        <w:spacing w:line="240" w:lineRule="auto" w:before="116"/>
        <w:ind w:right="92"/>
        <w:jc w:val="left"/>
      </w:pPr>
      <w:r>
        <w:rPr/>
        <w:t>深圳天源迪科信息技术股份有限公司全体股东：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02" w:lineRule="auto"/>
        <w:ind w:right="92" w:firstLine="360"/>
        <w:jc w:val="left"/>
      </w:pPr>
      <w:r>
        <w:rPr>
          <w:spacing w:val="-2"/>
        </w:rPr>
        <w:t>我们审计了后附的深圳天源迪科信息技术股份有限公司（以下简称贵公司）财务报表，包括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w:t>
      </w:r>
      <w:r>
        <w:rPr/>
        <w:t> 司资产负债表、</w:t>
      </w:r>
      <w:r>
        <w:rPr>
          <w:rFonts w:ascii="Times New Roman" w:hAnsi="Times New Roman" w:cs="Times New Roman" w:eastAsia="Times New Roman" w:hint="default"/>
        </w:rPr>
        <w:t>2014</w:t>
      </w:r>
      <w:r>
        <w:rPr/>
        <w:t>年度的合并及公司利润表、合并及公司现金流量表、合并及公司所有者权益变动表以及财务报表附注。</w:t>
      </w:r>
    </w:p>
    <w:p>
      <w:pPr>
        <w:pStyle w:val="BodyText"/>
        <w:spacing w:line="357" w:lineRule="auto" w:before="50"/>
        <w:ind w:left="514" w:right="182"/>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w:t>
      </w:r>
    </w:p>
    <w:p>
      <w:pPr>
        <w:pStyle w:val="BodyText"/>
        <w:spacing w:line="216" w:lineRule="exact"/>
        <w:ind w:right="92"/>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57" w:lineRule="auto" w:before="103"/>
        <w:ind w:left="514" w:right="92"/>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工作。中国注册会计师审计准则要求我们遵守中国注册会计师职业道德守则，计划和执行审计工作以对财务报表是否不存在</w:t>
      </w:r>
    </w:p>
    <w:p>
      <w:pPr>
        <w:pStyle w:val="BodyText"/>
        <w:spacing w:line="357" w:lineRule="auto" w:before="77"/>
        <w:ind w:left="514" w:right="92" w:hanging="360"/>
        <w:jc w:val="left"/>
      </w:pPr>
      <w:r>
        <w:rPr/>
        <w:t>重大错报获取合理保证。 审计工作涉及实施审计程序，以获取有关财务报表金额和披露的审计证据。选择的审计程序取决于注册会计师的判断，</w:t>
      </w:r>
    </w:p>
    <w:p>
      <w:pPr>
        <w:pStyle w:val="BodyText"/>
        <w:spacing w:line="224" w:lineRule="exact"/>
        <w:ind w:right="0"/>
        <w:jc w:val="left"/>
      </w:pPr>
      <w:r>
        <w:rPr/>
        <w:t>包括对由于舞弊或错误导致的财务报表重大错报风险的评估。在进行风险评估时，注册会计师考虑与财务报表编制和公允列</w:t>
      </w:r>
    </w:p>
    <w:p>
      <w:pPr>
        <w:pStyle w:val="BodyText"/>
        <w:spacing w:line="319" w:lineRule="auto" w:before="76"/>
        <w:ind w:right="92"/>
        <w:jc w:val="left"/>
      </w:pP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57" w:lineRule="auto" w:before="56"/>
        <w:ind w:left="514" w:right="3152"/>
        <w:jc w:val="left"/>
      </w:pPr>
      <w:r>
        <w:rPr/>
        <w:t>我们相信，我们获取的审计证据是充分、适当的，为发表审计意见提供了基础。 三、审计意见</w:t>
      </w:r>
    </w:p>
    <w:p>
      <w:pPr>
        <w:pStyle w:val="BodyText"/>
        <w:spacing w:line="302" w:lineRule="auto" w:before="28"/>
        <w:ind w:right="92"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公司财务状况以及</w:t>
      </w:r>
      <w:r>
        <w:rPr>
          <w:rFonts w:ascii="Times New Roman" w:hAnsi="Times New Roman" w:cs="Times New Roman" w:eastAsia="Times New Roman" w:hint="default"/>
        </w:rPr>
        <w:t>2014</w:t>
      </w:r>
      <w:r>
        <w:rPr/>
        <w:t>年度的合并及公司经营成果和现金流量。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92"/>
        <w:jc w:val="left"/>
      </w:pPr>
      <w:r>
        <w:rPr/>
        <w:t>立信会计师事务所（特殊普通合伙）</w:t>
      </w:r>
      <w:r>
        <w:rPr>
          <w:spacing w:val="53"/>
        </w:rPr>
        <w:t> </w:t>
      </w:r>
      <w:r>
        <w:rPr/>
        <w:t>中国注册会计师：周俊祥</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2884" w:val="left" w:leader="none"/>
        </w:tabs>
        <w:spacing w:line="717" w:lineRule="auto"/>
        <w:ind w:left="1671" w:right="4650" w:firstLine="1790"/>
        <w:jc w:val="left"/>
      </w:pPr>
      <w:r>
        <w:rPr/>
        <w:t>中国注册会计师：</w:t>
      </w:r>
      <w:r>
        <w:rPr>
          <w:spacing w:val="-19"/>
        </w:rPr>
        <w:t> </w:t>
      </w:r>
      <w:r>
        <w:rPr/>
        <w:t>陈勇</w:t>
      </w:r>
      <w:r>
        <w:rPr/>
        <w:t> </w:t>
      </w:r>
      <w:r>
        <w:rPr>
          <w:spacing w:val="-1"/>
        </w:rPr>
        <w:t>中国</w:t>
      </w:r>
      <w:r>
        <w:rPr>
          <w:rFonts w:ascii="Times New Roman" w:hAnsi="Times New Roman" w:cs="Times New Roman" w:eastAsia="Times New Roman" w:hint="default"/>
          <w:spacing w:val="-1"/>
        </w:rPr>
        <w:t>·</w:t>
      </w:r>
      <w:r>
        <w:rPr>
          <w:spacing w:val="-1"/>
        </w:rPr>
        <w:t>上海</w:t>
        <w:tab/>
        <w:t>二〇一五年三月二十五日</w:t>
      </w:r>
    </w:p>
    <w:p>
      <w:pPr>
        <w:spacing w:after="0" w:line="717"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编制单位：深圳天源迪科信息技术股份有限公司</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259,417,405.82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236,947,072.37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12,717,478.90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3,310,430.00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573,644,404.86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507,513,147.99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56,936,364.91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11,838,892.24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31,230.15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22,042,099.82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17,577,975.18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276,699,296.00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195,924,178.81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1,201,457,050.31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973,142,926.74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60,067,439.63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58,579,224.17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139,364,817.36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72,543,778.05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159,978,374.91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178,576,116.35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213,588,861.69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180,231,453.31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65,343,223.15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68,017,304.42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35,169,464.38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35,169,464.38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2,518,057.56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2,334,359.23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9,946,631.72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7,634,982.29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705,976,870.40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603,086,682.20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1,907,433,920.71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1,576,229,608.94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210,937,018.00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16,775,885.95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36,058,810.22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59,652,227.24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22,570,135.18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9,976,793.65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8,660,587.54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15,835,286.33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11,359,327.97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510,666.25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2,067,600.33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3,020,176.61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600,648,459.75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328,763,801.30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16,125,479.44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20,242,739.73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46,775,479.44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68,802,739.73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647,423,939.19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397,566,541.03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319,221,700.00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315,688,300.00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506,927,901.89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485,621,756.39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52,596,327.59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48,357,011.85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346,290,845.61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300,376,760.86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1,225,036,775.09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1,150,043,829.10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34,973,206.43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28,619,238.81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1,260,009,981.52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1,178,663,067.91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1,907,433,920.71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1,576,229,608.94</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249"/>
        <w:jc w:val="righ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166,962,784.83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175,953,673.85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1,235,817.00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416,465,545.27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416,754,099.56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100,965,669.50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3,209,270.50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143,579,155.74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27,389,526.45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5,303,915.13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7,434,804.55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834,512,887.47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630,941,374.91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456,787,017.27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439,248,800.81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60,595,246.91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63,309,928.57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199,361,791.53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164,972,656.69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65,343,223.15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68,084,351.59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1,973,528.98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1,125,693.87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9,372,815.16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6,721,303.27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813,433,623.00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743,462,734.80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1,647,946,510.47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1,374,404,109.71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45,937,018.00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4,529,968.00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52,156,223.33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39,306,505.83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4,265,359.74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3,354,678.03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6,295,572.82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6,178,465.02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11,155,258.76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10,150,069.41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187,296.39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29,668,300.10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44,612,518.49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377,628,011.14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154,069,222.78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385,578,011.14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168,219,222.78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319,221,700.00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315,688,300.00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581,082,614.00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559,776,468.50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52,596,327.59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48,357,011.85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309,467,857.74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282,363,106.58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1,262,368,499.33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1,206,184,886.93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1,647,946,510.47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1,374,404,109.71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1,186,644,496.20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1,023,069,902.40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1,186,644,496.20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1,023,069,902.40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1,121,235,014.71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895,858,558.35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882,913,913.01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687,354,284.51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01.219971pt;width:157.7pt;height:19.650pt;mso-position-horizontal-relative:page;mso-position-vertical-relative:page;z-index:-1020256" coordorigin="4245,10024" coordsize="3154,393">
            <v:shape style="position:absolute;left:4245;top:10024;width:3154;height:393" coordorigin="4245,10024" coordsize="3154,393" path="m4245,10417l7399,10417,7399,10024,4245,10024,4245,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7"/>
        <w:gridCol w:w="1110"/>
        <w:gridCol w:w="2105"/>
        <w:gridCol w:w="3276"/>
      </w:tblGrid>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3,189,176.78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1,348,603.76</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61,721,035.92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49,350,821.94</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151,321,714.53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142,745,927.03</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17,943,538.58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7,284,701.15</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4,145,635.89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7,774,219.96</w:t>
            </w:r>
          </w:p>
        </w:tc>
      </w:tr>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1,488,215.46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2,357,497.39</w:t>
            </w:r>
          </w:p>
        </w:tc>
      </w:tr>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1,488,215.46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2,357,497.39</w:t>
            </w:r>
          </w:p>
        </w:tc>
      </w:tr>
      <w:tr>
        <w:trPr>
          <w:trHeight w:val="402" w:hRule="exact"/>
        </w:trPr>
        <w:tc>
          <w:tcPr>
            <w:tcW w:w="307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5"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66,897,696.95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129,568,841.44</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6,334,636.93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3,946,629.86</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4,957.47</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111,769.76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1,040,235.61</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110,594.62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153,426.32</w:t>
            </w:r>
          </w:p>
        </w:tc>
      </w:tr>
      <w:tr>
        <w:trPr>
          <w:trHeight w:val="402" w:hRule="exact"/>
        </w:trPr>
        <w:tc>
          <w:tcPr>
            <w:tcW w:w="307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73,120,564.12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132,475,235.69</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4,472,712.08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5,550,593.21</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68,647,852.04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126,924,642.48</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61,202,490.99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122,180,394.93</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7,445,361.05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4,744,247.55</w:t>
            </w:r>
          </w:p>
        </w:tc>
      </w:tr>
      <w:tr>
        <w:trPr>
          <w:trHeight w:val="402"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5"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68,647,852.04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126,924,642.48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61,202,490.99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122,180,394.93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7,445,361.05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4,744,247.55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bl>
    <w:p>
      <w:pPr>
        <w:pStyle w:val="BodyText"/>
        <w:tabs>
          <w:tab w:pos="3484" w:val="left" w:leader="none"/>
          <w:tab w:pos="7715" w:val="left" w:leader="none"/>
        </w:tabs>
        <w:spacing w:line="624" w:lineRule="auto" w:before="51"/>
        <w:ind w:right="249"/>
        <w:jc w:val="left"/>
      </w:pPr>
      <w:r>
        <w:rPr/>
        <w:t>本期发生同一控制下企业合并的，被合并方在合并前实现的净利润为：元，上期被合并方实现的净利润为：元。 法定代表人：陈友</w:t>
        <w:tab/>
        <w:t>主管会计工作负责人：邹立文</w:t>
        <w:tab/>
        <w:t>会计机构负责人：钱文胜</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452,610,278.28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569,669,771.01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311,495,305.50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366,285,136.99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36,113,375.19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26,583,983.32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65,709,629.47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61,414,752.45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2,807,607.76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2,487,152.90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5,183,816.04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4,364,691.55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8,872,144.35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24,459,152.01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1,488,215.46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2,357,497.39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38,344,092.62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132,945,711.70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4,525,347.84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1,087,697.05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81,097.07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991,095.71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81,097.07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146,095.71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42,788,343.39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133,042,313.04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395,185.99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4,881,104.78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42,393,157.40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128,161,208.26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42,393,157.40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128,161,208.26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1,227,850,134.33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957,065,101.55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1,201,735.44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4,276,411.26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15,835,423.77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26,708,654.99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1,244,887,293.54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988,050,167.80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947,859,544.82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707,847,843.59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281,267,613.83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215,030,624.54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42,539,638.59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14,391,069.60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99,946,357.20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69,913,131.94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1,371,613,154.44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1,007,182,669.67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-126,725,860.90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-19,132,501.87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10,781.91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48,753.95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48,753.95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128,661,255.24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152,216,983.24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24,831,164.00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8,674,023.20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153,492,419.24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160,891,006.44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-153,481,632.33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-160,842,252.49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30,559,395.65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18,599,983.00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457,554,650.00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425,357,950.71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950,317,346.36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476,181,542.27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437,857,018.00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259,185,632.00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31,682,501.68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44,374,143.63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212,056,012.79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2,013,540.00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681,595,532.47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305,573,315.63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268,721,813.89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170,608,226.64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-11,485,679.34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-9,366,527.72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231,450,779.86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240,817,307.58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219,965,100.52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482,204,625.33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499,364,254.06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289,572.64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3,668,017.14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1,974,584.66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58,562,041.74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484,468,782.63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561,594,312.94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186,820,602.00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265,676,550.61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157,450,268.18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124,206,054.42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26,494,133.40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7,285,756.13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116,546,669.09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48,707,451.28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487,311,672.67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445,875,812.44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-2,842,890.04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115,718,500.50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7,383,928.89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22,687,787.95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19,305.00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7,394,210.80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57,707,092.95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76,546,657.14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73,331,952.69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40,881,165.00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57,974,023.20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117,427,822.14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146,305,975.89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-110,033,611.34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-88,598,882.94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25,609,395.65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11,899,983.00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147,554,650.00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59,242,024.00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234,851,419.65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159,481,542.27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86,037,018.00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144,185,632.00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14,928,789.29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35,207,905.41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54,700,187.79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155,665,995.08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179,393,537.41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79,185,424.57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-19,911,995.14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-33,691,076.81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7,207,622.42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172,704,381.34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165,496,758.92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139,013,304.53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172,704,381.34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315,68</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485,621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,756.39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48,357,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011.85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300,376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,760.86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28,619,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238.81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315,68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485,621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,756.39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48,357,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011.85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300,376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,760.86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28,619,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238.81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21,306,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15.74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45,914,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084.75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81,346,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913.61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61,202,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490.99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7,445,3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68,647,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852.04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21,306,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4,950,0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29,789,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545.50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23,554,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4,950,0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32,037,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793.70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-2,248,2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-2,248,2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48.20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15.74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-15,288,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406.24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-6,041,3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486.87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15.74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-11,049,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090.50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-6,041,3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486.87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2.94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2.94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319,22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506,927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327.59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346,290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,845.61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206.43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627,116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,352.00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891.02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222,392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,486.76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19,678,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943.39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1,061,6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28,673.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627,116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,352.00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891.02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222,392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,486.76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19,678,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943.39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1,061,6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28,673.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158,78</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12,816,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77,984,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274.10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8,940,2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95.42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117,034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,394.74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122,180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,394.93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4,744,2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47.55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126,924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,642.48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987.85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5,915,5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83.46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22,424,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871.31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12,874,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035.49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5,915,5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83.46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20,677,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918.95</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52.36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120.83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-1,719,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535.59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535.59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120.83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-31,380,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-1,719,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535.59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535.59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784,416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784,416</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.54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315,68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485,621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,756.39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48,357,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011.85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300,376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,760.86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28,619,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238.81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315,688,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559,776,4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68.50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48,357,01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,106.58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1,206,184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,886.93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315,688,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559,776,4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48,357,01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,106.58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1,206,184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,886.93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3,533,40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21,306,14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27,104,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751.16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56,183,61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2.40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157.40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7.40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3,533,40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21,306,14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24,839,54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5.50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3,533,40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23,554,39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27,087,79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-2,248,24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-2,248,24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8.20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406.24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-11,049,0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15.74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-11,049,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090.50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-11,049,0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319,221,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581,082,6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52,596,32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309,467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1,262,368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,499.33</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702,055,4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35,540,89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198,398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,019.15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1,092,894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,390.82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702,055,4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35,540,89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198,398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,019.15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1,092,894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,390.82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158,788,</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-142,279,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012.15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12,816,12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83,965,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087.43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113,290,4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96.11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128,161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,208.26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128,161,2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08.26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1,888,30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14,620,98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16,509,28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7.85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1,888,30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12,874,03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14,762,33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5.49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1,746,952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1,746,952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12,816,12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-44,196,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120.83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-31,380,0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12,816,12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120.83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-31,380,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-31,380,0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-156,900,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315,688,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559,776,4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48,357,01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1,206,184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,886.93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490" w:right="6181" w:hanging="336"/>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（一）公司概况</w:t>
      </w:r>
      <w:r>
        <w:rPr>
          <w:rFonts w:ascii="宋体" w:hAnsi="宋体" w:cs="宋体" w:eastAsia="宋体" w:hint="default"/>
          <w:b/>
          <w:bCs/>
          <w:w w:val="99"/>
          <w:sz w:val="21"/>
          <w:szCs w:val="21"/>
        </w:rPr>
        <w:t> </w:t>
      </w:r>
      <w:r>
        <w:rPr>
          <w:rFonts w:ascii="宋体" w:hAnsi="宋体" w:cs="宋体" w:eastAsia="宋体" w:hint="default"/>
          <w:sz w:val="21"/>
          <w:szCs w:val="21"/>
        </w:rPr>
        <w:t>营业执照注册号：</w:t>
      </w:r>
      <w:r>
        <w:rPr>
          <w:rFonts w:ascii="Times New Roman" w:hAnsi="Times New Roman" w:cs="Times New Roman" w:eastAsia="Times New Roman" w:hint="default"/>
          <w:sz w:val="21"/>
          <w:szCs w:val="21"/>
        </w:rPr>
        <w:t>440301103047339</w:t>
      </w:r>
    </w:p>
    <w:p>
      <w:pPr>
        <w:pStyle w:val="Heading4"/>
        <w:spacing w:line="256" w:lineRule="auto" w:before="0"/>
        <w:ind w:left="490" w:right="4128"/>
        <w:jc w:val="left"/>
      </w:pPr>
      <w:r>
        <w:rPr/>
        <w:t>注册地址：深圳市高新区南区市高新技术工业村</w:t>
      </w:r>
      <w:r>
        <w:rPr>
          <w:rFonts w:ascii="Times New Roman" w:hAnsi="Times New Roman" w:cs="Times New Roman" w:eastAsia="Times New Roman" w:hint="default"/>
        </w:rPr>
        <w:t>T3</w:t>
      </w:r>
      <w:r>
        <w:rPr/>
        <w:t>栋</w:t>
      </w:r>
      <w:r>
        <w:rPr>
          <w:rFonts w:ascii="Times New Roman" w:hAnsi="Times New Roman" w:cs="Times New Roman" w:eastAsia="Times New Roman" w:hint="default"/>
        </w:rPr>
        <w:t>B3</w:t>
      </w:r>
      <w:r>
        <w:rPr/>
        <w:t>楼 法定代表人：陈友</w:t>
      </w:r>
    </w:p>
    <w:p>
      <w:pPr>
        <w:pStyle w:val="Heading4"/>
        <w:spacing w:line="273" w:lineRule="auto" w:before="22"/>
        <w:ind w:left="490" w:right="0"/>
        <w:jc w:val="left"/>
      </w:pPr>
      <w:r>
        <w:rPr/>
        <w:t>公司行业性质：电子信息。 公司经营范围：计算机软、硬件产品的生产和销售及售后服务；计算机网络设计、软件开发、系统集</w:t>
      </w:r>
    </w:p>
    <w:p>
      <w:pPr>
        <w:pStyle w:val="Heading4"/>
        <w:spacing w:line="273" w:lineRule="auto"/>
        <w:ind w:left="154" w:right="130"/>
        <w:jc w:val="both"/>
      </w:pPr>
      <w:r>
        <w:rPr/>
        <w:t>成。信息系统咨询和相关技术服务（不含限制项目及专营、专控、专卖商品）；经营进出口业务（法律、 </w:t>
      </w:r>
      <w:r>
        <w:rPr>
          <w:spacing w:val="-1"/>
        </w:rPr>
        <w:t>行政法规、国务院决定禁止的项目除外，限制的项目须取得许可后方可经营）；通信产品及其配套设备的</w:t>
      </w:r>
      <w:r>
        <w:rPr>
          <w:spacing w:val="-85"/>
        </w:rPr>
        <w:t> </w:t>
      </w:r>
      <w:r>
        <w:rPr>
          <w:spacing w:val="-85"/>
        </w:rPr>
      </w:r>
      <w:r>
        <w:rPr/>
        <w:t>代理销售、售后服务（不含专营、专控、专卖商品）。</w:t>
      </w:r>
    </w:p>
    <w:p>
      <w:pPr>
        <w:spacing w:line="240" w:lineRule="auto" w:before="6"/>
        <w:rPr>
          <w:rFonts w:ascii="宋体" w:hAnsi="宋体" w:cs="宋体" w:eastAsia="宋体" w:hint="default"/>
          <w:sz w:val="24"/>
          <w:szCs w:val="24"/>
        </w:rPr>
      </w:pPr>
    </w:p>
    <w:p>
      <w:pPr>
        <w:pStyle w:val="Heading4"/>
        <w:spacing w:line="273" w:lineRule="auto" w:before="0"/>
        <w:ind w:left="490" w:right="0" w:hanging="336"/>
        <w:jc w:val="left"/>
      </w:pPr>
      <w:r>
        <w:rPr>
          <w:rFonts w:ascii="宋体" w:hAnsi="宋体" w:cs="宋体" w:eastAsia="宋体" w:hint="default"/>
          <w:b/>
          <w:bCs/>
        </w:rPr>
        <w:t>（二）历史沿革</w:t>
      </w:r>
      <w:r>
        <w:rPr>
          <w:rFonts w:ascii="宋体" w:hAnsi="宋体" w:cs="宋体" w:eastAsia="宋体" w:hint="default"/>
          <w:b/>
          <w:bCs/>
          <w:w w:val="99"/>
        </w:rPr>
        <w:t> </w:t>
      </w:r>
      <w:r>
        <w:rPr>
          <w:spacing w:val="-3"/>
        </w:rPr>
        <w:t>深圳天源迪科信息技术股份有限公司（以下简称</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），前身为深圳天源迪科计算机有限</w:t>
      </w:r>
    </w:p>
    <w:p>
      <w:pPr>
        <w:pStyle w:val="Heading4"/>
        <w:spacing w:line="256" w:lineRule="auto" w:before="0"/>
        <w:ind w:left="154" w:right="152"/>
        <w:jc w:val="both"/>
      </w:pPr>
      <w:r>
        <w:rPr>
          <w:spacing w:val="-2"/>
        </w:rPr>
        <w:t>公司，成立于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日，经深圳市人民政府深府外复</w:t>
      </w:r>
      <w:r>
        <w:rPr>
          <w:rFonts w:ascii="Times New Roman" w:hAnsi="Times New Roman" w:cs="Times New Roman" w:eastAsia="Times New Roman" w:hint="default"/>
          <w:spacing w:val="-2"/>
        </w:rPr>
        <w:t>[1992]1904</w:t>
      </w:r>
      <w:r>
        <w:rPr>
          <w:spacing w:val="-2"/>
        </w:rPr>
        <w:t>号《关于合资经营天源迪科计算机有</w:t>
      </w:r>
      <w:r>
        <w:rPr>
          <w:spacing w:val="-61"/>
        </w:rPr>
        <w:t> </w:t>
      </w:r>
      <w:r>
        <w:rPr>
          <w:spacing w:val="-61"/>
        </w:rPr>
      </w:r>
      <w:r>
        <w:rPr/>
        <w:t>限公司的批复》批准，由深圳市天源实业股份有限公司（以下简称</w:t>
      </w:r>
      <w:r>
        <w:rPr>
          <w:rFonts w:ascii="Times New Roman" w:hAnsi="Times New Roman" w:cs="Times New Roman" w:eastAsia="Times New Roman" w:hint="default"/>
        </w:rPr>
        <w:t>“</w:t>
      </w:r>
      <w:r>
        <w:rPr/>
        <w:t>天源实业公司</w:t>
      </w:r>
      <w:r>
        <w:rPr>
          <w:rFonts w:ascii="Times New Roman" w:hAnsi="Times New Roman" w:cs="Times New Roman" w:eastAsia="Times New Roman" w:hint="default"/>
        </w:rPr>
        <w:t>”</w:t>
      </w:r>
      <w:r>
        <w:rPr/>
        <w:t>）和香港泰汇国际有限</w:t>
      </w:r>
    </w:p>
    <w:p>
      <w:pPr>
        <w:spacing w:after="0" w:line="256" w:lineRule="auto"/>
        <w:jc w:val="both"/>
        <w:sectPr>
          <w:footerReference w:type="default" r:id="rId21"/>
          <w:pgSz w:w="11910" w:h="16840"/>
          <w:pgMar w:footer="979" w:header="747" w:top="1060" w:bottom="1160" w:left="980" w:right="980"/>
        </w:sectPr>
      </w:pPr>
    </w:p>
    <w:p>
      <w:pPr>
        <w:spacing w:line="240" w:lineRule="auto" w:before="9"/>
        <w:rPr>
          <w:rFonts w:ascii="宋体" w:hAnsi="宋体" w:cs="宋体" w:eastAsia="宋体" w:hint="default"/>
          <w:sz w:val="24"/>
          <w:szCs w:val="24"/>
        </w:rPr>
      </w:pPr>
    </w:p>
    <w:p>
      <w:pPr>
        <w:pStyle w:val="Heading4"/>
        <w:spacing w:line="256" w:lineRule="auto" w:before="35"/>
        <w:ind w:left="154" w:right="136"/>
        <w:jc w:val="left"/>
      </w:pPr>
      <w:r>
        <w:rPr/>
        <w:t>公司（以下简称</w:t>
      </w:r>
      <w:r>
        <w:rPr>
          <w:rFonts w:ascii="Times New Roman" w:hAnsi="Times New Roman" w:cs="Times New Roman" w:eastAsia="Times New Roman" w:hint="default"/>
        </w:rPr>
        <w:t>“</w:t>
      </w:r>
      <w:r>
        <w:rPr/>
        <w:t>香港泰汇公司</w:t>
      </w:r>
      <w:r>
        <w:rPr>
          <w:rFonts w:ascii="Times New Roman" w:hAnsi="Times New Roman" w:cs="Times New Roman" w:eastAsia="Times New Roman" w:hint="default"/>
        </w:rPr>
        <w:t>”</w:t>
      </w:r>
      <w:r>
        <w:rPr/>
        <w:t>）共同发起设立，领取注册号为工商外企合粤深字第</w:t>
      </w:r>
      <w:r>
        <w:rPr>
          <w:rFonts w:ascii="Times New Roman" w:hAnsi="Times New Roman" w:cs="Times New Roman" w:eastAsia="Times New Roman" w:hint="default"/>
        </w:rPr>
        <w:t>103505</w:t>
      </w:r>
      <w:r>
        <w:rPr/>
        <w:t>号中华人民共 和国企业人营业执照。</w:t>
      </w:r>
    </w:p>
    <w:p>
      <w:pPr>
        <w:pStyle w:val="Heading4"/>
        <w:spacing w:line="240" w:lineRule="auto" w:before="22"/>
        <w:ind w:left="574"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日，在深圳天源迪科计算机有限公司基础上改组为股份有限公司。</w:t>
      </w:r>
    </w:p>
    <w:p>
      <w:pPr>
        <w:pStyle w:val="Heading4"/>
        <w:spacing w:line="256" w:lineRule="auto" w:before="21"/>
        <w:ind w:left="154" w:right="150" w:firstLine="42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日，经中国证券监督管理委员会证监发行字</w:t>
      </w:r>
      <w:r>
        <w:rPr>
          <w:rFonts w:ascii="Times New Roman" w:hAnsi="Times New Roman" w:cs="Times New Roman" w:eastAsia="Times New Roman" w:hint="default"/>
          <w:spacing w:val="-2"/>
        </w:rPr>
        <w:t>[2009]1463</w:t>
      </w:r>
      <w:r>
        <w:rPr>
          <w:spacing w:val="-2"/>
        </w:rPr>
        <w:t>号文核准，本公司向社会公众发行</w:t>
      </w:r>
      <w:r>
        <w:rPr/>
        <w:t> 人民币普通股</w:t>
      </w:r>
      <w:r>
        <w:rPr>
          <w:rFonts w:ascii="Times New Roman" w:hAnsi="Times New Roman" w:cs="Times New Roman" w:eastAsia="Times New Roman" w:hint="default"/>
        </w:rPr>
        <w:t>2,700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日在深圳证券交易所创业板上市，股票简称</w:t>
      </w:r>
      <w:r>
        <w:rPr>
          <w:rFonts w:ascii="Times New Roman" w:hAnsi="Times New Roman" w:cs="Times New Roman" w:eastAsia="Times New Roman" w:hint="default"/>
        </w:rPr>
        <w:t>“</w:t>
      </w:r>
      <w:r>
        <w:rPr/>
        <w:t>天源迪科</w:t>
      </w:r>
      <w:r>
        <w:rPr>
          <w:rFonts w:ascii="Times New Roman" w:hAnsi="Times New Roman" w:cs="Times New Roman" w:eastAsia="Times New Roman" w:hint="default"/>
        </w:rPr>
        <w:t>”,</w:t>
      </w:r>
      <w:r>
        <w:rPr/>
        <w:t>股票代 码</w:t>
      </w:r>
      <w:r>
        <w:rPr>
          <w:rFonts w:ascii="Times New Roman" w:hAnsi="Times New Roman" w:cs="Times New Roman" w:eastAsia="Times New Roman" w:hint="default"/>
        </w:rPr>
        <w:t>“300047”</w:t>
      </w:r>
      <w:r>
        <w:rPr/>
        <w:t>，发行后本公司注册资本为人民币</w:t>
      </w:r>
      <w:r>
        <w:rPr>
          <w:rFonts w:ascii="Times New Roman" w:hAnsi="Times New Roman" w:cs="Times New Roman" w:eastAsia="Times New Roman" w:hint="default"/>
        </w:rPr>
        <w:t>10,460</w:t>
      </w:r>
      <w:r>
        <w:rPr/>
        <w:t>万元。</w:t>
      </w:r>
    </w:p>
    <w:p>
      <w:pPr>
        <w:pStyle w:val="Heading4"/>
        <w:spacing w:line="256" w:lineRule="auto" w:before="5"/>
        <w:ind w:left="154" w:right="149"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日，依据</w:t>
      </w:r>
      <w:r>
        <w:rPr>
          <w:rFonts w:ascii="Times New Roman" w:hAnsi="Times New Roman" w:cs="Times New Roman" w:eastAsia="Times New Roman" w:hint="default"/>
          <w:spacing w:val="-2"/>
        </w:rPr>
        <w:t>2010</w:t>
      </w:r>
      <w:r>
        <w:rPr>
          <w:spacing w:val="-2"/>
        </w:rPr>
        <w:t>年年度股东大会决议和修改后的章程，以公司本次转增前总股本</w:t>
      </w:r>
      <w:r>
        <w:rPr>
          <w:rFonts w:ascii="Times New Roman" w:hAnsi="Times New Roman" w:cs="Times New Roman" w:eastAsia="Times New Roman" w:hint="default"/>
          <w:spacing w:val="-2"/>
        </w:rPr>
        <w:t>10,460</w:t>
      </w:r>
      <w:r>
        <w:rPr>
          <w:spacing w:val="-2"/>
        </w:rPr>
        <w:t>万股</w:t>
      </w:r>
      <w:r>
        <w:rPr/>
        <w:t> </w:t>
      </w:r>
      <w:r>
        <w:rPr>
          <w:spacing w:val="4"/>
        </w:rPr>
        <w:t>为基数，以资本公积金向全体股东每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5</w:t>
      </w:r>
      <w:r>
        <w:rPr>
          <w:spacing w:val="4"/>
        </w:rPr>
        <w:t>股，共计转增</w:t>
      </w:r>
      <w:r>
        <w:rPr>
          <w:rFonts w:ascii="Times New Roman" w:hAnsi="Times New Roman" w:cs="Times New Roman" w:eastAsia="Times New Roman" w:hint="default"/>
          <w:spacing w:val="4"/>
        </w:rPr>
        <w:t>5,230</w:t>
      </w:r>
      <w:r>
        <w:rPr>
          <w:spacing w:val="4"/>
        </w:rPr>
        <w:t>万股，转增后公司注册资本为人民币</w:t>
      </w:r>
      <w:r>
        <w:rPr>
          <w:spacing w:val="-95"/>
        </w:rPr>
        <w:t> </w:t>
      </w:r>
      <w:r>
        <w:rPr>
          <w:spacing w:val="-95"/>
        </w:rPr>
      </w:r>
      <w:r>
        <w:rPr>
          <w:rFonts w:ascii="Times New Roman" w:hAnsi="Times New Roman" w:cs="Times New Roman" w:eastAsia="Times New Roman" w:hint="default"/>
        </w:rPr>
        <w:t>15,690</w:t>
      </w:r>
      <w:r>
        <w:rPr/>
        <w:t>万元。</w:t>
      </w:r>
    </w:p>
    <w:p>
      <w:pPr>
        <w:pStyle w:val="Heading4"/>
        <w:spacing w:line="256" w:lineRule="auto" w:before="5"/>
        <w:ind w:left="154" w:right="149"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日，依据</w:t>
      </w:r>
      <w:r>
        <w:rPr>
          <w:rFonts w:ascii="Times New Roman" w:hAnsi="Times New Roman" w:cs="Times New Roman" w:eastAsia="Times New Roman" w:hint="default"/>
          <w:spacing w:val="-2"/>
        </w:rPr>
        <w:t>2012</w:t>
      </w:r>
      <w:r>
        <w:rPr>
          <w:spacing w:val="-2"/>
        </w:rPr>
        <w:t>年年度股东大会决议和修改后的章程，以公司本次转增前总股本</w:t>
      </w:r>
      <w:r>
        <w:rPr>
          <w:rFonts w:ascii="Times New Roman" w:hAnsi="Times New Roman" w:cs="Times New Roman" w:eastAsia="Times New Roman" w:hint="default"/>
          <w:spacing w:val="-2"/>
        </w:rPr>
        <w:t>15,690</w:t>
      </w:r>
      <w:r>
        <w:rPr>
          <w:spacing w:val="-2"/>
        </w:rPr>
        <w:t>万股</w:t>
      </w:r>
      <w:r>
        <w:rPr/>
        <w:t> 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15,690</w:t>
      </w:r>
      <w:r>
        <w:rPr/>
        <w:t>万股，转增后公司注册资本为人民币</w:t>
      </w:r>
      <w:r>
        <w:rPr>
          <w:spacing w:val="-81"/>
        </w:rPr>
        <w:t> </w:t>
      </w:r>
      <w:r>
        <w:rPr>
          <w:spacing w:val="-81"/>
        </w:rPr>
      </w:r>
      <w:r>
        <w:rPr>
          <w:rFonts w:ascii="Times New Roman" w:hAnsi="Times New Roman" w:cs="Times New Roman" w:eastAsia="Times New Roman" w:hint="default"/>
        </w:rPr>
        <w:t>31,380</w:t>
      </w:r>
      <w:r>
        <w:rPr/>
        <w:t>万元。</w:t>
      </w:r>
    </w:p>
    <w:p>
      <w:pPr>
        <w:pStyle w:val="Heading4"/>
        <w:spacing w:line="256" w:lineRule="auto" w:before="5"/>
        <w:ind w:left="154" w:right="152"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日，根据本公司</w:t>
      </w:r>
      <w:r>
        <w:rPr>
          <w:rFonts w:ascii="Times New Roman" w:hAnsi="Times New Roman" w:cs="Times New Roman" w:eastAsia="Times New Roman" w:hint="default"/>
        </w:rPr>
        <w:t>2011</w:t>
      </w:r>
      <w:r>
        <w:rPr/>
        <w:t>年第三次临时股东大会审议通过的《股票期权激励计划（草案修订 案）》及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日召开的第二届董事会第二十三次会议决议，公司股票期权激励计划首期授予股票</w:t>
      </w:r>
      <w:r>
        <w:rPr>
          <w:spacing w:val="-36"/>
        </w:rPr>
        <w:t> </w:t>
      </w:r>
      <w:r>
        <w:rPr>
          <w:spacing w:val="-36"/>
        </w:rPr>
      </w:r>
      <w:r>
        <w:rPr>
          <w:spacing w:val="-1"/>
        </w:rPr>
        <w:t>期权第一个行权条件满足，首期授予</w:t>
      </w:r>
      <w:r>
        <w:rPr>
          <w:rFonts w:ascii="Times New Roman" w:hAnsi="Times New Roman" w:cs="Times New Roman" w:eastAsia="Times New Roman" w:hint="default"/>
          <w:spacing w:val="-1"/>
        </w:rPr>
        <w:t>101</w:t>
      </w:r>
      <w:r>
        <w:rPr>
          <w:spacing w:val="-1"/>
        </w:rPr>
        <w:t>名激励对象，行权模式为自主行权，截至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日止，其中</w:t>
      </w:r>
      <w:r>
        <w:rPr>
          <w:spacing w:val="-84"/>
        </w:rPr>
        <w:t> </w:t>
      </w:r>
      <w:r>
        <w:rPr>
          <w:spacing w:val="-84"/>
        </w:rPr>
      </w:r>
      <w:r>
        <w:rPr>
          <w:rFonts w:ascii="Times New Roman" w:hAnsi="Times New Roman" w:cs="Times New Roman" w:eastAsia="Times New Roman" w:hint="default"/>
          <w:spacing w:val="-2"/>
        </w:rPr>
        <w:t>94</w:t>
      </w:r>
      <w:r>
        <w:rPr>
          <w:spacing w:val="-2"/>
        </w:rPr>
        <w:t>名激励对象自主行权，由此增加股本人民币</w:t>
      </w:r>
      <w:r>
        <w:rPr>
          <w:rFonts w:ascii="Times New Roman" w:hAnsi="Times New Roman" w:cs="Times New Roman" w:eastAsia="Times New Roman" w:hint="default"/>
          <w:spacing w:val="-2"/>
        </w:rPr>
        <w:t>1,651,200.00</w:t>
      </w:r>
      <w:r>
        <w:rPr>
          <w:spacing w:val="-2"/>
        </w:rPr>
        <w:t>元。股票期权激励行权及办理工商变更登记手续</w:t>
      </w:r>
      <w:r>
        <w:rPr>
          <w:spacing w:val="-78"/>
        </w:rPr>
        <w:t> </w:t>
      </w:r>
      <w:r>
        <w:rPr>
          <w:spacing w:val="-78"/>
        </w:rPr>
      </w:r>
      <w:r>
        <w:rPr/>
        <w:t>后，公司注册资本变更后为人民币</w:t>
      </w:r>
      <w:r>
        <w:rPr>
          <w:rFonts w:ascii="Times New Roman" w:hAnsi="Times New Roman" w:cs="Times New Roman" w:eastAsia="Times New Roman" w:hint="default"/>
        </w:rPr>
        <w:t>315,451,200.00</w:t>
      </w:r>
      <w:r>
        <w:rPr/>
        <w:t>元。</w:t>
      </w:r>
    </w:p>
    <w:p>
      <w:pPr>
        <w:pStyle w:val="Heading4"/>
        <w:spacing w:line="256" w:lineRule="auto" w:before="5"/>
        <w:ind w:left="154" w:right="151"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日期间，股票期权激励对象自主行权总数</w:t>
      </w:r>
      <w:r>
        <w:rPr>
          <w:rFonts w:ascii="Times New Roman" w:hAnsi="Times New Roman" w:cs="Times New Roman" w:eastAsia="Times New Roman" w:hint="default"/>
        </w:rPr>
        <w:t>2,807,007.00</w:t>
      </w:r>
      <w:r>
        <w:rPr/>
        <w:t>股，由此增加股本 </w:t>
      </w:r>
      <w:r>
        <w:rPr>
          <w:spacing w:val="6"/>
        </w:rPr>
        <w:t>人民币</w:t>
      </w:r>
      <w:r>
        <w:rPr>
          <w:rFonts w:ascii="Times New Roman" w:hAnsi="Times New Roman" w:cs="Times New Roman" w:eastAsia="Times New Roman" w:hint="default"/>
          <w:spacing w:val="6"/>
        </w:rPr>
        <w:t>2,807,007.00</w:t>
      </w:r>
      <w:r>
        <w:rPr>
          <w:spacing w:val="6"/>
        </w:rPr>
        <w:t>元。股票期权激励行权及办理工商变更登记手续后，公司注册资本变更后为人民币</w:t>
      </w:r>
      <w:r>
        <w:rPr>
          <w:spacing w:val="-87"/>
        </w:rPr>
        <w:t> </w:t>
      </w:r>
      <w:r>
        <w:rPr>
          <w:spacing w:val="-87"/>
        </w:rPr>
      </w:r>
      <w:r>
        <w:rPr>
          <w:rFonts w:ascii="Times New Roman" w:hAnsi="Times New Roman" w:cs="Times New Roman" w:eastAsia="Times New Roman" w:hint="default"/>
        </w:rPr>
        <w:t>318,258,207.00</w:t>
      </w:r>
      <w:r>
        <w:rPr/>
        <w:t>元。</w:t>
      </w:r>
    </w:p>
    <w:p>
      <w:pPr>
        <w:pStyle w:val="Heading4"/>
        <w:spacing w:line="256" w:lineRule="auto" w:before="5"/>
        <w:ind w:left="154" w:right="152"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日期间，股票期权激励对象自主行权总数</w:t>
      </w:r>
      <w:r>
        <w:rPr>
          <w:rFonts w:ascii="Times New Roman" w:hAnsi="Times New Roman" w:cs="Times New Roman" w:eastAsia="Times New Roman" w:hint="default"/>
        </w:rPr>
        <w:t>963,493.00</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月</w:t>
      </w:r>
      <w:r>
        <w:rPr>
          <w:rFonts w:ascii="Times New Roman" w:hAnsi="Times New Roman" w:cs="Times New Roman" w:eastAsia="Times New Roman" w:hint="default"/>
          <w:spacing w:val="-2"/>
        </w:rPr>
        <w:t>31</w:t>
      </w:r>
      <w:r>
        <w:rPr>
          <w:spacing w:val="-2"/>
        </w:rPr>
        <w:t>日止，本公司注册资本为</w:t>
      </w:r>
      <w:r>
        <w:rPr>
          <w:rFonts w:ascii="Times New Roman" w:hAnsi="Times New Roman" w:cs="Times New Roman" w:eastAsia="Times New Roman" w:hint="default"/>
          <w:spacing w:val="-2"/>
        </w:rPr>
        <w:t>318,258,207</w:t>
      </w:r>
      <w:r>
        <w:rPr>
          <w:spacing w:val="-2"/>
        </w:rPr>
        <w:t>元，实收资本为</w:t>
      </w:r>
      <w:r>
        <w:rPr>
          <w:rFonts w:ascii="Times New Roman" w:hAnsi="Times New Roman" w:cs="Times New Roman" w:eastAsia="Times New Roman" w:hint="default"/>
          <w:spacing w:val="-2"/>
        </w:rPr>
        <w:t>319,221,700.00</w:t>
      </w:r>
      <w:r>
        <w:rPr>
          <w:spacing w:val="-2"/>
        </w:rPr>
        <w:t>元。注册资本与实收资本的差异主</w:t>
      </w:r>
      <w:r>
        <w:rPr>
          <w:spacing w:val="-66"/>
        </w:rPr>
        <w:t> </w:t>
      </w:r>
      <w:r>
        <w:rPr>
          <w:spacing w:val="-66"/>
        </w:rPr>
      </w:r>
      <w:r>
        <w:rPr/>
        <w:t>要系上述</w:t>
      </w:r>
      <w:r>
        <w:rPr>
          <w:rFonts w:ascii="Times New Roman" w:hAnsi="Times New Roman" w:cs="Times New Roman" w:eastAsia="Times New Roman" w:hint="default"/>
        </w:rPr>
        <w:t>963,493.00</w:t>
      </w:r>
      <w:r>
        <w:rPr/>
        <w:t>股行权股份的工商变更登记手续尚未办理完毕。</w:t>
      </w:r>
    </w:p>
    <w:p>
      <w:pPr>
        <w:pStyle w:val="Heading4"/>
        <w:spacing w:line="240" w:lineRule="auto" w:before="5"/>
        <w:ind w:left="490" w:right="0"/>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日决议批准报出。</w:t>
      </w:r>
    </w:p>
    <w:p>
      <w:pPr>
        <w:spacing w:line="240" w:lineRule="auto" w:before="6"/>
        <w:rPr>
          <w:rFonts w:ascii="宋体" w:hAnsi="宋体" w:cs="宋体" w:eastAsia="宋体" w:hint="default"/>
          <w:sz w:val="25"/>
          <w:szCs w:val="25"/>
        </w:rPr>
      </w:pPr>
    </w:p>
    <w:p>
      <w:pPr>
        <w:spacing w:line="273" w:lineRule="auto" w:before="0"/>
        <w:ind w:left="571" w:right="3475" w:hanging="418"/>
        <w:jc w:val="left"/>
        <w:rPr>
          <w:rFonts w:ascii="宋体" w:hAnsi="宋体" w:cs="宋体" w:eastAsia="宋体" w:hint="default"/>
          <w:sz w:val="21"/>
          <w:szCs w:val="21"/>
        </w:rPr>
      </w:pPr>
      <w:r>
        <w:rPr>
          <w:rFonts w:ascii="宋体" w:hAnsi="宋体" w:cs="宋体" w:eastAsia="宋体" w:hint="default"/>
          <w:b/>
          <w:bCs/>
          <w:sz w:val="21"/>
          <w:szCs w:val="21"/>
        </w:rPr>
        <w:t>（三）合并财务报表范围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上海天缘迪柯信息技术有限公司（以下简称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上海天缘迪柯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合肥英泽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前海吉源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广州易杰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广州易星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深圳金华威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成都魔比互联科技有限公司（以下简称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成都魔比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22"/>
          <w:pgSz w:w="11910" w:h="16840"/>
          <w:pgMar w:footer="979" w:header="747" w:top="1060" w:bottom="1160" w:left="980" w:right="980"/>
          <w:pgNumType w:start="101"/>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四、财务报表的编制基础</w:t>
      </w:r>
      <w:r>
        <w:rPr>
          <w:b w:val="0"/>
          <w:bCs w:val="0"/>
        </w:rPr>
      </w:r>
    </w:p>
    <w:p>
      <w:pPr>
        <w:pStyle w:val="Heading4"/>
        <w:spacing w:line="610" w:lineRule="atLeast" w:before="3"/>
        <w:ind w:left="490" w:right="0" w:hanging="336"/>
        <w:jc w:val="left"/>
      </w:pP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p>
    <w:p>
      <w:pPr>
        <w:pStyle w:val="Heading4"/>
        <w:spacing w:line="256" w:lineRule="auto" w:before="21"/>
        <w:ind w:left="154" w:right="153"/>
        <w:jc w:val="both"/>
      </w:pPr>
      <w:r>
        <w:rPr/>
        <w:t>则》和具体会计准则、企业会计准则应用指南、企业会计准则解释及其他相关规定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w:t>
      </w:r>
      <w:r>
        <w:rPr>
          <w:spacing w:val="-85"/>
        </w:rPr>
        <w:t> </w:t>
      </w:r>
      <w:r>
        <w:rPr>
          <w:spacing w:val="-85"/>
        </w:rPr>
      </w:r>
      <w:r>
        <w:rPr/>
        <w:t>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w:t>
      </w:r>
      <w:r>
        <w:rPr>
          <w:spacing w:val="-86"/>
        </w:rPr>
        <w:t> </w:t>
      </w:r>
      <w:r>
        <w:rPr>
          <w:spacing w:val="-86"/>
        </w:rPr>
      </w:r>
      <w:r>
        <w:rPr/>
        <w:t>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0"/>
        <w:jc w:val="left"/>
      </w:pPr>
      <w:r>
        <w:rPr/>
        <w:t>公司自报告期末起</w:t>
      </w:r>
      <w:r>
        <w:rPr>
          <w:rFonts w:ascii="Times New Roman" w:hAnsi="Times New Roman" w:cs="Times New Roman" w:eastAsia="Times New Roman" w:hint="default"/>
        </w:rPr>
        <w:t>12</w:t>
      </w:r>
      <w:r>
        <w:rPr/>
        <w:t>个月具备持续经营的能力。</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354" w:right="1472" w:hanging="201"/>
        <w:jc w:val="left"/>
      </w:pPr>
      <w:r>
        <w:rPr/>
        <w:t>具体会计政策和会计估计提示： 重要提示：本公司根据实际生产经营特点针对应收款项坏账准备计提、固定资产折旧、无形资产摊销、 收入确认等交易或事项制定了具体会计政策和会计估计。</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公司所编制的财务报表符合企业会计准则的要求，真实、完整地反映了报告期公司的财务状况、经营成果、现金流量等</w:t>
      </w:r>
      <w:r>
        <w:rPr/>
        <w:t> 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5287"/>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 本报告期为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5"/>
        <w:rPr>
          <w:rFonts w:ascii="宋体" w:hAnsi="宋体" w:cs="宋体" w:eastAsia="宋体" w:hint="default"/>
          <w:sz w:val="23"/>
          <w:szCs w:val="23"/>
        </w:rPr>
      </w:pPr>
    </w:p>
    <w:p>
      <w:pPr>
        <w:spacing w:line="506" w:lineRule="auto" w:before="0"/>
        <w:ind w:left="405" w:right="7001" w:hanging="25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240" w:lineRule="auto" w:before="10"/>
        <w:rPr>
          <w:rFonts w:ascii="宋体" w:hAnsi="宋体" w:cs="宋体" w:eastAsia="宋体" w:hint="default"/>
          <w:sz w:val="28"/>
          <w:szCs w:val="28"/>
        </w:rPr>
      </w:pPr>
    </w:p>
    <w:p>
      <w:pPr>
        <w:spacing w:line="506" w:lineRule="auto" w:before="0"/>
        <w:ind w:left="439" w:right="6967" w:hanging="28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pStyle w:val="Heading3"/>
        <w:spacing w:line="240" w:lineRule="auto" w:before="15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2"/>
        <w:jc w:val="left"/>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p>
    <w:p>
      <w:pPr>
        <w:spacing w:after="0" w:line="316"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92"/>
        <w:jc w:val="left"/>
      </w:pP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9" w:lineRule="auto" w:before="19"/>
        <w:ind w:right="92" w:firstLine="362"/>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7"/>
        <w:ind w:right="191" w:firstLine="362"/>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1</w:t>
      </w:r>
      <w:r>
        <w:rPr/>
        <w:t>、合并范围</w:t>
      </w:r>
    </w:p>
    <w:p>
      <w:pPr>
        <w:pStyle w:val="BodyText"/>
        <w:spacing w:line="316" w:lineRule="auto" w:before="63"/>
        <w:ind w:right="177" w:firstLine="506"/>
        <w:jc w:val="left"/>
      </w:pPr>
      <w:r>
        <w:rPr>
          <w:spacing w:val="-1"/>
        </w:rPr>
        <w:t>本公司合并财务报表的合并范围以控制为基础确定，所有子公司（包括本公司所控制的被投资方可分割的部分）均纳</w:t>
      </w:r>
      <w:r>
        <w:rPr/>
        <w:t> 入合并财务报表。</w:t>
      </w:r>
    </w:p>
    <w:p>
      <w:pPr>
        <w:pStyle w:val="BodyText"/>
        <w:spacing w:line="300" w:lineRule="auto" w:before="19"/>
        <w:ind w:left="444" w:right="92" w:hanging="291"/>
        <w:jc w:val="left"/>
      </w:pPr>
      <w:r>
        <w:rPr>
          <w:rFonts w:ascii="Times New Roman" w:hAnsi="Times New Roman" w:cs="Times New Roman" w:eastAsia="Times New Roman" w:hint="default"/>
        </w:rPr>
        <w:t>2</w:t>
      </w:r>
      <w:r>
        <w:rPr/>
        <w:t>、合并程序 </w:t>
      </w:r>
      <w:r>
        <w:rPr>
          <w:spacing w:val="-1"/>
        </w:rPr>
        <w:t>本公司以自身和各子公司的财务报表为基础，根据其他有关资料，编制合并财务报表。本公司编制合并财务报表，将整</w:t>
      </w:r>
    </w:p>
    <w:p>
      <w:pPr>
        <w:pStyle w:val="BodyText"/>
        <w:spacing w:line="316" w:lineRule="auto" w:before="31"/>
        <w:ind w:right="92"/>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92" w:firstLine="290"/>
        <w:jc w:val="left"/>
      </w:pPr>
      <w:r>
        <w:rPr/>
        <w:t>所有纳入合并财务报表合并范围的子公司所采用的会计政策、会计期间与本公司一致，如子公司采用的会计政策、会计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91" w:firstLine="290"/>
        <w:jc w:val="both"/>
      </w:pPr>
      <w:r>
        <w:rPr>
          <w:spacing w:val="-1"/>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444" w:right="92" w:hanging="291"/>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在报告期内，若因同一控制下企业合并增加子公司或业务的，则调整合并资产负债表的期初数；将子公司或业务合并当</w:t>
      </w:r>
    </w:p>
    <w:p>
      <w:pPr>
        <w:pStyle w:val="BodyText"/>
        <w:spacing w:line="316" w:lineRule="auto" w:before="31"/>
        <w:ind w:right="92"/>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1" w:firstLine="290"/>
        <w:jc w:val="both"/>
      </w:pPr>
      <w:r>
        <w:rPr>
          <w:spacing w:val="-1"/>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3"/>
        </w:rPr>
        <w:t> </w:t>
      </w:r>
      <w:r>
        <w:rPr>
          <w:spacing w:val="-63"/>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3" w:firstLine="290"/>
        <w:jc w:val="both"/>
      </w:pPr>
      <w:r>
        <w:rPr>
          <w:spacing w:val="-1"/>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91" w:firstLine="290"/>
        <w:jc w:val="both"/>
      </w:pPr>
      <w:r>
        <w:rPr>
          <w:spacing w:val="-1"/>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right="92"/>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444" w:right="92" w:hanging="291"/>
        <w:jc w:val="left"/>
      </w:pPr>
      <w:r>
        <w:rPr/>
        <w:t>①一般处理方法 </w:t>
      </w:r>
      <w:r>
        <w:rPr>
          <w:spacing w:val="-1"/>
        </w:rPr>
        <w:t>在报告期内，本公司处置子公司或业务，则该子公司或业务期初至处置日的收入、费用、利润纳入合并利润表；该子公</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444" w:right="92" w:hanging="291"/>
        <w:jc w:val="left"/>
      </w:pPr>
      <w:r>
        <w:rPr/>
        <w:t>司或业务期初至处置日的现金流量纳入合并现金流量表。 </w:t>
      </w:r>
      <w:r>
        <w:rPr>
          <w:spacing w:val="-1"/>
        </w:rPr>
        <w:t>因处置部分股权投资或其他原因丧失了对被投资方控制权时，对于处置后的剩余股权投资，本公司按照其在丧失控制权</w:t>
      </w:r>
    </w:p>
    <w:p>
      <w:pPr>
        <w:pStyle w:val="BodyText"/>
        <w:spacing w:line="319" w:lineRule="auto" w:before="19"/>
        <w:ind w:right="9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16" w:lineRule="auto" w:before="17"/>
        <w:ind w:left="444" w:right="92" w:hanging="291"/>
        <w:jc w:val="left"/>
      </w:pPr>
      <w:r>
        <w:rPr/>
        <w:t>②分步处置子公司 </w:t>
      </w:r>
      <w:r>
        <w:rPr>
          <w:spacing w:val="-1"/>
        </w:rPr>
        <w:t>通过多次交易分步处置对子公司股权投资直至丧失控制权的，处置对子公司股权投资的各项交易的条款、条件以及经济</w:t>
      </w:r>
    </w:p>
    <w:p>
      <w:pPr>
        <w:pStyle w:val="BodyText"/>
        <w:spacing w:line="316" w:lineRule="auto" w:before="19"/>
        <w:ind w:right="2612"/>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92" w:firstLine="290"/>
        <w:jc w:val="both"/>
      </w:pPr>
      <w:r>
        <w:rPr>
          <w:spacing w:val="-1"/>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92" w:firstLine="290"/>
        <w:jc w:val="both"/>
      </w:pPr>
      <w:r>
        <w:rPr>
          <w:spacing w:val="-1"/>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444" w:right="92" w:hanging="291"/>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本公司因购买少数股权新取得的长期股权投资与按照新增持股比例计算应享有子公司自购买日（或合并日）开始持续计</w:t>
      </w:r>
    </w:p>
    <w:p>
      <w:pPr>
        <w:pStyle w:val="BodyText"/>
        <w:spacing w:line="316" w:lineRule="auto" w:before="31"/>
        <w:ind w:right="92"/>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before="19"/>
        <w:ind w:left="444" w:right="342" w:hanging="291"/>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92"/>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92"/>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 w:firstLine="290"/>
        <w:jc w:val="both"/>
      </w:pPr>
      <w:r>
        <w:rPr>
          <w:spacing w:val="-1"/>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3042" w:hanging="291"/>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193" w:firstLine="362"/>
        <w:jc w:val="both"/>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0" w:lineRule="auto"/>
        <w:ind w:left="444" w:right="182" w:hanging="291"/>
        <w:jc w:val="left"/>
      </w:pPr>
      <w:r>
        <w:rPr>
          <w:rFonts w:ascii="Times New Roman" w:hAnsi="Times New Roman" w:cs="Times New Roman" w:eastAsia="Times New Roman" w:hint="default"/>
        </w:rPr>
        <w:t>2</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w:t>
      </w:r>
    </w:p>
    <w:p>
      <w:pPr>
        <w:pStyle w:val="BodyText"/>
        <w:spacing w:line="316" w:lineRule="auto" w:before="13"/>
        <w:ind w:right="92"/>
        <w:jc w:val="left"/>
      </w:pPr>
      <w:r>
        <w:rPr>
          <w:spacing w:val="-2"/>
        </w:rPr>
        <w:t>目采用发生时的即期汇率折算。利润表中的收入和费用项目，采用交易发生日的即期汇率折算。按照上述折算产生的外币财</w:t>
      </w:r>
      <w:r>
        <w:rPr>
          <w:spacing w:val="-66"/>
        </w:rPr>
        <w:t> </w:t>
      </w:r>
      <w:r>
        <w:rPr>
          <w:spacing w:val="-66"/>
        </w:rPr>
      </w:r>
      <w:r>
        <w:rPr/>
        <w:t>务报表折算差额，在资产负债表所有者权益项目下单独列示。</w:t>
      </w:r>
    </w:p>
    <w:p>
      <w:pPr>
        <w:pStyle w:val="BodyText"/>
        <w:spacing w:line="240" w:lineRule="auto" w:before="19"/>
        <w:ind w:left="444" w:right="92"/>
        <w:jc w:val="left"/>
      </w:pPr>
      <w:r>
        <w:rPr/>
        <w:t>处置境外经营时，将资产负债表中所有者权益项目下列示的、与该境外经营相关的外币财务报表折算差额，自所有者权</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7"/>
        <w:jc w:val="left"/>
      </w:pPr>
      <w:r>
        <w:rPr>
          <w:spacing w:val="-4"/>
        </w:rPr>
        <w:t>益项目转入处置当期损益；部分处置境外经营的，按处置的比例计算处置部分的外币财务报表折算差额，转入处置当期损益。</w:t>
      </w:r>
    </w:p>
    <w:p>
      <w:pPr>
        <w:spacing w:line="240" w:lineRule="auto" w:before="0"/>
        <w:rPr>
          <w:rFonts w:ascii="宋体" w:hAnsi="宋体" w:cs="宋体" w:eastAsia="宋体" w:hint="default"/>
          <w:sz w:val="18"/>
          <w:szCs w:val="18"/>
        </w:rPr>
      </w:pPr>
    </w:p>
    <w:p>
      <w:pPr>
        <w:spacing w:line="590" w:lineRule="atLeast" w:before="129"/>
        <w:ind w:left="271" w:right="5305" w:hanging="1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4"/>
        <w:spacing w:line="256" w:lineRule="auto" w:before="37"/>
        <w:ind w:right="97" w:hanging="168"/>
        <w:jc w:val="left"/>
      </w:pPr>
      <w:r>
        <w:rPr>
          <w:rFonts w:ascii="Times New Roman" w:hAnsi="Times New Roman" w:cs="Times New Roman" w:eastAsia="Times New Roman" w:hint="default"/>
        </w:rPr>
        <w:t>1</w:t>
      </w:r>
      <w:r>
        <w:rPr/>
        <w:t>、金融工具的分类 </w:t>
      </w:r>
      <w:r>
        <w:rPr>
          <w:spacing w:val="-3"/>
        </w:rPr>
        <w:t>金融资产和金融负债于初始确认时分类为：以公允价值计量且其变动计入当期损益的金融资产或金融负</w:t>
      </w:r>
    </w:p>
    <w:p>
      <w:pPr>
        <w:pStyle w:val="Heading4"/>
        <w:spacing w:line="273" w:lineRule="auto" w:before="22"/>
        <w:ind w:left="271" w:right="97"/>
        <w:jc w:val="left"/>
      </w:pPr>
      <w:r>
        <w:rPr/>
        <w:t>债，包括交易性金融资产或金融负债和直接指定为以公允价值计量且其变动计入当期损益的金融资产或</w:t>
      </w:r>
      <w:r>
        <w:rPr>
          <w:spacing w:val="-47"/>
        </w:rPr>
        <w:t> </w:t>
      </w:r>
      <w:r>
        <w:rPr>
          <w:spacing w:val="-47"/>
        </w:rPr>
      </w:r>
      <w:r>
        <w:rPr/>
        <w:t>金融负债；持有至到期投资；应收款项；可供出售金融资产；其他金融负债等。</w:t>
      </w:r>
    </w:p>
    <w:p>
      <w:pPr>
        <w:spacing w:line="240" w:lineRule="auto" w:before="6"/>
        <w:rPr>
          <w:rFonts w:ascii="宋体" w:hAnsi="宋体" w:cs="宋体" w:eastAsia="宋体" w:hint="default"/>
          <w:sz w:val="24"/>
          <w:szCs w:val="24"/>
        </w:rPr>
      </w:pPr>
    </w:p>
    <w:p>
      <w:pPr>
        <w:pStyle w:val="Heading4"/>
        <w:spacing w:line="240" w:lineRule="auto" w:before="0"/>
        <w:ind w:left="271" w:right="97"/>
        <w:jc w:val="left"/>
      </w:pPr>
      <w:r>
        <w:rPr>
          <w:rFonts w:ascii="Times New Roman" w:hAnsi="Times New Roman" w:cs="Times New Roman" w:eastAsia="Times New Roman" w:hint="default"/>
        </w:rPr>
        <w:t>2</w:t>
      </w:r>
      <w:r>
        <w:rPr/>
        <w:t>、金融工具的确认依据和计量方法</w:t>
      </w:r>
    </w:p>
    <w:p>
      <w:pPr>
        <w:pStyle w:val="Heading4"/>
        <w:spacing w:line="256" w:lineRule="auto" w:before="21"/>
        <w:ind w:right="97" w:hanging="168"/>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取得时以公允价值（扣除已宣告但尚未发放的现金股利或已到付息期但尚未领取的债券利息）作为初始</w:t>
      </w:r>
    </w:p>
    <w:p>
      <w:pPr>
        <w:pStyle w:val="Heading4"/>
        <w:spacing w:line="273" w:lineRule="auto" w:before="22"/>
        <w:ind w:right="727" w:hanging="168"/>
        <w:jc w:val="left"/>
      </w:pPr>
      <w:r>
        <w:rPr/>
        <w:t>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64" w:lineRule="auto"/>
        <w:ind w:right="97" w:hanging="16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3"/>
        </w:rPr>
        <w:t>持有期间按照摊余成本和实际利率计算确认利息收入，计入投资收益。实际利率在取得时确定，在该预</w:t>
      </w:r>
    </w:p>
    <w:p>
      <w:pPr>
        <w:pStyle w:val="Heading4"/>
        <w:spacing w:line="273" w:lineRule="auto" w:before="16"/>
        <w:ind w:right="3247" w:hanging="168"/>
        <w:jc w:val="left"/>
      </w:pPr>
      <w:r>
        <w:rPr/>
        <w:t>期存续期间或适用的更短期间内保持不变。 处置时，将所取得价款与该投资账面价值之间的差额计入投资收益。</w:t>
      </w:r>
    </w:p>
    <w:p>
      <w:pPr>
        <w:pStyle w:val="Heading4"/>
        <w:spacing w:line="256" w:lineRule="auto" w:before="8"/>
        <w:ind w:right="97" w:hanging="168"/>
        <w:jc w:val="left"/>
      </w:pPr>
      <w:r>
        <w:rPr/>
        <w:t>（</w:t>
      </w:r>
      <w:r>
        <w:rPr>
          <w:rFonts w:ascii="Times New Roman" w:hAnsi="Times New Roman" w:cs="Times New Roman" w:eastAsia="Times New Roman" w:hint="default"/>
        </w:rPr>
        <w:t>3</w:t>
      </w:r>
      <w:r>
        <w:rPr/>
        <w:t>）应收款项 </w:t>
      </w:r>
      <w:r>
        <w:rPr>
          <w:spacing w:val="-3"/>
        </w:rPr>
        <w:t>公司对外销售商品或提供劳务形成的应收债权，以及公司持有的其他企业的不包括在活跃市场上有报价</w:t>
      </w:r>
    </w:p>
    <w:p>
      <w:pPr>
        <w:pStyle w:val="Heading4"/>
        <w:spacing w:line="273" w:lineRule="auto" w:before="22"/>
        <w:ind w:left="271" w:right="97"/>
        <w:jc w:val="left"/>
      </w:pPr>
      <w:r>
        <w:rPr/>
        <w:t>的债务工具的债权，包括应收账款、其他应收款等，以向购货方应收的合同或协议价款作为初始确认金</w:t>
      </w:r>
      <w:r>
        <w:rPr>
          <w:spacing w:val="-47"/>
        </w:rPr>
        <w:t> </w:t>
      </w:r>
      <w:r>
        <w:rPr>
          <w:spacing w:val="-47"/>
        </w:rPr>
      </w:r>
      <w:r>
        <w:rPr/>
        <w:t>额；具有融资性质的，按其现值进行初始确认。</w:t>
      </w:r>
    </w:p>
    <w:p>
      <w:pPr>
        <w:pStyle w:val="Heading4"/>
        <w:spacing w:line="240" w:lineRule="auto"/>
        <w:ind w:right="97"/>
        <w:jc w:val="left"/>
      </w:pPr>
      <w:r>
        <w:rPr/>
        <w:t>收回或处置时，将取得的价款与该应收款项账面价值之间的差额计入当期损益。</w:t>
      </w:r>
    </w:p>
    <w:p>
      <w:pPr>
        <w:pStyle w:val="Heading4"/>
        <w:spacing w:line="256" w:lineRule="auto" w:before="37"/>
        <w:ind w:right="97" w:hanging="168"/>
        <w:jc w:val="left"/>
      </w:pPr>
      <w:r>
        <w:rPr/>
        <w:t>（</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取得时按公允价值（扣除已宣告但尚未发放的现金股利或已到付息期但尚未领取的债券利息）和相关交</w:t>
      </w:r>
    </w:p>
    <w:p>
      <w:pPr>
        <w:pStyle w:val="Heading4"/>
        <w:spacing w:line="273" w:lineRule="auto" w:before="22"/>
        <w:ind w:right="97" w:hanging="168"/>
        <w:jc w:val="left"/>
      </w:pPr>
      <w:r>
        <w:rPr/>
        <w:t>易费用之和作为初始确认金额。 </w:t>
      </w:r>
      <w:r>
        <w:rPr>
          <w:spacing w:val="-3"/>
        </w:rPr>
        <w:t>持有期间将取得的利息或现金股利确认为投资收益。期末以公允价值计量且将公允价值变动计入其他综</w:t>
      </w:r>
    </w:p>
    <w:p>
      <w:pPr>
        <w:pStyle w:val="Heading4"/>
        <w:spacing w:line="273" w:lineRule="auto"/>
        <w:ind w:left="271" w:right="97"/>
        <w:jc w:val="left"/>
      </w:pPr>
      <w:r>
        <w:rPr/>
        <w:t>合收益。但是，在活跃市场中没有报价且其公允价值不能可靠计量的权益工具投资，以及与该权益工具</w:t>
      </w:r>
      <w:r>
        <w:rPr>
          <w:spacing w:val="-47"/>
        </w:rPr>
        <w:t> </w:t>
      </w:r>
      <w:r>
        <w:rPr>
          <w:spacing w:val="-47"/>
        </w:rPr>
      </w:r>
      <w:r>
        <w:rPr/>
        <w:t>挂钩并须通过交付该权益工具结算的衍生金融资产，按照成本计量。</w:t>
      </w:r>
    </w:p>
    <w:p>
      <w:pPr>
        <w:pStyle w:val="Heading4"/>
        <w:spacing w:line="273" w:lineRule="auto"/>
        <w:ind w:left="271" w:right="97" w:firstLine="168"/>
        <w:jc w:val="left"/>
      </w:pPr>
      <w:r>
        <w:rPr>
          <w:spacing w:val="-3"/>
        </w:rPr>
        <w:t>处置时，将取得的价款与该金融资产账面价值之间的差额，计入投资损益；同时，将原直接计入其他综</w:t>
      </w:r>
      <w:r>
        <w:rPr/>
        <w:t> 合收益的公允价值变动累计额对应处置部分的金额转出，计入当期损益。</w:t>
      </w:r>
    </w:p>
    <w:p>
      <w:pPr>
        <w:pStyle w:val="Heading4"/>
        <w:spacing w:line="256" w:lineRule="auto"/>
        <w:ind w:right="1777" w:hanging="16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Heading4"/>
        <w:spacing w:line="256" w:lineRule="auto" w:before="0"/>
        <w:ind w:right="97" w:hanging="168"/>
        <w:jc w:val="left"/>
      </w:pPr>
      <w:r>
        <w:rPr>
          <w:rFonts w:ascii="Times New Roman" w:hAnsi="Times New Roman" w:cs="Times New Roman" w:eastAsia="Times New Roman" w:hint="default"/>
        </w:rPr>
        <w:t>3</w:t>
      </w:r>
      <w:r>
        <w:rPr/>
        <w:t>、金融资产转移的确认依据和计量方法 </w:t>
      </w:r>
      <w:r>
        <w:rPr>
          <w:spacing w:val="-3"/>
        </w:rPr>
        <w:t>公司发生金融资产转移时，如已将金融资产所有权上几乎所有的风险和报酬转移给转入方，则终止确认</w:t>
      </w:r>
    </w:p>
    <w:p>
      <w:pPr>
        <w:pStyle w:val="Heading4"/>
        <w:spacing w:line="273" w:lineRule="auto" w:before="23"/>
        <w:ind w:right="97" w:hanging="168"/>
        <w:jc w:val="left"/>
      </w:pPr>
      <w:r>
        <w:rPr/>
        <w:t>该金融资产；如保留了金融资产所有权上几乎所有的风险和报酬的，则不终止确认该金融资产。 </w:t>
      </w:r>
      <w:r>
        <w:rPr>
          <w:spacing w:val="-3"/>
        </w:rPr>
        <w:t>在判断金融资产转移是否满足上述金融资产终止确认条件时，采用实质重于形式的原则。公司将金融资</w:t>
      </w:r>
    </w:p>
    <w:p>
      <w:pPr>
        <w:pStyle w:val="Heading4"/>
        <w:spacing w:line="273" w:lineRule="auto"/>
        <w:ind w:left="271" w:right="97"/>
        <w:jc w:val="left"/>
      </w:pPr>
      <w:r>
        <w:rPr/>
        <w:t>产转移区分为金融资产整体转移和部分转移。金融资产整体转移满足终止确认条件的，将下列两项金额</w:t>
      </w:r>
      <w:r>
        <w:rPr>
          <w:spacing w:val="-47"/>
        </w:rPr>
        <w:t> </w:t>
      </w:r>
      <w:r>
        <w:rPr>
          <w:spacing w:val="-47"/>
        </w:rPr>
      </w:r>
      <w:r>
        <w:rPr/>
        <w:t>的差额计入当期损益：</w:t>
      </w:r>
    </w:p>
    <w:p>
      <w:pPr>
        <w:spacing w:after="0" w:line="273"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4"/>
        <w:spacing w:line="240" w:lineRule="auto" w:before="35"/>
        <w:ind w:left="271" w:right="97"/>
        <w:jc w:val="left"/>
      </w:pPr>
      <w:r>
        <w:rPr/>
        <w:t>（</w:t>
      </w:r>
      <w:r>
        <w:rPr>
          <w:rFonts w:ascii="Times New Roman" w:hAnsi="Times New Roman" w:cs="Times New Roman" w:eastAsia="Times New Roman" w:hint="default"/>
        </w:rPr>
        <w:t>1</w:t>
      </w:r>
      <w:r>
        <w:rPr/>
        <w:t>）所转移金融资产的账面价值；</w:t>
      </w:r>
    </w:p>
    <w:p>
      <w:pPr>
        <w:pStyle w:val="Heading4"/>
        <w:spacing w:line="256" w:lineRule="auto" w:before="21"/>
        <w:ind w:left="271" w:right="206"/>
        <w:jc w:val="left"/>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）因转移而收到的对价，与原直接计入所有者权益的公允价值变动累计额（涉及转移的金融资产为可</w:t>
      </w:r>
      <w:r>
        <w:rPr>
          <w:spacing w:val="-95"/>
        </w:rPr>
        <w:t> </w:t>
      </w:r>
      <w:r>
        <w:rPr>
          <w:spacing w:val="-95"/>
        </w:rPr>
      </w:r>
      <w:r>
        <w:rPr/>
        <w:t>供出售金融资产的情形）之和。</w:t>
      </w:r>
    </w:p>
    <w:p>
      <w:pPr>
        <w:pStyle w:val="Heading4"/>
        <w:spacing w:line="273" w:lineRule="auto" w:before="22"/>
        <w:ind w:left="271" w:right="97" w:firstLine="168"/>
        <w:jc w:val="left"/>
      </w:pPr>
      <w:r>
        <w:rPr>
          <w:spacing w:val="-3"/>
        </w:rPr>
        <w:t>金融资产部分转移满足终止确认条件的，将所转移金融资产整体的账面价值，在终止确认部分和未终止</w:t>
      </w:r>
      <w:r>
        <w:rPr/>
        <w:t> 确认部分之间，按照各自的相对公允价值进行分摊，并将下列两项金额的差额计入当期损益：</w:t>
      </w:r>
    </w:p>
    <w:p>
      <w:pPr>
        <w:pStyle w:val="Heading4"/>
        <w:spacing w:line="240" w:lineRule="auto"/>
        <w:ind w:left="271" w:right="97"/>
        <w:jc w:val="left"/>
      </w:pPr>
      <w:r>
        <w:rPr/>
        <w:t>（</w:t>
      </w:r>
      <w:r>
        <w:rPr>
          <w:rFonts w:ascii="Times New Roman" w:hAnsi="Times New Roman" w:cs="Times New Roman" w:eastAsia="Times New Roman" w:hint="default"/>
        </w:rPr>
        <w:t>1</w:t>
      </w:r>
      <w:r>
        <w:rPr/>
        <w:t>）终止确认部分的账面价值；</w:t>
      </w:r>
    </w:p>
    <w:p>
      <w:pPr>
        <w:pStyle w:val="Heading4"/>
        <w:spacing w:line="240" w:lineRule="auto" w:before="21"/>
        <w:ind w:left="271" w:right="97"/>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4"/>
        <w:spacing w:line="273" w:lineRule="auto" w:before="21"/>
        <w:ind w:right="517" w:hanging="168"/>
        <w:jc w:val="left"/>
      </w:pPr>
      <w:r>
        <w:rPr/>
        <w:t>（涉及转移的金融资产为可供出售金融资产的情形）之和。 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Heading4"/>
        <w:spacing w:line="256" w:lineRule="auto" w:before="0"/>
        <w:ind w:right="97" w:hanging="168"/>
        <w:jc w:val="left"/>
      </w:pPr>
      <w:r>
        <w:rPr>
          <w:rFonts w:ascii="Times New Roman" w:hAnsi="Times New Roman" w:cs="Times New Roman" w:eastAsia="Times New Roman" w:hint="default"/>
        </w:rPr>
        <w:t>4</w:t>
      </w:r>
      <w:r>
        <w:rPr/>
        <w:t>、金融负债终止确认条件 </w:t>
      </w:r>
      <w:r>
        <w:rPr>
          <w:spacing w:val="-3"/>
        </w:rPr>
        <w:t>金融负债的现时义务全部或部分已经解除的，则终止确认该金融负债或其一部分；本公司若与债权人签</w:t>
      </w:r>
    </w:p>
    <w:p>
      <w:pPr>
        <w:pStyle w:val="Heading4"/>
        <w:spacing w:line="273" w:lineRule="auto" w:before="22"/>
        <w:ind w:left="271" w:right="97"/>
        <w:jc w:val="left"/>
      </w:pPr>
      <w:r>
        <w:rPr/>
        <w:t>定协议，以承担新金融负债方式替换现存金融负债，且新金融负债与现存金融负债的合同条款实质上不</w:t>
      </w:r>
      <w:r>
        <w:rPr>
          <w:spacing w:val="-47"/>
        </w:rPr>
        <w:t> </w:t>
      </w:r>
      <w:r>
        <w:rPr>
          <w:spacing w:val="-47"/>
        </w:rPr>
      </w:r>
      <w:r>
        <w:rPr/>
        <w:t>同的，则终止确认现存金融负债，并同时确认新金融负债。 对现存金融负债全部或部分合同条款作出实质性修改的，则终止确认现存金融负债或其一部分，同时将</w:t>
      </w:r>
      <w:r>
        <w:rPr>
          <w:spacing w:val="-47"/>
        </w:rPr>
        <w:t> </w:t>
      </w:r>
      <w:r>
        <w:rPr>
          <w:spacing w:val="-47"/>
        </w:rPr>
      </w:r>
      <w:r>
        <w:rPr/>
        <w:t>修改条款后的金融负债确认为一项新金融负债。</w:t>
      </w:r>
    </w:p>
    <w:p>
      <w:pPr>
        <w:pStyle w:val="Heading4"/>
        <w:spacing w:line="273" w:lineRule="auto"/>
        <w:ind w:left="271" w:right="97" w:firstLine="168"/>
        <w:jc w:val="left"/>
      </w:pPr>
      <w:r>
        <w:rPr>
          <w:spacing w:val="-3"/>
        </w:rPr>
        <w:t>金融负债全部或部分终止确认时，终止确认的金融负债账面价值与支付对价（包括转出的非现金资产或</w:t>
      </w:r>
      <w:r>
        <w:rPr/>
        <w:t> 承担的新金融负债）之间的差额，计入当期损益。</w:t>
      </w:r>
    </w:p>
    <w:p>
      <w:pPr>
        <w:pStyle w:val="Heading4"/>
        <w:spacing w:line="273" w:lineRule="auto"/>
        <w:ind w:left="271" w:right="213" w:firstLine="336"/>
        <w:jc w:val="both"/>
      </w:pPr>
      <w:r>
        <w:rPr>
          <w:spacing w:val="-2"/>
        </w:rPr>
        <w:t>本公司若回购部分金融负债的，在回购日按照继续确认部分与终止确认部分的相对公允价值，将该金</w:t>
      </w:r>
      <w:r>
        <w:rPr/>
        <w:t> 融负债整体的账面价值进行分配。分配给终止确认部分的账面价值与支付的对价（包括转出的非现金资</w:t>
      </w:r>
      <w:r>
        <w:rPr>
          <w:spacing w:val="-47"/>
        </w:rPr>
        <w:t> </w:t>
      </w:r>
      <w:r>
        <w:rPr>
          <w:spacing w:val="-47"/>
        </w:rPr>
      </w:r>
      <w:r>
        <w:rPr/>
        <w:t>产或承担的新金融负债）之间的差额，计入当期损益。</w:t>
      </w:r>
    </w:p>
    <w:p>
      <w:pPr>
        <w:spacing w:line="240" w:lineRule="auto" w:before="6"/>
        <w:rPr>
          <w:rFonts w:ascii="宋体" w:hAnsi="宋体" w:cs="宋体" w:eastAsia="宋体" w:hint="default"/>
          <w:sz w:val="24"/>
          <w:szCs w:val="24"/>
        </w:rPr>
      </w:pPr>
    </w:p>
    <w:p>
      <w:pPr>
        <w:pStyle w:val="Heading4"/>
        <w:spacing w:line="256" w:lineRule="auto" w:before="0"/>
        <w:ind w:right="97" w:hanging="168"/>
        <w:jc w:val="left"/>
      </w:pPr>
      <w:r>
        <w:rPr>
          <w:rFonts w:ascii="Times New Roman" w:hAnsi="Times New Roman" w:cs="Times New Roman" w:eastAsia="Times New Roman" w:hint="default"/>
        </w:rPr>
        <w:t>5</w:t>
      </w:r>
      <w:r>
        <w:rPr/>
        <w:t>、金融资产和金融负债的公允价值的确定方法 </w:t>
      </w:r>
      <w:r>
        <w:rPr>
          <w:spacing w:val="-3"/>
        </w:rPr>
        <w:t>存在活跃市场的金融工具，以活跃市场中的报价确定其公允价值。不存在活跃市场的金融工具，采用估</w:t>
      </w:r>
    </w:p>
    <w:p>
      <w:pPr>
        <w:pStyle w:val="Heading4"/>
        <w:spacing w:line="273" w:lineRule="auto" w:before="22"/>
        <w:ind w:left="271" w:right="101"/>
        <w:jc w:val="left"/>
      </w:pPr>
      <w:r>
        <w:rPr/>
        <w:t>值技术确定其公允价值。在估值时，本公司采用在当前情况下适用并且有足够可利用数据和其他信息支</w:t>
      </w:r>
      <w:r>
        <w:rPr>
          <w:spacing w:val="-43"/>
        </w:rPr>
        <w:t> </w:t>
      </w:r>
      <w:r>
        <w:rPr>
          <w:spacing w:val="-43"/>
        </w:rPr>
      </w:r>
      <w:r>
        <w:rPr>
          <w:spacing w:val="-1"/>
        </w:rPr>
        <w:t>持的估值技术，选择与市场参与者在相关资产或负债的交易中所考虑的资产或负债特征相一致的输入值，</w:t>
      </w:r>
      <w:r>
        <w:rPr>
          <w:spacing w:val="-94"/>
        </w:rPr>
        <w:t> </w:t>
      </w:r>
      <w:r>
        <w:rPr>
          <w:spacing w:val="-94"/>
        </w:rPr>
      </w:r>
      <w:r>
        <w:rPr/>
        <w:t>并优先使用相关可观察输入值。只有在相关可观察输入值无法取得或取得不切实可行的情况下，才使用</w:t>
      </w:r>
      <w:r>
        <w:rPr>
          <w:spacing w:val="-47"/>
        </w:rPr>
        <w:t> </w:t>
      </w:r>
      <w:r>
        <w:rPr>
          <w:spacing w:val="-47"/>
        </w:rPr>
      </w:r>
      <w:r>
        <w:rPr/>
        <w:t>不可观察输入值。</w:t>
      </w:r>
    </w:p>
    <w:p>
      <w:pPr>
        <w:spacing w:line="240" w:lineRule="auto" w:before="6"/>
        <w:rPr>
          <w:rFonts w:ascii="宋体" w:hAnsi="宋体" w:cs="宋体" w:eastAsia="宋体" w:hint="default"/>
          <w:sz w:val="24"/>
          <w:szCs w:val="24"/>
        </w:rPr>
      </w:pPr>
    </w:p>
    <w:p>
      <w:pPr>
        <w:pStyle w:val="Heading4"/>
        <w:spacing w:line="256" w:lineRule="auto" w:before="0"/>
        <w:ind w:right="97" w:hanging="168"/>
        <w:jc w:val="left"/>
      </w:pPr>
      <w:r>
        <w:rPr>
          <w:rFonts w:ascii="Times New Roman" w:hAnsi="Times New Roman" w:cs="Times New Roman" w:eastAsia="Times New Roman" w:hint="default"/>
        </w:rPr>
        <w:t>6</w:t>
      </w:r>
      <w:r>
        <w:rPr/>
        <w:t>、金融资产（不含应收款项）减值的测试方法及会计处理方法 </w:t>
      </w:r>
      <w:r>
        <w:rPr>
          <w:spacing w:val="-3"/>
        </w:rPr>
        <w:t>除以公允价值计量且其变动计入当期损益的金融资产外，本公司于资产负债表日对金融资产的账面价值</w:t>
      </w:r>
    </w:p>
    <w:p>
      <w:pPr>
        <w:pStyle w:val="Heading4"/>
        <w:spacing w:line="240" w:lineRule="auto" w:before="22"/>
        <w:ind w:left="271" w:right="97"/>
        <w:jc w:val="left"/>
      </w:pPr>
      <w:r>
        <w:rPr/>
        <w:t>进行检查，如果有客观证据表明某项金融资产发生减值的，计提减值准备。</w:t>
      </w:r>
    </w:p>
    <w:p>
      <w:pPr>
        <w:pStyle w:val="Heading4"/>
        <w:spacing w:line="256" w:lineRule="auto" w:before="37"/>
        <w:ind w:right="97" w:hanging="168"/>
        <w:jc w:val="left"/>
      </w:pPr>
      <w:r>
        <w:rPr/>
        <w:t>（</w:t>
      </w:r>
      <w:r>
        <w:rPr>
          <w:rFonts w:ascii="Times New Roman" w:hAnsi="Times New Roman" w:cs="Times New Roman" w:eastAsia="Times New Roman" w:hint="default"/>
        </w:rPr>
        <w:t>1</w:t>
      </w:r>
      <w:r>
        <w:rPr/>
        <w:t>）可供出售金融资产的减值准备： </w:t>
      </w:r>
      <w:r>
        <w:rPr>
          <w:spacing w:val="-3"/>
        </w:rPr>
        <w:t>期末如果可供出售金融资产的公允价值发生严重下降，或在综合考虑各种相关因素后，预期这种下降趋</w:t>
      </w:r>
    </w:p>
    <w:p>
      <w:pPr>
        <w:pStyle w:val="Heading4"/>
        <w:spacing w:line="273" w:lineRule="auto" w:before="22"/>
        <w:ind w:left="271" w:right="97"/>
        <w:jc w:val="left"/>
      </w:pPr>
      <w:r>
        <w:rPr/>
        <w:t>势属于非暂时性的，就认定其已发生减值，将原直接计入所有者权益的公允价值下降形成的累计损失一</w:t>
      </w:r>
      <w:r>
        <w:rPr>
          <w:spacing w:val="-47"/>
        </w:rPr>
        <w:t> </w:t>
      </w:r>
      <w:r>
        <w:rPr>
          <w:spacing w:val="-47"/>
        </w:rPr>
      </w:r>
      <w:r>
        <w:rPr/>
        <w:t>并转出，确认减值损失。</w:t>
      </w:r>
    </w:p>
    <w:p>
      <w:pPr>
        <w:pStyle w:val="Heading4"/>
        <w:spacing w:line="273" w:lineRule="auto"/>
        <w:ind w:left="271" w:right="97" w:firstLine="168"/>
        <w:jc w:val="left"/>
      </w:pPr>
      <w:r>
        <w:rPr>
          <w:spacing w:val="-3"/>
        </w:rPr>
        <w:t>对于已确认减值损失的可供出售债务工具，在随后的会计期间公允价值已上升且客观上与确认原减值损</w:t>
      </w:r>
      <w:r>
        <w:rPr/>
        <w:t> 失确认后发生的事项有关的，原确认的减值损失予以转回，计入当期损益。</w:t>
      </w:r>
    </w:p>
    <w:p>
      <w:pPr>
        <w:pStyle w:val="Heading4"/>
        <w:spacing w:line="240" w:lineRule="auto"/>
        <w:ind w:right="97"/>
        <w:jc w:val="left"/>
      </w:pPr>
      <w:r>
        <w:rPr/>
        <w:t>供出售权益工具投资发生的减值损失，不通过损益转回。</w:t>
      </w:r>
    </w:p>
    <w:p>
      <w:pPr>
        <w:pStyle w:val="Heading4"/>
        <w:spacing w:line="256" w:lineRule="auto" w:before="37"/>
        <w:ind w:right="3037" w:hanging="168"/>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256"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万元及以上的应收款项，确定为 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60"/>
        <w:jc w:val="right"/>
      </w:pPr>
      <w:r>
        <w:rPr/>
        <w:pict>
          <v:shape style="position:absolute;margin-left:56.459999pt;margin-top:-85.548325pt;width:479.2pt;height:103.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p>
                    </w:tc>
                  </w:tr>
                </w:tbl>
                <w:p>
                  <w:pPr/>
                </w:p>
              </w:txbxContent>
            </v:textbox>
            <w10:wrap type="none"/>
          </v:shape>
        </w:pict>
      </w:r>
      <w:r>
        <w:rPr/>
        <w:t>。</w:t>
      </w:r>
    </w:p>
    <w:p>
      <w:pPr>
        <w:spacing w:line="240" w:lineRule="auto" w:before="0"/>
        <w:rPr>
          <w:rFonts w:ascii="宋体" w:hAnsi="宋体" w:cs="宋体" w:eastAsia="宋体"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、存货的分类</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444" w:right="92"/>
        <w:jc w:val="left"/>
      </w:pPr>
      <w:r>
        <w:rPr/>
        <w:t>存货分类为：原材料、在产品、库存商品、发出商品及低值易耗品等。</w:t>
      </w:r>
    </w:p>
    <w:p>
      <w:pPr>
        <w:pStyle w:val="BodyText"/>
        <w:spacing w:line="300" w:lineRule="auto" w:before="76"/>
        <w:ind w:left="516" w:right="990" w:hanging="363"/>
        <w:jc w:val="left"/>
      </w:pPr>
      <w:r>
        <w:rPr>
          <w:rFonts w:ascii="Times New Roman" w:hAnsi="Times New Roman" w:cs="Times New Roman" w:eastAsia="Times New Roman" w:hint="default"/>
        </w:rPr>
        <w:t>2</w:t>
      </w:r>
      <w:r>
        <w:rPr/>
        <w:t>、发出存货的计价方法 存货发出的计价方法：网络产品分销业务存货发出按加权平均法，系统集成业务等存货发出按个别计价法。</w:t>
      </w:r>
    </w:p>
    <w:p>
      <w:pPr>
        <w:pStyle w:val="BodyText"/>
        <w:spacing w:line="300" w:lineRule="auto" w:before="31"/>
        <w:ind w:left="444" w:right="92" w:hanging="291"/>
        <w:jc w:val="left"/>
      </w:pPr>
      <w:r>
        <w:rPr>
          <w:rFonts w:ascii="Times New Roman" w:hAnsi="Times New Roman" w:cs="Times New Roman" w:eastAsia="Times New Roman" w:hint="default"/>
        </w:rPr>
        <w:t>3</w:t>
      </w:r>
      <w:r>
        <w:rPr/>
        <w:t>、不同类别存货可变现净值的确定依据 </w:t>
      </w:r>
      <w:r>
        <w:rPr>
          <w:spacing w:val="-1"/>
        </w:rPr>
        <w:t>产成品、库存商品和用于出售的材料等直接用于出售的商品存货，在正常生产经营过程中，以该存货的估计售价减去估</w:t>
      </w:r>
    </w:p>
    <w:p>
      <w:pPr>
        <w:pStyle w:val="BodyText"/>
        <w:spacing w:line="316" w:lineRule="auto" w:before="31"/>
        <w:ind w:right="19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5"/>
        </w:rPr>
        <w:t> </w:t>
      </w:r>
      <w:r>
        <w:rPr>
          <w:spacing w:val="-65"/>
        </w:rPr>
      </w:r>
      <w:r>
        <w:rPr/>
        <w:t>部分的存货的可变现净值以一般销售价格为基础计算。</w:t>
      </w:r>
    </w:p>
    <w:p>
      <w:pPr>
        <w:pStyle w:val="BodyText"/>
        <w:spacing w:line="316" w:lineRule="auto" w:before="19"/>
        <w:ind w:right="191" w:firstLine="290"/>
        <w:jc w:val="both"/>
      </w:pPr>
      <w:r>
        <w:rPr>
          <w:spacing w:val="-1"/>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444" w:right="70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0" w:lineRule="auto" w:before="19"/>
        <w:ind w:left="444" w:right="8082" w:hanging="291"/>
        <w:jc w:val="left"/>
      </w:pPr>
      <w:r>
        <w:rPr>
          <w:rFonts w:ascii="Times New Roman" w:hAnsi="Times New Roman" w:cs="Times New Roman" w:eastAsia="Times New Roman" w:hint="default"/>
        </w:rPr>
        <w:t>4</w:t>
      </w:r>
      <w:r>
        <w:rPr/>
        <w:t>、存货的盘存制度 采用永续盘存制。</w:t>
      </w:r>
    </w:p>
    <w:p>
      <w:pPr>
        <w:pStyle w:val="BodyText"/>
        <w:spacing w:line="300" w:lineRule="auto" w:before="31"/>
        <w:ind w:left="444" w:right="6102" w:hanging="291"/>
        <w:jc w:val="left"/>
      </w:pPr>
      <w:r>
        <w:rPr>
          <w:rFonts w:ascii="Times New Roman" w:hAnsi="Times New Roman" w:cs="Times New Roman" w:eastAsia="Times New Roman" w:hint="default"/>
        </w:rPr>
        <w:t>5</w:t>
      </w:r>
      <w:r>
        <w:rPr/>
        <w:t>、低值易耗品和包装物的摊销方法 低值易耗品和包装物采用一次转销法摊销。</w:t>
      </w:r>
    </w:p>
    <w:p>
      <w:pPr>
        <w:spacing w:line="240" w:lineRule="auto" w:before="6"/>
        <w:rPr>
          <w:rFonts w:ascii="宋体" w:hAnsi="宋体" w:cs="宋体" w:eastAsia="宋体" w:hint="default"/>
          <w:sz w:val="23"/>
          <w:szCs w:val="23"/>
        </w:rPr>
      </w:pPr>
    </w:p>
    <w:p>
      <w:pPr>
        <w:pStyle w:val="Heading3"/>
        <w:spacing w:line="240" w:lineRule="auto"/>
        <w:ind w:right="92"/>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92" w:hanging="291"/>
        <w:jc w:val="left"/>
      </w:pP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共同控制，是指按照相关约定对某项安排所共有的控制，并且该安排的相关活动必须经过分享控制权的参与方一致同意</w:t>
      </w:r>
    </w:p>
    <w:p>
      <w:pPr>
        <w:pStyle w:val="BodyText"/>
        <w:spacing w:line="316" w:lineRule="auto" w:before="31"/>
        <w:ind w:right="92"/>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2" w:firstLine="290"/>
        <w:jc w:val="both"/>
      </w:pPr>
      <w:r>
        <w:rPr>
          <w:spacing w:val="-1"/>
        </w:rPr>
        <w:t>重大影响，是指对一个企业的财务和经营决策有参与决策的权力，但并不能够控制或者与其他方一起共同控制这些政策</w:t>
      </w:r>
      <w:r>
        <w:rPr/>
        <w:t> 的制定。本能够对被投资单位施加重大影响的，被投资单位为本公司联营企业。</w:t>
      </w:r>
    </w:p>
    <w:p>
      <w:pPr>
        <w:pStyle w:val="BodyText"/>
        <w:spacing w:line="240" w:lineRule="auto" w:before="19"/>
        <w:ind w:right="92"/>
        <w:jc w:val="left"/>
      </w:pPr>
      <w:r>
        <w:rPr>
          <w:rFonts w:ascii="Times New Roman" w:hAnsi="Times New Roman" w:cs="Times New Roman" w:eastAsia="Times New Roman" w:hint="default"/>
        </w:rPr>
        <w:t>2</w:t>
      </w:r>
      <w:r>
        <w:rPr/>
        <w:t>、初始投资成本的确定</w:t>
      </w:r>
    </w:p>
    <w:p>
      <w:pPr>
        <w:pStyle w:val="BodyText"/>
        <w:spacing w:line="300" w:lineRule="auto" w:before="63"/>
        <w:ind w:left="444" w:right="92" w:hanging="291"/>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同一控制下的企业合并：公司以支付现金、转让非现金资产或承担债务方式以及以发行权益性证券作为合并对价的，在</w:t>
      </w:r>
    </w:p>
    <w:p>
      <w:pPr>
        <w:pStyle w:val="BodyText"/>
        <w:spacing w:line="316" w:lineRule="auto" w:before="31"/>
        <w:ind w:right="92"/>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5"/>
        </w:rPr>
        <w:t> </w:t>
      </w:r>
      <w:r>
        <w:rPr>
          <w:spacing w:val="-65"/>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92" w:firstLine="506"/>
        <w:jc w:val="both"/>
      </w:pPr>
      <w:r>
        <w:rPr>
          <w:spacing w:val="-1"/>
        </w:rPr>
        <w:t>非同一控制下的企业合并：公司按照购买日确定的合并成本作为长期股权投资的初始投资成本。因追加投资等原因能</w:t>
      </w:r>
      <w:r>
        <w:rPr/>
        <w:t> </w:t>
      </w:r>
      <w:r>
        <w:rPr>
          <w:spacing w:val="-2"/>
        </w:rPr>
        <w:t>够对非同一控制下的被投资单位实施控制的，按照原持有的股权投资账面价值加上新增投资成本之和，作为改按成本法核算</w:t>
      </w:r>
      <w:r>
        <w:rPr>
          <w:spacing w:val="-64"/>
        </w:rPr>
        <w:t> </w:t>
      </w:r>
      <w:r>
        <w:rPr>
          <w:spacing w:val="-64"/>
        </w:rPr>
      </w:r>
      <w:r>
        <w:rPr/>
        <w:t>的初始投资成本。</w:t>
      </w:r>
    </w:p>
    <w:p>
      <w:pPr>
        <w:pStyle w:val="BodyText"/>
        <w:spacing w:line="309" w:lineRule="auto" w:before="19"/>
        <w:ind w:left="444" w:right="2142" w:hanging="29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91" w:firstLine="290"/>
        <w:jc w:val="both"/>
      </w:pPr>
      <w:r>
        <w:rPr>
          <w:spacing w:val="-1"/>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资成本。</w:t>
      </w:r>
    </w:p>
    <w:p>
      <w:pPr>
        <w:pStyle w:val="BodyText"/>
        <w:spacing w:line="240" w:lineRule="auto" w:before="76"/>
        <w:ind w:left="444" w:right="92"/>
        <w:jc w:val="left"/>
      </w:pPr>
      <w:r>
        <w:rPr/>
        <w:t>通过债务重组取得的长期股权投资，其初始投资成本按照公允价值为基础确定。</w:t>
      </w:r>
    </w:p>
    <w:p>
      <w:pPr>
        <w:pStyle w:val="BodyText"/>
        <w:spacing w:line="240" w:lineRule="auto" w:before="76"/>
        <w:ind w:right="92"/>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444" w:right="92" w:hanging="291"/>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公司对子公司的长期股权投资，采用成本法核算。除取得投资时实际支付的价款或对价中包含的已宣告但尚未发放的现</w:t>
      </w:r>
    </w:p>
    <w:p>
      <w:pPr>
        <w:pStyle w:val="BodyText"/>
        <w:spacing w:line="240" w:lineRule="auto" w:before="31"/>
        <w:ind w:right="92"/>
        <w:jc w:val="left"/>
      </w:pPr>
      <w:r>
        <w:rPr/>
        <w:t>金股利或利润外，公司按照享有被投资单位宣告发放的现金股利或利润确认当期投资收益。</w:t>
      </w:r>
    </w:p>
    <w:p>
      <w:pPr>
        <w:pStyle w:val="BodyText"/>
        <w:spacing w:line="300" w:lineRule="auto" w:before="76"/>
        <w:ind w:left="444" w:right="92" w:hanging="291"/>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对联营企业和合营企业的长期股权投资，采用权益法核算。初始投资成本大于投资时应享有被投资单位可辨认净资产公</w:t>
      </w:r>
    </w:p>
    <w:p>
      <w:pPr>
        <w:pStyle w:val="BodyText"/>
        <w:spacing w:line="316" w:lineRule="auto" w:before="31"/>
        <w:ind w:right="92"/>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right="192" w:firstLine="290"/>
        <w:jc w:val="both"/>
      </w:pPr>
      <w:r>
        <w:rPr>
          <w:spacing w:val="-1"/>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right="191" w:firstLine="290"/>
        <w:jc w:val="both"/>
      </w:pPr>
      <w:r>
        <w:rPr>
          <w:spacing w:val="-1"/>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2" w:lineRule="auto" w:before="19"/>
        <w:ind w:right="193" w:firstLine="290"/>
        <w:jc w:val="both"/>
      </w:pPr>
      <w:r>
        <w:rPr>
          <w:spacing w:val="-1"/>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 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9" w:lineRule="auto" w:before="3"/>
        <w:ind w:right="92" w:firstLine="290"/>
        <w:jc w:val="left"/>
      </w:pPr>
      <w:r>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7"/>
        <w:ind w:left="444" w:right="3762" w:hanging="291"/>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92" w:firstLine="290"/>
        <w:jc w:val="both"/>
      </w:pPr>
      <w:r>
        <w:rPr>
          <w:spacing w:val="-1"/>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right="92" w:firstLine="290"/>
        <w:jc w:val="left"/>
      </w:pPr>
      <w:r>
        <w:rPr/>
        <w:t>因处置部分股权投资等原因丧失了对被投资单位的共同控制或重大影响的，处置后的剩余股权改按金融工具确认和计量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91" w:firstLine="290"/>
        <w:jc w:val="both"/>
      </w:pPr>
      <w:r>
        <w:rPr>
          <w:spacing w:val="-1"/>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5"/>
        </w:rPr>
        <w:t> </w:t>
      </w:r>
      <w:r>
        <w:rPr>
          <w:spacing w:val="-65"/>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right="192" w:firstLine="290"/>
        <w:jc w:val="both"/>
      </w:pPr>
      <w:r>
        <w:rPr>
          <w:spacing w:val="-1"/>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after="0" w:line="316"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972"/>
        <w:jc w:val="left"/>
      </w:pPr>
      <w:r>
        <w:rPr/>
        <w:t>投资性房地产计量模式 成本法计量 折旧或摊销方法</w:t>
      </w:r>
    </w:p>
    <w:p>
      <w:pPr>
        <w:pStyle w:val="BodyText"/>
        <w:spacing w:line="316" w:lineRule="auto" w:before="25"/>
        <w:ind w:right="0" w:firstLine="290"/>
        <w:jc w:val="left"/>
      </w:pPr>
      <w:r>
        <w:rPr>
          <w:spacing w:val="-1"/>
        </w:rPr>
        <w:t>对按照成本模式计量的投资性房地产－出租用建筑物采用与本公司固定资产相同的折旧政策，出租用土地使用权按与无</w:t>
      </w:r>
      <w:r>
        <w:rPr/>
        <w:t> 形资产相同的摊销政策执行。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51"/>
        <w:jc w:val="both"/>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 （</w:t>
      </w:r>
      <w:r>
        <w:rPr>
          <w:rFonts w:ascii="Times New Roman" w:hAnsi="Times New Roman" w:cs="Times New Roman" w:eastAsia="Times New Roman" w:hint="default"/>
        </w:rPr>
        <w:t>1</w:t>
      </w:r>
      <w:r>
        <w:rPr/>
        <w:t>）与该固定资产有关的经济利益很可能流入企业；</w:t>
      </w:r>
      <w:r>
        <w:rPr>
          <w:spacing w:val="5"/>
        </w:rPr>
        <w:t> </w:t>
      </w:r>
      <w:r>
        <w:rPr/>
        <w:t>（</w:t>
      </w:r>
      <w:r>
        <w:rPr>
          <w:rFonts w:ascii="Times New Roman" w:hAnsi="Times New Roman" w:cs="Times New Roman" w:eastAsia="Times New Roman" w:hint="default"/>
        </w:rPr>
        <w:t>2</w:t>
      </w:r>
      <w:r>
        <w:rPr/>
        <w:t>）该固定资产的成本能够可靠地计 量。</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t>公司与租赁方所签订的租赁协议条款中规定了下列条件之一的，确认为融资租入资产：</w:t>
      </w:r>
      <w:r>
        <w:rPr>
          <w:spacing w:val="51"/>
        </w:rPr>
        <w:t> </w:t>
      </w:r>
      <w:r>
        <w:rPr/>
        <w:t>（</w:t>
      </w:r>
      <w:r>
        <w:rPr>
          <w:rFonts w:ascii="Times New Roman" w:hAnsi="Times New Roman" w:cs="Times New Roman" w:eastAsia="Times New Roman" w:hint="default"/>
        </w:rPr>
        <w:t>1</w:t>
      </w:r>
      <w:r>
        <w:rPr/>
        <w:t>）租赁期满后租赁资产的所有 权归属于本公司； （</w:t>
      </w:r>
      <w:r>
        <w:rPr>
          <w:rFonts w:ascii="Times New Roman" w:hAnsi="Times New Roman" w:cs="Times New Roman" w:eastAsia="Times New Roman" w:hint="default"/>
        </w:rPr>
        <w:t>2</w:t>
      </w:r>
      <w:r>
        <w:rPr/>
        <w:t>）公司具有购买资产的选择权，购买价款远低于行使选择权时该资产的公允价值；</w:t>
      </w:r>
      <w:r>
        <w:rPr>
          <w:spacing w:val="7"/>
        </w:rPr>
        <w:t> </w:t>
      </w:r>
      <w:r>
        <w:rPr/>
        <w:t>（</w:t>
      </w:r>
      <w:r>
        <w:rPr>
          <w:rFonts w:ascii="Times New Roman" w:hAnsi="Times New Roman" w:cs="Times New Roman" w:eastAsia="Times New Roman" w:hint="default"/>
        </w:rPr>
        <w:t>3</w:t>
      </w:r>
      <w:r>
        <w:rPr/>
        <w:t>）租赁期占 所租赁资产使用寿命的大部分；</w:t>
      </w:r>
      <w:r>
        <w:rPr>
          <w:spacing w:val="50"/>
        </w:rPr>
        <w:t> </w:t>
      </w: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公司在承租开始日，将租赁资产公允价值与最低租赁付款额现值两者中较低者作为租入资产的入账价值，将最低租赁付款额</w:t>
      </w:r>
      <w:r>
        <w:rPr>
          <w:spacing w:val="-64"/>
        </w:rPr>
        <w:t> </w:t>
      </w:r>
      <w:r>
        <w:rPr>
          <w:spacing w:val="-64"/>
        </w:rPr>
      </w:r>
      <w:r>
        <w:rPr/>
        <w:t>作为长期应付款的入账价值，其差额作为未确认的融资费。</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51" w:firstLine="290"/>
        <w:jc w:val="both"/>
      </w:pPr>
      <w:r>
        <w:rPr>
          <w:spacing w:val="-1"/>
        </w:rPr>
        <w:t>在建工程项目按建造该项资产达到预定可使用状态前所发生的必要支出，作为固定资产的入账价值。所建造的固定资产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after="0" w:line="316"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444" w:right="92" w:hanging="291"/>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公司发生的借款费用，可直接归属于符合资本化条件的资产的购建或者生产的，予以资本化，计入相关资产成本；其他</w:t>
      </w:r>
    </w:p>
    <w:p>
      <w:pPr>
        <w:pStyle w:val="BodyText"/>
        <w:spacing w:line="316" w:lineRule="auto" w:before="24"/>
        <w:ind w:left="444" w:right="342" w:hanging="29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right="6392"/>
        <w:jc w:val="left"/>
      </w:pPr>
      <w:r>
        <w:rPr/>
        <w:t>产、投资性房地产和存货等资产。 借款费用同时满足下列条件时开始资本化：</w:t>
      </w:r>
    </w:p>
    <w:p>
      <w:pPr>
        <w:pStyle w:val="BodyText"/>
        <w:spacing w:line="300" w:lineRule="auto" w:before="19"/>
        <w:ind w:right="18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right="92"/>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right="92"/>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444" w:right="92" w:hanging="291"/>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1"/>
        </w:rPr>
        <w:t>购建或者生产的资产的各部分分别完工，但必须等到整体完工后才可使用或可对外销售的，在该资产整体完工时停止借</w:t>
      </w:r>
    </w:p>
    <w:p>
      <w:pPr>
        <w:pStyle w:val="BodyText"/>
        <w:spacing w:line="240" w:lineRule="auto" w:before="20"/>
        <w:ind w:right="92"/>
        <w:jc w:val="left"/>
      </w:pPr>
      <w:r>
        <w:rPr/>
        <w:t>款费用资本化。</w:t>
      </w:r>
    </w:p>
    <w:p>
      <w:pPr>
        <w:pStyle w:val="BodyText"/>
        <w:spacing w:line="300" w:lineRule="auto" w:before="76"/>
        <w:ind w:left="444" w:right="92" w:hanging="291"/>
        <w:jc w:val="left"/>
      </w:pPr>
      <w:r>
        <w:rPr>
          <w:rFonts w:ascii="Times New Roman" w:hAnsi="Times New Roman" w:cs="Times New Roman" w:eastAsia="Times New Roman" w:hint="default"/>
        </w:rPr>
        <w:t>3</w:t>
      </w:r>
      <w:r>
        <w:rPr/>
        <w:t>、暂停资本化期间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个月的，则借款费用暂停资本化；</w:t>
      </w:r>
    </w:p>
    <w:p>
      <w:pPr>
        <w:pStyle w:val="BodyText"/>
        <w:spacing w:line="319" w:lineRule="auto" w:before="13"/>
        <w:ind w:right="92"/>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 </w:t>
      </w:r>
      <w:r>
        <w:rPr>
          <w:rFonts w:ascii="Times New Roman" w:hAnsi="Times New Roman" w:cs="Times New Roman" w:eastAsia="Times New Roman" w:hint="default"/>
        </w:rPr>
        <w:t>4</w:t>
      </w:r>
      <w:r>
        <w:rPr/>
        <w:t>、借款费用资本化金额的计算方法</w:t>
      </w:r>
    </w:p>
    <w:p>
      <w:pPr>
        <w:pStyle w:val="BodyText"/>
        <w:spacing w:line="316" w:lineRule="auto"/>
        <w:ind w:right="192" w:firstLine="290"/>
        <w:jc w:val="both"/>
      </w:pPr>
      <w:r>
        <w:rPr>
          <w:spacing w:val="-1"/>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19"/>
        <w:ind w:right="191" w:firstLine="290"/>
        <w:jc w:val="both"/>
      </w:pPr>
      <w:r>
        <w:rPr>
          <w:spacing w:val="-1"/>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19"/>
        <w:ind w:left="444" w:right="92"/>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92"/>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1</w:t>
      </w:r>
      <w:r>
        <w:rPr/>
        <w:t>、无形资产的计价方法</w:t>
      </w:r>
    </w:p>
    <w:p>
      <w:pPr>
        <w:pStyle w:val="BodyText"/>
        <w:spacing w:line="300" w:lineRule="auto" w:before="63"/>
        <w:ind w:left="444" w:right="92" w:hanging="291"/>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外购无形资产的成本，包括购买价款、相关税费以及直接归属于使该项资产达到预定用途所发生的其他支出。购买无形</w:t>
      </w:r>
    </w:p>
    <w:p>
      <w:pPr>
        <w:pStyle w:val="BodyText"/>
        <w:spacing w:line="319" w:lineRule="auto" w:before="31"/>
        <w:ind w:left="444" w:right="92" w:hanging="291"/>
        <w:jc w:val="left"/>
      </w:pPr>
      <w:r>
        <w:rPr/>
        <w:t>资产的价款超过正常信用条件延期支付，实质上具有融资性质的，无形资产的成本以购买价款的现值为基础确定。 </w:t>
      </w:r>
      <w:r>
        <w:rPr>
          <w:spacing w:val="-1"/>
        </w:rPr>
        <w:t>债务重组取得债务人用以抵债的无形资产，以该无形资产的公允价值为基础确定其入账价值，并将重组债务的账面价值</w:t>
      </w:r>
    </w:p>
    <w:p>
      <w:pPr>
        <w:pStyle w:val="BodyText"/>
        <w:spacing w:line="316" w:lineRule="auto" w:before="17"/>
        <w:ind w:left="444" w:right="92" w:hanging="291"/>
        <w:jc w:val="left"/>
      </w:pPr>
      <w:r>
        <w:rPr/>
        <w:t>与该用以抵债的无形资产公允价值之间的差额，计入当期损益。 </w:t>
      </w:r>
      <w:r>
        <w:rPr>
          <w:spacing w:val="-1"/>
        </w:rPr>
        <w:t>在非货币性资产交换具备商业实质且换入资产或换出资产的公允价值能够可靠计量的前提下，非货币性资产交换换入的</w:t>
      </w:r>
    </w:p>
    <w:p>
      <w:pPr>
        <w:pStyle w:val="BodyText"/>
        <w:spacing w:line="316" w:lineRule="auto" w:before="19"/>
        <w:ind w:right="92"/>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444" w:right="6282" w:hanging="29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192" w:firstLine="290"/>
        <w:jc w:val="both"/>
      </w:pPr>
      <w:r>
        <w:rPr>
          <w:spacing w:val="-1"/>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4"/>
        <w:rPr>
          <w:rFonts w:ascii="宋体" w:hAnsi="宋体" w:cs="宋体" w:eastAsia="宋体" w:hint="default"/>
          <w:sz w:val="25"/>
          <w:szCs w:val="25"/>
        </w:rPr>
      </w:pPr>
    </w:p>
    <w:p>
      <w:pPr>
        <w:pStyle w:val="BodyText"/>
        <w:spacing w:line="300" w:lineRule="auto"/>
        <w:ind w:right="5762"/>
        <w:jc w:val="left"/>
      </w:pPr>
      <w:r>
        <w:rPr>
          <w:rFonts w:ascii="Times New Roman" w:hAnsi="Times New Roman" w:cs="Times New Roman" w:eastAsia="Times New Roman" w:hint="default"/>
        </w:rPr>
        <w:t>2</w:t>
      </w:r>
      <w:r>
        <w:rPr/>
        <w:t>、使用寿命有限的无形资产的使用寿命估计情况： 类别 预计使用寿命（年）</w:t>
      </w:r>
      <w:r>
        <w:rPr>
          <w:spacing w:val="-60"/>
        </w:rPr>
        <w:t> </w:t>
      </w:r>
      <w:r>
        <w:rPr/>
        <w:t>依据</w:t>
      </w:r>
    </w:p>
    <w:p>
      <w:pPr>
        <w:pStyle w:val="BodyText"/>
        <w:tabs>
          <w:tab w:pos="1414" w:val="left" w:leader="none"/>
          <w:tab w:pos="1834" w:val="left" w:leader="none"/>
        </w:tabs>
        <w:spacing w:line="240" w:lineRule="auto" w:before="31"/>
        <w:ind w:right="92"/>
        <w:jc w:val="left"/>
      </w:pPr>
      <w:r>
        <w:rPr/>
        <w:t>土地使用权</w:t>
        <w:tab/>
      </w:r>
      <w:r>
        <w:rPr>
          <w:rFonts w:ascii="Times New Roman" w:hAnsi="Times New Roman" w:cs="Times New Roman" w:eastAsia="Times New Roman" w:hint="default"/>
        </w:rPr>
        <w:t>50</w:t>
        <w:tab/>
      </w:r>
      <w:r>
        <w:rPr/>
        <w:t>合同规定与法律规定孰低原则</w:t>
      </w:r>
    </w:p>
    <w:p>
      <w:pPr>
        <w:pStyle w:val="BodyText"/>
        <w:tabs>
          <w:tab w:pos="1414" w:val="left" w:leader="none"/>
          <w:tab w:pos="1834" w:val="left" w:leader="none"/>
        </w:tabs>
        <w:spacing w:line="240" w:lineRule="auto" w:before="63"/>
        <w:ind w:right="92"/>
        <w:jc w:val="left"/>
      </w:pPr>
      <w:r>
        <w:rPr/>
        <w:t>非专利技术</w:t>
        <w:tab/>
      </w:r>
      <w:r>
        <w:rPr>
          <w:rFonts w:ascii="Times New Roman" w:hAnsi="Times New Roman" w:cs="Times New Roman" w:eastAsia="Times New Roman" w:hint="default"/>
        </w:rPr>
        <w:t>5</w:t>
        <w:tab/>
      </w:r>
      <w:r>
        <w:rPr/>
        <w:t>合同规定与法律规定孰低原则</w:t>
      </w:r>
    </w:p>
    <w:p>
      <w:pPr>
        <w:pStyle w:val="BodyText"/>
        <w:tabs>
          <w:tab w:pos="1414" w:val="left" w:leader="none"/>
        </w:tabs>
        <w:spacing w:line="309" w:lineRule="auto" w:before="63"/>
        <w:ind w:right="3890"/>
        <w:jc w:val="left"/>
      </w:pPr>
      <w:r>
        <w:rPr/>
        <w:t>软件平台</w:t>
      </w:r>
      <w:r>
        <w:rPr>
          <w:spacing w:val="30"/>
        </w:rPr>
        <w:t> </w:t>
      </w:r>
      <w:r>
        <w:rPr>
          <w:rFonts w:ascii="Times New Roman" w:hAnsi="Times New Roman" w:cs="Times New Roman" w:eastAsia="Times New Roman" w:hint="default"/>
        </w:rPr>
        <w:t>5</w:t>
        <w:tab/>
      </w:r>
      <w:r>
        <w:rPr/>
        <w:t>合同规定与法律规定孰低原则 每年度终了，对使用寿命有限的无形资产的使用寿命及摊销方法进行复核。 经复核，本年期末无形资产的使用寿命及摊销方法与以前估计未有不同。</w:t>
      </w:r>
    </w:p>
    <w:p>
      <w:pPr>
        <w:spacing w:line="240" w:lineRule="auto" w:before="12"/>
        <w:rPr>
          <w:rFonts w:ascii="宋体" w:hAnsi="宋体" w:cs="宋体" w:eastAsia="宋体" w:hint="default"/>
          <w:sz w:val="22"/>
          <w:szCs w:val="22"/>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2112"/>
        <w:jc w:val="left"/>
      </w:pPr>
      <w:r>
        <w:rPr>
          <w:rFonts w:ascii="Times New Roman" w:hAnsi="Times New Roman" w:cs="Times New Roman" w:eastAsia="Times New Roman" w:hint="default"/>
        </w:rPr>
        <w:t>1</w:t>
      </w:r>
      <w:r>
        <w:rPr/>
        <w:t>、划分公司内部研究开发项目的研究阶段和开发阶段具体标准 公司内部研究开发项目的支出分为研究阶段支出和开发阶段支出。 研究阶段：为取得经批准的</w:t>
      </w:r>
      <w:r>
        <w:rPr>
          <w:rFonts w:ascii="Times New Roman" w:hAnsi="Times New Roman" w:cs="Times New Roman" w:eastAsia="Times New Roman" w:hint="default"/>
        </w:rPr>
        <w:t>“</w:t>
      </w:r>
      <w:r>
        <w:rPr/>
        <w:t>研究计划书</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项目可行性验证报告</w:t>
      </w:r>
      <w:r>
        <w:rPr>
          <w:rFonts w:ascii="Times New Roman" w:hAnsi="Times New Roman" w:cs="Times New Roman" w:eastAsia="Times New Roman" w:hint="default"/>
        </w:rPr>
        <w:t>”</w:t>
      </w:r>
      <w:r>
        <w:rPr/>
        <w:t>时。 开发阶段：为取得经批准的</w:t>
      </w:r>
      <w:r>
        <w:rPr>
          <w:rFonts w:ascii="Times New Roman" w:hAnsi="Times New Roman" w:cs="Times New Roman" w:eastAsia="Times New Roman" w:hint="default"/>
        </w:rPr>
        <w:t>“</w:t>
      </w:r>
      <w:r>
        <w:rPr/>
        <w:t>项目立项报告</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 结转无形资产：为取得经批准的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w:t>
      </w:r>
    </w:p>
    <w:p>
      <w:pPr>
        <w:spacing w:line="240" w:lineRule="auto" w:before="7"/>
        <w:rPr>
          <w:rFonts w:ascii="宋体" w:hAnsi="宋体" w:cs="宋体" w:eastAsia="宋体" w:hint="default"/>
          <w:sz w:val="24"/>
          <w:szCs w:val="24"/>
        </w:rPr>
      </w:pPr>
    </w:p>
    <w:p>
      <w:pPr>
        <w:pStyle w:val="BodyText"/>
        <w:spacing w:line="300" w:lineRule="auto"/>
        <w:ind w:right="3872"/>
        <w:jc w:val="left"/>
      </w:pP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31"/>
        <w:ind w:right="9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9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8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31"/>
        <w:ind w:right="92"/>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9" w:lineRule="auto" w:before="63"/>
        <w:ind w:right="92"/>
        <w:jc w:val="left"/>
      </w:pPr>
      <w:r>
        <w:rPr/>
        <w:t>（</w:t>
      </w:r>
      <w:r>
        <w:rPr>
          <w:rFonts w:ascii="Times New Roman" w:hAnsi="Times New Roman" w:cs="Times New Roman" w:eastAsia="Times New Roman" w:hint="default"/>
        </w:rPr>
        <w:t>5</w:t>
      </w:r>
      <w:r>
        <w:rPr/>
        <w:t>）归属于该无形资产开发阶段的支出能够可靠地计量。 </w:t>
      </w:r>
      <w:r>
        <w:rPr>
          <w:spacing w:val="-2"/>
        </w:rPr>
        <w:t>开发阶段的支出，若不满足上列条件的，于发生时计入当期损益。研究阶段的支出，在发生时计入当期损益。无法区分研究</w:t>
      </w:r>
      <w:r>
        <w:rPr>
          <w:spacing w:val="-66"/>
        </w:rPr>
        <w:t> </w:t>
      </w:r>
      <w:r>
        <w:rPr>
          <w:spacing w:val="-66"/>
        </w:rPr>
      </w:r>
      <w:r>
        <w:rPr/>
        <w:t>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92"/>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290"/>
        <w:jc w:val="both"/>
      </w:pPr>
      <w:r>
        <w:rPr>
          <w:spacing w:val="-1"/>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444" w:right="162"/>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9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spacing w:after="0" w:line="316" w:lineRule="auto"/>
        <w:jc w:val="left"/>
        <w:sectPr>
          <w:footerReference w:type="default" r:id="rId23"/>
          <w:pgSz w:w="11910" w:h="16840"/>
          <w:pgMar w:footer="979" w:header="747" w:top="1060" w:bottom="1160" w:left="980" w:right="940"/>
          <w:pgNumType w:start="112"/>
        </w:sectPr>
      </w:pPr>
    </w:p>
    <w:p>
      <w:pPr>
        <w:spacing w:line="240" w:lineRule="auto" w:before="12"/>
        <w:rPr>
          <w:rFonts w:ascii="宋体" w:hAnsi="宋体" w:cs="宋体" w:eastAsia="宋体" w:hint="default"/>
          <w:sz w:val="25"/>
          <w:szCs w:val="25"/>
        </w:rPr>
      </w:pPr>
    </w:p>
    <w:p>
      <w:pPr>
        <w:pStyle w:val="BodyText"/>
        <w:spacing w:line="319" w:lineRule="auto" w:before="44"/>
        <w:ind w:right="92" w:firstLine="29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2"/>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290"/>
        <w:jc w:val="left"/>
      </w:pPr>
      <w:r>
        <w:rPr>
          <w:spacing w:val="-1"/>
        </w:rPr>
        <w:t>长期待摊费用为已经发生但应由本期和以后各期负担的分摊期限在一年以上的各项费用。长期待摊费用的摊销方法为直</w:t>
      </w:r>
      <w:r>
        <w:rPr/>
        <w:t> 线法，在受益期内平均摊销。</w:t>
      </w:r>
    </w:p>
    <w:p>
      <w:pPr>
        <w:pStyle w:val="BodyText"/>
        <w:spacing w:line="240" w:lineRule="auto" w:before="19"/>
        <w:ind w:left="444" w:right="92"/>
        <w:jc w:val="left"/>
      </w:pPr>
      <w:r>
        <w:rPr/>
        <w:t>本公司取得的高尔夫会员资格证按</w:t>
      </w:r>
      <w:r>
        <w:rPr>
          <w:rFonts w:ascii="Times New Roman" w:hAnsi="Times New Roman" w:cs="Times New Roman" w:eastAsia="Times New Roman" w:hint="default"/>
        </w:rPr>
        <w:t>20</w:t>
      </w:r>
      <w:r>
        <w:rPr/>
        <w:t>年摊销；装修费按受益年限摊销。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92"/>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92"/>
        <w:jc w:val="left"/>
      </w:pPr>
      <w:r>
        <w:rPr/>
        <w:t>本公司在职工为本公司提供服务的会计期间，将实际发生的短期薪酬确认为负债，并计入当期损益或相关资产成本。 </w:t>
      </w:r>
      <w:r>
        <w:rPr>
          <w:spacing w:val="-1"/>
        </w:rPr>
        <w:t>本公司为职工缴纳的社会保险费和住房公积金，以及按规定提取的工会经费和职工教育经费，在职工为本公司提供服务</w:t>
      </w:r>
    </w:p>
    <w:p>
      <w:pPr>
        <w:pStyle w:val="BodyText"/>
        <w:spacing w:line="316" w:lineRule="auto" w:before="19"/>
        <w:ind w:left="444" w:right="3693" w:hanging="291"/>
        <w:jc w:val="left"/>
      </w:pPr>
      <w:r>
        <w:rPr/>
        <w:t>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92" w:hanging="291"/>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本公司按当地政府的相关规定为职工缴纳基本养老保险和失业保险，在职工为本公司提供服务的会计期间，按以当地规</w:t>
      </w:r>
    </w:p>
    <w:p>
      <w:pPr>
        <w:pStyle w:val="BodyText"/>
        <w:spacing w:line="240" w:lineRule="auto" w:before="31"/>
        <w:ind w:right="92"/>
        <w:jc w:val="left"/>
      </w:pPr>
      <w:r>
        <w:rPr/>
        <w:t>定的缴纳基数和比例计算应缴纳金额，确认为负债，并计入当期损益或相关资产成本。</w:t>
      </w:r>
    </w:p>
    <w:p>
      <w:pPr>
        <w:pStyle w:val="BodyText"/>
        <w:spacing w:line="300" w:lineRule="auto" w:before="76"/>
        <w:ind w:left="444" w:right="92" w:hanging="291"/>
        <w:jc w:val="left"/>
      </w:pPr>
      <w:r>
        <w:rPr/>
        <w:t>（</w:t>
      </w:r>
      <w:r>
        <w:rPr>
          <w:rFonts w:ascii="Times New Roman" w:hAnsi="Times New Roman" w:cs="Times New Roman" w:eastAsia="Times New Roman" w:hint="default"/>
        </w:rPr>
        <w:t>2</w:t>
      </w:r>
      <w:r>
        <w:rPr/>
        <w:t>）设定受益计划 </w:t>
      </w:r>
      <w:r>
        <w:rPr>
          <w:spacing w:val="-1"/>
        </w:rPr>
        <w:t>本公司根据预期累计福利单位法确定的公式将设定受益计划产生的福利义务归属于职工提供服务的期间，并计入当期损</w:t>
      </w:r>
    </w:p>
    <w:p>
      <w:pPr>
        <w:pStyle w:val="BodyText"/>
        <w:spacing w:line="316" w:lineRule="auto" w:before="31"/>
        <w:ind w:left="444" w:right="162" w:hanging="291"/>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444" w:right="92" w:hanging="291"/>
        <w:jc w:val="left"/>
      </w:pPr>
      <w:r>
        <w:rPr/>
        <w:t>设定受益计划存在盈余的，本公司以设定受益计划的盈余和资产上限两项的孰低者计量设定受益计划净资产。 </w:t>
      </w:r>
      <w:r>
        <w:rPr>
          <w:spacing w:val="-1"/>
        </w:rPr>
        <w:t>所有设定受益计划义务，包括预期在职工提供服务的年度报告期间结束后的十二个月内支付的义务，根据资产负债表日</w:t>
      </w:r>
    </w:p>
    <w:p>
      <w:pPr>
        <w:pStyle w:val="BodyText"/>
        <w:spacing w:line="316" w:lineRule="auto" w:before="19"/>
        <w:ind w:left="444" w:right="92" w:hanging="291"/>
        <w:jc w:val="left"/>
      </w:pPr>
      <w:r>
        <w:rPr/>
        <w:t>与设定受益计划义务期限和币种相匹配的国债或活跃市场上的高质量公司债券的市场收益率予以折现。 </w:t>
      </w:r>
      <w:r>
        <w:rPr>
          <w:spacing w:val="-1"/>
        </w:rPr>
        <w:t>设定受益计划产生的服务成本和设定受益计划净负债或净资产的利息净额计入当期损益或相关资产成本；重新计量设定</w:t>
      </w:r>
    </w:p>
    <w:p>
      <w:pPr>
        <w:pStyle w:val="BodyText"/>
        <w:spacing w:line="316" w:lineRule="auto" w:before="19"/>
        <w:ind w:left="444" w:right="522" w:hanging="291"/>
        <w:jc w:val="left"/>
      </w:pPr>
      <w:r>
        <w:rPr/>
        <w:t>受益计划净负债或净资产所产生的变动计入其他综合收益，并且在后续会计期间不转回至损益。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290"/>
        <w:jc w:val="left"/>
      </w:pPr>
      <w:r>
        <w:rPr>
          <w:spacing w:val="-1"/>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after="0" w:line="316" w:lineRule="auto"/>
        <w:jc w:val="left"/>
        <w:sectPr>
          <w:footerReference w:type="default" r:id="rId24"/>
          <w:pgSz w:w="11910" w:h="16840"/>
          <w:pgMar w:footer="979" w:header="747" w:top="1060" w:bottom="1160" w:left="980" w:right="940"/>
          <w:pgNumType w:start="113"/>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702" w:hanging="291"/>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right="92"/>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right="92"/>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right="92"/>
        <w:jc w:val="left"/>
      </w:pPr>
      <w:r>
        <w:rPr/>
        <w:t>（</w:t>
      </w:r>
      <w:r>
        <w:rPr>
          <w:rFonts w:ascii="Times New Roman" w:hAnsi="Times New Roman" w:cs="Times New Roman" w:eastAsia="Times New Roman" w:hint="default"/>
        </w:rPr>
        <w:t>3</w:t>
      </w:r>
      <w:r>
        <w:rPr/>
        <w:t>）该义务的金额能够可靠地计量。</w:t>
      </w:r>
    </w:p>
    <w:p>
      <w:pPr>
        <w:pStyle w:val="BodyText"/>
        <w:spacing w:line="300" w:lineRule="auto" w:before="63"/>
        <w:ind w:left="516" w:right="3330" w:hanging="363"/>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w:t>
      </w:r>
    </w:p>
    <w:p>
      <w:pPr>
        <w:pStyle w:val="BodyText"/>
        <w:spacing w:line="316" w:lineRule="auto" w:before="31"/>
        <w:ind w:right="92" w:firstLine="362"/>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444" w:right="92" w:hanging="291"/>
        <w:jc w:val="left"/>
      </w:pPr>
      <w:r>
        <w:rPr/>
        <w:t>最佳估计数分别以下情况处理： </w:t>
      </w:r>
      <w:r>
        <w:rPr>
          <w:spacing w:val="-1"/>
        </w:rPr>
        <w:t>所需支出存在一个连续范围（或区间），且该范围内各种结果发生的可能性相同的，则最佳估计数按照该范围的中间值</w:t>
      </w:r>
    </w:p>
    <w:p>
      <w:pPr>
        <w:pStyle w:val="BodyText"/>
        <w:spacing w:line="316" w:lineRule="auto" w:before="19"/>
        <w:ind w:left="444" w:right="92" w:hanging="291"/>
        <w:jc w:val="left"/>
      </w:pPr>
      <w:r>
        <w:rPr/>
        <w:t>即上下限金额的平均数确定。 </w:t>
      </w:r>
      <w:r>
        <w:rPr>
          <w:spacing w:val="-1"/>
        </w:rPr>
        <w:t>所需支出不存在一个连续范围（或区间），或虽然存在一个连续范围但该范围内各种结果发生的可能性不相同的，如或</w:t>
      </w:r>
    </w:p>
    <w:p>
      <w:pPr>
        <w:pStyle w:val="BodyText"/>
        <w:tabs>
          <w:tab w:pos="4448" w:val="left" w:leader="none"/>
        </w:tabs>
        <w:spacing w:line="316" w:lineRule="auto" w:before="19"/>
        <w:ind w:right="191"/>
        <w:jc w:val="left"/>
      </w:pPr>
      <w:r>
        <w:rPr>
          <w:spacing w:val="-2"/>
        </w:rPr>
        <w:t>有事项涉及单个项目的，则最佳估计数按照最可能</w:t>
        <w:tab/>
        <w:t>发生金额确定；如或有事项涉及多个项目的，则最佳估计数按各种可</w:t>
      </w:r>
      <w:r>
        <w:rPr>
          <w:spacing w:val="-86"/>
        </w:rPr>
        <w:t> </w:t>
      </w:r>
      <w:r>
        <w:rPr>
          <w:spacing w:val="-86"/>
        </w:rPr>
      </w:r>
      <w:r>
        <w:rPr/>
        <w:t>能结果及相关概率计算确定。</w:t>
      </w:r>
    </w:p>
    <w:p>
      <w:pPr>
        <w:pStyle w:val="BodyText"/>
        <w:spacing w:line="316" w:lineRule="auto" w:before="19"/>
        <w:ind w:right="92" w:firstLine="29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2"/>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290"/>
        <w:jc w:val="left"/>
      </w:pPr>
      <w:r>
        <w:rPr>
          <w:spacing w:val="-1"/>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pStyle w:val="BodyText"/>
        <w:spacing w:line="300" w:lineRule="auto" w:before="19"/>
        <w:ind w:left="444" w:right="92" w:hanging="291"/>
        <w:jc w:val="left"/>
      </w:pPr>
      <w:r>
        <w:rPr>
          <w:rFonts w:ascii="Times New Roman" w:hAnsi="Times New Roman" w:cs="Times New Roman" w:eastAsia="Times New Roman" w:hint="default"/>
        </w:rPr>
        <w:t>1</w:t>
      </w:r>
      <w:r>
        <w:rPr/>
        <w:t>、以权益结算的股份支付 </w:t>
      </w:r>
      <w:r>
        <w:rPr>
          <w:spacing w:val="-1"/>
        </w:rPr>
        <w:t>以权益结算的股份支付换取职工提供服务的，以授予职工权益工具的公允价值计量。本公司以限制性股票进行股份支付</w:t>
      </w:r>
    </w:p>
    <w:p>
      <w:pPr>
        <w:pStyle w:val="BodyText"/>
        <w:spacing w:line="316" w:lineRule="auto" w:before="31"/>
        <w:ind w:right="102"/>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6"/>
        </w:rPr>
        <w:t> </w:t>
      </w:r>
      <w:r>
        <w:rPr>
          <w:spacing w:val="-66"/>
        </w:rPr>
      </w:r>
      <w:r>
        <w:rPr>
          <w:spacing w:val="-2"/>
        </w:rPr>
        <w:t>资本公积（股本溢价），同时就回购义务全额确认一项负债并确认库存股。在等待期内每个资产负债表日，本公司根据最新</w:t>
      </w:r>
      <w:r>
        <w:rPr>
          <w:spacing w:val="-66"/>
        </w:rPr>
        <w:t> </w:t>
      </w:r>
      <w:r>
        <w:rPr>
          <w:spacing w:val="-66"/>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6"/>
        </w:rPr>
        <w:t> </w:t>
      </w:r>
      <w:r>
        <w:rPr>
          <w:spacing w:val="-66"/>
        </w:rPr>
      </w:r>
      <w:r>
        <w:rPr>
          <w:spacing w:val="-4"/>
        </w:rPr>
        <w:t>费用和所有者权益总额进行调整。但授予后立即可行权的，在授予日按照公允价值计入相关成本或费用，相应增加资本公积。</w:t>
      </w:r>
    </w:p>
    <w:p>
      <w:pPr>
        <w:pStyle w:val="BodyText"/>
        <w:spacing w:line="316" w:lineRule="auto" w:before="19"/>
        <w:ind w:right="92" w:firstLine="290"/>
        <w:jc w:val="left"/>
      </w:pPr>
      <w:r>
        <w:rPr>
          <w:spacing w:val="-1"/>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92" w:firstLine="290"/>
        <w:jc w:val="left"/>
      </w:pPr>
      <w:r>
        <w:rPr>
          <w:spacing w:val="-1"/>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9" w:lineRule="auto" w:before="19"/>
        <w:ind w:right="92" w:firstLine="290"/>
        <w:jc w:val="left"/>
      </w:pPr>
      <w:r>
        <w:rPr>
          <w:spacing w:val="-1"/>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 式，对所授予的替代权益工具进行处理。</w:t>
      </w:r>
    </w:p>
    <w:p>
      <w:pPr>
        <w:pStyle w:val="BodyText"/>
        <w:spacing w:line="300" w:lineRule="auto" w:before="17"/>
        <w:ind w:left="444" w:right="92" w:hanging="291"/>
        <w:jc w:val="left"/>
      </w:pPr>
      <w:r>
        <w:rPr>
          <w:rFonts w:ascii="Times New Roman" w:hAnsi="Times New Roman" w:cs="Times New Roman" w:eastAsia="Times New Roman" w:hint="default"/>
        </w:rPr>
        <w:t>2</w:t>
      </w:r>
      <w:r>
        <w:rPr/>
        <w:t>、以现金结算的股份支付及权益工具 </w:t>
      </w:r>
      <w:r>
        <w:rPr>
          <w:spacing w:val="-1"/>
        </w:rPr>
        <w:t>以现金结算的股份支付，按照本公司承担的以股份或其他权益工具为基础计算确定的负债的公允价值计量。授予后立即</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2"/>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2"/>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1</w:t>
      </w:r>
      <w:r>
        <w:rPr/>
        <w:t>、</w:t>
      </w:r>
      <w:r>
        <w:rPr>
          <w:spacing w:val="-19"/>
        </w:rPr>
        <w:t> </w:t>
      </w:r>
      <w:r>
        <w:rPr/>
        <w:t>销售商品收入的确认一般原则：</w:t>
      </w:r>
    </w:p>
    <w:p>
      <w:pPr>
        <w:pStyle w:val="BodyText"/>
        <w:spacing w:line="240" w:lineRule="auto" w:before="63"/>
        <w:ind w:right="92"/>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right="92"/>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92"/>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right="92"/>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right="92"/>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300" w:lineRule="auto" w:before="63"/>
        <w:ind w:left="444" w:right="92" w:hanging="218"/>
        <w:jc w:val="left"/>
      </w:pPr>
      <w:r>
        <w:rPr>
          <w:rFonts w:ascii="Times New Roman" w:hAnsi="Times New Roman" w:cs="Times New Roman" w:eastAsia="Times New Roman" w:hint="default"/>
        </w:rPr>
        <w:t>2</w:t>
      </w:r>
      <w:r>
        <w:rPr/>
        <w:t>、</w:t>
      </w:r>
      <w:r>
        <w:rPr>
          <w:spacing w:val="54"/>
        </w:rPr>
        <w:t> </w:t>
      </w:r>
      <w:r>
        <w:rPr/>
        <w:t>具体原则</w:t>
      </w:r>
      <w:r>
        <w:rPr/>
        <w:t> </w:t>
      </w:r>
      <w:r>
        <w:rPr>
          <w:spacing w:val="-1"/>
        </w:rPr>
        <w:t>本公司营业收入主要包括应用软件收入、技术服务收入、系统集成工程收入、电信增值业务收入和网络产品分销业务收</w:t>
      </w:r>
    </w:p>
    <w:p>
      <w:pPr>
        <w:pStyle w:val="BodyText"/>
        <w:spacing w:line="240" w:lineRule="auto" w:before="31"/>
        <w:ind w:right="92"/>
        <w:jc w:val="left"/>
      </w:pPr>
      <w:r>
        <w:rPr/>
        <w:t>入，各项收入确认的具体原则和方法如下：</w:t>
      </w:r>
    </w:p>
    <w:p>
      <w:pPr>
        <w:pStyle w:val="BodyText"/>
        <w:spacing w:line="300" w:lineRule="auto" w:before="76"/>
        <w:ind w:left="227" w:right="5059" w:hanging="74"/>
        <w:jc w:val="left"/>
      </w:pPr>
      <w:r>
        <w:rPr/>
        <w:t>（</w:t>
      </w:r>
      <w:r>
        <w:rPr>
          <w:rFonts w:ascii="Times New Roman" w:hAnsi="Times New Roman" w:cs="Times New Roman" w:eastAsia="Times New Roman" w:hint="default"/>
        </w:rPr>
        <w:t>1</w:t>
      </w:r>
      <w:r>
        <w:rPr/>
        <w:t>）应用软件收入的确认原则及方法 应用软件收入包括应用软件开发收入和软件产品销售收入。</w:t>
      </w:r>
    </w:p>
    <w:p>
      <w:pPr>
        <w:pStyle w:val="BodyText"/>
        <w:spacing w:line="314" w:lineRule="auto" w:before="31"/>
        <w:ind w:right="92"/>
        <w:jc w:val="left"/>
      </w:pPr>
      <w:r>
        <w:rPr>
          <w:spacing w:val="-2"/>
        </w:rPr>
        <w:t>①应用软件开发收入：是指接受客户委托，根据客户的本地化需要，对应用软件技术进行研究开发所获得的收入。由此开发</w:t>
      </w:r>
      <w:r>
        <w:rPr>
          <w:spacing w:val="-66"/>
        </w:rPr>
        <w:t> </w:t>
      </w:r>
      <w:r>
        <w:rPr>
          <w:spacing w:val="-66"/>
        </w:rPr>
      </w:r>
      <w:r>
        <w:rPr/>
        <w:t>出来的软件为定制软件、不具有通用性。其收入确认的原则及方法为： </w:t>
      </w:r>
      <w:r>
        <w:rPr>
          <w:rFonts w:ascii="Times New Roman" w:hAnsi="Times New Roman" w:cs="Times New Roman" w:eastAsia="Times New Roman" w:hint="default"/>
          <w:spacing w:val="-2"/>
        </w:rPr>
        <w:t>A.</w:t>
      </w:r>
      <w:r>
        <w:rPr>
          <w:spacing w:val="-2"/>
        </w:rPr>
        <w:t>在资产负债表日提供劳务交易的结果能够可靠估计的软件开发项目，采用完工百分比法（项目完工进度）确认软件开发收</w:t>
      </w:r>
      <w:r>
        <w:rPr>
          <w:spacing w:val="-59"/>
        </w:rPr>
        <w:t> </w:t>
      </w:r>
      <w:r>
        <w:rPr>
          <w:spacing w:val="-59"/>
        </w:rPr>
      </w:r>
      <w:r>
        <w:rPr/>
        <w:t>入。 </w:t>
      </w:r>
      <w:r>
        <w:rPr>
          <w:spacing w:val="-2"/>
        </w:rPr>
        <w:t>完工百分比的确定方法：按己经提供的工作量占应提供的工作总量的比例确定。由于本公司计算的已提供的工作量需要委托</w:t>
      </w:r>
      <w:r>
        <w:rPr>
          <w:spacing w:val="-64"/>
        </w:rPr>
        <w:t> </w:t>
      </w:r>
      <w:r>
        <w:rPr>
          <w:spacing w:val="-64"/>
        </w:rPr>
      </w:r>
      <w:r>
        <w:rPr/>
        <w:t>方认可，故本公司实际采用委托方认可的完工进度证明作为完工百分比的确定依据。 </w:t>
      </w:r>
      <w:r>
        <w:rPr>
          <w:rFonts w:ascii="Times New Roman" w:hAnsi="Times New Roman" w:cs="Times New Roman" w:eastAsia="Times New Roman" w:hint="default"/>
          <w:spacing w:val="-2"/>
        </w:rPr>
        <w:t>B.</w:t>
      </w:r>
      <w:r>
        <w:rPr>
          <w:spacing w:val="-2"/>
        </w:rPr>
        <w:t>对在资产负债表日提供劳务交易结果不能可靠估计的软件开发项目，如果已经发生的成本预计能够得到补偿，按能够得到</w:t>
      </w:r>
      <w:r>
        <w:rPr>
          <w:spacing w:val="-49"/>
        </w:rPr>
        <w:t> </w:t>
      </w:r>
      <w:r>
        <w:rPr>
          <w:spacing w:val="-49"/>
        </w:rPr>
      </w:r>
      <w:r>
        <w:rPr>
          <w:spacing w:val="-2"/>
        </w:rPr>
        <w:t>补偿的金额确认收入，并按相同的金额结转成本；如果已经发生的成本预计不能全部得到补偿，按能够得到补偿的开发成本</w:t>
      </w:r>
      <w:r>
        <w:rPr>
          <w:spacing w:val="-65"/>
        </w:rPr>
        <w:t> </w:t>
      </w:r>
      <w:r>
        <w:rPr>
          <w:spacing w:val="-65"/>
        </w:rPr>
      </w:r>
      <w:r>
        <w:rPr>
          <w:spacing w:val="-2"/>
        </w:rPr>
        <w:t>金额确认收入，并按已发生的成本结转成本，确认的收入金额小于已经发生的成本的差额，确认为损失；如果已发生的成本</w:t>
      </w:r>
      <w:r>
        <w:rPr>
          <w:spacing w:val="-66"/>
        </w:rPr>
        <w:t> </w:t>
      </w:r>
      <w:r>
        <w:rPr>
          <w:spacing w:val="-66"/>
        </w:rPr>
      </w:r>
      <w:r>
        <w:rPr/>
        <w:t>全部不能得到补偿，则不确认收入，但将已发生的成本确认为费用。</w:t>
      </w:r>
    </w:p>
    <w:p>
      <w:pPr>
        <w:pStyle w:val="BodyText"/>
        <w:spacing w:line="316" w:lineRule="auto" w:before="20"/>
        <w:ind w:right="92"/>
        <w:jc w:val="left"/>
      </w:pPr>
      <w:r>
        <w:rPr>
          <w:spacing w:val="-4"/>
        </w:rPr>
        <w:t>②软件产品销售收入：软件产品销售收入是指自行开发生产的计算机软件所获得的收入。该应用软件产品的特点是通用性强、</w:t>
      </w:r>
      <w:r>
        <w:rPr>
          <w:spacing w:val="-44"/>
        </w:rPr>
        <w:t> </w:t>
      </w:r>
      <w:r>
        <w:rPr>
          <w:spacing w:val="-44"/>
        </w:rPr>
      </w:r>
      <w:r>
        <w:rPr/>
        <w:t>不需要进行本地化开发，通过产品配置、技术培训就能够满足客户对产品的应用需求。其收入确认的原则及方法为：</w:t>
      </w:r>
    </w:p>
    <w:p>
      <w:pPr>
        <w:pStyle w:val="BodyText"/>
        <w:spacing w:line="316" w:lineRule="auto" w:before="19"/>
        <w:ind w:right="92" w:firstLine="290"/>
        <w:jc w:val="left"/>
      </w:pPr>
      <w:r>
        <w:rPr>
          <w:spacing w:val="-1"/>
        </w:rPr>
        <w:t>本公司在软件产品使用权的重要风险和报酬转移给买方、不再对该软件产品使用权实施继续管理权和实际控制权、相关</w:t>
      </w:r>
      <w:r>
        <w:rPr/>
        <w:t> 的收入已经收到或取得了收款的证据、并且与销售该软件产品有关的成本能够可靠地计量时，确认销售收入。</w:t>
      </w:r>
    </w:p>
    <w:p>
      <w:pPr>
        <w:pStyle w:val="BodyText"/>
        <w:spacing w:line="300" w:lineRule="auto" w:before="19"/>
        <w:ind w:left="444" w:right="92" w:hanging="291"/>
        <w:jc w:val="left"/>
      </w:pPr>
      <w:r>
        <w:rPr/>
        <w:t>（</w:t>
      </w:r>
      <w:r>
        <w:rPr>
          <w:rFonts w:ascii="Times New Roman" w:hAnsi="Times New Roman" w:cs="Times New Roman" w:eastAsia="Times New Roman" w:hint="default"/>
        </w:rPr>
        <w:t>2</w:t>
      </w:r>
      <w:r>
        <w:rPr/>
        <w:t>）技术服务收入的确认原则及方法 </w:t>
      </w:r>
      <w:r>
        <w:rPr>
          <w:spacing w:val="-1"/>
        </w:rPr>
        <w:t>本公司技术服务特点是在服务期间内及时解决客户提出的问题，满足服务要求。服务合同期限过后，合同自动终止。其</w:t>
      </w:r>
    </w:p>
    <w:p>
      <w:pPr>
        <w:pStyle w:val="BodyText"/>
        <w:spacing w:line="240" w:lineRule="auto" w:before="31"/>
        <w:ind w:right="92"/>
        <w:jc w:val="left"/>
      </w:pPr>
      <w:r>
        <w:rPr/>
        <w:t>收入确认的原则及方法为：在劳务已经提供，收到价款或取得收取款项的证据时，确认劳务收入。</w:t>
      </w:r>
    </w:p>
    <w:p>
      <w:pPr>
        <w:pStyle w:val="BodyText"/>
        <w:spacing w:line="300" w:lineRule="auto" w:before="76"/>
        <w:ind w:left="444" w:right="92" w:hanging="291"/>
        <w:jc w:val="left"/>
      </w:pPr>
      <w:r>
        <w:rPr/>
        <w:t>（</w:t>
      </w:r>
      <w:r>
        <w:rPr>
          <w:rFonts w:ascii="Times New Roman" w:hAnsi="Times New Roman" w:cs="Times New Roman" w:eastAsia="Times New Roman" w:hint="default"/>
        </w:rPr>
        <w:t>3</w:t>
      </w:r>
      <w:r>
        <w:rPr/>
        <w:t>）系统集成工程的确认原则及方法 </w:t>
      </w:r>
      <w:r>
        <w:rPr>
          <w:spacing w:val="-1"/>
        </w:rPr>
        <w:t>系统集成工程：是指公司为客户实施系统集成工程时，应客户要求代其外购硬件系统并安装集成所获得的收入。其收入</w:t>
      </w:r>
    </w:p>
    <w:p>
      <w:pPr>
        <w:pStyle w:val="BodyText"/>
        <w:spacing w:line="316" w:lineRule="auto" w:before="31"/>
        <w:ind w:left="444" w:right="92" w:hanging="291"/>
        <w:jc w:val="left"/>
      </w:pPr>
      <w:r>
        <w:rPr/>
        <w:t>确认的原则及方法为： </w:t>
      </w:r>
      <w:r>
        <w:rPr>
          <w:spacing w:val="-1"/>
        </w:rPr>
        <w:t>系统集成工程项目软硬件系统所有权上的主要风险和报酬转移给买方，公司不再对其实施继续管理权和实际控制权，相</w:t>
      </w:r>
    </w:p>
    <w:p>
      <w:pPr>
        <w:pStyle w:val="BodyText"/>
        <w:spacing w:line="240" w:lineRule="auto" w:before="19"/>
        <w:ind w:right="92"/>
        <w:jc w:val="left"/>
      </w:pPr>
      <w:r>
        <w:rPr/>
        <w:t>关的收入已经收到或取得了收款的证据，与销售该软硬件系统有关的成本能够可靠地计量时，确认销售收入。</w:t>
      </w:r>
    </w:p>
    <w:p>
      <w:pPr>
        <w:pStyle w:val="BodyText"/>
        <w:spacing w:line="300" w:lineRule="auto" w:before="77"/>
        <w:ind w:left="444" w:right="88" w:hanging="291"/>
        <w:jc w:val="left"/>
      </w:pPr>
      <w:r>
        <w:rPr/>
        <w:t>（</w:t>
      </w:r>
      <w:r>
        <w:rPr>
          <w:rFonts w:ascii="Times New Roman" w:hAnsi="Times New Roman" w:cs="Times New Roman" w:eastAsia="Times New Roman" w:hint="default"/>
        </w:rPr>
        <w:t>4</w:t>
      </w:r>
      <w:r>
        <w:rPr/>
        <w:t>）电信增值业务收入的确认原则及方法 </w:t>
      </w:r>
      <w:r>
        <w:rPr>
          <w:spacing w:val="-2"/>
        </w:rPr>
        <w:t>电信增值业务是指由本公司提供软、硬件设备，中国联通、中国电信等电信运营商提供通信网络和客户资源的合作业务，</w:t>
      </w:r>
    </w:p>
    <w:p>
      <w:pPr>
        <w:pStyle w:val="BodyText"/>
        <w:spacing w:line="316" w:lineRule="auto" w:before="31"/>
        <w:ind w:left="444" w:right="92" w:hanging="291"/>
        <w:jc w:val="left"/>
      </w:pPr>
      <w:r>
        <w:rPr/>
        <w:t>双方按协议约定比例对取得的信息费（或功能费）收入进行分成。 </w:t>
      </w:r>
      <w:r>
        <w:rPr>
          <w:spacing w:val="-1"/>
        </w:rPr>
        <w:t>电信增值业务收入的确认原则及方法为：根据电信运营商提供的结算报表，依据合同约定的费率、分成比例计算确认收</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入。</w:t>
      </w:r>
    </w:p>
    <w:p>
      <w:pPr>
        <w:pStyle w:val="BodyText"/>
        <w:spacing w:line="300" w:lineRule="auto" w:before="76"/>
        <w:ind w:left="516" w:right="0" w:hanging="363"/>
        <w:jc w:val="left"/>
      </w:pPr>
      <w:r>
        <w:rPr/>
        <w:t>（</w:t>
      </w:r>
      <w:r>
        <w:rPr>
          <w:rFonts w:ascii="Times New Roman" w:hAnsi="Times New Roman" w:cs="Times New Roman" w:eastAsia="Times New Roman" w:hint="default"/>
        </w:rPr>
        <w:t>5</w:t>
      </w:r>
      <w:r>
        <w:rPr/>
        <w:t>）网络产品分销业务收入的确认原则及方法 </w:t>
      </w:r>
      <w:r>
        <w:rPr>
          <w:spacing w:val="-2"/>
        </w:rPr>
        <w:t>网络产品销售所有权上的主要风险和报酬转移给买方，公司不再对其实施继续管理权和实际控制权，相关的收入已经收</w:t>
      </w:r>
    </w:p>
    <w:p>
      <w:pPr>
        <w:pStyle w:val="BodyText"/>
        <w:spacing w:line="240" w:lineRule="auto" w:before="31"/>
        <w:ind w:right="0"/>
        <w:jc w:val="left"/>
      </w:pPr>
      <w:r>
        <w:rPr/>
        <w:t>到或取得了收款的证据，与销售该网络产品有关的成本能够可靠地计量时，确认销售收入。</w:t>
      </w:r>
    </w:p>
    <w:p>
      <w:pPr>
        <w:pStyle w:val="BodyText"/>
        <w:spacing w:line="240" w:lineRule="auto" w:before="77"/>
        <w:ind w:right="0"/>
        <w:jc w:val="left"/>
      </w:pPr>
      <w:r>
        <w:rPr/>
        <w:t>（</w:t>
      </w:r>
      <w:r>
        <w:rPr>
          <w:rFonts w:ascii="Times New Roman" w:hAnsi="Times New Roman" w:cs="Times New Roman" w:eastAsia="Times New Roman" w:hint="default"/>
        </w:rPr>
        <w:t>6</w:t>
      </w:r>
      <w:r>
        <w:rPr/>
        <w:t>）让渡资产使用权收入包括利息收入、使用费收入。</w:t>
      </w:r>
    </w:p>
    <w:p>
      <w:pPr>
        <w:pStyle w:val="BodyText"/>
        <w:spacing w:line="240" w:lineRule="auto" w:before="63"/>
        <w:ind w:right="0"/>
        <w:jc w:val="left"/>
      </w:pPr>
      <w:r>
        <w:rPr/>
        <w:t>①利息收入金额，按照他人使用本企业货币资金的时间和实际利率计算确定；</w:t>
      </w:r>
    </w:p>
    <w:p>
      <w:pPr>
        <w:pStyle w:val="BodyText"/>
        <w:spacing w:line="240" w:lineRule="auto" w:before="76"/>
        <w:ind w:right="0"/>
        <w:jc w:val="left"/>
      </w:pPr>
      <w:r>
        <w:rPr/>
        <w:t>②使用费收入金额，按照有关合同或协议约定的收费时间和方法计算确定。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与购建固定资产、无形资产等长期资产相关的政府补助，确认为递延收益，按照所建造或购买的资产使用年限分期计入</w:t>
      </w:r>
      <w:r>
        <w:rPr/>
        <w:t> 营业外收入；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02" w:firstLine="290"/>
        <w:jc w:val="left"/>
      </w:pPr>
      <w:r>
        <w:rPr/>
        <w:t>对于可抵扣暂时性差异确认递延所得税资产，以未来期间很可能取得的用来抵扣可抵扣暂时性差异的应纳税所得额为 限。</w:t>
      </w:r>
    </w:p>
    <w:p>
      <w:pPr>
        <w:pStyle w:val="BodyText"/>
        <w:spacing w:line="316" w:lineRule="auto" w:before="19"/>
        <w:ind w:left="444" w:right="0"/>
        <w:jc w:val="left"/>
      </w:pPr>
      <w:r>
        <w:rPr/>
        <w:t>对于应纳税暂时性差异，除特殊情况外，确认递延所得税负债。 </w:t>
      </w:r>
      <w:r>
        <w:rPr>
          <w:spacing w:val="-1"/>
        </w:rPr>
        <w:t>不确认递延所得税资产或递延所得税负债的特殊情况包括：商誉的初始确认；除企业合并以外的发生时既不影响会计利</w:t>
      </w:r>
    </w:p>
    <w:p>
      <w:pPr>
        <w:pStyle w:val="BodyText"/>
        <w:spacing w:line="316" w:lineRule="auto" w:before="19"/>
        <w:ind w:left="444" w:right="0" w:hanging="291"/>
        <w:jc w:val="left"/>
      </w:pPr>
      <w:r>
        <w:rPr/>
        <w:t>润也不影响应纳税所得额（或可抵扣亏损）的其他交易或事项。 </w:t>
      </w:r>
      <w:r>
        <w:rPr>
          <w:spacing w:val="-1"/>
        </w:rPr>
        <w:t>当拥有以净额结算的法定权利，且意图以净额结算或取得资产、清偿负债同时进行时，本公司当期所得税资产及当期所</w:t>
      </w:r>
    </w:p>
    <w:p>
      <w:pPr>
        <w:pStyle w:val="BodyText"/>
        <w:spacing w:line="316" w:lineRule="auto" w:before="19"/>
        <w:ind w:left="516" w:right="0" w:hanging="363"/>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5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4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spacing w:after="0" w:line="312"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4" w:lineRule="auto" w:before="44"/>
        <w:ind w:right="18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）公司出租资产所收取的租赁费，在不扣除免租期的整个租赁期内，按直线法进行分摊，确认为租赁收入。公司支付的 </w:t>
      </w:r>
      <w:r>
        <w:rPr>
          <w:spacing w:val="-2"/>
        </w:rPr>
        <w:t>与租赁交易相关的初始直接费用，计入当期费用；如金额较大的，则予以资本化，在整个租赁期间内按照与租赁收入确认相</w:t>
      </w:r>
      <w:r>
        <w:rPr>
          <w:spacing w:val="-66"/>
        </w:rPr>
        <w:t> </w:t>
      </w:r>
      <w:r>
        <w:rPr>
          <w:spacing w:val="-66"/>
        </w:rPr>
      </w:r>
      <w:r>
        <w:rPr/>
        <w:t>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9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93"/>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309" w:lineRule="auto" w:before="24"/>
        <w:ind w:right="92"/>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92"/>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10"/>
        <w:ind w:right="4232"/>
        <w:jc w:val="left"/>
      </w:pPr>
      <w:r>
        <w:rPr/>
        <w:t>（</w:t>
      </w:r>
      <w:r>
        <w:rPr>
          <w:rFonts w:ascii="Times New Roman" w:hAnsi="Times New Roman" w:cs="Times New Roman" w:eastAsia="Times New Roman" w:hint="default"/>
        </w:rPr>
        <w:t>1</w:t>
      </w:r>
      <w:r>
        <w:rPr/>
        <w:t>）执行财政部于</w:t>
      </w:r>
      <w:r>
        <w:rPr>
          <w:rFonts w:ascii="Times New Roman" w:hAnsi="Times New Roman" w:cs="Times New Roman" w:eastAsia="Times New Roman" w:hint="default"/>
        </w:rPr>
        <w:t>2014</w:t>
      </w:r>
      <w:r>
        <w:rPr/>
        <w:t>年修订及新颁布的准则 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13"/>
        <w:ind w:right="92"/>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63"/>
        <w:ind w:right="92"/>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63"/>
        <w:ind w:right="92"/>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63"/>
        <w:ind w:right="92"/>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63"/>
        <w:ind w:right="92"/>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63"/>
        <w:ind w:right="92"/>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63"/>
        <w:ind w:right="92"/>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63"/>
        <w:ind w:right="92"/>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240" w:lineRule="auto" w:before="63"/>
        <w:ind w:right="92"/>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240" w:lineRule="auto" w:before="63"/>
        <w:ind w:right="92"/>
        <w:jc w:val="left"/>
      </w:pPr>
      <w:r>
        <w:rPr/>
        <w:t>（</w:t>
      </w:r>
      <w:r>
        <w:rPr>
          <w:rFonts w:ascii="Times New Roman" w:hAnsi="Times New Roman" w:cs="Times New Roman" w:eastAsia="Times New Roman" w:hint="default"/>
        </w:rPr>
        <w:t>2</w:t>
      </w:r>
      <w:r>
        <w:rPr/>
        <w:t>）本公司执行上述企业会计准则的主要影响如下：</w:t>
      </w:r>
    </w:p>
    <w:p>
      <w:pPr>
        <w:pStyle w:val="BodyText"/>
        <w:spacing w:line="300" w:lineRule="auto" w:before="63"/>
        <w:ind w:right="182"/>
        <w:jc w:val="left"/>
      </w:pPr>
      <w:r>
        <w:rPr/>
        <w:t>①执行《企业会计准则第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 本公司根据《企业会计准则第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长期股权投资》（修订）将本公司本期新增的对被投资单位不具有共同控制或重大影 响，并且在活跃市场中没有报价、公允价值不能可靠计量的投资从长期股权投资中分类至可供出售金融资产核算。</w:t>
      </w:r>
    </w:p>
    <w:p>
      <w:pPr>
        <w:pStyle w:val="BodyText"/>
        <w:spacing w:line="300" w:lineRule="auto" w:before="31"/>
        <w:ind w:right="182"/>
        <w:jc w:val="left"/>
      </w:pPr>
      <w:r>
        <w:rPr/>
        <w:t>②执行《企业会计准则第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 本公司根据《企业会计准则第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职工薪酬》（修订）将本公司的应付职工薪酬分为短期薪酬和设定提存计划，并进行 了追溯调整，该调整主要影响财务报告附注披露。</w:t>
      </w:r>
    </w:p>
    <w:p>
      <w:pPr>
        <w:pStyle w:val="BodyText"/>
        <w:spacing w:line="300" w:lineRule="auto" w:before="31"/>
        <w:ind w:right="92"/>
        <w:jc w:val="left"/>
      </w:pPr>
      <w:r>
        <w:rPr/>
        <w:t>③执行《企业会计准则第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 </w:t>
      </w:r>
      <w:r>
        <w:rPr>
          <w:spacing w:val="-2"/>
        </w:rPr>
        <w:t>本公司根据《企业会计准则第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财务报表列报》（修订）将属于政府补助的其他非流动负债重分类至递延收益，并进</w:t>
      </w:r>
      <w:r>
        <w:rPr>
          <w:spacing w:val="-64"/>
        </w:rPr>
        <w:t> </w:t>
      </w:r>
      <w:r>
        <w:rPr>
          <w:spacing w:val="-64"/>
        </w:rPr>
      </w:r>
      <w:r>
        <w:rPr/>
        <w:t>行了追溯调整。</w:t>
      </w:r>
    </w:p>
    <w:p>
      <w:pPr>
        <w:spacing w:after="0" w:line="300" w:lineRule="auto"/>
        <w:jc w:val="left"/>
        <w:sectPr>
          <w:footerReference w:type="default" r:id="rId25"/>
          <w:pgSz w:w="11910" w:h="16840"/>
          <w:pgMar w:footer="979" w:header="747" w:top="1060" w:bottom="1160" w:left="980" w:right="940"/>
          <w:pgNumType w:start="117"/>
        </w:sectPr>
      </w:pPr>
    </w:p>
    <w:p>
      <w:pPr>
        <w:spacing w:line="240" w:lineRule="auto" w:before="9"/>
        <w:rPr>
          <w:rFonts w:ascii="宋体" w:hAnsi="宋体" w:cs="宋体" w:eastAsia="宋体" w:hint="default"/>
          <w:sz w:val="24"/>
          <w:szCs w:val="24"/>
        </w:rPr>
      </w:pPr>
    </w:p>
    <w:p>
      <w:pPr>
        <w:pStyle w:val="Heading3"/>
        <w:spacing w:line="240" w:lineRule="auto" w:before="35"/>
        <w:ind w:left="871" w:right="0"/>
        <w:jc w:val="left"/>
        <w:rPr>
          <w:b w:val="0"/>
          <w:bCs w:val="0"/>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b w:val="0"/>
          <w:bCs w:val="0"/>
        </w:rPr>
      </w:r>
    </w:p>
    <w:p>
      <w:pPr>
        <w:spacing w:line="240" w:lineRule="auto" w:before="10"/>
        <w:rPr>
          <w:rFonts w:ascii="宋体" w:hAnsi="宋体" w:cs="宋体" w:eastAsia="宋体" w:hint="default"/>
          <w:b/>
          <w:bCs/>
          <w:sz w:val="2"/>
          <w:szCs w:val="2"/>
        </w:rPr>
      </w:pPr>
    </w:p>
    <w:tbl>
      <w:tblPr>
        <w:tblW w:w="0" w:type="auto"/>
        <w:jc w:val="left"/>
        <w:tblInd w:w="714" w:type="dxa"/>
        <w:tblLayout w:type="fixed"/>
        <w:tblCellMar>
          <w:top w:w="0" w:type="dxa"/>
          <w:left w:w="0" w:type="dxa"/>
          <w:bottom w:w="0" w:type="dxa"/>
          <w:right w:w="0" w:type="dxa"/>
        </w:tblCellMar>
        <w:tblLook w:val="01E0"/>
      </w:tblPr>
      <w:tblGrid>
        <w:gridCol w:w="2472"/>
        <w:gridCol w:w="2417"/>
        <w:gridCol w:w="1493"/>
        <w:gridCol w:w="1441"/>
      </w:tblGrid>
      <w:tr>
        <w:trPr>
          <w:trHeight w:val="694" w:hRule="exact"/>
        </w:trPr>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9" w:right="21" w:hanging="540"/>
              <w:jc w:val="left"/>
              <w:rPr>
                <w:rFonts w:ascii="宋体" w:hAnsi="宋体" w:cs="宋体" w:eastAsia="宋体" w:hint="default"/>
                <w:sz w:val="18"/>
                <w:szCs w:val="18"/>
              </w:rPr>
            </w:pPr>
            <w:r>
              <w:rPr>
                <w:rFonts w:ascii="宋体" w:hAnsi="宋体" w:cs="宋体" w:eastAsia="宋体" w:hint="default"/>
                <w:sz w:val="18"/>
                <w:szCs w:val="18"/>
              </w:rPr>
              <w:t>会计政策变更的内容及其对本 公司的影响说明</w:t>
            </w:r>
          </w:p>
        </w:tc>
        <w:tc>
          <w:tcPr>
            <w:tcW w:w="2934" w:type="dxa"/>
            <w:gridSpan w:val="2"/>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996" w:right="40" w:hanging="99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日相关财务报表项目 的影响金额</w:t>
            </w:r>
          </w:p>
        </w:tc>
      </w:tr>
      <w:tr>
        <w:trPr>
          <w:trHeight w:val="659" w:hRule="exact"/>
        </w:trPr>
        <w:tc>
          <w:tcPr>
            <w:tcW w:w="2472" w:type="dxa"/>
            <w:vMerge w:val="restart"/>
            <w:tcBorders>
              <w:top w:val="single" w:sz="6" w:space="0" w:color="000000"/>
              <w:left w:val="single" w:sz="6" w:space="0" w:color="000000"/>
              <w:right w:val="single" w:sz="6" w:space="0" w:color="000000"/>
            </w:tcBorders>
          </w:tcPr>
          <w:p>
            <w:pPr>
              <w:pStyle w:val="TableParagraph"/>
              <w:spacing w:line="300" w:lineRule="auto" w:before="21"/>
              <w:ind w:left="18" w:right="97"/>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2417" w:type="dxa"/>
            <w:vMerge w:val="restart"/>
            <w:tcBorders>
              <w:top w:val="single" w:sz="6" w:space="0" w:color="000000"/>
              <w:left w:val="single" w:sz="6" w:space="0" w:color="000000"/>
              <w:right w:val="single" w:sz="6" w:space="0" w:color="000000"/>
            </w:tcBorders>
          </w:tcPr>
          <w:p>
            <w:pPr>
              <w:pStyle w:val="TableParagraph"/>
              <w:spacing w:line="240" w:lineRule="auto" w:before="21"/>
              <w:ind w:left="129"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p>
            <w:pPr>
              <w:pStyle w:val="TableParagraph"/>
              <w:spacing w:line="300" w:lineRule="auto" w:before="63"/>
              <w:ind w:left="39"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 订）》及应用指南的相关规定</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319" w:lineRule="auto" w:before="21"/>
              <w:ind w:left="234" w:right="265"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8" w:hRule="exact"/>
        </w:trPr>
        <w:tc>
          <w:tcPr>
            <w:tcW w:w="2472" w:type="dxa"/>
            <w:vMerge/>
            <w:tcBorders>
              <w:left w:val="single" w:sz="6" w:space="0" w:color="000000"/>
              <w:right w:val="single" w:sz="6" w:space="0" w:color="000000"/>
            </w:tcBorders>
          </w:tcPr>
          <w:p>
            <w:pPr/>
          </w:p>
        </w:tc>
        <w:tc>
          <w:tcPr>
            <w:tcW w:w="2417" w:type="dxa"/>
            <w:vMerge/>
            <w:tcBorders>
              <w:left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+20,242,739.73</w:t>
            </w:r>
          </w:p>
        </w:tc>
      </w:tr>
      <w:tr>
        <w:trPr>
          <w:trHeight w:val="347" w:hRule="exact"/>
        </w:trPr>
        <w:tc>
          <w:tcPr>
            <w:tcW w:w="2472" w:type="dxa"/>
            <w:vMerge/>
            <w:tcBorders>
              <w:left w:val="single" w:sz="6" w:space="0" w:color="000000"/>
              <w:bottom w:val="single" w:sz="6" w:space="0" w:color="000000"/>
              <w:right w:val="single" w:sz="6" w:space="0" w:color="000000"/>
            </w:tcBorders>
          </w:tcPr>
          <w:p>
            <w:pPr/>
          </w:p>
        </w:tc>
        <w:tc>
          <w:tcPr>
            <w:tcW w:w="2417" w:type="dxa"/>
            <w:vMerge/>
            <w:tcBorders>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-20,242,739.73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一般纳税人按应税收入的税率计算销项 税，并按扣除当期允许抵扣的进项税额 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上海天缘迪柯信息技术有限公司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成都魔比互联科技有限公司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8571"/>
        <w:jc w:val="left"/>
      </w:pPr>
      <w:r>
        <w:rPr>
          <w:rFonts w:ascii="Times New Roman" w:hAnsi="Times New Roman" w:cs="Times New Roman" w:eastAsia="Times New Roman" w:hint="default"/>
        </w:rPr>
        <w:t>1</w:t>
      </w:r>
      <w:r>
        <w:rPr/>
        <w:t>、</w:t>
      </w:r>
      <w:r>
        <w:rPr>
          <w:spacing w:val="-19"/>
        </w:rPr>
        <w:t> </w:t>
      </w:r>
      <w:r>
        <w:rPr/>
        <w:t>企业所得税</w:t>
      </w:r>
      <w:r>
        <w:rPr/>
        <w:t> 本公司：</w:t>
      </w:r>
    </w:p>
    <w:p>
      <w:pPr>
        <w:pStyle w:val="BodyText"/>
        <w:spacing w:line="300" w:lineRule="auto" w:before="31"/>
        <w:ind w:right="192" w:firstLine="29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月，本公司通过复审再次被认定为国家高新技术企业，认定有效期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2014</w:t>
      </w:r>
      <w:r>
        <w:rPr/>
        <w:t>年起至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税率征收 企业所得税。</w:t>
      </w:r>
    </w:p>
    <w:p>
      <w:pPr>
        <w:pStyle w:val="BodyText"/>
        <w:spacing w:line="240" w:lineRule="auto" w:before="31"/>
        <w:ind w:left="516" w:right="9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月，根据国家发展和改革委员会、工业和信息化部、财政部、商务部、国家税务总局联合下发的《关于认定</w:t>
      </w:r>
    </w:p>
    <w:p>
      <w:pPr>
        <w:pStyle w:val="BodyText"/>
        <w:spacing w:line="300" w:lineRule="auto" w:before="63"/>
        <w:ind w:right="180"/>
        <w:jc w:val="left"/>
      </w:pPr>
      <w:r>
        <w:rPr>
          <w:rFonts w:ascii="Times New Roman" w:hAnsi="Times New Roman" w:cs="Times New Roman" w:eastAsia="Times New Roman" w:hint="default"/>
        </w:rPr>
        <w:t>2013-2014</w:t>
      </w:r>
      <w:r>
        <w:rPr/>
        <w:t>年度国家规划布局内重点软件企业和集成电路设计企业的通知》，本公司被认定为</w:t>
      </w:r>
      <w:r>
        <w:rPr>
          <w:rFonts w:ascii="Times New Roman" w:hAnsi="Times New Roman" w:cs="Times New Roman" w:eastAsia="Times New Roman" w:hint="default"/>
        </w:rPr>
        <w:t>“2013</w:t>
      </w:r>
      <w:r>
        <w:rPr>
          <w:rFonts w:ascii="Times New Roman" w:hAnsi="Times New Roman" w:cs="Times New Roman" w:eastAsia="Times New Roman" w:hint="default"/>
        </w:rPr>
        <w:t>-2014</w:t>
      </w:r>
      <w:r>
        <w:rPr/>
        <w:t>年度国家规划布局 </w:t>
      </w:r>
      <w:r>
        <w:rPr>
          <w:spacing w:val="-1"/>
        </w:rPr>
        <w:t>内重点软件企业</w:t>
      </w:r>
      <w:r>
        <w:rPr>
          <w:rFonts w:ascii="Times New Roman" w:hAnsi="Times New Roman" w:cs="Times New Roman" w:eastAsia="Times New Roman" w:hint="default"/>
          <w:spacing w:val="-1"/>
        </w:rPr>
        <w:t>”</w:t>
      </w:r>
      <w:r>
        <w:rPr>
          <w:spacing w:val="-1"/>
        </w:rPr>
        <w:t>。根据财税</w:t>
      </w:r>
      <w:r>
        <w:rPr>
          <w:rFonts w:ascii="Times New Roman" w:hAnsi="Times New Roman" w:cs="Times New Roman" w:eastAsia="Times New Roman" w:hint="default"/>
          <w:spacing w:val="-1"/>
        </w:rPr>
        <w:t>[2008]1</w:t>
      </w:r>
      <w:r>
        <w:rPr>
          <w:spacing w:val="-1"/>
        </w:rPr>
        <w:t>号《财政部、国家税务总局关于企业所得税若干优惠政策的通知》的规定，国家规划布</w:t>
      </w:r>
      <w:r>
        <w:rPr>
          <w:spacing w:val="-49"/>
        </w:rPr>
        <w:t> </w:t>
      </w:r>
      <w:r>
        <w:rPr>
          <w:spacing w:val="-49"/>
        </w:rPr>
      </w:r>
      <w:r>
        <w:rPr>
          <w:spacing w:val="-1"/>
        </w:rPr>
        <w:t>局内的重点软件生产企业，如当年未享受免税优惠的，减按</w:t>
      </w:r>
      <w:r>
        <w:rPr>
          <w:rFonts w:ascii="Times New Roman" w:hAnsi="Times New Roman" w:cs="Times New Roman" w:eastAsia="Times New Roman" w:hint="default"/>
          <w:spacing w:val="-1"/>
        </w:rPr>
        <w:t>10</w:t>
      </w:r>
      <w:r>
        <w:rPr>
          <w:spacing w:val="-1"/>
        </w:rPr>
        <w:t>％的税率征收企业所得税。故本公司</w:t>
      </w:r>
      <w:r>
        <w:rPr>
          <w:rFonts w:ascii="Times New Roman" w:hAnsi="Times New Roman" w:cs="Times New Roman" w:eastAsia="Times New Roman" w:hint="default"/>
          <w:spacing w:val="-1"/>
        </w:rPr>
        <w:t>2014</w:t>
      </w:r>
      <w:r>
        <w:rPr>
          <w:spacing w:val="-1"/>
        </w:rPr>
        <w:t>年度减按</w:t>
      </w:r>
      <w:r>
        <w:rPr>
          <w:rFonts w:ascii="Times New Roman" w:hAnsi="Times New Roman" w:cs="Times New Roman" w:eastAsia="Times New Roman" w:hint="default"/>
          <w:spacing w:val="-1"/>
        </w:rPr>
        <w:t>10%</w:t>
      </w:r>
      <w:r>
        <w:rPr>
          <w:spacing w:val="-1"/>
        </w:rPr>
        <w:t>的税率</w:t>
      </w:r>
      <w:r>
        <w:rPr>
          <w:spacing w:val="-83"/>
        </w:rPr>
        <w:t> </w:t>
      </w:r>
      <w:r>
        <w:rPr/>
        <w:t>征收企业所得税。</w:t>
      </w:r>
    </w:p>
    <w:p>
      <w:pPr>
        <w:pStyle w:val="BodyText"/>
        <w:spacing w:line="240" w:lineRule="auto" w:before="31"/>
        <w:ind w:right="92"/>
        <w:jc w:val="left"/>
      </w:pPr>
      <w:r>
        <w:rPr/>
        <w:t>上海天缘迪柯：</w:t>
      </w:r>
    </w:p>
    <w:p>
      <w:pPr>
        <w:pStyle w:val="BodyText"/>
        <w:spacing w:line="300" w:lineRule="auto" w:before="76"/>
        <w:ind w:right="92" w:firstLine="29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月，根据《财政部、国家税务总局关于进一步鼓励软件产品和集成电路产业发展企业所得税政策的通知》（财 </w:t>
      </w:r>
      <w:r>
        <w:rPr>
          <w:spacing w:val="-1"/>
        </w:rPr>
        <w:t>税</w:t>
      </w:r>
      <w:r>
        <w:rPr>
          <w:rFonts w:ascii="Times New Roman" w:hAnsi="Times New Roman" w:cs="Times New Roman" w:eastAsia="Times New Roman" w:hint="default"/>
          <w:spacing w:val="-1"/>
        </w:rPr>
        <w:t>[2012]27</w:t>
      </w:r>
      <w:r>
        <w:rPr>
          <w:spacing w:val="-1"/>
        </w:rPr>
        <w:t>号文）和上海市浦东新区地方税务局关于《企业所得税优惠事先备案结果通知书》（浦东十五所备</w:t>
      </w:r>
      <w:r>
        <w:rPr>
          <w:rFonts w:ascii="Times New Roman" w:hAnsi="Times New Roman" w:cs="Times New Roman" w:eastAsia="Times New Roman" w:hint="default"/>
          <w:spacing w:val="-1"/>
        </w:rPr>
        <w:t>&lt;2013&gt;038</w:t>
      </w:r>
      <w:r>
        <w:rPr>
          <w:spacing w:val="-1"/>
        </w:rPr>
        <w:t>号）</w:t>
      </w:r>
      <w:r>
        <w:rPr>
          <w:spacing w:val="-74"/>
        </w:rPr>
        <w:t> </w:t>
      </w:r>
      <w:r>
        <w:rPr/>
        <w:t>规定，本公司之子公司上海天缘迪柯自</w:t>
      </w:r>
      <w:r>
        <w:rPr>
          <w:rFonts w:ascii="Times New Roman" w:hAnsi="Times New Roman" w:cs="Times New Roman" w:eastAsia="Times New Roman" w:hint="default"/>
        </w:rPr>
        <w:t>2012</w:t>
      </w:r>
      <w:r>
        <w:rPr/>
        <w:t>年度起，第一年至第二年免征企业所得税，第三年至第五年按照</w:t>
      </w:r>
      <w:r>
        <w:rPr>
          <w:rFonts w:ascii="Times New Roman" w:hAnsi="Times New Roman" w:cs="Times New Roman" w:eastAsia="Times New Roman" w:hint="default"/>
        </w:rPr>
        <w:t>25%</w:t>
      </w:r>
      <w:r>
        <w:rPr/>
        <w:t>的法定税率 减半征收企业所得税，并享受至期满为止。故本公司之子公司上海天缘迪柯</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12.5%</w:t>
      </w:r>
      <w:r>
        <w:rPr/>
        <w:t>的税率征收企业所得税。 北京天源迪科：</w:t>
      </w:r>
    </w:p>
    <w:p>
      <w:pPr>
        <w:pStyle w:val="BodyText"/>
        <w:spacing w:line="240" w:lineRule="auto" w:before="31"/>
        <w:ind w:left="444" w:right="92"/>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月，本公司之子公司北京天源迪科被认定为高新技术企业，证书编号为</w:t>
      </w:r>
      <w:r>
        <w:rPr>
          <w:rFonts w:ascii="Times New Roman" w:hAnsi="Times New Roman" w:cs="Times New Roman" w:eastAsia="Times New Roman" w:hint="default"/>
        </w:rPr>
        <w:t>GR201311000291</w:t>
      </w:r>
      <w:r>
        <w:rPr/>
        <w:t>，自</w:t>
      </w:r>
      <w:r>
        <w:rPr>
          <w:rFonts w:ascii="Times New Roman" w:hAnsi="Times New Roman" w:cs="Times New Roman" w:eastAsia="Times New Roman" w:hint="default"/>
        </w:rPr>
        <w:t>2013</w:t>
      </w:r>
      <w:r>
        <w:rPr/>
        <w:t>年起至</w:t>
      </w:r>
      <w:r>
        <w:rPr>
          <w:rFonts w:ascii="Times New Roman" w:hAnsi="Times New Roman" w:cs="Times New Roman" w:eastAsia="Times New Roman" w:hint="default"/>
        </w:rPr>
        <w:t>2015</w:t>
      </w:r>
    </w:p>
    <w:p>
      <w:pPr>
        <w:pStyle w:val="BodyText"/>
        <w:spacing w:line="300" w:lineRule="auto" w:before="63"/>
        <w:ind w:left="444" w:right="222" w:hanging="291"/>
        <w:jc w:val="left"/>
      </w:pPr>
      <w:r>
        <w:rPr/>
        <w:t>年减按</w:t>
      </w:r>
      <w:r>
        <w:rPr>
          <w:rFonts w:ascii="Times New Roman" w:hAnsi="Times New Roman" w:cs="Times New Roman" w:eastAsia="Times New Roman" w:hint="default"/>
        </w:rPr>
        <w:t>15%</w:t>
      </w:r>
      <w:r>
        <w:rPr/>
        <w:t>税率征收企业所得税。 根据《财政部、国家税务总局关于进一步鼓励软件产品和集成电路产业发展企业所得税政策的通知》（财税</w:t>
      </w:r>
      <w:r>
        <w:rPr>
          <w:rFonts w:ascii="Times New Roman" w:hAnsi="Times New Roman" w:cs="Times New Roman" w:eastAsia="Times New Roman" w:hint="default"/>
        </w:rPr>
        <w:t>[2012]27</w:t>
      </w:r>
      <w:r>
        <w:rPr/>
        <w:t>号</w:t>
      </w:r>
    </w:p>
    <w:p>
      <w:pPr>
        <w:pStyle w:val="BodyText"/>
        <w:spacing w:line="300" w:lineRule="auto" w:before="13"/>
        <w:ind w:right="189"/>
        <w:jc w:val="both"/>
      </w:pPr>
      <w:r>
        <w:rPr>
          <w:spacing w:val="-2"/>
        </w:rPr>
        <w:t>文）和北京市海淀区地方税务局的减免税备案表，本公司之子公司北京天源迪科自</w:t>
      </w:r>
      <w:r>
        <w:rPr>
          <w:rFonts w:ascii="Times New Roman" w:hAnsi="Times New Roman" w:cs="Times New Roman" w:eastAsia="Times New Roman" w:hint="default"/>
          <w:spacing w:val="-2"/>
        </w:rPr>
        <w:t>2013</w:t>
      </w:r>
      <w:r>
        <w:rPr>
          <w:spacing w:val="-2"/>
        </w:rPr>
        <w:t>年度起，第一年至第二年免征企业所</w:t>
      </w:r>
      <w:r>
        <w:rPr>
          <w:spacing w:val="-62"/>
        </w:rPr>
        <w:t> </w:t>
      </w:r>
      <w:r>
        <w:rPr>
          <w:spacing w:val="-62"/>
        </w:rPr>
      </w:r>
      <w:r>
        <w:rPr>
          <w:spacing w:val="-1"/>
        </w:rPr>
        <w:t>得税，第三年至第五年按照</w:t>
      </w:r>
      <w:r>
        <w:rPr>
          <w:rFonts w:ascii="Times New Roman" w:hAnsi="Times New Roman" w:cs="Times New Roman" w:eastAsia="Times New Roman" w:hint="default"/>
          <w:spacing w:val="-1"/>
        </w:rPr>
        <w:t>25%</w:t>
      </w:r>
      <w:r>
        <w:rPr>
          <w:spacing w:val="-1"/>
        </w:rPr>
        <w:t>的法定税率减半征收企业所得税，并享受至期满为止，故本公司之子公司北京天源迪科</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9"/>
        </w:rPr>
        <w:t> </w:t>
      </w:r>
      <w:r>
        <w:rPr/>
        <w:t>年度免征企业所得税。</w:t>
      </w:r>
    </w:p>
    <w:p>
      <w:pPr>
        <w:pStyle w:val="BodyText"/>
        <w:spacing w:line="240" w:lineRule="auto" w:before="31"/>
        <w:ind w:right="92"/>
        <w:jc w:val="left"/>
      </w:pPr>
      <w:r>
        <w:rPr/>
        <w:t>广州易杰：</w:t>
      </w:r>
    </w:p>
    <w:p>
      <w:pPr>
        <w:pStyle w:val="BodyText"/>
        <w:spacing w:line="240" w:lineRule="auto" w:before="76"/>
        <w:ind w:left="444" w:right="92"/>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年，本公司之子公司广州易杰通过复审再次被认定为高新技术企业，已公示通过，暂未取得证书，</w:t>
      </w:r>
      <w:r>
        <w:rPr>
          <w:rFonts w:ascii="Times New Roman" w:hAnsi="Times New Roman" w:cs="Times New Roman" w:eastAsia="Times New Roman" w:hint="default"/>
        </w:rPr>
        <w:t>2014</w:t>
      </w:r>
      <w:r>
        <w:rPr/>
        <w:t>年减按</w:t>
      </w:r>
      <w:r>
        <w:rPr>
          <w:rFonts w:ascii="Times New Roman" w:hAnsi="Times New Roman" w:cs="Times New Roman" w:eastAsia="Times New Roman" w:hint="default"/>
        </w:rPr>
        <w:t>15%</w:t>
      </w:r>
    </w:p>
    <w:p>
      <w:pPr>
        <w:pStyle w:val="BodyText"/>
        <w:spacing w:line="316" w:lineRule="auto" w:before="63"/>
        <w:ind w:right="8012"/>
        <w:jc w:val="left"/>
      </w:pPr>
      <w:r>
        <w:rPr/>
        <w:t>税率征收企业所得税。 深圳金华威：</w:t>
      </w:r>
    </w:p>
    <w:p>
      <w:pPr>
        <w:pStyle w:val="BodyText"/>
        <w:spacing w:line="240" w:lineRule="auto" w:before="19"/>
        <w:ind w:left="444" w:right="92"/>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月，本公司之子公司深圳金华威通过复审再次被认定为国家高新技术企业，认定有效期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2013</w:t>
      </w:r>
      <w:r>
        <w:rPr/>
        <w:t>年起至</w:t>
      </w:r>
      <w:r>
        <w:rPr>
          <w:rFonts w:ascii="Times New Roman" w:hAnsi="Times New Roman" w:cs="Times New Roman" w:eastAsia="Times New Roman" w:hint="default"/>
        </w:rPr>
        <w:t>2015</w:t>
      </w:r>
    </w:p>
    <w:p>
      <w:pPr>
        <w:pStyle w:val="BodyText"/>
        <w:spacing w:line="300" w:lineRule="auto" w:before="63"/>
        <w:ind w:right="7142"/>
        <w:jc w:val="left"/>
      </w:pPr>
      <w:r>
        <w:rPr/>
        <w:t>年减按</w:t>
      </w:r>
      <w:r>
        <w:rPr>
          <w:rFonts w:ascii="Times New Roman" w:hAnsi="Times New Roman" w:cs="Times New Roman" w:eastAsia="Times New Roman" w:hint="default"/>
        </w:rPr>
        <w:t>15%</w:t>
      </w:r>
      <w:r>
        <w:rPr/>
        <w:t>税率征收企业所得税。 广西驿途：</w:t>
      </w:r>
    </w:p>
    <w:p>
      <w:pPr>
        <w:pStyle w:val="BodyText"/>
        <w:spacing w:line="240" w:lineRule="auto" w:before="31"/>
        <w:ind w:left="444"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月，本公司之子公司广西驿途被认定为高新技术企业，证书编号为</w:t>
      </w:r>
      <w:r>
        <w:rPr>
          <w:rFonts w:ascii="Times New Roman" w:hAnsi="Times New Roman" w:cs="Times New Roman" w:eastAsia="Times New Roman" w:hint="default"/>
        </w:rPr>
        <w:t>GR201345000090</w:t>
      </w:r>
      <w:r>
        <w:rPr/>
        <w:t>，自</w:t>
      </w:r>
      <w:r>
        <w:rPr>
          <w:rFonts w:ascii="Times New Roman" w:hAnsi="Times New Roman" w:cs="Times New Roman" w:eastAsia="Times New Roman" w:hint="default"/>
        </w:rPr>
        <w:t>2013</w:t>
      </w:r>
      <w:r>
        <w:rPr/>
        <w:t>年起至</w:t>
      </w:r>
      <w:r>
        <w:rPr>
          <w:rFonts w:ascii="Times New Roman" w:hAnsi="Times New Roman" w:cs="Times New Roman" w:eastAsia="Times New Roman" w:hint="default"/>
        </w:rPr>
        <w:t>2015</w:t>
      </w:r>
      <w:r>
        <w:rPr/>
        <w:t>年减按</w:t>
      </w:r>
    </w:p>
    <w:p>
      <w:pPr>
        <w:pStyle w:val="BodyText"/>
        <w:spacing w:line="240" w:lineRule="auto" w:before="63"/>
        <w:ind w:right="92"/>
        <w:jc w:val="left"/>
      </w:pPr>
      <w:r>
        <w:rPr>
          <w:rFonts w:ascii="Times New Roman" w:hAnsi="Times New Roman" w:cs="Times New Roman" w:eastAsia="Times New Roman" w:hint="default"/>
        </w:rPr>
        <w:t>15%</w:t>
      </w:r>
      <w:r>
        <w:rPr/>
        <w:t>税率征收企业所得税。</w:t>
      </w:r>
    </w:p>
    <w:p>
      <w:pPr>
        <w:pStyle w:val="BodyText"/>
        <w:spacing w:line="240" w:lineRule="auto" w:before="63"/>
        <w:ind w:right="92"/>
        <w:jc w:val="left"/>
      </w:pPr>
      <w:r>
        <w:rPr>
          <w:rFonts w:ascii="Times New Roman" w:hAnsi="Times New Roman" w:cs="Times New Roman" w:eastAsia="Times New Roman" w:hint="default"/>
        </w:rPr>
        <w:t>2</w:t>
      </w:r>
      <w:r>
        <w:rPr/>
        <w:t>、营业税</w:t>
      </w:r>
    </w:p>
    <w:p>
      <w:pPr>
        <w:pStyle w:val="BodyText"/>
        <w:spacing w:line="300" w:lineRule="auto" w:before="63"/>
        <w:ind w:right="92" w:firstLine="290"/>
        <w:jc w:val="left"/>
      </w:pPr>
      <w:r>
        <w:rPr/>
        <w:t>据财政部、国家税务总局财税字</w:t>
      </w:r>
      <w:r>
        <w:rPr>
          <w:rFonts w:ascii="Times New Roman" w:hAnsi="Times New Roman" w:cs="Times New Roman" w:eastAsia="Times New Roman" w:hint="default"/>
        </w:rPr>
        <w:t>[1999]</w:t>
      </w:r>
      <w:r>
        <w:rPr/>
        <w:t>第</w:t>
      </w:r>
      <w:r>
        <w:rPr>
          <w:rFonts w:ascii="Times New Roman" w:hAnsi="Times New Roman" w:cs="Times New Roman" w:eastAsia="Times New Roman" w:hint="default"/>
        </w:rPr>
        <w:t>273</w:t>
      </w:r>
      <w:r>
        <w:rPr/>
        <w:t>号文《关于贯彻落实</w:t>
      </w:r>
      <w:r>
        <w:rPr>
          <w:rFonts w:ascii="Times New Roman" w:hAnsi="Times New Roman" w:cs="Times New Roman" w:eastAsia="Times New Roman" w:hint="default"/>
        </w:rPr>
        <w:t>&lt;</w:t>
      </w:r>
      <w:r>
        <w:rPr/>
        <w:t>中共中央国务院关于加强技术创新，发展高科技，实 现产业化的决定</w:t>
      </w:r>
      <w:r>
        <w:rPr>
          <w:rFonts w:ascii="Times New Roman" w:hAnsi="Times New Roman" w:cs="Times New Roman" w:eastAsia="Times New Roman" w:hint="default"/>
        </w:rPr>
        <w:t>&gt;</w:t>
      </w:r>
      <w:r>
        <w:rPr/>
        <w:t>有关税收问题的通知》及深圳市地方税务局（深地税发</w:t>
      </w:r>
      <w:r>
        <w:rPr>
          <w:rFonts w:ascii="Times New Roman" w:hAnsi="Times New Roman" w:cs="Times New Roman" w:eastAsia="Times New Roman" w:hint="default"/>
        </w:rPr>
        <w:t>[1999]542</w:t>
      </w:r>
      <w:r>
        <w:rPr/>
        <w:t>号文）《转发财政部国家税务总局关于贯 </w:t>
      </w:r>
      <w:r>
        <w:rPr>
          <w:spacing w:val="-1"/>
        </w:rPr>
        <w:t>彻落实</w:t>
      </w:r>
      <w:r>
        <w:rPr>
          <w:rFonts w:ascii="Times New Roman" w:hAnsi="Times New Roman" w:cs="Times New Roman" w:eastAsia="Times New Roman" w:hint="default"/>
          <w:spacing w:val="-1"/>
        </w:rPr>
        <w:t>&lt;</w:t>
      </w:r>
      <w:r>
        <w:rPr>
          <w:spacing w:val="-1"/>
        </w:rPr>
        <w:t>中共中央国务院关于加强技术创新，发展高科技，实现产业化的决定</w:t>
      </w:r>
      <w:r>
        <w:rPr>
          <w:rFonts w:ascii="Times New Roman" w:hAnsi="Times New Roman" w:cs="Times New Roman" w:eastAsia="Times New Roman" w:hint="default"/>
          <w:spacing w:val="-1"/>
        </w:rPr>
        <w:t>&gt;</w:t>
      </w:r>
      <w:r>
        <w:rPr>
          <w:spacing w:val="-1"/>
        </w:rPr>
        <w:t>有关税收问题的通知》规定：从事技术转让、</w:t>
      </w:r>
      <w:r>
        <w:rPr>
          <w:spacing w:val="-51"/>
        </w:rPr>
        <w:t> </w:t>
      </w:r>
      <w:r>
        <w:rPr>
          <w:spacing w:val="-51"/>
        </w:rPr>
      </w:r>
      <w:r>
        <w:rPr>
          <w:spacing w:val="-2"/>
        </w:rPr>
        <w:t>技术开发业务和与之相关的技术咨询、技术服务业务取得的收入，免征营业税。根据深圳市地方税务局的要求，本公司从事</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4" w:lineRule="auto" w:before="44"/>
        <w:ind w:right="151"/>
        <w:jc w:val="both"/>
      </w:pPr>
      <w:r>
        <w:rPr>
          <w:spacing w:val="-2"/>
        </w:rPr>
        <w:t>技术转让、开发业务申请免征营业税时，须持技术转让、开发的书面合同，到深圳市科技和信息局进行认定，再持相关的书</w:t>
      </w:r>
      <w:r>
        <w:rPr>
          <w:spacing w:val="-66"/>
        </w:rPr>
        <w:t> </w:t>
      </w:r>
      <w:r>
        <w:rPr>
          <w:spacing w:val="-66"/>
        </w:rPr>
      </w:r>
      <w:r>
        <w:rPr>
          <w:spacing w:val="-2"/>
        </w:rPr>
        <w:t>面合同和深圳市科技和信息局开具的《深圳市技术转让、技术开发及相关服务性收入认定登记证明》至深圳市地方税务局审</w:t>
      </w:r>
      <w:r>
        <w:rPr>
          <w:spacing w:val="-66"/>
        </w:rPr>
        <w:t> </w:t>
      </w:r>
      <w:r>
        <w:rPr>
          <w:spacing w:val="-66"/>
        </w:rPr>
      </w:r>
      <w:r>
        <w:rPr>
          <w:spacing w:val="-2"/>
        </w:rPr>
        <w:t>核备案。在科技和税务部门审核备案以前，本公司先按有关规定缴纳营业税，待科技和税务部门审核备案后，再从以后应缴</w:t>
      </w:r>
      <w:r>
        <w:rPr>
          <w:spacing w:val="-66"/>
        </w:rPr>
        <w:t> </w:t>
      </w:r>
      <w:r>
        <w:rPr>
          <w:spacing w:val="-66"/>
        </w:rPr>
      </w:r>
      <w:r>
        <w:rPr/>
        <w:t>的营业税款中抵交，如以后</w:t>
      </w:r>
      <w:r>
        <w:rPr>
          <w:rFonts w:ascii="Times New Roman" w:hAnsi="Times New Roman" w:cs="Times New Roman" w:eastAsia="Times New Roman" w:hint="default"/>
        </w:rPr>
        <w:t>1</w:t>
      </w:r>
      <w:r>
        <w:rPr/>
        <w:t>年内未发生应缴营业税的行为，或其应缴税款不足以抵顶免税额的，本公司可向税务机关申请 办理退税。实施营改增后，不再享受免征营业税税收优惠。</w:t>
      </w:r>
    </w:p>
    <w:p>
      <w:pPr>
        <w:pStyle w:val="BodyText"/>
        <w:spacing w:line="240" w:lineRule="auto" w:before="20"/>
        <w:ind w:right="0"/>
        <w:jc w:val="both"/>
      </w:pPr>
      <w:r>
        <w:rPr>
          <w:rFonts w:ascii="Times New Roman" w:hAnsi="Times New Roman" w:cs="Times New Roman" w:eastAsia="Times New Roman" w:hint="default"/>
        </w:rPr>
        <w:t>3</w:t>
      </w:r>
      <w:r>
        <w:rPr/>
        <w:t>、增值税</w:t>
      </w:r>
    </w:p>
    <w:p>
      <w:pPr>
        <w:pStyle w:val="BodyText"/>
        <w:spacing w:line="300" w:lineRule="auto" w:before="63"/>
        <w:ind w:right="148" w:firstLine="290"/>
        <w:jc w:val="left"/>
      </w:pPr>
      <w:r>
        <w:rPr>
          <w:spacing w:val="-1"/>
        </w:rPr>
        <w:t>据《国务院关于印发进一步鼓励软件产业和集成电路产业发展若干政策的通知》（国发</w:t>
      </w:r>
      <w:r>
        <w:rPr>
          <w:rFonts w:ascii="Times New Roman" w:hAnsi="Times New Roman" w:cs="Times New Roman" w:eastAsia="Times New Roman" w:hint="default"/>
          <w:spacing w:val="-1"/>
        </w:rPr>
        <w:t>[2011]4</w:t>
      </w:r>
      <w:r>
        <w:rPr>
          <w:spacing w:val="-1"/>
        </w:rPr>
        <w:t>号），以及财政部、国家</w:t>
      </w:r>
      <w:r>
        <w:rPr/>
        <w:t> 税务总局财税财税</w:t>
      </w:r>
      <w:r>
        <w:rPr>
          <w:rFonts w:ascii="Times New Roman" w:hAnsi="Times New Roman" w:cs="Times New Roman" w:eastAsia="Times New Roman" w:hint="default"/>
        </w:rPr>
        <w:t>[2011]100</w:t>
      </w:r>
      <w:r>
        <w:rPr/>
        <w:t>号《关于软件产品增值税政策的通知》的规定，自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日起执行，增值税一般纳税人销 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right="112" w:firstLine="362"/>
        <w:jc w:val="left"/>
      </w:pPr>
      <w:r>
        <w:rPr>
          <w:spacing w:val="-4"/>
        </w:rPr>
        <w:t>根据《财政部、国家税务总局关于在北京等</w:t>
      </w:r>
      <w:r>
        <w:rPr>
          <w:rFonts w:ascii="Times New Roman" w:hAnsi="Times New Roman" w:cs="Times New Roman" w:eastAsia="Times New Roman" w:hint="default"/>
          <w:spacing w:val="-4"/>
        </w:rPr>
        <w:t>8</w:t>
      </w:r>
      <w:r>
        <w:rPr>
          <w:spacing w:val="-4"/>
        </w:rPr>
        <w:t>省市开展交通运输业和部分现代服务业营业税改征增值税试点的通知》（财</w:t>
      </w:r>
      <w:r>
        <w:rPr/>
        <w:t> 税</w:t>
      </w:r>
      <w:r>
        <w:rPr>
          <w:rFonts w:ascii="Times New Roman" w:hAnsi="Times New Roman" w:cs="Times New Roman" w:eastAsia="Times New Roman" w:hint="default"/>
        </w:rPr>
        <w:t>[2012]71</w:t>
      </w:r>
      <w:r>
        <w:rPr/>
        <w:t>号）和《财政部、国家税务总局关于在上海市开展交通运输业和部分现代服务业营业税改征增值税试点的通知》</w:t>
      </w:r>
    </w:p>
    <w:p>
      <w:pPr>
        <w:pStyle w:val="BodyText"/>
        <w:spacing w:line="300" w:lineRule="auto" w:before="13"/>
        <w:ind w:right="202"/>
        <w:jc w:val="left"/>
      </w:pPr>
      <w:r>
        <w:rPr/>
        <w:t>（财税</w:t>
      </w:r>
      <w:r>
        <w:rPr>
          <w:rFonts w:ascii="Times New Roman" w:hAnsi="Times New Roman" w:cs="Times New Roman" w:eastAsia="Times New Roman" w:hint="default"/>
        </w:rPr>
        <w:t>[2011]111</w:t>
      </w:r>
      <w:r>
        <w:rPr/>
        <w:t>号）等相关规定，报告期内涉及营业税改征增值税的公司，原享受的营业税优惠政策，继续享受免征增值 税优惠政策，执行零税率。</w:t>
      </w:r>
    </w:p>
    <w:p>
      <w:pPr>
        <w:pStyle w:val="BodyText"/>
        <w:spacing w:line="240" w:lineRule="auto" w:before="31"/>
        <w:ind w:right="0"/>
        <w:jc w:val="both"/>
      </w:pPr>
      <w:r>
        <w:rPr>
          <w:rFonts w:ascii="Times New Roman" w:hAnsi="Times New Roman" w:cs="Times New Roman" w:eastAsia="Times New Roman" w:hint="default"/>
        </w:rPr>
        <w:t>4</w:t>
      </w:r>
      <w:r>
        <w:rPr/>
        <w:t>、堤围防护费</w:t>
      </w:r>
    </w:p>
    <w:p>
      <w:pPr>
        <w:pStyle w:val="BodyText"/>
        <w:spacing w:line="240" w:lineRule="auto" w:before="63"/>
        <w:ind w:left="516" w:right="0"/>
        <w:jc w:val="left"/>
      </w:pPr>
      <w:r>
        <w:rPr/>
        <w:t>根据深圳市地方税务局《关于免征我市堤围防护费的通告》，自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日起，深圳市免征堤围防护费。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401,189.11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162,948.17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219,563,911.41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231,287,831.69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39,452,305.30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5,496,292.51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259,417,405.82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236,947,072.37</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36"/>
        <w:gridCol w:w="2764"/>
        <w:gridCol w:w="2765"/>
      </w:tblGrid>
      <w:tr>
        <w:trPr>
          <w:trHeight w:val="356" w:hRule="exact"/>
        </w:trPr>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229"/>
              <w:jc w:val="right"/>
              <w:rPr>
                <w:rFonts w:ascii="宋体" w:hAnsi="宋体" w:cs="宋体" w:eastAsia="宋体" w:hint="default"/>
                <w:sz w:val="18"/>
                <w:szCs w:val="18"/>
              </w:rPr>
            </w:pPr>
            <w:r>
              <w:rPr>
                <w:rFonts w:ascii="宋体" w:hAnsi="宋体" w:cs="宋体" w:eastAsia="宋体" w:hint="default"/>
                <w:sz w:val="18"/>
                <w:szCs w:val="18"/>
              </w:rPr>
              <w:t>项目</w:t>
            </w:r>
          </w:p>
        </w:tc>
        <w:tc>
          <w:tcPr>
            <w:tcW w:w="2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37,800,000.00</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4,264,984.00</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1,652,305.30</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1,231,308.51</w:t>
            </w:r>
          </w:p>
        </w:tc>
      </w:tr>
      <w:tr>
        <w:trPr>
          <w:trHeight w:val="353"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229"/>
              <w:jc w:val="right"/>
              <w:rPr>
                <w:rFonts w:ascii="宋体" w:hAnsi="宋体" w:cs="宋体" w:eastAsia="宋体" w:hint="default"/>
                <w:sz w:val="18"/>
                <w:szCs w:val="18"/>
              </w:rPr>
            </w:pPr>
            <w:r>
              <w:rPr>
                <w:rFonts w:ascii="宋体" w:hAnsi="宋体" w:cs="宋体" w:eastAsia="宋体" w:hint="default"/>
                <w:sz w:val="18"/>
                <w:szCs w:val="18"/>
              </w:rPr>
              <w:t>合计</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39,452,305.30</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5,496,292.51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10,912,676.20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3,310,430.00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1,804,802.70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12,717,478.90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3,310,430.00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598,441,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588.43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24,797,1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573,644,4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04.86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528,367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,913.91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20,854,76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507,513,14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7.99</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598,441,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588.43</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24,797,1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573,644,4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04.86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528,367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,913.91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20,854,76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507,513,14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516,738,156.48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15,502,144.70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77,272,112.20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7,727,211.23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3,120,492.00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624,098.40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734,197.03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367,098.52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576,630.72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576,630.72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598,441,588.43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24,797,183.57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40"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3,942,417.65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544"/>
        <w:gridCol w:w="1560"/>
        <w:gridCol w:w="1590"/>
        <w:gridCol w:w="1671"/>
      </w:tblGrid>
      <w:tr>
        <w:trPr>
          <w:trHeight w:val="355" w:hRule="exact"/>
        </w:trPr>
        <w:tc>
          <w:tcPr>
            <w:tcW w:w="354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2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3544"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382" w:right="66"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56,532,149.54</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9.45</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2,196,794.86</w:t>
            </w:r>
          </w:p>
        </w:tc>
      </w:tr>
      <w:tr>
        <w:trPr>
          <w:trHeight w:val="35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36,770,930.66</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6.14</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1,848,170.89</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中国电信股份有限公司陕西分公司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23,148,408.98</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3.87</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694,452.27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544"/>
        <w:gridCol w:w="1560"/>
        <w:gridCol w:w="1590"/>
        <w:gridCol w:w="1671"/>
      </w:tblGrid>
      <w:tr>
        <w:trPr>
          <w:trHeight w:val="667" w:hRule="exact"/>
        </w:trPr>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中国联合网络通信有限公司广西壮族自治区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22,108,937.39</w:t>
            </w:r>
          </w:p>
        </w:tc>
        <w:tc>
          <w:tcPr>
            <w:tcW w:w="15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3.69</w:t>
            </w:r>
          </w:p>
        </w:tc>
        <w:tc>
          <w:tcPr>
            <w:tcW w:w="16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998,866.82</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中国联合网络通信有限公司河南省分公司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18,311,610.30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3.06</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820,828.17</w:t>
            </w:r>
          </w:p>
        </w:tc>
      </w:tr>
      <w:tr>
        <w:trPr>
          <w:trHeight w:val="35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156,872,036.87</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26.21</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6,559,113.01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54,734,376.24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11,563,004.58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2,147,004.82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262,137.66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54,983.85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56,936,364.91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11,838,892.24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46"/>
        <w:gridCol w:w="2643"/>
        <w:gridCol w:w="2076"/>
      </w:tblGrid>
      <w:tr>
        <w:trPr>
          <w:trHeight w:val="667" w:hRule="exact"/>
        </w:trPr>
        <w:tc>
          <w:tcPr>
            <w:tcW w:w="3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76"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89" w:right="317"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53"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24,690,062.59</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43.36</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华为技术服务有限公司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6,085,538.38</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10.69</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北京多美视界网络科技有限公司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3,932,000.00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6.91</w:t>
            </w:r>
          </w:p>
        </w:tc>
      </w:tr>
      <w:tr>
        <w:trPr>
          <w:trHeight w:val="353"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袁夫捷</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2,898,698.00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5.09</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华为数字技术有限公司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2,555,846.11</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4.49</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40,162,145.08</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70.54</w:t>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31,230.15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31,230.15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23,517,7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1,475,65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22,042,09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18,850,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407.99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1,272,432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17,577,975.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23,517,7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50.87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1,475,65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22,042,09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9.82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18,850,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407.99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1,272,432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17,577,975.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19,855,953.34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595,678.60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1,859,932.52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185,993.25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1,045,446.01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543,058.00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271,529.00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23,517,750.87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1,475,651.05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bl>
    <w:p>
      <w:pPr>
        <w:pStyle w:val="BodyText"/>
        <w:spacing w:line="360" w:lineRule="auto" w:before="51"/>
        <w:ind w:right="5272"/>
        <w:jc w:val="left"/>
      </w:pPr>
      <w:r>
        <w:rPr/>
        <w:t>确定该组合依据的说明： 组合中，采用余额百分比法计提坏账准备的其他应收款：</w:t>
      </w:r>
    </w:p>
    <w:p>
      <w:pPr>
        <w:pStyle w:val="BodyText"/>
        <w:spacing w:line="340" w:lineRule="auto" w:before="26"/>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203,218.24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6320" w:space="2510"/>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11,681,237.27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9,321,853.51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4,711,471.03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3,277,374.54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2,793,786.53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3,527,119.12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2,165,222.92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1,537,264.34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2,016,951.86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877,512.61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149,081.26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309,283.87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23,517,750.87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18,850,407.99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中国证券登记结算 有限责任公司深圳 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股权激励行权款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46,945.50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深圳社保及公积金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1,363,785.73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40,913.57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合肥社保及公积金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937,232.61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28,116.98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深圳市松亚科技有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906,307.00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27,189.21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广西壮族自治区公 安厅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20,745.00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5,463,675.34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163,910.26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9,388,398.01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9,388,398.01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13,640,541.84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13,640,541.84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79,764,104.23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79,764,104.23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95,328,472.73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95,328,472.73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187,546,793.76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187,546,793.76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86,955,164.24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86,955,164.24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276,699,296.00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276,699,296.00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195,924,178.81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195,924,178.81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1"/>
        <w:ind w:left="227" w:right="0"/>
        <w:jc w:val="left"/>
      </w:pPr>
      <w:r>
        <w:rPr/>
        <w:t>本公司期末各类存货可变现净值高于账面价值，故未计提存货跌价准备。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39,780,91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26,271.68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39,807,18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2,711,475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103,225.5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2,814,701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16,086,83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17,445,55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58,579,22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1,488,215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58,579,22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1,488,215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59,768,632.10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33,782,011.13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7,785,222.67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6,503,889.13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107,839,755.03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68,741,587.18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5,610,728.79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410,941.03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3,131,020.44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77,894,277.44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5,610,728.79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410,941.03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3,131,020.44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9,152,690.26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68,741,587.18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68,741,587.18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968,066.57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968,066.57</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968,066.57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968,066.57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128,510,219.28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38,424,673.35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8,196,163.70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9,634,909.57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184,765,965.90</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6,325,038.49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22,318,632.90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4,774,305.05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1,878,000.54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35,295,976.98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3,423,146.19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4,171,961.18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1,460,147.02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1,646,876.82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10,702,131.21</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3,423,146.19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4,171,961.18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1,460,147.02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1,646,876.82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10,702,131.21</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596,959.65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596,959.65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596,959.65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596,959.65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9,748,184.68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25,893,634.43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6,234,452.07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3,524,877.36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45,401,148.54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118,762,034.60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12,531,038.92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1,961,711.63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6,110,032.21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139,364,817.36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53,443,593.61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11,463,378.23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3,010,917.62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4,625,888.59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72,543,778.05</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21,515,791.70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在建工程抵押</w:t>
            </w:r>
          </w:p>
        </w:tc>
      </w:tr>
    </w:tbl>
    <w:p>
      <w:pPr>
        <w:pStyle w:val="BodyText"/>
        <w:spacing w:line="240" w:lineRule="auto" w:before="51"/>
        <w:ind w:right="92"/>
        <w:jc w:val="left"/>
      </w:pPr>
      <w:r>
        <w:rPr/>
        <w:t>其他说明</w:t>
      </w:r>
    </w:p>
    <w:p>
      <w:pPr>
        <w:pStyle w:val="BodyText"/>
        <w:spacing w:line="240" w:lineRule="auto" w:before="116"/>
        <w:ind w:right="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日用于抵押或担保的固定资产账面价值为</w:t>
      </w:r>
      <w:r>
        <w:rPr>
          <w:rFonts w:ascii="Times New Roman" w:hAnsi="Times New Roman" w:cs="Times New Roman" w:eastAsia="Times New Roman" w:hint="default"/>
          <w:spacing w:val="-2"/>
        </w:rPr>
        <w:t>68,264,305.24</w:t>
      </w:r>
      <w:r>
        <w:rPr>
          <w:spacing w:val="-2"/>
        </w:rPr>
        <w:t>元，详见附注七（</w:t>
      </w:r>
      <w:r>
        <w:rPr>
          <w:rFonts w:ascii="Times New Roman" w:hAnsi="Times New Roman" w:cs="Times New Roman" w:eastAsia="Times New Roman" w:hint="default"/>
          <w:spacing w:val="-2"/>
        </w:rPr>
        <w:t>44</w:t>
      </w:r>
      <w:r>
        <w:rPr>
          <w:spacing w:val="-2"/>
        </w:rPr>
        <w:t>）所有权或使用权受到限制的资产。</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合肥研发中心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159,978,374.91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159,978,374.91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178,576,116.35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178,576,116.35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159,978,374.91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159,978,374.91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178,576,116.35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178,576,116.35</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合肥研 发中心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243,370,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178,576,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116.35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50,143,8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45.74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68,741,5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87.18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159,978,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374.91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93.78%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93.78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9,573,07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7,268,10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243,370,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178,576,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116.35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50,143,8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45.74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68,741,5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87.18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159,978,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374.91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9,573,07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7,268,10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0"/>
        <w:jc w:val="left"/>
      </w:pPr>
      <w:r>
        <w:rPr/>
        <w:t>其他说明</w:t>
      </w:r>
    </w:p>
    <w:p>
      <w:pPr>
        <w:pStyle w:val="BodyText"/>
        <w:spacing w:line="300" w:lineRule="auto" w:before="115"/>
        <w:ind w:right="187"/>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日用于抵押或担保的在建工程账面价值为</w:t>
      </w:r>
      <w:r>
        <w:rPr>
          <w:rFonts w:ascii="Times New Roman" w:hAnsi="Times New Roman" w:cs="Times New Roman" w:eastAsia="Times New Roman" w:hint="default"/>
        </w:rPr>
        <w:t>159,978,374.91</w:t>
      </w:r>
      <w:r>
        <w:rPr/>
        <w:t>元，详见附注七（</w:t>
      </w:r>
      <w:r>
        <w:rPr>
          <w:rFonts w:ascii="Times New Roman" w:hAnsi="Times New Roman" w:cs="Times New Roman" w:eastAsia="Times New Roman" w:hint="default"/>
        </w:rPr>
        <w:t>44</w:t>
      </w:r>
      <w:r>
        <w:rPr/>
        <w:t>）所有权或使用权受到限制的资 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253,752,952.90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27,632,292.74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297,162,237.48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79,796,750.96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6,433,458.70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86,230,209.66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6,433,458.70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6,433,458.70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79,796,750.96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79,796,750.96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333,549,703.86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34,065,751.44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383,392,447.14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661,456.72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97,709,049.94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18,560,277.51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116,930,784.17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315,539.85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47,838,880.95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4,718,380.48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52,872,801.28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315,539.85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47,838,880.95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4,718,380.48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52,872,801.28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976,996.57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145,547,930.89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23,278,657.99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169,803,585.45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14,799,995.27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188,001,772.97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10,787,093.45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213,588,861.69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15,115,535.12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156,043,902.96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9,072,015.23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180,231,453.31</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88.02%</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确认为无形资</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电信计费类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14,137,569.31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34,022,293.03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22,946,403.75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12,841,385.54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12,372,073.05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营销服务类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4,671,072.49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7,686,184.43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3,751,288.77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4,097,770.89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4,508,197.26</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客户关系管理 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19,723,145.26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26,227,251.26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20,649,519.65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11,071,281.93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14,229,594.94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经营决策分析 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3,083,274.30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13,853,486.12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6,174,537.94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4,377,840.02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6,384,382.46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咨询运营类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7,014,366.68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12,937,315.03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7,542,639.64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6,221,959.52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6,187,082.55</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联通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 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17,244,253.47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25,691,906.11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15,555,340.37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11,310,771.12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16,070,048.09</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基础管理平台 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1,056,733.36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15,692,641.80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3,177,020.84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10,114,240.93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3,458,113.39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移动业务中心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1,086,889.55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2,017,755.09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970,913.23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2,133,731.41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融合消息系统 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7,825,881.29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7,825,881.29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移动查勘系统 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1,613,912.85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1,613,912.85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税务综合应用 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1,093,039.15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1,093,039.15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英泽业务基础 技术平台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3,470,824.65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3,470,824.65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公安综合应用 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3,510,099.03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3,510,099.03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金华威智真智 能终端控制软 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3,297,270.80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3,297,270.80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68,017,304.42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158,939,860.64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79,796,750.96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81,817,190.95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65,343,223.15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27,673,109.50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27,673,109.50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1,478,319.78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1,478,319.78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2,764,044.72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2,764,044.72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4,274,008.29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4,274,008.29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36,189,482.29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36,189,482.29</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1,020,017.91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1,020,017.91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1,020,017.91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1,020,017.91</w:t>
            </w:r>
          </w:p>
        </w:tc>
      </w:tr>
    </w:tbl>
    <w:p>
      <w:pPr>
        <w:pStyle w:val="BodyText"/>
        <w:spacing w:line="338" w:lineRule="auto" w:before="51"/>
        <w:ind w:right="92"/>
        <w:jc w:val="left"/>
      </w:pPr>
      <w:r>
        <w:rPr/>
        <w:t>说明商誉减值测试过程、参数及商誉减值损失的确认方法： </w:t>
      </w:r>
      <w:r>
        <w:rPr>
          <w:spacing w:val="-2"/>
        </w:rPr>
        <w:t>注：本公司以被收购公司整体作为资产组组合进行资产减值测试，资产组组合的可收回金额依据其预计未来现金流量的现值</w:t>
      </w:r>
      <w:r>
        <w:rPr>
          <w:spacing w:val="-64"/>
        </w:rPr>
        <w:t> </w:t>
      </w:r>
      <w:r>
        <w:rPr>
          <w:spacing w:val="-64"/>
        </w:rPr>
      </w:r>
      <w:r>
        <w:rPr/>
        <w:t>估计，折现率采用能够反映资产组组合的当前市场货币时间价值和特定风险的税前利率。年末对本公司商誉进行减值测试，</w:t>
      </w:r>
    </w:p>
    <w:p>
      <w:pPr>
        <w:pStyle w:val="BodyText"/>
        <w:spacing w:line="300" w:lineRule="auto" w:before="2"/>
        <w:ind w:right="92"/>
        <w:jc w:val="left"/>
      </w:pPr>
      <w:r>
        <w:rPr>
          <w:spacing w:val="-1"/>
        </w:rPr>
        <w:t>除广州易杰商誉的公允价值低于其账面价值需计提商誉减值准备</w:t>
      </w:r>
      <w:r>
        <w:rPr>
          <w:rFonts w:ascii="Times New Roman" w:hAnsi="Times New Roman" w:cs="Times New Roman" w:eastAsia="Times New Roman" w:hint="default"/>
          <w:spacing w:val="-1"/>
        </w:rPr>
        <w:t>1,020,017.91</w:t>
      </w:r>
      <w:r>
        <w:rPr>
          <w:spacing w:val="-1"/>
        </w:rPr>
        <w:t>元外，其他商誉的公允价值均高于其账面价值，</w:t>
      </w:r>
      <w:r>
        <w:rPr>
          <w:spacing w:val="-68"/>
        </w:rPr>
        <w:t> </w:t>
      </w:r>
      <w:r>
        <w:rPr>
          <w:spacing w:val="-68"/>
        </w:rPr>
      </w:r>
      <w:r>
        <w:rPr/>
        <w:t>故无需计提商誉减值准备。</w:t>
      </w:r>
    </w:p>
    <w:p>
      <w:pPr>
        <w:pStyle w:val="BodyText"/>
        <w:spacing w:line="240" w:lineRule="auto" w:before="72"/>
        <w:ind w:right="9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1,421,401.10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1,121,960.00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871,761.63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1,671,599.47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912,958.13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846,458.09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2,334,359.23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1,121,960.00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938,261.67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2,518,057.56</w:t>
            </w:r>
          </w:p>
        </w:tc>
      </w:tr>
    </w:tbl>
    <w:p>
      <w:pPr>
        <w:pStyle w:val="BodyText"/>
        <w:spacing w:line="240" w:lineRule="auto" w:before="51"/>
        <w:ind w:right="92"/>
        <w:jc w:val="left"/>
      </w:pPr>
      <w:r>
        <w:rPr/>
        <w:t>其他说明</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25,003,129.20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2,858,092.92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22,127,198.73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2,630,240.12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107,529.46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11,360.45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70,771,783.48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7,077,178.35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49,440,480.56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5,004,742.17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95,882,442.14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9,946,631.72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71,567,679.29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7,634,982.29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9,946,631.72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7,634,982.29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1,269,705.42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998,107.40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5,974,208.00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8,920,067.91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7,243,913.42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9,918,175.31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1,029,678.14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2,327,880.67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1,183,089.76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2,612,892.91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2,357,885.13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3,979,294.33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1,403,554.97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5,974,208.00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8,920,067.91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45,937,018.00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210,937,018.00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14,529,968.00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14,529,968.00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15,127,926.62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35,265,453.94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1,610,447.51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793,356.28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37,511.82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16,775,885.95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36,058,810.22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安徽鼎信建设发展有限公司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752,130.97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安徽国立消防设备工程有限公司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1,450,130.97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59,652,227.24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22,570,135.18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59,652,227.24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22,570,135.18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8,480,150.63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337,623,123.34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336,336,835.06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9,766,438.91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180,436.91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18,612,892.11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18,582,974.28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210,354.74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2,529,431.00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2,529,431.00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8,660,587.54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358,765,446.45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357,449,240.34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9,976,793.65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8,325,238.39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304,802,277.38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303,535,861.07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9,591,654.70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4,638,943.31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4,638,943.31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101,151.28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9,464,281.95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9,464,461.42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100,971.81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86,044.15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8,110,725.65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8,110,285.03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86,484.77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566,451.84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565,927.07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5,720.21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9,911.69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787,104.46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788,249.32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8,766.83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53,760.96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18,205,021.35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18,184,969.91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73,812.40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512,599.35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512,599.35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8,480,150.63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337,623,123.34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336,336,835.06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9,766,438.91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174,335.77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17,185,785.67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17,153,854.10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206,267.34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1,275,231.34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1,277,245.08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4,087.40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151,875.10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151,875.10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180,436.91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18,612,892.11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18,582,974.28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210,354.74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7,806,613.67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1,685,235.42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4,439.06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62,344.51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4,155,357.61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8,321,666.82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3,450,890.97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1,115,643.21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219,211.19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62,595.54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168,348.26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63,744.93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30,425.57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48,097.54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15,835,286.33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11,359,327.97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510,666.25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187,777.78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510,666.25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187,777.78</w:t>
            </w:r>
          </w:p>
        </w:tc>
      </w:tr>
    </w:tbl>
    <w:p>
      <w:pPr>
        <w:pStyle w:val="BodyText"/>
        <w:spacing w:line="240" w:lineRule="auto" w:before="51"/>
        <w:ind w:right="0"/>
        <w:jc w:val="left"/>
      </w:pPr>
      <w:r>
        <w:rPr/>
        <w:t>重要的已逾期未支付的利息情况：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1,969,295.31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3,020,176.61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98,305.02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2,067,600.33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3,020,176.61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48,560,000.00</w:t>
            </w:r>
          </w:p>
        </w:tc>
      </w:tr>
    </w:tbl>
    <w:p>
      <w:pPr>
        <w:pStyle w:val="BodyText"/>
        <w:spacing w:line="240" w:lineRule="auto" w:before="51"/>
        <w:ind w:right="0"/>
        <w:jc w:val="left"/>
      </w:pPr>
      <w:r>
        <w:rPr/>
        <w:t>长期借款分类的说明：</w:t>
      </w:r>
    </w:p>
    <w:p>
      <w:pPr>
        <w:pStyle w:val="BodyText"/>
        <w:spacing w:line="300" w:lineRule="auto" w:before="115"/>
        <w:ind w:right="142"/>
        <w:jc w:val="left"/>
      </w:pPr>
      <w:r>
        <w:rPr/>
        <w:t>本公司之子公司合肥天源迪科与合肥华夏银行胜利路支行签订借款合同取得借款</w:t>
      </w:r>
      <w:r>
        <w:rPr>
          <w:rFonts w:ascii="Times New Roman" w:hAnsi="Times New Roman" w:cs="Times New Roman" w:eastAsia="Times New Roman" w:hint="default"/>
        </w:rPr>
        <w:t>1.265</w:t>
      </w:r>
      <w:r>
        <w:rPr/>
        <w:t>亿（其中</w:t>
      </w:r>
      <w:r>
        <w:rPr>
          <w:rFonts w:ascii="Times New Roman" w:hAnsi="Times New Roman" w:cs="Times New Roman" w:eastAsia="Times New Roman" w:hint="default"/>
        </w:rPr>
        <w:t>2,000</w:t>
      </w:r>
      <w:r>
        <w:rPr/>
        <w:t>万借款期限为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2,000</w:t>
      </w:r>
      <w:r>
        <w:rPr/>
        <w:t>万借款期限为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4,000</w:t>
      </w:r>
      <w:r>
        <w:rPr/>
        <w:t>万借款期限为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2,000</w:t>
      </w:r>
      <w:r>
        <w:rPr>
          <w:spacing w:val="-2"/>
        </w:rPr>
        <w:t>万借款期限为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2,650</w:t>
      </w:r>
      <w:r>
        <w:rPr>
          <w:spacing w:val="-2"/>
        </w:rPr>
        <w:t>万借款期限为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日），用于建设</w:t>
      </w:r>
      <w:r>
        <w:rPr>
          <w:spacing w:val="-31"/>
        </w:rPr>
        <w:t> </w:t>
      </w:r>
      <w:r>
        <w:rPr>
          <w:spacing w:val="-31"/>
        </w:rPr>
      </w:r>
      <w:r>
        <w:rPr/>
        <w:t>合肥研发基地，由本公司提供保证担保，并以合肥天源迪科在高新区潜水东路</w:t>
      </w:r>
      <w:r>
        <w:rPr>
          <w:rFonts w:ascii="Times New Roman" w:hAnsi="Times New Roman" w:cs="Times New Roman" w:eastAsia="Times New Roman" w:hint="default"/>
        </w:rPr>
        <w:t>66</w:t>
      </w:r>
      <w:r>
        <w:rPr/>
        <w:t>号的在建工程、</w:t>
      </w:r>
      <w:r>
        <w:rPr>
          <w:rFonts w:ascii="Times New Roman" w:hAnsi="Times New Roman" w:cs="Times New Roman" w:eastAsia="Times New Roman" w:hint="default"/>
        </w:rPr>
        <w:t>2</w:t>
      </w:r>
      <w:r>
        <w:rPr/>
        <w:t>号研发楼（合产字第 </w:t>
      </w:r>
      <w:r>
        <w:rPr>
          <w:rFonts w:ascii="Times New Roman" w:hAnsi="Times New Roman" w:cs="Times New Roman" w:eastAsia="Times New Roman" w:hint="default"/>
        </w:rPr>
        <w:t>8110120648</w:t>
      </w:r>
      <w:r>
        <w:rPr/>
        <w:t>号）、</w:t>
      </w:r>
      <w:r>
        <w:rPr>
          <w:rFonts w:ascii="Times New Roman" w:hAnsi="Times New Roman" w:cs="Times New Roman" w:eastAsia="Times New Roman" w:hint="default"/>
        </w:rPr>
        <w:t>3</w:t>
      </w:r>
      <w:r>
        <w:rPr/>
        <w:t>号研发楼（合产字第</w:t>
      </w:r>
      <w:r>
        <w:rPr>
          <w:rFonts w:ascii="Times New Roman" w:hAnsi="Times New Roman" w:cs="Times New Roman" w:eastAsia="Times New Roman" w:hint="default"/>
        </w:rPr>
        <w:t>8110120627</w:t>
      </w:r>
      <w:r>
        <w:rPr/>
        <w:t>号）、</w:t>
      </w:r>
      <w:r>
        <w:rPr>
          <w:rFonts w:ascii="Times New Roman" w:hAnsi="Times New Roman" w:cs="Times New Roman" w:eastAsia="Times New Roman" w:hint="default"/>
        </w:rPr>
        <w:t>5</w:t>
      </w:r>
      <w:r>
        <w:rPr/>
        <w:t>号研发楼以及土地使用权</w:t>
      </w:r>
      <w:r>
        <w:rPr>
          <w:spacing w:val="-19"/>
        </w:rPr>
        <w:t> </w:t>
      </w:r>
      <w:r>
        <w:rPr/>
        <w:t>（合高新国用（</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54</w:t>
      </w:r>
      <w:r>
        <w:rPr/>
        <w:t>号）作抵 押，抵押资产价值详见附注七（</w:t>
      </w:r>
      <w:r>
        <w:rPr>
          <w:rFonts w:ascii="Times New Roman" w:hAnsi="Times New Roman" w:cs="Times New Roman" w:eastAsia="Times New Roman" w:hint="default"/>
        </w:rPr>
        <w:t>44</w:t>
      </w:r>
      <w:r>
        <w:rPr/>
        <w:t>）所有权或使用权受到限制的资产。合肥天源迪科于</w:t>
      </w:r>
      <w:r>
        <w:rPr>
          <w:rFonts w:ascii="Times New Roman" w:hAnsi="Times New Roman" w:cs="Times New Roman" w:eastAsia="Times New Roman" w:hint="default"/>
        </w:rPr>
        <w:t>2014</w:t>
      </w:r>
      <w:r>
        <w:rPr/>
        <w:t>年已偿还借款</w:t>
      </w:r>
      <w:r>
        <w:rPr>
          <w:rFonts w:ascii="Times New Roman" w:hAnsi="Times New Roman" w:cs="Times New Roman" w:eastAsia="Times New Roman" w:hint="default"/>
        </w:rPr>
        <w:t>3,392.00</w:t>
      </w:r>
      <w:r>
        <w:rPr/>
        <w:t>万，预计 在</w:t>
      </w:r>
      <w:r>
        <w:rPr>
          <w:rFonts w:ascii="Times New Roman" w:hAnsi="Times New Roman" w:cs="Times New Roman" w:eastAsia="Times New Roman" w:hint="default"/>
        </w:rPr>
        <w:t>2015</w:t>
      </w:r>
      <w:r>
        <w:rPr/>
        <w:t>年偿还的借款</w:t>
      </w:r>
      <w:r>
        <w:rPr>
          <w:rFonts w:ascii="Times New Roman" w:hAnsi="Times New Roman" w:cs="Times New Roman" w:eastAsia="Times New Roman" w:hint="default"/>
        </w:rPr>
        <w:t>6,193.00</w:t>
      </w:r>
      <w:r>
        <w:rPr/>
        <w:t>万重分类至一年内到期的非流动负债。</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其他说明，包括利率区间：</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20,242,739.73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7,087,260.29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16,125,479.44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20,242,739.73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7,087,260.29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16,125,479.44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研究开发中心</w:t>
            </w:r>
          </w:p>
          <w:p>
            <w:pPr>
              <w:pStyle w:val="TableParagraph"/>
              <w:spacing w:line="319" w:lineRule="auto" w:before="75"/>
              <w:ind w:left="22" w:right="72"/>
              <w:jc w:val="left"/>
              <w:rPr>
                <w:rFonts w:ascii="宋体" w:hAnsi="宋体" w:cs="宋体" w:eastAsia="宋体" w:hint="default"/>
                <w:sz w:val="18"/>
                <w:szCs w:val="18"/>
              </w:rPr>
            </w:pPr>
            <w:r>
              <w:rPr>
                <w:rFonts w:ascii="宋体" w:hAnsi="宋体" w:cs="宋体" w:eastAsia="宋体" w:hint="default"/>
                <w:sz w:val="18"/>
                <w:szCs w:val="18"/>
              </w:rPr>
              <w:t>（技术中心类） 建设资助资金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高新区管委会固 定资产投资项目 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2,252,739.73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2,220,000.00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47,260.29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4,425,479.44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国家电子信息产 业发展基金（移 动互联网应用开 发部署系统研发 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基于移动互联网 的融合通信、社 交及云储业务系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新一代数据仓库 构架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院士工作站补助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 兴产业发展专项 资金第四批扶持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科技部政策引导 类资助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年第二批科 技型中小企业技 术创新基金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云计算环境下数 据访问性能加速 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基于移动互联网 的融合通信业务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科技研发分项资 金资助项目计划</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（第一批）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海量信息推送智 能管控平台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科技型中小企业 技术创新基金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年度天河区 科技计划项目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20,242,739.73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4,687,260.29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16,125,479.44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334" w:right="7832" w:hanging="180"/>
        <w:jc w:val="left"/>
      </w:pPr>
      <w:r>
        <w:rPr/>
        <w:t>其他说明： 递延收益分类的说明：</w:t>
      </w:r>
    </w:p>
    <w:p>
      <w:pPr>
        <w:pStyle w:val="BodyText"/>
        <w:spacing w:line="237" w:lineRule="exact"/>
        <w:ind w:right="9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月，根据深科工贸信计财字</w:t>
      </w:r>
      <w:r>
        <w:rPr>
          <w:rFonts w:ascii="Times New Roman" w:hAnsi="Times New Roman" w:cs="Times New Roman" w:eastAsia="Times New Roman" w:hint="default"/>
        </w:rPr>
        <w:t>[2011]223</w:t>
      </w:r>
      <w:r>
        <w:rPr/>
        <w:t>号《关于下达</w:t>
      </w:r>
      <w:r>
        <w:rPr>
          <w:rFonts w:ascii="Times New Roman" w:hAnsi="Times New Roman" w:cs="Times New Roman" w:eastAsia="Times New Roman" w:hint="default"/>
        </w:rPr>
        <w:t>2011</w:t>
      </w:r>
      <w:r>
        <w:rPr/>
        <w:t>年度深圳市市级研究开发中心（技术中心类）建设资</w:t>
      </w:r>
    </w:p>
    <w:p>
      <w:pPr>
        <w:pStyle w:val="BodyText"/>
        <w:spacing w:line="300" w:lineRule="auto" w:before="63"/>
        <w:ind w:right="169"/>
        <w:jc w:val="both"/>
      </w:pPr>
      <w:r>
        <w:rPr/>
        <w:t>助资金计划的通知》，本公司于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日收深圳市财政委员会拨付的购置</w:t>
      </w:r>
      <w:r>
        <w:rPr>
          <w:rFonts w:ascii="Times New Roman" w:hAnsi="Times New Roman" w:cs="Times New Roman" w:eastAsia="Times New Roman" w:hint="default"/>
        </w:rPr>
        <w:t>IBM</w:t>
      </w:r>
      <w:r>
        <w:rPr/>
        <w:t>服务器、</w:t>
      </w:r>
      <w:r>
        <w:rPr>
          <w:rFonts w:ascii="Times New Roman" w:hAnsi="Times New Roman" w:cs="Times New Roman" w:eastAsia="Times New Roman" w:hint="default"/>
        </w:rPr>
        <w:t>IBM</w:t>
      </w:r>
      <w:r>
        <w:rPr/>
        <w:t>磁盘存储、</w:t>
      </w:r>
      <w:r>
        <w:rPr>
          <w:rFonts w:ascii="Times New Roman" w:hAnsi="Times New Roman" w:cs="Times New Roman" w:eastAsia="Times New Roman" w:hint="default"/>
        </w:rPr>
        <w:t>IBM</w:t>
      </w:r>
      <w:r>
        <w:rPr/>
        <w:t>中间件、 数据库</w:t>
      </w:r>
      <w:r>
        <w:rPr>
          <w:rFonts w:ascii="Times New Roman" w:hAnsi="Times New Roman" w:cs="Times New Roman" w:eastAsia="Times New Roman" w:hint="default"/>
        </w:rPr>
        <w:t>ORACLE</w:t>
      </w:r>
      <w:r>
        <w:rPr/>
        <w:t>等科技研发资助资金</w:t>
      </w:r>
      <w:r>
        <w:rPr>
          <w:rFonts w:ascii="Times New Roman" w:hAnsi="Times New Roman" w:cs="Times New Roman" w:eastAsia="Times New Roman" w:hint="default"/>
        </w:rPr>
        <w:t>300</w:t>
      </w:r>
      <w:r>
        <w:rPr/>
        <w:t>万元，该项目资金使用需要报告市科工贸信委技术改造发展处和市财政委科技工贸 和金融处批准，资金使用完毕须及时完成审计。该项目于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月经专项审计完成验收手续，本公司按资产的折旧年限摊 销计入营业外收入</w:t>
      </w:r>
      <w:r>
        <w:rPr>
          <w:rFonts w:ascii="Times New Roman" w:hAnsi="Times New Roman" w:cs="Times New Roman" w:eastAsia="Times New Roman" w:hint="default"/>
        </w:rPr>
        <w:t>180</w:t>
      </w:r>
      <w:r>
        <w:rPr/>
        <w:t>万元。</w:t>
      </w:r>
    </w:p>
    <w:p>
      <w:pPr>
        <w:pStyle w:val="BodyText"/>
        <w:spacing w:line="300" w:lineRule="auto" w:before="13"/>
        <w:ind w:right="199"/>
        <w:jc w:val="left"/>
      </w:pPr>
      <w:r>
        <w:rPr/>
        <w:t>（</w:t>
      </w:r>
      <w:r>
        <w:rPr>
          <w:rFonts w:ascii="Times New Roman" w:hAnsi="Times New Roman" w:cs="Times New Roman" w:eastAsia="Times New Roman" w:hint="default"/>
        </w:rPr>
        <w:t>2</w:t>
      </w:r>
      <w:r>
        <w:rPr/>
        <w:t>）根据公司与合肥高新技术产业开发区招商局签订的《关于在合肥高新区建设研发中心项目合作协议书》，本公司之子 公司合肥天源迪科于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日收到合肥高新技术产业开发区财政国库支付中心支付的第二期土地补助款</w:t>
      </w:r>
      <w:r>
        <w:rPr>
          <w:rFonts w:ascii="Times New Roman" w:hAnsi="Times New Roman" w:cs="Times New Roman" w:eastAsia="Times New Roman" w:hint="default"/>
        </w:rPr>
        <w:t>222</w:t>
      </w:r>
      <w:r>
        <w:rPr/>
        <w:t>万元。根 据《企业会计准则第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政府补助》的有关规定，该项目属于与资产相关的政府补助，应在该项资产（土地使用权）的受 益期限内分配，截止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日，本年分配金额为</w:t>
      </w:r>
      <w:r>
        <w:rPr>
          <w:rFonts w:ascii="Times New Roman" w:hAnsi="Times New Roman" w:cs="Times New Roman" w:eastAsia="Times New Roman" w:hint="default"/>
        </w:rPr>
        <w:t>47,260.29</w:t>
      </w:r>
      <w:r>
        <w:rPr/>
        <w:t>元，累计分配金额为</w:t>
      </w:r>
      <w:r>
        <w:rPr>
          <w:rFonts w:ascii="Times New Roman" w:hAnsi="Times New Roman" w:cs="Times New Roman" w:eastAsia="Times New Roman" w:hint="default"/>
        </w:rPr>
        <w:t>94,520.56</w:t>
      </w:r>
      <w:r>
        <w:rPr/>
        <w:t>元，递延收益账面余额为 </w:t>
      </w:r>
      <w:r>
        <w:rPr>
          <w:rFonts w:ascii="Times New Roman" w:hAnsi="Times New Roman" w:cs="Times New Roman" w:eastAsia="Times New Roman" w:hint="default"/>
        </w:rPr>
        <w:t>4,425,479.44</w:t>
      </w:r>
      <w:r>
        <w:rPr/>
        <w:t>元。</w:t>
      </w:r>
    </w:p>
    <w:p>
      <w:pPr>
        <w:pStyle w:val="BodyText"/>
        <w:spacing w:line="300" w:lineRule="auto" w:before="13"/>
        <w:ind w:right="193"/>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月，本公司与工业和信息化部电子发展基金管理办公室签订的《电子信息产业发展基金资助项目合同书》（项</w:t>
      </w:r>
      <w:r>
        <w:rPr/>
        <w:t> 目名称：移动互联网应用开发部署系统研发及产业化基于</w:t>
      </w:r>
      <w:r>
        <w:rPr>
          <w:rFonts w:ascii="Times New Roman" w:hAnsi="Times New Roman" w:cs="Times New Roman" w:eastAsia="Times New Roman" w:hint="default"/>
        </w:rPr>
        <w:t>HTML5</w:t>
      </w:r>
      <w:r>
        <w:rPr/>
        <w:t>移动应用引擎研发与产业化），本公司于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月收到 中华人民共和国财政部统一支付的项目资助款</w:t>
      </w:r>
      <w:r>
        <w:rPr>
          <w:rFonts w:ascii="Times New Roman" w:hAnsi="Times New Roman" w:cs="Times New Roman" w:eastAsia="Times New Roman" w:hint="default"/>
        </w:rPr>
        <w:t>500</w:t>
      </w:r>
      <w:r>
        <w:rPr/>
        <w:t>万元，该项目需要信息化部电子发展基金管理办公室验收收合格后予以转 销，截止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58"/>
        <w:jc w:val="both"/>
      </w:pPr>
      <w:r>
        <w:rPr/>
        <w:t>（</w:t>
      </w:r>
      <w:r>
        <w:rPr>
          <w:rFonts w:ascii="Times New Roman" w:hAnsi="Times New Roman" w:cs="Times New Roman" w:eastAsia="Times New Roman" w:hint="default"/>
        </w:rPr>
        <w:t>4</w:t>
      </w:r>
      <w:r>
        <w:rPr/>
        <w:t>）根据本公司与电子科技大学、深圳创新谷投资管理有限公司签订的合作协议书，该三方共同承担</w:t>
      </w:r>
      <w:r>
        <w:rPr>
          <w:rFonts w:ascii="Times New Roman" w:hAnsi="Times New Roman" w:cs="Times New Roman" w:eastAsia="Times New Roman" w:hint="default"/>
        </w:rPr>
        <w:t>2013</w:t>
      </w:r>
      <w:r>
        <w:rPr/>
        <w:t>年度电子信息产 业发展基金项目</w:t>
      </w:r>
      <w:r>
        <w:rPr>
          <w:rFonts w:ascii="Times New Roman" w:hAnsi="Times New Roman" w:cs="Times New Roman" w:eastAsia="Times New Roman" w:hint="default"/>
        </w:rPr>
        <w:t>“</w:t>
      </w:r>
      <w:r>
        <w:rPr/>
        <w:t>移动互联网应用开发部署系统研发及产业化项目之课题</w:t>
      </w:r>
      <w:r>
        <w:rPr>
          <w:rFonts w:ascii="Times New Roman" w:hAnsi="Times New Roman" w:cs="Times New Roman" w:eastAsia="Times New Roman" w:hint="default"/>
        </w:rPr>
        <w:t>2</w:t>
      </w:r>
      <w:r>
        <w:rPr/>
        <w:t>：基于</w:t>
      </w:r>
      <w:r>
        <w:rPr>
          <w:rFonts w:ascii="Times New Roman" w:hAnsi="Times New Roman" w:cs="Times New Roman" w:eastAsia="Times New Roman" w:hint="default"/>
        </w:rPr>
        <w:t>HTML5</w:t>
      </w:r>
      <w:r>
        <w:rPr/>
        <w:t>移动应用引擎研发与产业化</w:t>
      </w:r>
      <w:r>
        <w:rPr>
          <w:rFonts w:ascii="Times New Roman" w:hAnsi="Times New Roman" w:cs="Times New Roman" w:eastAsia="Times New Roman" w:hint="default"/>
        </w:rPr>
        <w:t>”</w:t>
      </w:r>
      <w:r>
        <w:rPr/>
        <w:t>事宜， 本公司于</w:t>
      </w:r>
      <w:r>
        <w:rPr>
          <w:rFonts w:ascii="Times New Roman" w:hAnsi="Times New Roman" w:cs="Times New Roman" w:eastAsia="Times New Roman" w:hint="default"/>
        </w:rPr>
        <w:t>2014</w:t>
      </w:r>
      <w:r>
        <w:rPr/>
        <w:t>年分别支付电子科技大学</w:t>
      </w:r>
      <w:r>
        <w:rPr>
          <w:rFonts w:ascii="Times New Roman" w:hAnsi="Times New Roman" w:cs="Times New Roman" w:eastAsia="Times New Roman" w:hint="default"/>
        </w:rPr>
        <w:t>120</w:t>
      </w:r>
      <w:r>
        <w:rPr/>
        <w:t>万元，支付深圳创新谷投资管理有限公司</w:t>
      </w:r>
      <w:r>
        <w:rPr>
          <w:rFonts w:ascii="Times New Roman" w:hAnsi="Times New Roman" w:cs="Times New Roman" w:eastAsia="Times New Roman" w:hint="default"/>
        </w:rPr>
        <w:t>120</w:t>
      </w:r>
      <w:r>
        <w:rPr/>
        <w:t>万元。</w:t>
      </w:r>
    </w:p>
    <w:p>
      <w:pPr>
        <w:pStyle w:val="BodyText"/>
        <w:spacing w:line="307" w:lineRule="auto" w:before="13"/>
        <w:ind w:right="92"/>
        <w:jc w:val="left"/>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月，根据广东省财政厅粤财工</w:t>
      </w:r>
      <w:r>
        <w:rPr>
          <w:rFonts w:ascii="Times New Roman" w:hAnsi="Times New Roman" w:cs="Times New Roman" w:eastAsia="Times New Roman" w:hint="default"/>
          <w:spacing w:val="-2"/>
        </w:rPr>
        <w:t>[2012]313</w:t>
      </w:r>
      <w:r>
        <w:rPr>
          <w:spacing w:val="-2"/>
        </w:rPr>
        <w:t>号《关于下达</w:t>
      </w:r>
      <w:r>
        <w:rPr>
          <w:rFonts w:ascii="Times New Roman" w:hAnsi="Times New Roman" w:cs="Times New Roman" w:eastAsia="Times New Roman" w:hint="default"/>
          <w:spacing w:val="-2"/>
        </w:rPr>
        <w:t>2012</w:t>
      </w:r>
      <w:r>
        <w:rPr>
          <w:spacing w:val="-2"/>
        </w:rPr>
        <w:t>年省现代信息服务业发展专项资金的通知》、《</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4"/>
        </w:rPr>
        <w:t>年广东省现代信息服务业发展专项资金项目计划》（项目名称：基于移动互联网的融合通信、社交及云储业务系统）之规定，</w:t>
      </w:r>
      <w:r>
        <w:rPr>
          <w:spacing w:val="-44"/>
        </w:rPr>
        <w:t> </w:t>
      </w:r>
      <w:r>
        <w:rPr>
          <w:spacing w:val="-44"/>
        </w:rPr>
      </w:r>
      <w:r>
        <w:rPr>
          <w:spacing w:val="-2"/>
        </w:rPr>
        <w:t>本公司之子公司广州易杰于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日收到广州市天河区财政局拨付的发展专项资金</w:t>
      </w:r>
      <w:r>
        <w:rPr>
          <w:rFonts w:ascii="Times New Roman" w:hAnsi="Times New Roman" w:cs="Times New Roman" w:eastAsia="Times New Roman" w:hint="default"/>
          <w:spacing w:val="-2"/>
        </w:rPr>
        <w:t>300</w:t>
      </w:r>
      <w:r>
        <w:rPr>
          <w:spacing w:val="-2"/>
        </w:rPr>
        <w:t>万元，该项目需要项目主管单位</w:t>
      </w:r>
      <w:r>
        <w:rPr>
          <w:spacing w:val="-54"/>
        </w:rPr>
        <w:t> </w:t>
      </w:r>
      <w:r>
        <w:rPr>
          <w:spacing w:val="-54"/>
        </w:rPr>
      </w:r>
      <w:r>
        <w:rPr/>
        <w:t>的验收后予以转销，截止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40" w:lineRule="auto" w:before="7"/>
        <w:ind w:right="92"/>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月，根据本公司与深圳市经济贸易和信息化委员会签订的《深圳市战略新兴产业发展专项资金项目合同书》</w:t>
      </w:r>
    </w:p>
    <w:p>
      <w:pPr>
        <w:pStyle w:val="BodyText"/>
        <w:spacing w:line="300" w:lineRule="auto" w:before="63"/>
        <w:ind w:right="92"/>
        <w:jc w:val="left"/>
      </w:pPr>
      <w:r>
        <w:rPr/>
        <w:t>（项目名称：面向电信行业大数据的新一代数据仓库架构综合业务运营支撑平台）之规定，本公司于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日收到深 </w:t>
      </w:r>
      <w:r>
        <w:rPr>
          <w:spacing w:val="-2"/>
        </w:rPr>
        <w:t>圳市财政委员会科研资助</w:t>
      </w:r>
      <w:r>
        <w:rPr>
          <w:rFonts w:ascii="Times New Roman" w:hAnsi="Times New Roman" w:cs="Times New Roman" w:eastAsia="Times New Roman" w:hint="default"/>
          <w:spacing w:val="-2"/>
        </w:rPr>
        <w:t>200</w:t>
      </w:r>
      <w:r>
        <w:rPr>
          <w:spacing w:val="-2"/>
        </w:rPr>
        <w:t>万元，该项目需要深圳市经济贸易和信息化委员会验收合格后才能转销。截止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52"/>
        </w:rPr>
        <w:t> </w:t>
      </w:r>
      <w:r>
        <w:rPr/>
        <w:t>该项目尚在进行中，且未验收。</w:t>
      </w:r>
    </w:p>
    <w:p>
      <w:pPr>
        <w:pStyle w:val="BodyText"/>
        <w:spacing w:line="300" w:lineRule="auto" w:before="31"/>
        <w:ind w:right="92"/>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月，根据与广东省教育科技部办公室签订的《广东省院士工作站建设项目合同书》，本公司于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月收到 </w:t>
      </w:r>
      <w:r>
        <w:rPr>
          <w:spacing w:val="-2"/>
        </w:rPr>
        <w:t>省科技厅支付的经费</w:t>
      </w:r>
      <w:r>
        <w:rPr>
          <w:rFonts w:ascii="Times New Roman" w:hAnsi="Times New Roman" w:cs="Times New Roman" w:eastAsia="Times New Roman" w:hint="default"/>
          <w:spacing w:val="-2"/>
        </w:rPr>
        <w:t>150</w:t>
      </w:r>
      <w:r>
        <w:rPr>
          <w:spacing w:val="-2"/>
        </w:rPr>
        <w:t>万，该项目需要广东省教育科技部验收合格后予以转销，截止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日，该项目尚在进行中，</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且未验收。</w:t>
      </w:r>
    </w:p>
    <w:p>
      <w:pPr>
        <w:pStyle w:val="BodyText"/>
        <w:spacing w:line="300" w:lineRule="auto" w:before="76"/>
        <w:ind w:right="191"/>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月，根据公司与深圳市科技创新委员会签订的《深圳市战略新兴产业发展专项资金项目合同书》，本公司于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月份收到深圳市科技创新委员会支付的专项资助款</w:t>
      </w:r>
      <w:r>
        <w:rPr>
          <w:rFonts w:ascii="Times New Roman" w:hAnsi="Times New Roman" w:cs="Times New Roman" w:eastAsia="Times New Roman" w:hint="default"/>
          <w:spacing w:val="-2"/>
        </w:rPr>
        <w:t>120</w:t>
      </w:r>
      <w:r>
        <w:rPr>
          <w:spacing w:val="-2"/>
        </w:rPr>
        <w:t>万元，该项目于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月经验收合格，本公司将其转入营业</w:t>
      </w:r>
      <w:r>
        <w:rPr>
          <w:spacing w:val="-50"/>
        </w:rPr>
        <w:t> </w:t>
      </w:r>
      <w:r>
        <w:rPr>
          <w:spacing w:val="-50"/>
        </w:rPr>
      </w:r>
      <w:r>
        <w:rPr/>
        <w:t>外收入。</w:t>
      </w:r>
    </w:p>
    <w:p>
      <w:pPr>
        <w:pStyle w:val="BodyText"/>
        <w:spacing w:line="300" w:lineRule="auto" w:before="32"/>
        <w:ind w:right="191"/>
        <w:jc w:val="both"/>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月，根据本公司与深圳市高新技术产业园管理委员会签订的《科技开发项目任务书》（项目名称：基于下一 </w:t>
      </w:r>
      <w:r>
        <w:rPr>
          <w:spacing w:val="-2"/>
        </w:rPr>
        <w:t>代移动互联网的开放性信息服务平台）之规定，本公司于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月收到科学技术部支付的专项经费补助</w:t>
      </w:r>
      <w:r>
        <w:rPr>
          <w:rFonts w:ascii="Times New Roman" w:hAnsi="Times New Roman" w:cs="Times New Roman" w:eastAsia="Times New Roman" w:hint="default"/>
          <w:spacing w:val="-2"/>
        </w:rPr>
        <w:t>65</w:t>
      </w:r>
      <w:r>
        <w:rPr>
          <w:spacing w:val="-2"/>
        </w:rPr>
        <w:t>万元，该项目需</w:t>
      </w:r>
      <w:r>
        <w:rPr>
          <w:spacing w:val="-58"/>
        </w:rPr>
        <w:t> </w:t>
      </w:r>
      <w:r>
        <w:rPr>
          <w:spacing w:val="-58"/>
        </w:rPr>
      </w:r>
      <w:r>
        <w:rPr/>
        <w:t>要科技部验收收合格后予以转销，截止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191"/>
        <w:jc w:val="both"/>
      </w:pPr>
      <w:r>
        <w:rPr>
          <w:spacing w:val="-1"/>
        </w:rPr>
        <w:t>（</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月，根据广东省财政厅穗财教</w:t>
      </w:r>
      <w:r>
        <w:rPr>
          <w:rFonts w:ascii="Times New Roman" w:hAnsi="Times New Roman" w:cs="Times New Roman" w:eastAsia="Times New Roman" w:hint="default"/>
          <w:spacing w:val="-1"/>
        </w:rPr>
        <w:t>[2012]267</w:t>
      </w:r>
      <w:r>
        <w:rPr>
          <w:spacing w:val="-1"/>
        </w:rPr>
        <w:t>号文件《关于下达财政部</w:t>
      </w:r>
      <w:r>
        <w:rPr>
          <w:rFonts w:ascii="Times New Roman" w:hAnsi="Times New Roman" w:cs="Times New Roman" w:eastAsia="Times New Roman" w:hint="default"/>
          <w:spacing w:val="-1"/>
        </w:rPr>
        <w:t>2012</w:t>
      </w:r>
      <w:r>
        <w:rPr>
          <w:spacing w:val="-1"/>
        </w:rPr>
        <w:t>年第二批科技型中小企业技术创新基金</w:t>
      </w:r>
      <w:r>
        <w:rPr>
          <w:spacing w:val="-50"/>
        </w:rPr>
        <w:t> </w:t>
      </w:r>
      <w:r>
        <w:rPr/>
        <w:t>预算（拨款）通知》（项目名称：基于移动互联网的融合通信业务系统）之规定，本公司之子公司广州易杰于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 </w:t>
      </w:r>
      <w:r>
        <w:rPr>
          <w:spacing w:val="-2"/>
        </w:rPr>
        <w:t>日收到广州市天河区财政局拨付的项目经费</w:t>
      </w:r>
      <w:r>
        <w:rPr>
          <w:rFonts w:ascii="Times New Roman" w:hAnsi="Times New Roman" w:cs="Times New Roman" w:eastAsia="Times New Roman" w:hint="default"/>
          <w:spacing w:val="-2"/>
        </w:rPr>
        <w:t>49</w:t>
      </w:r>
      <w:r>
        <w:rPr>
          <w:spacing w:val="-2"/>
        </w:rPr>
        <w:t>万元，该项目已于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月经验收合格，本公司之子公司广州易杰将其转入</w:t>
      </w:r>
      <w:r>
        <w:rPr>
          <w:spacing w:val="-56"/>
        </w:rPr>
        <w:t> </w:t>
      </w:r>
      <w:r>
        <w:rPr>
          <w:spacing w:val="-56"/>
        </w:rPr>
      </w:r>
      <w:r>
        <w:rPr/>
        <w:t>营业外收入。</w:t>
      </w:r>
    </w:p>
    <w:p>
      <w:pPr>
        <w:pStyle w:val="BodyText"/>
        <w:spacing w:line="300" w:lineRule="auto" w:before="31"/>
        <w:ind w:right="190"/>
        <w:jc w:val="both"/>
      </w:pPr>
      <w:r>
        <w:rPr>
          <w:spacing w:val="-2"/>
        </w:rPr>
        <w:t>（</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月，根据本公司与深圳市南山区科技创新局签订的《深圳市南山区科技发展专项资金重点产业及战略性新兴</w:t>
      </w:r>
      <w:r>
        <w:rPr>
          <w:spacing w:val="-58"/>
        </w:rPr>
        <w:t> </w:t>
      </w:r>
      <w:r>
        <w:rPr>
          <w:spacing w:val="-58"/>
        </w:rPr>
      </w:r>
      <w:r>
        <w:rPr>
          <w:spacing w:val="-2"/>
        </w:rPr>
        <w:t>产业技术研发资助合同书》（项目名称：云计算环境下数据访问性能加速器）之规定，本公司于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日收到深圳市</w:t>
      </w:r>
      <w:r>
        <w:rPr>
          <w:spacing w:val="-57"/>
        </w:rPr>
        <w:t> </w:t>
      </w:r>
      <w:r>
        <w:rPr/>
        <w:t>南山区财政局科研资助</w:t>
      </w:r>
      <w:r>
        <w:rPr>
          <w:rFonts w:ascii="Times New Roman" w:hAnsi="Times New Roman" w:cs="Times New Roman" w:eastAsia="Times New Roman" w:hint="default"/>
        </w:rPr>
        <w:t>40</w:t>
      </w:r>
      <w:r>
        <w:rPr/>
        <w:t>万元。该项目已于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月验收合格，本公司将其转入营业外收入。</w:t>
      </w:r>
    </w:p>
    <w:p>
      <w:pPr>
        <w:pStyle w:val="BodyText"/>
        <w:spacing w:line="300" w:lineRule="auto" w:before="13"/>
        <w:ind w:right="92"/>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月，根据广州市天河区科技和信息化局和广州市天河区财政局联合发布的穗天科信字</w:t>
      </w:r>
      <w:r>
        <w:rPr>
          <w:rFonts w:ascii="Times New Roman" w:hAnsi="Times New Roman" w:cs="Times New Roman" w:eastAsia="Times New Roman" w:hint="default"/>
        </w:rPr>
        <w:t>[2012]16</w:t>
      </w:r>
      <w:r>
        <w:rPr/>
        <w:t>号《关于下达 </w:t>
      </w:r>
      <w:r>
        <w:rPr>
          <w:rFonts w:ascii="Times New Roman" w:hAnsi="Times New Roman" w:cs="Times New Roman" w:eastAsia="Times New Roman" w:hint="default"/>
          <w:spacing w:val="-2"/>
        </w:rPr>
        <w:t>2012</w:t>
      </w:r>
      <w:r>
        <w:rPr>
          <w:spacing w:val="-2"/>
        </w:rPr>
        <w:t>年区科学技术经费的通知》、《广州市科技计划项目合同书》（项目名称：基于移动互联网的融合通信业务系统）之规</w:t>
      </w:r>
      <w:r>
        <w:rPr>
          <w:spacing w:val="-64"/>
        </w:rPr>
        <w:t> </w:t>
      </w:r>
      <w:r>
        <w:rPr>
          <w:spacing w:val="-64"/>
        </w:rPr>
      </w:r>
      <w:r>
        <w:rPr>
          <w:spacing w:val="-2"/>
        </w:rPr>
        <w:t>定，本公司之子公司广州易杰于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日收到广州市天河区财政局拨付的项目经费</w:t>
      </w:r>
      <w:r>
        <w:rPr>
          <w:rFonts w:ascii="Times New Roman" w:hAnsi="Times New Roman" w:cs="Times New Roman" w:eastAsia="Times New Roman" w:hint="default"/>
          <w:spacing w:val="-2"/>
        </w:rPr>
        <w:t>15</w:t>
      </w:r>
      <w:r>
        <w:rPr>
          <w:spacing w:val="-2"/>
        </w:rPr>
        <w:t>万元。该项目已于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月经验</w:t>
      </w:r>
      <w:r>
        <w:rPr>
          <w:spacing w:val="-50"/>
        </w:rPr>
        <w:t> </w:t>
      </w:r>
      <w:r>
        <w:rPr/>
        <w:t>收合格，本公司之子公司广州易杰将其转入营业外收入。</w:t>
      </w:r>
    </w:p>
    <w:p>
      <w:pPr>
        <w:pStyle w:val="BodyText"/>
        <w:spacing w:line="300" w:lineRule="auto" w:before="31"/>
        <w:ind w:right="92"/>
        <w:jc w:val="left"/>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月，根据广州市天河区科技和信息化局和广州市天河区财政局联合发布的穗天科信字</w:t>
      </w:r>
      <w:r>
        <w:rPr>
          <w:rFonts w:ascii="Times New Roman" w:hAnsi="Times New Roman" w:cs="Times New Roman" w:eastAsia="Times New Roman" w:hint="default"/>
        </w:rPr>
        <w:t>[2012]122</w:t>
      </w:r>
      <w:r>
        <w:rPr/>
        <w:t>号《关于下 </w:t>
      </w:r>
      <w:r>
        <w:rPr>
          <w:spacing w:val="-4"/>
        </w:rPr>
        <w:t>达</w:t>
      </w:r>
      <w:r>
        <w:rPr>
          <w:rFonts w:ascii="Times New Roman" w:hAnsi="Times New Roman" w:cs="Times New Roman" w:eastAsia="Times New Roman" w:hint="default"/>
          <w:spacing w:val="-4"/>
        </w:rPr>
        <w:t>2012</w:t>
      </w:r>
      <w:r>
        <w:rPr>
          <w:spacing w:val="-4"/>
        </w:rPr>
        <w:t>年第一批科学技术经费的通知》、《天河区科技计划项目任务书》（项目名称：基于移动互联网的融合通信业务系统）</w:t>
      </w:r>
      <w:r>
        <w:rPr>
          <w:spacing w:val="-36"/>
        </w:rPr>
        <w:t> </w:t>
      </w:r>
      <w:r>
        <w:rPr>
          <w:spacing w:val="-36"/>
        </w:rPr>
      </w:r>
      <w:r>
        <w:rPr>
          <w:spacing w:val="-2"/>
        </w:rPr>
        <w:t>之规定，本公司之子公司广州易杰于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日收到广州市天河区财政局拨付的项目经费</w:t>
      </w:r>
      <w:r>
        <w:rPr>
          <w:rFonts w:ascii="Times New Roman" w:hAnsi="Times New Roman" w:cs="Times New Roman" w:eastAsia="Times New Roman" w:hint="default"/>
          <w:spacing w:val="-2"/>
        </w:rPr>
        <w:t>20</w:t>
      </w:r>
      <w:r>
        <w:rPr>
          <w:spacing w:val="-2"/>
        </w:rPr>
        <w:t>万元。该项目已于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3"/>
        </w:rPr>
        <w:t> </w:t>
      </w:r>
      <w:r>
        <w:rPr/>
        <w:t>月经验收合格，本公司之子公司广州易杰将其转入营业外收入。</w:t>
      </w:r>
    </w:p>
    <w:p>
      <w:pPr>
        <w:pStyle w:val="BodyText"/>
        <w:spacing w:line="307" w:lineRule="auto" w:before="32"/>
        <w:ind w:right="182"/>
        <w:jc w:val="left"/>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月，根据深圳市南山区科学技术局、深圳市南山区财政局深南科</w:t>
      </w:r>
      <w:r>
        <w:rPr>
          <w:rFonts w:ascii="Times New Roman" w:hAnsi="Times New Roman" w:cs="Times New Roman" w:eastAsia="Times New Roman" w:hint="default"/>
        </w:rPr>
        <w:t>[2009]39</w:t>
      </w:r>
      <w:r>
        <w:rPr/>
        <w:t>号《关于下达</w:t>
      </w:r>
      <w:r>
        <w:rPr>
          <w:rFonts w:ascii="Times New Roman" w:hAnsi="Times New Roman" w:cs="Times New Roman" w:eastAsia="Times New Roman" w:hint="default"/>
        </w:rPr>
        <w:t>2009</w:t>
      </w:r>
      <w:r>
        <w:rPr/>
        <w:t>年度南山区科技 </w:t>
      </w:r>
      <w:r>
        <w:rPr>
          <w:spacing w:val="-2"/>
        </w:rPr>
        <w:t>发展专项资金（科技研发分项资金）资助项目计划（第一批）的通知》、《深圳市南山区科技研发资金资助项目合同书》之</w:t>
      </w:r>
      <w:r>
        <w:rPr>
          <w:spacing w:val="-67"/>
        </w:rPr>
        <w:t> </w:t>
      </w:r>
      <w:r>
        <w:rPr>
          <w:spacing w:val="-67"/>
        </w:rPr>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日收到深圳市南山区财政局科研资助款</w:t>
      </w:r>
      <w:r>
        <w:rPr>
          <w:rFonts w:ascii="Times New Roman" w:hAnsi="Times New Roman" w:cs="Times New Roman" w:eastAsia="Times New Roman" w:hint="default"/>
        </w:rPr>
        <w:t>20</w:t>
      </w:r>
      <w:r>
        <w:rPr/>
        <w:t>万元。该项目已于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月经验收合格，本公司将 其转入营业外收入。</w:t>
      </w:r>
    </w:p>
    <w:p>
      <w:pPr>
        <w:pStyle w:val="BodyText"/>
        <w:spacing w:line="300" w:lineRule="auto" w:before="26"/>
        <w:ind w:right="190"/>
        <w:jc w:val="both"/>
      </w:pPr>
      <w:r>
        <w:rPr>
          <w:spacing w:val="-2"/>
        </w:rPr>
        <w:t>（</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月，根据本公司与深圳市南山区科技创新局签订的《深圳市南山区技术研发和创意设计项目分项资金一般研</w:t>
      </w:r>
      <w:r>
        <w:rPr>
          <w:spacing w:val="-58"/>
        </w:rPr>
        <w:t> </w:t>
      </w:r>
      <w:r>
        <w:rPr>
          <w:spacing w:val="-58"/>
        </w:rPr>
      </w:r>
      <w:r>
        <w:rPr>
          <w:spacing w:val="-2"/>
        </w:rPr>
        <w:t>发资助项目合同书》（项目名称：海量信息推送智能管控平台）之规定，本公司于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日收到深圳市南山区财政局</w:t>
      </w:r>
      <w:r>
        <w:rPr>
          <w:spacing w:val="-57"/>
        </w:rPr>
        <w:t> </w:t>
      </w:r>
      <w:r>
        <w:rPr/>
        <w:t>科研资助</w:t>
      </w:r>
      <w:r>
        <w:rPr>
          <w:rFonts w:ascii="Times New Roman" w:hAnsi="Times New Roman" w:cs="Times New Roman" w:eastAsia="Times New Roman" w:hint="default"/>
        </w:rPr>
        <w:t>20</w:t>
      </w:r>
      <w:r>
        <w:rPr/>
        <w:t>万元。该项目已于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月经验收合格，本公司将其转入营业外收入。</w:t>
      </w:r>
    </w:p>
    <w:p>
      <w:pPr>
        <w:pStyle w:val="BodyText"/>
        <w:spacing w:line="300" w:lineRule="auto" w:before="13"/>
        <w:ind w:right="100"/>
        <w:jc w:val="both"/>
      </w:pPr>
      <w:r>
        <w:rPr>
          <w:spacing w:val="-4"/>
        </w:rPr>
        <w:t>（</w:t>
      </w:r>
      <w:r>
        <w:rPr>
          <w:rFonts w:ascii="Times New Roman" w:hAnsi="Times New Roman" w:cs="Times New Roman" w:eastAsia="Times New Roman" w:hint="default"/>
          <w:spacing w:val="-4"/>
        </w:rPr>
        <w:t>16</w:t>
      </w:r>
      <w:r>
        <w:rPr>
          <w:spacing w:val="-4"/>
        </w:rPr>
        <w:t>）根据科技型中小企业技术创新基金国科发</w:t>
      </w:r>
      <w:r>
        <w:rPr>
          <w:rFonts w:ascii="Times New Roman" w:hAnsi="Times New Roman" w:cs="Times New Roman" w:eastAsia="Times New Roman" w:hint="default"/>
          <w:spacing w:val="-4"/>
        </w:rPr>
        <w:t>[2014]166</w:t>
      </w:r>
      <w:r>
        <w:rPr>
          <w:spacing w:val="-4"/>
        </w:rPr>
        <w:t>号颁发的立项证书（项目名称：基于</w:t>
      </w:r>
      <w:r>
        <w:rPr>
          <w:rFonts w:ascii="Times New Roman" w:hAnsi="Times New Roman" w:cs="Times New Roman" w:eastAsia="Times New Roman" w:hint="default"/>
          <w:spacing w:val="-4"/>
        </w:rPr>
        <w:t>SOA</w:t>
      </w:r>
      <w:r>
        <w:rPr>
          <w:spacing w:val="-4"/>
        </w:rPr>
        <w:t>构架的融资担保云平台），</w:t>
      </w:r>
      <w:r>
        <w:rPr>
          <w:spacing w:val="-50"/>
        </w:rPr>
        <w:t> </w:t>
      </w:r>
      <w:r>
        <w:rPr>
          <w:spacing w:val="-50"/>
        </w:rPr>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日收到的创新基金</w:t>
      </w:r>
      <w:r>
        <w:rPr>
          <w:rFonts w:ascii="Times New Roman" w:hAnsi="Times New Roman" w:cs="Times New Roman" w:eastAsia="Times New Roman" w:hint="default"/>
        </w:rPr>
        <w:t>60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300" w:lineRule="auto" w:before="13"/>
        <w:ind w:right="92"/>
        <w:jc w:val="left"/>
      </w:pPr>
      <w:r>
        <w:rPr>
          <w:spacing w:val="-2"/>
        </w:rPr>
        <w:t>（</w:t>
      </w:r>
      <w:r>
        <w:rPr>
          <w:rFonts w:ascii="Times New Roman" w:hAnsi="Times New Roman" w:cs="Times New Roman" w:eastAsia="Times New Roman" w:hint="default"/>
          <w:spacing w:val="-2"/>
        </w:rPr>
        <w:t>17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月，根据本公司之子公司广州易杰与广州市天河区科技和信息化局签订的天河区科技计划项目任务书（项目</w:t>
      </w:r>
      <w:r>
        <w:rPr>
          <w:spacing w:val="-58"/>
        </w:rPr>
        <w:t> </w:t>
      </w:r>
      <w:r>
        <w:rPr>
          <w:spacing w:val="-58"/>
        </w:rPr>
      </w:r>
      <w:r>
        <w:rPr>
          <w:spacing w:val="-3"/>
        </w:rPr>
        <w:t>名称：基于移动互联网地理信息的位置服务软件）之规定，本公司之子公司广州易杰于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日收到科技经费</w:t>
      </w:r>
      <w:r>
        <w:rPr>
          <w:rFonts w:ascii="Times New Roman" w:hAnsi="Times New Roman" w:cs="Times New Roman" w:eastAsia="Times New Roman" w:hint="default"/>
          <w:spacing w:val="-3"/>
        </w:rPr>
        <w:t>15</w:t>
      </w:r>
      <w:r>
        <w:rPr>
          <w:spacing w:val="-3"/>
        </w:rPr>
        <w:t>万元，</w:t>
      </w:r>
      <w:r>
        <w:rPr>
          <w:spacing w:val="-84"/>
        </w:rPr>
        <w:t> </w:t>
      </w:r>
      <w:r>
        <w:rPr/>
        <w:t>该项目需要科技和信息化局验收收合格后予以转销，截止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315,688,300.00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3,533,400.00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3,533,400.00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319,221,700.00</w:t>
            </w:r>
          </w:p>
        </w:tc>
      </w:tr>
    </w:tbl>
    <w:p>
      <w:pPr>
        <w:pStyle w:val="BodyText"/>
        <w:spacing w:line="240" w:lineRule="auto" w:before="51"/>
        <w:ind w:right="92"/>
        <w:jc w:val="left"/>
      </w:pPr>
      <w:r>
        <w:rPr/>
        <w:t>其他说明：</w:t>
      </w:r>
    </w:p>
    <w:p>
      <w:pPr>
        <w:pStyle w:val="Heading4"/>
        <w:spacing w:line="240" w:lineRule="auto" w:before="89"/>
        <w:ind w:left="154" w:right="9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日，根据第三届董事会第七次会议的决议，同意</w:t>
      </w:r>
      <w:r>
        <w:rPr>
          <w:rFonts w:ascii="Times New Roman" w:hAnsi="Times New Roman" w:cs="Times New Roman" w:eastAsia="Times New Roman" w:hint="default"/>
        </w:rPr>
        <w:t>100</w:t>
      </w:r>
      <w:r>
        <w:rPr/>
        <w:t>名符合条件的激励对象在第二个行权期内</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4"/>
        <w:spacing w:line="256" w:lineRule="auto" w:before="35"/>
        <w:ind w:left="154" w:right="0"/>
        <w:jc w:val="left"/>
      </w:pPr>
      <w:r>
        <w:rPr/>
        <w:t>行权。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日期间，股票期权激励对象自主行权总数</w:t>
      </w:r>
      <w:r>
        <w:rPr>
          <w:rFonts w:ascii="Times New Roman" w:hAnsi="Times New Roman" w:cs="Times New Roman" w:eastAsia="Times New Roman" w:hint="default"/>
        </w:rPr>
        <w:t>2,569,907.00</w:t>
      </w:r>
      <w:r>
        <w:rPr/>
        <w:t>股，由此增加股</w:t>
      </w:r>
      <w:r>
        <w:rPr>
          <w:spacing w:val="-83"/>
        </w:rPr>
        <w:t> </w:t>
      </w:r>
      <w:r>
        <w:rPr>
          <w:spacing w:val="-83"/>
        </w:rPr>
      </w:r>
      <w:r>
        <w:rPr>
          <w:spacing w:val="-1"/>
        </w:rPr>
        <w:t>本人民币</w:t>
      </w:r>
      <w:r>
        <w:rPr>
          <w:rFonts w:ascii="Times New Roman" w:hAnsi="Times New Roman" w:cs="Times New Roman" w:eastAsia="Times New Roman" w:hint="default"/>
          <w:spacing w:val="-1"/>
        </w:rPr>
        <w:t>2,569,907.00</w:t>
      </w:r>
      <w:r>
        <w:rPr>
          <w:spacing w:val="-1"/>
        </w:rPr>
        <w:t>元。上述增资业经瑞华会计师事务所（特殊普通合伙）以瑞华验字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48310004</w:t>
      </w:r>
      <w:r>
        <w:rPr>
          <w:rFonts w:ascii="Times New Roman" w:hAnsi="Times New Roman" w:cs="Times New Roman" w:eastAsia="Times New Roman" w:hint="default"/>
          <w:spacing w:val="-3"/>
        </w:rPr>
        <w:t> </w:t>
      </w:r>
      <w:r>
        <w:rPr/>
        <w:t>号验资报告验证。验资报告中</w:t>
      </w:r>
      <w:r>
        <w:rPr>
          <w:rFonts w:ascii="Times New Roman" w:hAnsi="Times New Roman" w:cs="Times New Roman" w:eastAsia="Times New Roman" w:hint="default"/>
        </w:rPr>
        <w:t>2,807,007.00</w:t>
      </w:r>
      <w:r>
        <w:rPr/>
        <w:t>股含上期行权股数</w:t>
      </w:r>
      <w:r>
        <w:rPr>
          <w:rFonts w:ascii="Times New Roman" w:hAnsi="Times New Roman" w:cs="Times New Roman" w:eastAsia="Times New Roman" w:hint="default"/>
        </w:rPr>
        <w:t>237,100.00</w:t>
      </w:r>
      <w:r>
        <w:rPr/>
        <w:t>股。</w:t>
      </w:r>
      <w:r>
        <w:rPr>
          <w:spacing w:val="-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日期间，股票期权激励对象自主行权总数</w:t>
      </w:r>
      <w:r>
        <w:rPr>
          <w:rFonts w:ascii="Times New Roman" w:hAnsi="Times New Roman" w:cs="Times New Roman" w:eastAsia="Times New Roman" w:hint="default"/>
        </w:rPr>
        <w:t>963,493.00</w:t>
      </w:r>
      <w:r>
        <w:rPr/>
        <w:t>股。</w:t>
      </w:r>
      <w:r>
        <w:rPr>
          <w:spacing w:val="-2"/>
        </w:rPr>
        <w:t> </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日止，本公司注册资本为</w:t>
      </w:r>
      <w:r>
        <w:rPr>
          <w:rFonts w:ascii="Times New Roman" w:hAnsi="Times New Roman" w:cs="Times New Roman" w:eastAsia="Times New Roman" w:hint="default"/>
        </w:rPr>
        <w:t>318,258,207.00</w:t>
      </w:r>
      <w:r>
        <w:rPr/>
        <w:t>元，实收资本为</w:t>
      </w:r>
      <w:r>
        <w:rPr>
          <w:rFonts w:ascii="Times New Roman" w:hAnsi="Times New Roman" w:cs="Times New Roman" w:eastAsia="Times New Roman" w:hint="default"/>
        </w:rPr>
        <w:t>319,221,700.00</w:t>
      </w:r>
      <w:r>
        <w:rPr/>
        <w:t>元。 注册资本与实收资本的差异主要系上述</w:t>
      </w:r>
      <w:r>
        <w:rPr>
          <w:rFonts w:ascii="Times New Roman" w:hAnsi="Times New Roman" w:cs="Times New Roman" w:eastAsia="Times New Roman" w:hint="default"/>
        </w:rPr>
        <w:t>963,493.00</w:t>
      </w:r>
      <w:r>
        <w:rPr/>
        <w:t>股行权股份的工商变更登记手续尚未办理完毕。</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478,526,300.51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23,554,393.70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502,080,694.21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7,095,455.88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1,600,952.89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3,849,201.09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4,847,207.68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485,621,756.39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25,155,346.59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3,849,201.09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506,927,901.89</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right="160"/>
        <w:jc w:val="left"/>
      </w:pPr>
      <w:r>
        <w:rPr>
          <w:rFonts w:ascii="Times New Roman" w:hAnsi="Times New Roman" w:cs="Times New Roman" w:eastAsia="Times New Roman" w:hint="default"/>
        </w:rPr>
        <w:t>1</w:t>
      </w:r>
      <w:r>
        <w:rPr/>
        <w:t>、资本溢价本期增加中</w:t>
      </w:r>
      <w:r>
        <w:rPr>
          <w:rFonts w:ascii="Times New Roman" w:hAnsi="Times New Roman" w:cs="Times New Roman" w:eastAsia="Times New Roman" w:hint="default"/>
        </w:rPr>
        <w:t>19,705,192.61</w:t>
      </w:r>
      <w:r>
        <w:rPr/>
        <w:t>元系股权激励自主行权增加所致，根据上述股权激励自主行权情况，同时相应将等待 期内确认的</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3,849,201.09</w:t>
      </w:r>
      <w:r>
        <w:rPr/>
        <w:t>元转入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、按照本公司股权激励计划，在等待期内的每个资产负债表日，公司以对可行权权益工具数量的最佳估计为基础，按照权 益工具授予日的公允价值，将当期取得的服务计入相关费用和资本公积，本报告期确认股份支付费用和资本公积</w:t>
      </w:r>
      <w:r>
        <w:rPr>
          <w:rFonts w:ascii="Times New Roman" w:hAnsi="Times New Roman" w:cs="Times New Roman" w:eastAsia="Times New Roman" w:hint="default"/>
        </w:rPr>
        <w:t>-</w:t>
      </w:r>
      <w:r>
        <w:rPr/>
        <w:t>其他资本 公积</w:t>
      </w:r>
      <w:r>
        <w:rPr>
          <w:rFonts w:ascii="Times New Roman" w:hAnsi="Times New Roman" w:cs="Times New Roman" w:eastAsia="Times New Roman" w:hint="default"/>
        </w:rPr>
        <w:t>1,600,952.89</w:t>
      </w:r>
      <w:r>
        <w:rPr/>
        <w:t>元；资本公积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3,849,201.09</w:t>
      </w:r>
      <w:r>
        <w:rPr/>
        <w:t>元原因见上述</w:t>
      </w:r>
      <w:r>
        <w:rPr>
          <w:rFonts w:ascii="Times New Roman" w:hAnsi="Times New Roman" w:cs="Times New Roman" w:eastAsia="Times New Roman" w:hint="default"/>
        </w:rPr>
        <w:t>1</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48,357,011.85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4,239,315.74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52,596,327.59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48,357,011.85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4,239,315.74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52,596,327.59</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300,376,760.86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222,392,486.76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300,376,760.86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222,392,486.76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61,202,490.99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122,180,394.93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4,239,315.74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12,816,120.83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11,049,090.50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346,290,845.61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300,376,760.86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1,186,644,496.20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882,913,913.01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1,023,069,902.40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687,354,284.51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1,186,644,496.20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882,913,913.01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1,023,069,902.40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687,354,284.51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212,430.49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677,328.91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1,712,052.81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353,196.26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1,264,693.48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318,078.59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3,189,176.78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1,348,603.76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27,504,170.07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22,569,909.58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6,130,039.53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5,863,224.43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5,075,505.03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4,187,705.63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5,501,102.30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3,813,265.14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1,955,598.94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4,059,331.69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4,068,619.08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2,606,694.90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1,838,145.49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1,561,982.65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1,245,043.57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849,478.96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1,420,448.89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279,914.84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192,411.22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6,229,779.31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2,196,449.97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61,721,035.92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49,350,821.94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83,806,306.29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76,857,810.61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30,295,624.93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24,547,966.86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7,593,219.47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5,771,742.45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1,600,952.89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4,024,490.02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6,339,986.03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4,634,872.25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3,473,165.08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3,409,908.21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3,406,274.57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3,299,288.29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4,307,852.56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3,240,973.59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1,903,863.40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2,466,839.03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2,722,007.38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2,068,723.19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5,872,461.93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12,423,312.53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151,321,714.53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142,745,927.03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18,891,440.43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9,188,315.65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1,968,388.88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2,317,870.65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1,019,699.43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414,256.15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17,943,538.58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7,284,701.15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4,145,635.89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6,754,202.05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1,020,017.91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4,145,635.89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7,774,219.96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1,488,215.46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2,357,497.39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1,488,215.46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2,357,497.39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5,842,892.29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3,792,362.61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5,842,892.29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488,725.36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149,309.78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488,725.36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6,334,636.93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3,946,629.86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6,334,636.93</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
              <w:jc w:val="left"/>
              <w:rPr>
                <w:rFonts w:ascii="宋体" w:hAnsi="宋体" w:cs="宋体" w:eastAsia="宋体" w:hint="default"/>
                <w:sz w:val="18"/>
                <w:szCs w:val="18"/>
              </w:rPr>
            </w:pPr>
            <w:r>
              <w:rPr>
                <w:rFonts w:ascii="宋体" w:hAnsi="宋体" w:cs="宋体" w:eastAsia="宋体" w:hint="default"/>
                <w:sz w:val="18"/>
                <w:szCs w:val="18"/>
              </w:rPr>
              <w:t>研究开发中心（技术中心类） 建设资助资金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年战略性新兴产业发展 专项资金第四批扶持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年第二批科技型中小企 业技术创新基金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云计算环境下数据访问性能 加速器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356,432.00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1,520,400.61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经济发展专项资金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基于移动互联网的融合通信 业务系统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南山区科技研发智能平台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海量信息推送智能管控平台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张江高科技园区财政扶持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南宁两化融合补助资金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管委会投资促进奖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高新区管委会固定资产投资 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47,260.29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年深圳市工伤预防先进 单位三等奖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深圳市专利及著作权申请补 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青年见习实训费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三网融合时代下开放的在线 计费云服务平台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张江园区管委会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年纳税 财政返还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科技型中小企业创新资金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年首期中小企业技术创 新基金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天河软件园产业发展资金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浦东新区职业职工培训财政 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知识产权申请补贴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5,842,892.29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3,792,362.61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其他说明：</w:t>
      </w:r>
    </w:p>
    <w:p>
      <w:pPr>
        <w:pStyle w:val="BodyText"/>
        <w:spacing w:line="300" w:lineRule="auto" w:before="116"/>
        <w:ind w:right="150"/>
        <w:jc w:val="both"/>
      </w:pPr>
      <w:r>
        <w:rPr>
          <w:rFonts w:ascii="Times New Roman" w:hAnsi="Times New Roman" w:cs="Times New Roman" w:eastAsia="Times New Roman" w:hint="default"/>
          <w:spacing w:val="-1"/>
        </w:rPr>
        <w:t>1</w:t>
      </w:r>
      <w:r>
        <w:rPr>
          <w:spacing w:val="-1"/>
        </w:rPr>
        <w:t>）系本公司根据深科工贸信计财字</w:t>
      </w:r>
      <w:r>
        <w:rPr>
          <w:rFonts w:ascii="Times New Roman" w:hAnsi="Times New Roman" w:cs="Times New Roman" w:eastAsia="Times New Roman" w:hint="default"/>
          <w:spacing w:val="-1"/>
        </w:rPr>
        <w:t>[2011]223</w:t>
      </w:r>
      <w:r>
        <w:rPr>
          <w:spacing w:val="-1"/>
        </w:rPr>
        <w:t>号《关于下达</w:t>
      </w:r>
      <w:r>
        <w:rPr>
          <w:rFonts w:ascii="Times New Roman" w:hAnsi="Times New Roman" w:cs="Times New Roman" w:eastAsia="Times New Roman" w:hint="default"/>
          <w:spacing w:val="-1"/>
        </w:rPr>
        <w:t>2011</w:t>
      </w:r>
      <w:r>
        <w:rPr>
          <w:spacing w:val="-1"/>
        </w:rPr>
        <w:t>年度深圳市市级研究开发中心（技术中心类）建设资助资金</w:t>
      </w:r>
      <w:r>
        <w:rPr>
          <w:spacing w:val="-53"/>
        </w:rPr>
        <w:t> </w:t>
      </w:r>
      <w:r>
        <w:rPr>
          <w:spacing w:val="-53"/>
        </w:rPr>
      </w:r>
      <w:r>
        <w:rPr>
          <w:spacing w:val="-4"/>
        </w:rPr>
        <w:t>计划的通知》，于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日收深圳市财政委员会拨付的购置</w:t>
      </w:r>
      <w:r>
        <w:rPr>
          <w:rFonts w:ascii="Times New Roman" w:hAnsi="Times New Roman" w:cs="Times New Roman" w:eastAsia="Times New Roman" w:hint="default"/>
          <w:spacing w:val="-4"/>
        </w:rPr>
        <w:t>IBM</w:t>
      </w:r>
      <w:r>
        <w:rPr>
          <w:spacing w:val="-4"/>
        </w:rPr>
        <w:t>服务器、</w:t>
      </w:r>
      <w:r>
        <w:rPr>
          <w:rFonts w:ascii="Times New Roman" w:hAnsi="Times New Roman" w:cs="Times New Roman" w:eastAsia="Times New Roman" w:hint="default"/>
          <w:spacing w:val="-4"/>
        </w:rPr>
        <w:t>IBM</w:t>
      </w:r>
      <w:r>
        <w:rPr>
          <w:spacing w:val="-4"/>
        </w:rPr>
        <w:t>磁盘存储、</w:t>
      </w:r>
      <w:r>
        <w:rPr>
          <w:rFonts w:ascii="Times New Roman" w:hAnsi="Times New Roman" w:cs="Times New Roman" w:eastAsia="Times New Roman" w:hint="default"/>
          <w:spacing w:val="-4"/>
        </w:rPr>
        <w:t>IBM</w:t>
      </w:r>
      <w:r>
        <w:rPr>
          <w:spacing w:val="-4"/>
        </w:rPr>
        <w:t>中间件、数据库</w:t>
      </w:r>
      <w:r>
        <w:rPr>
          <w:rFonts w:ascii="Times New Roman" w:hAnsi="Times New Roman" w:cs="Times New Roman" w:eastAsia="Times New Roman" w:hint="default"/>
          <w:spacing w:val="-4"/>
        </w:rPr>
        <w:t>ORACLE</w:t>
      </w:r>
      <w:r>
        <w:rPr>
          <w:rFonts w:ascii="Times New Roman" w:hAnsi="Times New Roman" w:cs="Times New Roman" w:eastAsia="Times New Roman" w:hint="default"/>
          <w:spacing w:val="5"/>
        </w:rPr>
        <w:t> </w:t>
      </w:r>
      <w:r>
        <w:rPr/>
        <w:t>等科技研发资助资金</w:t>
      </w:r>
      <w:r>
        <w:rPr>
          <w:rFonts w:ascii="Times New Roman" w:hAnsi="Times New Roman" w:cs="Times New Roman" w:eastAsia="Times New Roman" w:hint="default"/>
        </w:rPr>
        <w:t>300</w:t>
      </w:r>
      <w:r>
        <w:rPr/>
        <w:t>万元，该项目资金使用需要报告市科工贸信委技术改造发展处和市财政委科技工贸和金融处批准， 资金使用完毕须及时完成审计。该项目于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月经专项审计完成验收手续，本公司按资产的折旧年限摊销计入营业外收 入</w:t>
      </w:r>
      <w:r>
        <w:rPr>
          <w:rFonts w:ascii="Times New Roman" w:hAnsi="Times New Roman" w:cs="Times New Roman" w:eastAsia="Times New Roman" w:hint="default"/>
        </w:rPr>
        <w:t>180</w:t>
      </w:r>
      <w:r>
        <w:rPr/>
        <w:t>万元，本公司由递延收益转入营业外收入金额</w:t>
      </w:r>
      <w:r>
        <w:rPr>
          <w:rFonts w:ascii="Times New Roman" w:hAnsi="Times New Roman" w:cs="Times New Roman" w:eastAsia="Times New Roman" w:hint="default"/>
        </w:rPr>
        <w:t>180</w:t>
      </w:r>
      <w:r>
        <w:rPr/>
        <w:t>万元；</w:t>
      </w:r>
    </w:p>
    <w:p>
      <w:pPr>
        <w:pStyle w:val="BodyText"/>
        <w:spacing w:line="300" w:lineRule="auto" w:before="13"/>
        <w:ind w:right="151"/>
        <w:jc w:val="both"/>
      </w:pPr>
      <w:r>
        <w:rPr/>
        <w:t>（</w:t>
      </w:r>
      <w:r>
        <w:rPr>
          <w:rFonts w:ascii="Times New Roman" w:hAnsi="Times New Roman" w:cs="Times New Roman" w:eastAsia="Times New Roman" w:hint="default"/>
        </w:rPr>
        <w:t>2</w:t>
      </w:r>
      <w:r>
        <w:rPr/>
        <w:t>）系本公司根据公司与深圳市科技创新委员会签订的《深圳市战略新兴产业发展专项资金项目合同书》，于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 </w:t>
      </w:r>
      <w:r>
        <w:rPr>
          <w:spacing w:val="-2"/>
        </w:rPr>
        <w:t>份收到深圳市科技创新委员会支付的专项资助款</w:t>
      </w:r>
      <w:r>
        <w:rPr>
          <w:rFonts w:ascii="Times New Roman" w:hAnsi="Times New Roman" w:cs="Times New Roman" w:eastAsia="Times New Roman" w:hint="default"/>
          <w:spacing w:val="-2"/>
        </w:rPr>
        <w:t>120</w:t>
      </w:r>
      <w:r>
        <w:rPr>
          <w:spacing w:val="-2"/>
        </w:rPr>
        <w:t>万元，该项目于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月经验收合格，本公司由递延收益转入营业外收</w:t>
      </w:r>
      <w:r>
        <w:rPr>
          <w:spacing w:val="-56"/>
        </w:rPr>
        <w:t> </w:t>
      </w:r>
      <w:r>
        <w:rPr>
          <w:spacing w:val="-56"/>
        </w:rPr>
      </w:r>
      <w:r>
        <w:rPr/>
        <w:t>入金额</w:t>
      </w:r>
      <w:r>
        <w:rPr>
          <w:rFonts w:ascii="Times New Roman" w:hAnsi="Times New Roman" w:cs="Times New Roman" w:eastAsia="Times New Roman" w:hint="default"/>
        </w:rPr>
        <w:t>120</w:t>
      </w:r>
      <w:r>
        <w:rPr/>
        <w:t>万元；</w:t>
      </w:r>
    </w:p>
    <w:p>
      <w:pPr>
        <w:pStyle w:val="BodyText"/>
        <w:spacing w:line="300" w:lineRule="auto" w:before="13"/>
        <w:ind w:right="150"/>
        <w:jc w:val="both"/>
      </w:pPr>
      <w:r>
        <w:rPr>
          <w:spacing w:val="-1"/>
        </w:rPr>
        <w:t>（</w:t>
      </w:r>
      <w:r>
        <w:rPr>
          <w:rFonts w:ascii="Times New Roman" w:hAnsi="Times New Roman" w:cs="Times New Roman" w:eastAsia="Times New Roman" w:hint="default"/>
          <w:spacing w:val="-1"/>
        </w:rPr>
        <w:t>3</w:t>
      </w:r>
      <w:r>
        <w:rPr>
          <w:spacing w:val="-1"/>
        </w:rPr>
        <w:t>）系本公司之子公司广州易杰根据广东省财政厅穗财教</w:t>
      </w:r>
      <w:r>
        <w:rPr>
          <w:rFonts w:ascii="Times New Roman" w:hAnsi="Times New Roman" w:cs="Times New Roman" w:eastAsia="Times New Roman" w:hint="default"/>
          <w:spacing w:val="-1"/>
        </w:rPr>
        <w:t>[2012]267</w:t>
      </w:r>
      <w:r>
        <w:rPr>
          <w:spacing w:val="-1"/>
        </w:rPr>
        <w:t>号文件《关于下达财政部</w:t>
      </w:r>
      <w:r>
        <w:rPr>
          <w:rFonts w:ascii="Times New Roman" w:hAnsi="Times New Roman" w:cs="Times New Roman" w:eastAsia="Times New Roman" w:hint="default"/>
          <w:spacing w:val="-1"/>
        </w:rPr>
        <w:t>2012</w:t>
      </w:r>
      <w:r>
        <w:rPr>
          <w:spacing w:val="-1"/>
        </w:rPr>
        <w:t>年第二批科技型中小企业</w:t>
      </w:r>
      <w:r>
        <w:rPr>
          <w:spacing w:val="-52"/>
        </w:rPr>
        <w:t> </w:t>
      </w:r>
      <w:r>
        <w:rPr/>
        <w:t>技术创新基金预算（拨款）通知》（项目名称：基于移动互联网的融合通信业务系统）之规定，于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日收到广州 </w:t>
      </w:r>
      <w:r>
        <w:rPr>
          <w:spacing w:val="-2"/>
        </w:rPr>
        <w:t>市天河区财政局拨付的项目经费</w:t>
      </w:r>
      <w:r>
        <w:rPr>
          <w:rFonts w:ascii="Times New Roman" w:hAnsi="Times New Roman" w:cs="Times New Roman" w:eastAsia="Times New Roman" w:hint="default"/>
          <w:spacing w:val="-2"/>
        </w:rPr>
        <w:t>49</w:t>
      </w:r>
      <w:r>
        <w:rPr>
          <w:spacing w:val="-2"/>
        </w:rPr>
        <w:t>万元，该项目已于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月经验收合格，本公司之子公司广州易杰由递延收益转入营业</w:t>
      </w:r>
    </w:p>
    <w:p>
      <w:pPr>
        <w:spacing w:after="0" w:line="300"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外收入金额</w:t>
      </w:r>
      <w:r>
        <w:rPr>
          <w:rFonts w:ascii="Times New Roman" w:hAnsi="Times New Roman" w:cs="Times New Roman" w:eastAsia="Times New Roman" w:hint="default"/>
        </w:rPr>
        <w:t>49</w:t>
      </w:r>
      <w:r>
        <w:rPr/>
        <w:t>万元；</w:t>
      </w:r>
    </w:p>
    <w:p>
      <w:pPr>
        <w:pStyle w:val="BodyText"/>
        <w:spacing w:line="300" w:lineRule="auto" w:before="63"/>
        <w:ind w:right="192"/>
        <w:jc w:val="both"/>
      </w:pPr>
      <w:r>
        <w:rPr/>
        <w:t>（</w:t>
      </w:r>
      <w:r>
        <w:rPr>
          <w:rFonts w:ascii="Times New Roman" w:hAnsi="Times New Roman" w:cs="Times New Roman" w:eastAsia="Times New Roman" w:hint="default"/>
        </w:rPr>
        <w:t>4</w:t>
      </w:r>
      <w:r>
        <w:rPr/>
        <w:t>）系根据本公司与深圳市南山区科技创新局签订的《深圳市南山区科技发展专项资金重点产业及战略性新兴产业技术研 </w:t>
      </w:r>
      <w:r>
        <w:rPr>
          <w:spacing w:val="-2"/>
        </w:rPr>
        <w:t>发资助合同书》（项目名称：云计算环境下数据访问性能加速器）之规定，于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日收到深圳市南山区财政局科研</w:t>
      </w:r>
      <w:r>
        <w:rPr>
          <w:spacing w:val="-58"/>
        </w:rPr>
        <w:t> </w:t>
      </w:r>
      <w:r>
        <w:rPr/>
        <w:t>资助</w:t>
      </w:r>
      <w:r>
        <w:rPr>
          <w:rFonts w:ascii="Times New Roman" w:hAnsi="Times New Roman" w:cs="Times New Roman" w:eastAsia="Times New Roman" w:hint="default"/>
        </w:rPr>
        <w:t>40</w:t>
      </w:r>
      <w:r>
        <w:rPr/>
        <w:t>万元。该项目已于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月验收合格，本公司由递延收益转入营业外收入金额</w:t>
      </w:r>
      <w:r>
        <w:rPr>
          <w:rFonts w:ascii="Times New Roman" w:hAnsi="Times New Roman" w:cs="Times New Roman" w:eastAsia="Times New Roman" w:hint="default"/>
        </w:rPr>
        <w:t>40</w:t>
      </w:r>
      <w:r>
        <w:rPr/>
        <w:t>万元；</w:t>
      </w:r>
    </w:p>
    <w:p>
      <w:pPr>
        <w:pStyle w:val="BodyText"/>
        <w:spacing w:line="240" w:lineRule="auto" w:before="13"/>
        <w:ind w:right="92"/>
        <w:jc w:val="left"/>
      </w:pPr>
      <w:r>
        <w:rPr/>
        <w:t>（</w:t>
      </w:r>
      <w:r>
        <w:rPr>
          <w:rFonts w:ascii="Times New Roman" w:hAnsi="Times New Roman" w:cs="Times New Roman" w:eastAsia="Times New Roman" w:hint="default"/>
        </w:rPr>
        <w:t>5</w:t>
      </w:r>
      <w:r>
        <w:rPr/>
        <w:t>）系本公司之子公司广州易杰于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月收到增值税即征即退税款</w:t>
      </w:r>
      <w:r>
        <w:rPr>
          <w:rFonts w:ascii="Times New Roman" w:hAnsi="Times New Roman" w:cs="Times New Roman" w:eastAsia="Times New Roman" w:hint="default"/>
        </w:rPr>
        <w:t>356,432.00</w:t>
      </w:r>
      <w:r>
        <w:rPr/>
        <w:t>元。</w:t>
      </w:r>
    </w:p>
    <w:p>
      <w:pPr>
        <w:pStyle w:val="BodyText"/>
        <w:spacing w:line="300" w:lineRule="auto" w:before="63"/>
        <w:ind w:right="182"/>
        <w:jc w:val="left"/>
      </w:pPr>
      <w:r>
        <w:rPr/>
        <w:t>（</w:t>
      </w:r>
      <w:r>
        <w:rPr>
          <w:rFonts w:ascii="Times New Roman" w:hAnsi="Times New Roman" w:cs="Times New Roman" w:eastAsia="Times New Roman" w:hint="default"/>
        </w:rPr>
        <w:t>6</w:t>
      </w:r>
      <w:r>
        <w:rPr/>
        <w:t>）系本公司根据南山区经济促进局关于</w:t>
      </w:r>
      <w:r>
        <w:rPr>
          <w:rFonts w:ascii="Times New Roman" w:hAnsi="Times New Roman" w:cs="Times New Roman" w:eastAsia="Times New Roman" w:hint="default"/>
        </w:rPr>
        <w:t>2013</w:t>
      </w:r>
      <w:r>
        <w:rPr/>
        <w:t>年南山区自主创新产业发展专项资金（经济促进局第二批）扶持企业名单公 示，于</w:t>
      </w:r>
      <w:r>
        <w:rPr>
          <w:rFonts w:ascii="Times New Roman" w:hAnsi="Times New Roman" w:cs="Times New Roman" w:eastAsia="Times New Roman" w:hint="default"/>
        </w:rPr>
        <w:t>2014</w:t>
      </w:r>
      <w:r>
        <w:rPr/>
        <w:t>年收到的自主创新产业发展专项资金</w:t>
      </w:r>
      <w:r>
        <w:rPr>
          <w:rFonts w:ascii="Times New Roman" w:hAnsi="Times New Roman" w:cs="Times New Roman" w:eastAsia="Times New Roman" w:hint="default"/>
        </w:rPr>
        <w:t>35.31</w:t>
      </w:r>
      <w:r>
        <w:rPr/>
        <w:t>万元。</w:t>
      </w:r>
    </w:p>
    <w:p>
      <w:pPr>
        <w:pStyle w:val="BodyText"/>
        <w:spacing w:line="300" w:lineRule="auto" w:before="13"/>
        <w:ind w:right="92"/>
        <w:jc w:val="left"/>
      </w:pPr>
      <w:r>
        <w:rPr/>
        <w:t>（</w:t>
      </w:r>
      <w:r>
        <w:rPr>
          <w:rFonts w:ascii="Times New Roman" w:hAnsi="Times New Roman" w:cs="Times New Roman" w:eastAsia="Times New Roman" w:hint="default"/>
        </w:rPr>
        <w:t>7</w:t>
      </w:r>
      <w:r>
        <w:rPr/>
        <w:t>）系本公司之子公司广州易杰根据广州市天河区科技和信息化局和广州市天河区财政局联合发布的穗天科信字</w:t>
      </w:r>
      <w:r>
        <w:rPr>
          <w:rFonts w:ascii="Times New Roman" w:hAnsi="Times New Roman" w:cs="Times New Roman" w:eastAsia="Times New Roman" w:hint="default"/>
        </w:rPr>
        <w:t>[2012]16 </w:t>
      </w:r>
      <w:r>
        <w:rPr>
          <w:spacing w:val="-2"/>
        </w:rPr>
        <w:t>号《关于下达</w:t>
      </w:r>
      <w:r>
        <w:rPr>
          <w:rFonts w:ascii="Times New Roman" w:hAnsi="Times New Roman" w:cs="Times New Roman" w:eastAsia="Times New Roman" w:hint="default"/>
          <w:spacing w:val="-2"/>
        </w:rPr>
        <w:t>2012</w:t>
      </w:r>
      <w:r>
        <w:rPr>
          <w:spacing w:val="-2"/>
        </w:rPr>
        <w:t>年区科学技术经费的通知》、《广州市科技计划项目合同书》（项目名称：基于移动互联网的融合通信业</w:t>
      </w:r>
      <w:r>
        <w:rPr>
          <w:spacing w:val="-64"/>
        </w:rPr>
        <w:t> </w:t>
      </w:r>
      <w:r>
        <w:rPr>
          <w:spacing w:val="-64"/>
        </w:rPr>
      </w:r>
      <w:r>
        <w:rPr>
          <w:spacing w:val="-2"/>
        </w:rPr>
        <w:t>务系统）之规定，分别于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日和</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日收到广州市天河区财政局拨付的项目经费</w:t>
      </w:r>
      <w:r>
        <w:rPr>
          <w:rFonts w:ascii="Times New Roman" w:hAnsi="Times New Roman" w:cs="Times New Roman" w:eastAsia="Times New Roman" w:hint="default"/>
          <w:spacing w:val="-2"/>
        </w:rPr>
        <w:t>15</w:t>
      </w:r>
      <w:r>
        <w:rPr>
          <w:spacing w:val="-2"/>
        </w:rPr>
        <w:t>万元和</w:t>
      </w:r>
      <w:r>
        <w:rPr>
          <w:rFonts w:ascii="Times New Roman" w:hAnsi="Times New Roman" w:cs="Times New Roman" w:eastAsia="Times New Roman" w:hint="default"/>
          <w:spacing w:val="-2"/>
        </w:rPr>
        <w:t>20</w:t>
      </w:r>
      <w:r>
        <w:rPr>
          <w:spacing w:val="-2"/>
        </w:rPr>
        <w:t>万元。该项目</w:t>
      </w:r>
      <w:r>
        <w:rPr>
          <w:spacing w:val="-48"/>
        </w:rPr>
        <w:t> </w:t>
      </w:r>
      <w:r>
        <w:rPr>
          <w:spacing w:val="-48"/>
        </w:rPr>
      </w:r>
      <w:r>
        <w:rPr/>
        <w:t>都已于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月经验收合格，本公司之子公司广州易杰由递延收益转入营业外收入金额</w:t>
      </w:r>
      <w:r>
        <w:rPr>
          <w:rFonts w:ascii="Times New Roman" w:hAnsi="Times New Roman" w:cs="Times New Roman" w:eastAsia="Times New Roman" w:hint="default"/>
        </w:rPr>
        <w:t>35</w:t>
      </w:r>
      <w:r>
        <w:rPr/>
        <w:t>万元；</w:t>
      </w:r>
    </w:p>
    <w:p>
      <w:pPr>
        <w:pStyle w:val="BodyText"/>
        <w:spacing w:line="307" w:lineRule="auto" w:before="13"/>
        <w:ind w:right="92"/>
        <w:jc w:val="left"/>
      </w:pPr>
      <w:r>
        <w:rPr/>
        <w:t>（</w:t>
      </w:r>
      <w:r>
        <w:rPr>
          <w:rFonts w:ascii="Times New Roman" w:hAnsi="Times New Roman" w:cs="Times New Roman" w:eastAsia="Times New Roman" w:hint="default"/>
        </w:rPr>
        <w:t>8</w:t>
      </w:r>
      <w:r>
        <w:rPr/>
        <w:t>）系本公司根据深圳市南山区科学技术局、深圳市南山区财政局深南科</w:t>
      </w:r>
      <w:r>
        <w:rPr>
          <w:rFonts w:ascii="Times New Roman" w:hAnsi="Times New Roman" w:cs="Times New Roman" w:eastAsia="Times New Roman" w:hint="default"/>
        </w:rPr>
        <w:t>[2009]39</w:t>
      </w:r>
      <w:r>
        <w:rPr/>
        <w:t>号《关于下达</w:t>
      </w:r>
      <w:r>
        <w:rPr>
          <w:rFonts w:ascii="Times New Roman" w:hAnsi="Times New Roman" w:cs="Times New Roman" w:eastAsia="Times New Roman" w:hint="default"/>
        </w:rPr>
        <w:t>2009</w:t>
      </w:r>
      <w:r>
        <w:rPr/>
        <w:t>年度南山区科技发展 </w:t>
      </w:r>
      <w:r>
        <w:rPr>
          <w:spacing w:val="-4"/>
        </w:rPr>
        <w:t>专项资金（科技研发分项资金）资助项目计划（第一批）的通知》、《深圳市南山区科技研发资金资助项目合同书》之规定，</w:t>
      </w:r>
      <w:r>
        <w:rPr>
          <w:spacing w:val="-46"/>
        </w:rPr>
        <w:t> </w:t>
      </w:r>
      <w:r>
        <w:rPr>
          <w:spacing w:val="-46"/>
        </w:rPr>
      </w: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日收到深圳市南山区财政局科研资助款</w:t>
      </w:r>
      <w:r>
        <w:rPr>
          <w:rFonts w:ascii="Times New Roman" w:hAnsi="Times New Roman" w:cs="Times New Roman" w:eastAsia="Times New Roman" w:hint="default"/>
        </w:rPr>
        <w:t>20</w:t>
      </w:r>
      <w:r>
        <w:rPr/>
        <w:t>万元。该项目已于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月经验收合格，本公司由递延收益转入 营业外收入金额</w:t>
      </w:r>
      <w:r>
        <w:rPr>
          <w:rFonts w:ascii="Times New Roman" w:hAnsi="Times New Roman" w:cs="Times New Roman" w:eastAsia="Times New Roman" w:hint="default"/>
        </w:rPr>
        <w:t>20</w:t>
      </w:r>
      <w:r>
        <w:rPr/>
        <w:t>万元；</w:t>
      </w:r>
    </w:p>
    <w:p>
      <w:pPr>
        <w:pStyle w:val="BodyText"/>
        <w:spacing w:line="300" w:lineRule="auto" w:before="7"/>
        <w:ind w:right="92"/>
        <w:jc w:val="left"/>
      </w:pPr>
      <w:r>
        <w:rPr/>
        <w:t>（</w:t>
      </w:r>
      <w:r>
        <w:rPr>
          <w:rFonts w:ascii="Times New Roman" w:hAnsi="Times New Roman" w:cs="Times New Roman" w:eastAsia="Times New Roman" w:hint="default"/>
        </w:rPr>
        <w:t>9</w:t>
      </w:r>
      <w:r>
        <w:rPr/>
        <w:t>）系根据本公司与深圳市南山区科技创新局签订的《深圳市南山区技术研发和创意设计项目分项资金一般研发资助项目 合同书》（项目名称：海量信息推送智能管控平台）之规定，于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日收到深圳市南山区财政局科研资助</w:t>
      </w:r>
      <w:r>
        <w:rPr>
          <w:rFonts w:ascii="Times New Roman" w:hAnsi="Times New Roman" w:cs="Times New Roman" w:eastAsia="Times New Roman" w:hint="default"/>
        </w:rPr>
        <w:t>20</w:t>
      </w:r>
      <w:r>
        <w:rPr/>
        <w:t>万元。 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月经验收合格，本公司由递延收益转入营业外收入金额</w:t>
      </w:r>
      <w:r>
        <w:rPr>
          <w:rFonts w:ascii="Times New Roman" w:hAnsi="Times New Roman" w:cs="Times New Roman" w:eastAsia="Times New Roman" w:hint="default"/>
        </w:rPr>
        <w:t>20</w:t>
      </w:r>
      <w:r>
        <w:rPr/>
        <w:t>万元；</w:t>
      </w:r>
    </w:p>
    <w:p>
      <w:pPr>
        <w:pStyle w:val="BodyText"/>
        <w:spacing w:line="300" w:lineRule="auto" w:before="13"/>
        <w:ind w:right="92"/>
        <w:jc w:val="left"/>
      </w:pPr>
      <w:r>
        <w:rPr>
          <w:spacing w:val="-5"/>
        </w:rPr>
        <w:t>（</w:t>
      </w:r>
      <w:r>
        <w:rPr>
          <w:rFonts w:ascii="Times New Roman" w:hAnsi="Times New Roman" w:cs="Times New Roman" w:eastAsia="Times New Roman" w:hint="default"/>
          <w:spacing w:val="-5"/>
        </w:rPr>
        <w:t>10</w:t>
      </w:r>
      <w:r>
        <w:rPr>
          <w:spacing w:val="-5"/>
        </w:rPr>
        <w:t>）系本公司之子公司上海天缘迪柯根据《张江高科技园区财政扶持资格认定通知书》（张江园管扶认字</w:t>
      </w:r>
      <w:r>
        <w:rPr>
          <w:rFonts w:ascii="Times New Roman" w:hAnsi="Times New Roman" w:cs="Times New Roman" w:eastAsia="Times New Roman" w:hint="default"/>
          <w:spacing w:val="-5"/>
        </w:rPr>
        <w:t>[2013]</w:t>
      </w:r>
      <w:r>
        <w:rPr>
          <w:spacing w:val="-5"/>
        </w:rPr>
        <w:t>第</w:t>
      </w:r>
      <w:r>
        <w:rPr>
          <w:rFonts w:ascii="Times New Roman" w:hAnsi="Times New Roman" w:cs="Times New Roman" w:eastAsia="Times New Roman" w:hint="default"/>
          <w:spacing w:val="-5"/>
        </w:rPr>
        <w:t>0500</w:t>
      </w:r>
      <w:r>
        <w:rPr>
          <w:spacing w:val="-5"/>
        </w:rPr>
        <w:t>号），</w:t>
      </w:r>
      <w:r>
        <w:rPr>
          <w:spacing w:val="-74"/>
        </w:rPr>
        <w:t> </w:t>
      </w:r>
      <w:r>
        <w:rPr>
          <w:spacing w:val="-74"/>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日收到的财政扶持资金</w:t>
      </w:r>
      <w:r>
        <w:rPr>
          <w:rFonts w:ascii="Times New Roman" w:hAnsi="Times New Roman" w:cs="Times New Roman" w:eastAsia="Times New Roman" w:hint="default"/>
        </w:rPr>
        <w:t>21.1</w:t>
      </w:r>
      <w:r>
        <w:rPr/>
        <w:t>万元；</w:t>
      </w:r>
    </w:p>
    <w:p>
      <w:pPr>
        <w:pStyle w:val="BodyText"/>
        <w:spacing w:line="300" w:lineRule="auto" w:before="13"/>
        <w:ind w:right="190"/>
        <w:jc w:val="both"/>
      </w:pPr>
      <w:r>
        <w:rPr>
          <w:spacing w:val="-4"/>
        </w:rPr>
        <w:t>（</w:t>
      </w:r>
      <w:r>
        <w:rPr>
          <w:rFonts w:ascii="Times New Roman" w:hAnsi="Times New Roman" w:cs="Times New Roman" w:eastAsia="Times New Roman" w:hint="default"/>
          <w:spacing w:val="-4"/>
        </w:rPr>
        <w:t>11</w:t>
      </w:r>
      <w:r>
        <w:rPr>
          <w:spacing w:val="-4"/>
        </w:rPr>
        <w:t>）系本公司之子公司广西驿途根据南宁市工业和信息化委员会、南宁市财政局文件南工信信产</w:t>
      </w:r>
      <w:r>
        <w:rPr>
          <w:rFonts w:ascii="Times New Roman" w:hAnsi="Times New Roman" w:cs="Times New Roman" w:eastAsia="Times New Roman" w:hint="default"/>
          <w:spacing w:val="-4"/>
        </w:rPr>
        <w:t>[2013]16</w:t>
      </w:r>
      <w:r>
        <w:rPr>
          <w:spacing w:val="-4"/>
        </w:rPr>
        <w:t>号《关于下达</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1"/>
        </w:rPr>
        <w:t> </w:t>
      </w:r>
      <w:r>
        <w:rPr>
          <w:spacing w:val="-3"/>
        </w:rPr>
        <w:t>年第二批南宁市两化融合及信息产业项目计划的通知》，于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日收到的技术创新资金补助</w:t>
      </w:r>
      <w:r>
        <w:rPr>
          <w:rFonts w:ascii="Times New Roman" w:hAnsi="Times New Roman" w:cs="Times New Roman" w:eastAsia="Times New Roman" w:hint="default"/>
          <w:spacing w:val="-3"/>
        </w:rPr>
        <w:t>15</w:t>
      </w:r>
      <w:r>
        <w:rPr>
          <w:spacing w:val="-3"/>
        </w:rPr>
        <w:t>万元，该项目已于</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11</w:t>
      </w:r>
      <w:r>
        <w:rPr/>
        <w:t>月验收合格，本公司之子公司广西驿途将其计入营业外收入；</w:t>
      </w:r>
    </w:p>
    <w:p>
      <w:pPr>
        <w:pStyle w:val="BodyText"/>
        <w:spacing w:line="300" w:lineRule="auto" w:before="13"/>
        <w:ind w:right="242"/>
        <w:jc w:val="left"/>
      </w:pPr>
      <w:r>
        <w:rPr/>
        <w:t>（</w:t>
      </w:r>
      <w:r>
        <w:rPr>
          <w:rFonts w:ascii="Times New Roman" w:hAnsi="Times New Roman" w:cs="Times New Roman" w:eastAsia="Times New Roman" w:hint="default"/>
        </w:rPr>
        <w:t>12</w:t>
      </w:r>
      <w:r>
        <w:rPr/>
        <w:t>）系本公司之子公司合肥天源迪科根据合肥高新技术产业开发区管理委员会合高管</w:t>
      </w:r>
      <w:r>
        <w:rPr>
          <w:rFonts w:ascii="Times New Roman" w:hAnsi="Times New Roman" w:cs="Times New Roman" w:eastAsia="Times New Roman" w:hint="default"/>
        </w:rPr>
        <w:t>[2014]27</w:t>
      </w:r>
      <w:r>
        <w:rPr/>
        <w:t>号文件，于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月收到 的管委会投资促进奖</w:t>
      </w:r>
      <w:r>
        <w:rPr>
          <w:rFonts w:ascii="Times New Roman" w:hAnsi="Times New Roman" w:cs="Times New Roman" w:eastAsia="Times New Roman" w:hint="default"/>
        </w:rPr>
        <w:t>5</w:t>
      </w:r>
      <w:r>
        <w:rPr/>
        <w:t>万元；</w:t>
      </w:r>
    </w:p>
    <w:p>
      <w:pPr>
        <w:pStyle w:val="BodyText"/>
        <w:spacing w:line="300" w:lineRule="auto" w:before="13"/>
        <w:ind w:right="100"/>
        <w:jc w:val="left"/>
      </w:pPr>
      <w:r>
        <w:rPr>
          <w:spacing w:val="-2"/>
        </w:rPr>
        <w:t>（</w:t>
      </w:r>
      <w:r>
        <w:rPr>
          <w:rFonts w:ascii="Times New Roman" w:hAnsi="Times New Roman" w:cs="Times New Roman" w:eastAsia="Times New Roman" w:hint="default"/>
          <w:spacing w:val="-2"/>
        </w:rPr>
        <w:t>13</w:t>
      </w:r>
      <w:r>
        <w:rPr>
          <w:spacing w:val="-2"/>
        </w:rPr>
        <w:t>）系根据本公司与合肥高新技术产业开发区招商局签订的《关于在合肥高新区建设研发中心项目合作协议书》，本公司</w:t>
      </w:r>
      <w:r>
        <w:rPr>
          <w:spacing w:val="-64"/>
        </w:rPr>
        <w:t> </w:t>
      </w:r>
      <w:r>
        <w:rPr>
          <w:spacing w:val="-64"/>
        </w:rPr>
      </w:r>
      <w:r>
        <w:rPr/>
        <w:t>之子公司合肥天源迪科于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日收到合肥高新技术产业开发区财政国库支付中心支付的第二期土地补助款</w:t>
      </w:r>
      <w:r>
        <w:rPr>
          <w:rFonts w:ascii="Times New Roman" w:hAnsi="Times New Roman" w:cs="Times New Roman" w:eastAsia="Times New Roman" w:hint="default"/>
        </w:rPr>
        <w:t>222</w:t>
      </w:r>
      <w:r>
        <w:rPr/>
        <w:t>万 </w:t>
      </w:r>
      <w:r>
        <w:rPr>
          <w:spacing w:val="-1"/>
        </w:rPr>
        <w:t>元。根据《企业会计准则第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政府补助》的有关规定，该项目属于与资产相关的政府补助，应在该项资产（土地使用权）</w:t>
      </w:r>
      <w:r>
        <w:rPr>
          <w:spacing w:val="-88"/>
        </w:rPr>
        <w:t> </w:t>
      </w:r>
      <w:r>
        <w:rPr>
          <w:spacing w:val="-88"/>
        </w:rPr>
      </w:r>
      <w:r>
        <w:rPr>
          <w:spacing w:val="-2"/>
        </w:rPr>
        <w:t>的受益期限内分配，截止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日，本年分配金额为</w:t>
      </w:r>
      <w:r>
        <w:rPr>
          <w:rFonts w:ascii="Times New Roman" w:hAnsi="Times New Roman" w:cs="Times New Roman" w:eastAsia="Times New Roman" w:hint="default"/>
          <w:spacing w:val="-2"/>
        </w:rPr>
        <w:t>47,260.29</w:t>
      </w:r>
      <w:r>
        <w:rPr>
          <w:spacing w:val="-2"/>
        </w:rPr>
        <w:t>元，本公司之子公司合肥天源迪科由递延收益转入营业</w:t>
      </w:r>
      <w:r>
        <w:rPr>
          <w:spacing w:val="-50"/>
        </w:rPr>
        <w:t> </w:t>
      </w:r>
      <w:r>
        <w:rPr>
          <w:spacing w:val="-50"/>
        </w:rPr>
      </w:r>
      <w:r>
        <w:rPr/>
        <w:t>外收入金额</w:t>
      </w:r>
      <w:r>
        <w:rPr>
          <w:rFonts w:ascii="Times New Roman" w:hAnsi="Times New Roman" w:cs="Times New Roman" w:eastAsia="Times New Roman" w:hint="default"/>
        </w:rPr>
        <w:t>47,260.29</w:t>
      </w:r>
      <w:r>
        <w:rPr/>
        <w:t>元；</w:t>
      </w:r>
    </w:p>
    <w:p>
      <w:pPr>
        <w:pStyle w:val="BodyText"/>
        <w:spacing w:line="240" w:lineRule="auto" w:before="13"/>
        <w:ind w:right="92"/>
        <w:jc w:val="left"/>
      </w:pPr>
      <w:r>
        <w:rPr/>
        <w:t>（</w:t>
      </w:r>
      <w:r>
        <w:rPr>
          <w:rFonts w:ascii="Times New Roman" w:hAnsi="Times New Roman" w:cs="Times New Roman" w:eastAsia="Times New Roman" w:hint="default"/>
        </w:rPr>
        <w:t>14</w:t>
      </w:r>
      <w:r>
        <w:rPr/>
        <w:t>）系本公司于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日收到的</w:t>
      </w:r>
      <w:r>
        <w:rPr>
          <w:rFonts w:ascii="Times New Roman" w:hAnsi="Times New Roman" w:cs="Times New Roman" w:eastAsia="Times New Roman" w:hint="default"/>
        </w:rPr>
        <w:t>2013</w:t>
      </w:r>
      <w:r>
        <w:rPr/>
        <w:t>年深圳市工伤预防先进单位三等奖奖金</w:t>
      </w:r>
      <w:r>
        <w:rPr>
          <w:rFonts w:ascii="Times New Roman" w:hAnsi="Times New Roman" w:cs="Times New Roman" w:eastAsia="Times New Roman" w:hint="default"/>
        </w:rPr>
        <w:t>1</w:t>
      </w:r>
      <w:r>
        <w:rPr/>
        <w:t>万元；</w:t>
      </w:r>
    </w:p>
    <w:p>
      <w:pPr>
        <w:pStyle w:val="BodyText"/>
        <w:spacing w:line="300" w:lineRule="auto" w:before="63"/>
        <w:ind w:right="242"/>
        <w:jc w:val="left"/>
      </w:pPr>
      <w:r>
        <w:rPr/>
        <w:t>（</w:t>
      </w:r>
      <w:r>
        <w:rPr>
          <w:rFonts w:ascii="Times New Roman" w:hAnsi="Times New Roman" w:cs="Times New Roman" w:eastAsia="Times New Roman" w:hint="default"/>
        </w:rPr>
        <w:t>15</w:t>
      </w:r>
      <w:r>
        <w:rPr/>
        <w:t>）系本公司根据《深圳市知识产权专项资金管理办法》（深财行规</w:t>
      </w:r>
      <w:r>
        <w:rPr>
          <w:rFonts w:ascii="Times New Roman" w:hAnsi="Times New Roman" w:cs="Times New Roman" w:eastAsia="Times New Roman" w:hint="default"/>
        </w:rPr>
        <w:t>[2011]9</w:t>
      </w:r>
      <w:r>
        <w:rPr/>
        <w:t>号），经申请取得的专利及著作权补助资金 计</w:t>
      </w:r>
      <w:r>
        <w:rPr>
          <w:rFonts w:ascii="Times New Roman" w:hAnsi="Times New Roman" w:cs="Times New Roman" w:eastAsia="Times New Roman" w:hint="default"/>
        </w:rPr>
        <w:t>2.42</w:t>
      </w:r>
      <w:r>
        <w:rPr/>
        <w:t>万元；</w:t>
      </w:r>
    </w:p>
    <w:p>
      <w:pPr>
        <w:pStyle w:val="BodyText"/>
        <w:spacing w:line="240" w:lineRule="auto" w:before="13"/>
        <w:ind w:right="92"/>
        <w:jc w:val="left"/>
      </w:pPr>
      <w:r>
        <w:rPr/>
        <w:t>（</w:t>
      </w:r>
      <w:r>
        <w:rPr>
          <w:rFonts w:ascii="Times New Roman" w:hAnsi="Times New Roman" w:cs="Times New Roman" w:eastAsia="Times New Roman" w:hint="default"/>
        </w:rPr>
        <w:t>16</w:t>
      </w:r>
      <w:r>
        <w:rPr/>
        <w:t>）系本公司于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日收到的青年见习实训费</w:t>
      </w:r>
      <w:r>
        <w:rPr>
          <w:rFonts w:ascii="Times New Roman" w:hAnsi="Times New Roman" w:cs="Times New Roman" w:eastAsia="Times New Roman" w:hint="default"/>
        </w:rPr>
        <w:t>900</w:t>
      </w:r>
      <w:r>
        <w:rPr/>
        <w:t>元。</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153,426.32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110,594.62</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153,426.32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110,594.62</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41,809.29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1,175.14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111,769.76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1,040,235.61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111,769.76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6,784,361.51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8,614,947.56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-2,311,649.43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-3,064,354.35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4,472,712.08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5,550,593.21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73,120,564.12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7,312,056.41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1,922,291.92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-473,221.52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585,449.57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-1,087,353.72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本期纳税调减影响（研发加计扣除、残疾人工资等）</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-3,786,510.58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4,472,712.08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1,905,632.00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13,932,362.61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11,961,402.89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4,875,066.53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1,968,388.88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7,901,225.85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15,835,423.77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26,708,654.99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31,694,636.92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26,803,460.23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33,385,332.30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32,739,330.36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34,866,387.98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10,370,341.35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99,946,357.20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69,913,131.94</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 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140,331,706.71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非关联方往来</w:t>
            </w:r>
            <w:r>
              <w:rPr>
                <w:rFonts w:ascii="Times New Roman" w:hAnsi="Times New Roman" w:cs="Times New Roman" w:eastAsia="Times New Roman" w:hint="default"/>
                <w:sz w:val="18"/>
                <w:szCs w:val="18"/>
              </w:rPr>
              <w:t>-</w:t>
            </w:r>
            <w:r>
              <w:rPr>
                <w:rFonts w:ascii="宋体" w:hAnsi="宋体" w:cs="宋体" w:eastAsia="宋体" w:hint="default"/>
                <w:sz w:val="18"/>
                <w:szCs w:val="18"/>
              </w:rPr>
              <w:t>齐普生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282,806,244.00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425,357,950.71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26,909.27</w:t>
            </w:r>
          </w:p>
        </w:tc>
      </w:tr>
    </w:tbl>
    <w:p>
      <w:pPr>
        <w:pStyle w:val="BodyText"/>
        <w:spacing w:line="240" w:lineRule="auto" w:before="51"/>
        <w:ind w:right="0"/>
        <w:jc w:val="left"/>
      </w:pPr>
      <w:r>
        <w:rPr/>
        <w:t>收到的其他与筹资活动有关的现金说明：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223.339996pt;margin-top:544.869995pt;width:151.25pt;height:20.8pt;mso-position-horizontal-relative:page;mso-position-vertical-relative:page;z-index:-1020208" coordorigin="4467,10897" coordsize="3025,416">
            <v:group style="position:absolute;left:4478;top:10909;width:2;height:393" coordorigin="4478,10909" coordsize="2,393">
              <v:shape style="position:absolute;left:4478;top:10909;width:2;height:393" coordorigin="4478,10909" coordsize="0,393" path="m4478,10909l4478,11301e" filled="false" stroked="true" strokeweight="1.140pt" strokecolor="#ffffff">
                <v:path arrowok="t"/>
              </v:shape>
            </v:group>
            <v:group style="position:absolute;left:4490;top:10909;width:3002;height:393" coordorigin="4490,10909" coordsize="3002,393">
              <v:shape style="position:absolute;left:4490;top:10909;width:3002;height:393" coordorigin="4490,10909" coordsize="3002,393" path="m4490,11301l7491,11301,7491,10909,4490,10909,4490,11301xe" filled="true" fillcolor="#ffffff" stroked="false">
                <v:path arrowok="t"/>
                <v:fill type="solid"/>
              </v:shape>
            </v:group>
            <w10:wrap type="none"/>
          </v:group>
        </w:pict>
      </w: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33,956,012.79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2,013,540.00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非关联方往来</w:t>
            </w:r>
            <w:r>
              <w:rPr>
                <w:rFonts w:ascii="Times New Roman" w:hAnsi="Times New Roman" w:cs="Times New Roman" w:eastAsia="Times New Roman" w:hint="default"/>
                <w:sz w:val="18"/>
                <w:szCs w:val="18"/>
              </w:rPr>
              <w:t>-</w:t>
            </w:r>
            <w:r>
              <w:rPr>
                <w:rFonts w:ascii="宋体" w:hAnsi="宋体" w:cs="宋体" w:eastAsia="宋体" w:hint="default"/>
                <w:sz w:val="18"/>
                <w:szCs w:val="18"/>
              </w:rPr>
              <w:t>齐普生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212,056,012.79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2,013,540.00</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8"/>
        <w:gridCol w:w="2011"/>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68,647,852.04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126,924,642.48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4,145,635.89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7,774,219.96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10,702,131.21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9,157,729.42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52,872,801.28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43,724,816.30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938,261.67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1,115,136.51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107,575.34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148,468.85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18,891,440.43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11,860,741.37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-1,488,215.46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-2,357,497.39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4" w:right="0"/>
              <w:jc w:val="left"/>
              <w:rPr>
                <w:rFonts w:ascii="Times New Roman" w:hAnsi="Times New Roman" w:cs="Times New Roman" w:eastAsia="Times New Roman" w:hint="default"/>
                <w:sz w:val="18"/>
                <w:szCs w:val="18"/>
              </w:rPr>
            </w:pPr>
            <w:r>
              <w:rPr>
                <w:rFonts w:ascii="Times New Roman"/>
                <w:sz w:val="18"/>
              </w:rPr>
              <w:t>-2,311,649.43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-3,064,354.35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-80,775,117.19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-92,461,916.43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-263,666,289.09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-138,726,726.89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65,209,712.41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12,747,748.28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4,024,490.02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-126,725,860.90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-19,132,501.87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240,817,307.58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-11,485,679.34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-9,366,527.72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401,189.11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162,948.17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219,563,911.41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231,287,831.69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77" w:right="0"/>
              <w:jc w:val="left"/>
              <w:rPr>
                <w:rFonts w:ascii="Times New Roman" w:hAnsi="Times New Roman" w:cs="Times New Roman" w:eastAsia="Times New Roman" w:hint="default"/>
                <w:sz w:val="18"/>
                <w:szCs w:val="18"/>
              </w:rPr>
            </w:pPr>
            <w:r>
              <w:rPr>
                <w:rFonts w:ascii="Times New Roman"/>
                <w:sz w:val="18"/>
              </w:rPr>
              <w:t>39,452,305.30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系汇票保证金和保函保证金</w:t>
            </w:r>
          </w:p>
        </w:tc>
      </w:tr>
      <w:tr>
        <w:trPr>
          <w:trHeight w:val="473"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83" w:right="0"/>
              <w:jc w:val="left"/>
              <w:rPr>
                <w:rFonts w:ascii="Times New Roman" w:hAnsi="Times New Roman" w:cs="Times New Roman" w:eastAsia="Times New Roman" w:hint="default"/>
                <w:sz w:val="18"/>
                <w:szCs w:val="18"/>
              </w:rPr>
            </w:pPr>
            <w:r>
              <w:rPr>
                <w:rFonts w:ascii="Times New Roman"/>
                <w:sz w:val="18"/>
              </w:rPr>
              <w:t>68,264,305.24</w:t>
            </w:r>
          </w:p>
        </w:tc>
        <w:tc>
          <w:tcPr>
            <w:tcW w:w="318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本公司之子公司合肥天源迪科以其在建 </w:t>
            </w:r>
            <w:r>
              <w:rPr>
                <w:rFonts w:ascii="宋体" w:hAnsi="宋体" w:cs="宋体" w:eastAsia="宋体" w:hint="default"/>
                <w:spacing w:val="-6"/>
                <w:sz w:val="18"/>
                <w:szCs w:val="18"/>
              </w:rPr>
              <w:t>工程、房产和</w:t>
            </w:r>
            <w:r>
              <w:rPr>
                <w:rFonts w:ascii="宋体" w:hAnsi="宋体" w:cs="宋体" w:eastAsia="宋体" w:hint="default"/>
                <w:spacing w:val="57"/>
                <w:sz w:val="18"/>
                <w:szCs w:val="18"/>
              </w:rPr>
              <w:t> </w:t>
            </w:r>
            <w:r>
              <w:rPr>
                <w:rFonts w:ascii="宋体" w:hAnsi="宋体" w:cs="宋体" w:eastAsia="宋体" w:hint="default"/>
                <w:spacing w:val="-4"/>
                <w:sz w:val="18"/>
                <w:szCs w:val="18"/>
              </w:rPr>
              <w:t>土地使用权抵押，向合肥</w:t>
            </w:r>
            <w:r>
              <w:rPr>
                <w:rFonts w:ascii="宋体" w:hAnsi="宋体" w:cs="宋体" w:eastAsia="宋体" w:hint="default"/>
                <w:sz w:val="18"/>
                <w:szCs w:val="18"/>
              </w:rPr>
              <w:t> 华夏银行胜利路支行借入长期借款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1.265 </w:t>
            </w:r>
            <w:r>
              <w:rPr>
                <w:rFonts w:ascii="宋体" w:hAnsi="宋体" w:cs="宋体" w:eastAsia="宋体" w:hint="default"/>
                <w:sz w:val="18"/>
                <w:szCs w:val="18"/>
              </w:rPr>
              <w:t>亿元</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473"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298"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983" w:right="0"/>
              <w:jc w:val="left"/>
              <w:rPr>
                <w:rFonts w:ascii="Times New Roman" w:hAnsi="Times New Roman" w:cs="Times New Roman" w:eastAsia="Times New Roman" w:hint="default"/>
                <w:sz w:val="18"/>
                <w:szCs w:val="18"/>
              </w:rPr>
            </w:pPr>
            <w:r>
              <w:rPr>
                <w:rFonts w:ascii="Times New Roman"/>
                <w:sz w:val="18"/>
              </w:rPr>
              <w:t>14,799,995.27</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本公司之子公司合肥天源迪科以其在建 </w:t>
            </w:r>
            <w:r>
              <w:rPr>
                <w:rFonts w:ascii="宋体" w:hAnsi="宋体" w:cs="宋体" w:eastAsia="宋体" w:hint="default"/>
                <w:spacing w:val="-6"/>
                <w:sz w:val="18"/>
                <w:szCs w:val="18"/>
              </w:rPr>
              <w:t>工程、房产和</w:t>
            </w:r>
            <w:r>
              <w:rPr>
                <w:rFonts w:ascii="宋体" w:hAnsi="宋体" w:cs="宋体" w:eastAsia="宋体" w:hint="default"/>
                <w:spacing w:val="57"/>
                <w:sz w:val="18"/>
                <w:szCs w:val="18"/>
              </w:rPr>
              <w:t> </w:t>
            </w:r>
            <w:r>
              <w:rPr>
                <w:rFonts w:ascii="宋体" w:hAnsi="宋体" w:cs="宋体" w:eastAsia="宋体" w:hint="default"/>
                <w:spacing w:val="-4"/>
                <w:sz w:val="18"/>
                <w:szCs w:val="18"/>
              </w:rPr>
              <w:t>土地使用权抵押，向合肥</w:t>
            </w:r>
            <w:r>
              <w:rPr>
                <w:rFonts w:ascii="宋体" w:hAnsi="宋体" w:cs="宋体" w:eastAsia="宋体" w:hint="default"/>
                <w:sz w:val="18"/>
                <w:szCs w:val="18"/>
              </w:rPr>
              <w:t> 华夏银行胜利路支行借入长期借款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1.265</w:t>
            </w:r>
          </w:p>
        </w:tc>
      </w:tr>
      <w:tr>
        <w:trPr>
          <w:trHeight w:val="391"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298"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6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亿元</w:t>
            </w:r>
          </w:p>
        </w:tc>
      </w:tr>
      <w:tr>
        <w:trPr>
          <w:trHeight w:val="133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159,978,374.91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本公司之子公司合肥天源迪科以其在建 工程、房产和土地使用权抵押，向合肥 华夏银行胜利路支行借入长期借款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1.265 </w:t>
            </w:r>
            <w:r>
              <w:rPr>
                <w:rFonts w:ascii="宋体" w:hAnsi="宋体" w:cs="宋体" w:eastAsia="宋体" w:hint="default"/>
                <w:sz w:val="18"/>
                <w:szCs w:val="18"/>
              </w:rPr>
              <w:t>亿元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282,494,980.72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成都魔比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取得对方的 控制权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-5.99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6716"/>
        <w:gridCol w:w="1814"/>
      </w:tblGrid>
      <w:tr>
        <w:trPr>
          <w:trHeight w:val="355" w:hRule="exact"/>
        </w:trPr>
        <w:tc>
          <w:tcPr>
            <w:tcW w:w="6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8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39" w:right="0"/>
              <w:jc w:val="left"/>
              <w:rPr>
                <w:rFonts w:ascii="宋体" w:hAnsi="宋体" w:cs="宋体" w:eastAsia="宋体" w:hint="default"/>
                <w:sz w:val="18"/>
                <w:szCs w:val="18"/>
              </w:rPr>
            </w:pPr>
            <w:r>
              <w:rPr>
                <w:rFonts w:ascii="宋体" w:hAnsi="宋体" w:cs="宋体" w:eastAsia="宋体" w:hint="default"/>
                <w:sz w:val="18"/>
                <w:szCs w:val="18"/>
              </w:rPr>
              <w:t>成都魔比</w:t>
            </w:r>
          </w:p>
        </w:tc>
      </w:tr>
      <w:tr>
        <w:trPr>
          <w:trHeight w:val="352"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81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6716"/>
        <w:gridCol w:w="1814"/>
      </w:tblGrid>
      <w:tr>
        <w:trPr>
          <w:trHeight w:val="355" w:hRule="exact"/>
        </w:trPr>
        <w:tc>
          <w:tcPr>
            <w:tcW w:w="6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814"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8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81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81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8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1.00</w:t>
            </w:r>
          </w:p>
        </w:tc>
      </w:tr>
      <w:tr>
        <w:trPr>
          <w:trHeight w:val="352"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3.06</w:t>
            </w:r>
          </w:p>
        </w:tc>
      </w:tr>
      <w:tr>
        <w:trPr>
          <w:trHeight w:val="352" w:hRule="exact"/>
        </w:trPr>
        <w:tc>
          <w:tcPr>
            <w:tcW w:w="6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1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-2.06</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360" w:lineRule="auto" w:before="44"/>
        <w:ind w:right="509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91"/>
        <w:gridCol w:w="2662"/>
        <w:gridCol w:w="2976"/>
      </w:tblGrid>
      <w:tr>
        <w:trPr>
          <w:trHeight w:val="355" w:hRule="exact"/>
        </w:trPr>
        <w:tc>
          <w:tcPr>
            <w:tcW w:w="2891" w:type="dxa"/>
            <w:vMerge w:val="restart"/>
            <w:tcBorders>
              <w:top w:val="single" w:sz="6" w:space="0" w:color="000000"/>
              <w:left w:val="single" w:sz="6" w:space="0" w:color="000000"/>
              <w:right w:val="single" w:sz="6" w:space="0" w:color="000000"/>
            </w:tcBorders>
          </w:tcPr>
          <w:p>
            <w:pPr/>
          </w:p>
        </w:tc>
        <w:tc>
          <w:tcPr>
            <w:tcW w:w="563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成都魔比</w:t>
            </w:r>
          </w:p>
        </w:tc>
      </w:tr>
      <w:tr>
        <w:trPr>
          <w:trHeight w:val="352" w:hRule="exact"/>
        </w:trPr>
        <w:tc>
          <w:tcPr>
            <w:tcW w:w="2891" w:type="dxa"/>
            <w:vMerge/>
            <w:tcBorders>
              <w:left w:val="single" w:sz="6" w:space="0" w:color="000000"/>
              <w:bottom w:val="single" w:sz="12" w:space="0" w:color="000000"/>
              <w:right w:val="single" w:sz="6" w:space="0" w:color="000000"/>
            </w:tcBorders>
          </w:tcPr>
          <w:p>
            <w:pPr/>
          </w:p>
        </w:tc>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84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2" w:hRule="exact"/>
        </w:trPr>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662" w:type="dxa"/>
            <w:tcBorders>
              <w:top w:val="single" w:sz="12" w:space="0" w:color="000000"/>
              <w:left w:val="single" w:sz="6" w:space="0" w:color="000000"/>
              <w:bottom w:val="single" w:sz="12" w:space="0" w:color="000000"/>
              <w:right w:val="single" w:sz="6" w:space="0" w:color="000000"/>
            </w:tcBorders>
          </w:tcPr>
          <w:p>
            <w:pP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6.00</w:t>
            </w:r>
          </w:p>
        </w:tc>
      </w:tr>
      <w:tr>
        <w:trPr>
          <w:trHeight w:val="352" w:hRule="exact"/>
        </w:trPr>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6.00</w:t>
            </w:r>
          </w:p>
        </w:tc>
      </w:tr>
      <w:tr>
        <w:trPr>
          <w:trHeight w:val="352" w:hRule="exact"/>
        </w:trPr>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2.94</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2.94</w:t>
            </w:r>
          </w:p>
        </w:tc>
      </w:tr>
      <w:tr>
        <w:trPr>
          <w:trHeight w:val="353" w:hRule="exact"/>
        </w:trPr>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3.06</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3.06</w:t>
            </w:r>
          </w:p>
        </w:tc>
      </w:tr>
    </w:tbl>
    <w:p>
      <w:pPr>
        <w:spacing w:line="240" w:lineRule="auto" w:before="5"/>
        <w:rPr>
          <w:rFonts w:ascii="宋体" w:hAnsi="宋体" w:cs="宋体" w:eastAsia="宋体" w:hint="default"/>
          <w:b/>
          <w:bCs/>
          <w:sz w:val="24"/>
          <w:szCs w:val="24"/>
        </w:rPr>
      </w:pPr>
    </w:p>
    <w:p>
      <w:pPr>
        <w:pStyle w:val="BodyText"/>
        <w:spacing w:line="360" w:lineRule="auto" w:before="44"/>
        <w:ind w:right="655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2591"/>
        <w:jc w:val="left"/>
      </w:pPr>
      <w:r>
        <w:rPr/>
        <w:t>说明其他原因导致的合并范围变动（如，新设子公司、清算子公司等）及其相关情况： 与上年相比本年新增合并单位</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家，原因为：新成立全资子公司前海吉源、广州天源迪科。</w:t>
      </w:r>
    </w:p>
    <w:p>
      <w:pPr>
        <w:spacing w:after="0" w:line="357"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92"/>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上海天缘迪柯</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前海吉源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深圳金华威</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华为设备代理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4"/>
              <w:jc w:val="left"/>
              <w:rPr>
                <w:rFonts w:ascii="宋体" w:hAnsi="宋体" w:cs="宋体" w:eastAsia="宋体" w:hint="default"/>
                <w:sz w:val="18"/>
                <w:szCs w:val="18"/>
              </w:rPr>
            </w:pP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成都魔比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60" w:lineRule="auto" w:before="51"/>
        <w:ind w:right="189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6752"/>
        <w:jc w:val="left"/>
      </w:pPr>
      <w:r>
        <w:rPr/>
        <w:t>确定公司是代理人还是委托人的依据： 其他说明：</w:t>
      </w:r>
    </w:p>
    <w:p>
      <w:pPr>
        <w:pStyle w:val="BodyText"/>
        <w:spacing w:line="300" w:lineRule="auto" w:before="28"/>
        <w:ind w:right="9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月，本公司通过收购上海天缘迪柯其他股东持有</w:t>
      </w:r>
      <w:r>
        <w:rPr>
          <w:rFonts w:ascii="Times New Roman" w:hAnsi="Times New Roman" w:cs="Times New Roman" w:eastAsia="Times New Roman" w:hint="default"/>
        </w:rPr>
        <w:t>20%</w:t>
      </w:r>
      <w:r>
        <w:rPr/>
        <w:t>股权后该公司成为本公司之全资子公司；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月，本 </w:t>
      </w:r>
      <w:r>
        <w:rPr>
          <w:spacing w:val="-1"/>
        </w:rPr>
        <w:t>公司对该公司增资</w:t>
      </w:r>
      <w:r>
        <w:rPr>
          <w:rFonts w:ascii="Times New Roman" w:hAnsi="Times New Roman" w:cs="Times New Roman" w:eastAsia="Times New Roman" w:hint="default"/>
          <w:spacing w:val="-1"/>
        </w:rPr>
        <w:t>1,200</w:t>
      </w:r>
      <w:r>
        <w:rPr>
          <w:spacing w:val="-1"/>
        </w:rPr>
        <w:t>万元，增资完成后该公司注册资本变更为</w:t>
      </w:r>
      <w:r>
        <w:rPr>
          <w:rFonts w:ascii="Times New Roman" w:hAnsi="Times New Roman" w:cs="Times New Roman" w:eastAsia="Times New Roman" w:hint="default"/>
          <w:spacing w:val="-1"/>
        </w:rPr>
        <w:t>2,400</w:t>
      </w:r>
      <w:r>
        <w:rPr>
          <w:spacing w:val="-1"/>
        </w:rPr>
        <w:t>万元，本公司累计出资</w:t>
      </w:r>
      <w:r>
        <w:rPr>
          <w:rFonts w:ascii="Times New Roman" w:hAnsi="Times New Roman" w:cs="Times New Roman" w:eastAsia="Times New Roman" w:hint="default"/>
          <w:spacing w:val="-1"/>
        </w:rPr>
        <w:t>2,400</w:t>
      </w:r>
      <w:r>
        <w:rPr>
          <w:spacing w:val="-1"/>
        </w:rPr>
        <w:t>万元，占注册资本</w:t>
      </w:r>
      <w:r>
        <w:rPr>
          <w:rFonts w:ascii="Times New Roman" w:hAnsi="Times New Roman" w:cs="Times New Roman" w:eastAsia="Times New Roman" w:hint="default"/>
          <w:spacing w:val="-1"/>
        </w:rPr>
        <w:t>100%</w:t>
      </w:r>
      <w:r>
        <w:rPr>
          <w:spacing w:val="-1"/>
        </w:rPr>
        <w:t>。</w:t>
      </w:r>
    </w:p>
    <w:p>
      <w:pPr>
        <w:pStyle w:val="BodyText"/>
        <w:spacing w:line="300" w:lineRule="auto" w:before="13"/>
        <w:ind w:right="18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）合肥天源迪科于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月成立，取得合肥市工商行政管理局颁发的注册号为</w:t>
      </w:r>
      <w:r>
        <w:rPr>
          <w:rFonts w:ascii="Times New Roman" w:hAnsi="Times New Roman" w:cs="Times New Roman" w:eastAsia="Times New Roman" w:hint="default"/>
        </w:rPr>
        <w:t>340106000042474</w:t>
      </w:r>
      <w:r>
        <w:rPr/>
        <w:t>企业法人营业执照， 注册资本人民币</w:t>
      </w:r>
      <w:r>
        <w:rPr>
          <w:rFonts w:ascii="Times New Roman" w:hAnsi="Times New Roman" w:cs="Times New Roman" w:eastAsia="Times New Roman" w:hint="default"/>
        </w:rPr>
        <w:t>12,000</w:t>
      </w:r>
      <w:r>
        <w:rPr/>
        <w:t>万元，本公司实际出资人民币</w:t>
      </w:r>
      <w:r>
        <w:rPr>
          <w:rFonts w:ascii="Times New Roman" w:hAnsi="Times New Roman" w:cs="Times New Roman" w:eastAsia="Times New Roman" w:hint="default"/>
        </w:rPr>
        <w:t>12,000</w:t>
      </w:r>
      <w:r>
        <w:rPr/>
        <w:t>万元，占注册资本</w:t>
      </w:r>
      <w:r>
        <w:rPr>
          <w:rFonts w:ascii="Times New Roman" w:hAnsi="Times New Roman" w:cs="Times New Roman" w:eastAsia="Times New Roman" w:hint="default"/>
        </w:rPr>
        <w:t>100%</w:t>
      </w:r>
      <w:r>
        <w:rPr/>
        <w:t>。</w:t>
      </w:r>
    </w:p>
    <w:p>
      <w:pPr>
        <w:pStyle w:val="BodyText"/>
        <w:spacing w:line="300" w:lineRule="auto" w:before="11"/>
        <w:ind w:right="92"/>
        <w:jc w:val="left"/>
      </w:pP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w:t>
      </w:r>
      <w:r>
        <w:rPr>
          <w:spacing w:val="-2"/>
        </w:rPr>
        <w:t>）北京天源迪科于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月成立，取得北京市工商行政管理局海淀分局颁发的注册号为</w:t>
      </w:r>
      <w:r>
        <w:rPr>
          <w:rFonts w:ascii="Times New Roman" w:hAnsi="Times New Roman" w:cs="Times New Roman" w:eastAsia="Times New Roman" w:hint="default"/>
          <w:spacing w:val="-2"/>
        </w:rPr>
        <w:t>110108013649906</w:t>
      </w:r>
      <w:r>
        <w:rPr>
          <w:spacing w:val="-2"/>
        </w:rPr>
        <w:t>企业法人营业</w:t>
      </w:r>
      <w:r>
        <w:rPr>
          <w:spacing w:val="-44"/>
        </w:rPr>
        <w:t> </w:t>
      </w:r>
      <w:r>
        <w:rPr/>
        <w:t>执照，注册资本人民币</w:t>
      </w:r>
      <w:r>
        <w:rPr>
          <w:rFonts w:ascii="Times New Roman" w:hAnsi="Times New Roman" w:cs="Times New Roman" w:eastAsia="Times New Roman" w:hint="default"/>
        </w:rPr>
        <w:t>2,000</w:t>
      </w:r>
      <w:r>
        <w:rPr/>
        <w:t>万元，本公司实际出资人民币</w:t>
      </w:r>
      <w:r>
        <w:rPr>
          <w:rFonts w:ascii="Times New Roman" w:hAnsi="Times New Roman" w:cs="Times New Roman" w:eastAsia="Times New Roman" w:hint="default"/>
        </w:rPr>
        <w:t>2,000</w:t>
      </w:r>
      <w:r>
        <w:rPr/>
        <w:t>万元，占注册资本</w:t>
      </w:r>
      <w:r>
        <w:rPr>
          <w:rFonts w:ascii="Times New Roman" w:hAnsi="Times New Roman" w:cs="Times New Roman" w:eastAsia="Times New Roman" w:hint="default"/>
        </w:rPr>
        <w:t>100%</w:t>
      </w:r>
      <w:r>
        <w:rPr/>
        <w:t>。</w:t>
      </w:r>
    </w:p>
    <w:p>
      <w:pPr>
        <w:pStyle w:val="BodyText"/>
        <w:spacing w:line="300" w:lineRule="auto" w:before="13"/>
        <w:ind w:right="18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t>）合肥英泽于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月成立，取得合肥市工商行政管理局颁发的注册号为</w:t>
      </w:r>
      <w:r>
        <w:rPr>
          <w:rFonts w:ascii="Times New Roman" w:hAnsi="Times New Roman" w:cs="Times New Roman" w:eastAsia="Times New Roman" w:hint="default"/>
        </w:rPr>
        <w:t>340191000015530</w:t>
      </w:r>
      <w:r>
        <w:rPr/>
        <w:t>企业法人营业执照，注册 资本人民币</w:t>
      </w:r>
      <w:r>
        <w:rPr>
          <w:rFonts w:ascii="Times New Roman" w:hAnsi="Times New Roman" w:cs="Times New Roman" w:eastAsia="Times New Roman" w:hint="default"/>
        </w:rPr>
        <w:t>3,000</w:t>
      </w:r>
      <w:r>
        <w:rPr/>
        <w:t>万元，本公司实际出资人民币</w:t>
      </w:r>
      <w:r>
        <w:rPr>
          <w:rFonts w:ascii="Times New Roman" w:hAnsi="Times New Roman" w:cs="Times New Roman" w:eastAsia="Times New Roman" w:hint="default"/>
        </w:rPr>
        <w:t>2,400</w:t>
      </w:r>
      <w:r>
        <w:rPr/>
        <w:t>万元，占注册资本</w:t>
      </w:r>
      <w:r>
        <w:rPr>
          <w:rFonts w:ascii="Times New Roman" w:hAnsi="Times New Roman" w:cs="Times New Roman" w:eastAsia="Times New Roman" w:hint="default"/>
        </w:rPr>
        <w:t>80%</w:t>
      </w:r>
      <w:r>
        <w:rPr/>
        <w:t>。</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6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t>）武汉天源迪科于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月成立，取得武汉市工商行政管理局颁发的注册号为</w:t>
      </w:r>
      <w:r>
        <w:rPr>
          <w:rFonts w:ascii="Times New Roman" w:hAnsi="Times New Roman" w:cs="Times New Roman" w:eastAsia="Times New Roman" w:hint="default"/>
        </w:rPr>
        <w:t>420100000371843</w:t>
      </w:r>
      <w:r>
        <w:rPr/>
        <w:t>企业法人营业执照， 注册资本人民币</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3,000</w:t>
      </w:r>
      <w:r>
        <w:rPr/>
        <w:t>万元，本公司实际出资人民币</w:t>
      </w:r>
      <w:r>
        <w:rPr>
          <w:rFonts w:ascii="Times New Roman" w:hAnsi="Times New Roman" w:cs="Times New Roman" w:eastAsia="Times New Roman" w:hint="default"/>
        </w:rPr>
        <w:t>3,000</w:t>
      </w:r>
      <w:r>
        <w:rPr/>
        <w:t>万元，占注册资本</w:t>
      </w:r>
      <w:r>
        <w:rPr>
          <w:rFonts w:ascii="Times New Roman" w:hAnsi="Times New Roman" w:cs="Times New Roman" w:eastAsia="Times New Roman" w:hint="default"/>
        </w:rPr>
        <w:t>100%</w:t>
      </w:r>
      <w:r>
        <w:rPr/>
        <w:t>。</w:t>
      </w:r>
    </w:p>
    <w:p>
      <w:pPr>
        <w:pStyle w:val="BodyText"/>
        <w:spacing w:line="300" w:lineRule="auto" w:before="13"/>
        <w:ind w:right="91"/>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）前海吉源于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月成立，取得取得深圳市工商行政管理局颁发的注册号为</w:t>
      </w:r>
      <w:r>
        <w:rPr>
          <w:rFonts w:ascii="Times New Roman" w:hAnsi="Times New Roman" w:cs="Times New Roman" w:eastAsia="Times New Roman" w:hint="default"/>
        </w:rPr>
        <w:t>440301111537918</w:t>
      </w:r>
      <w:r>
        <w:rPr>
          <w:rFonts w:ascii="Times New Roman" w:hAnsi="Times New Roman" w:cs="Times New Roman" w:eastAsia="Times New Roman" w:hint="default"/>
          <w:spacing w:val="26"/>
        </w:rPr>
        <w:t> </w:t>
      </w:r>
      <w:r>
        <w:rPr/>
        <w:t>企业法人营业执照， 注册资本</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1,000</w:t>
      </w:r>
      <w:r>
        <w:rPr/>
        <w:t>万元，本公司实际出资</w:t>
      </w:r>
      <w:r>
        <w:rPr>
          <w:rFonts w:ascii="Times New Roman" w:hAnsi="Times New Roman" w:cs="Times New Roman" w:eastAsia="Times New Roman" w:hint="default"/>
        </w:rPr>
        <w:t>1,000</w:t>
      </w:r>
      <w:r>
        <w:rPr/>
        <w:t>万元，占实收资本的</w:t>
      </w:r>
      <w:r>
        <w:rPr>
          <w:rFonts w:ascii="Times New Roman" w:hAnsi="Times New Roman" w:cs="Times New Roman" w:eastAsia="Times New Roman" w:hint="default"/>
        </w:rPr>
        <w:t>100%</w:t>
      </w:r>
      <w:r>
        <w:rPr/>
        <w:t>。</w:t>
      </w:r>
    </w:p>
    <w:p>
      <w:pPr>
        <w:pStyle w:val="BodyText"/>
        <w:spacing w:line="300" w:lineRule="auto" w:before="13"/>
        <w:ind w:right="16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7</w:t>
      </w:r>
      <w:r>
        <w:rPr/>
        <w:t>）广州天源迪科于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月成立，取得广州市工商行政管理局颁发的注册号为</w:t>
      </w:r>
      <w:r>
        <w:rPr>
          <w:rFonts w:ascii="Times New Roman" w:hAnsi="Times New Roman" w:cs="Times New Roman" w:eastAsia="Times New Roman" w:hint="default"/>
        </w:rPr>
        <w:t>440106001048729</w:t>
      </w:r>
      <w:r>
        <w:rPr/>
        <w:t>企业法人营业执照， 注册资本</w:t>
      </w:r>
      <w:r>
        <w:rPr>
          <w:rFonts w:ascii="Times New Roman" w:hAnsi="Times New Roman" w:cs="Times New Roman" w:eastAsia="Times New Roman" w:hint="default"/>
        </w:rPr>
        <w:t>1000</w:t>
      </w:r>
      <w:r>
        <w:rPr/>
        <w:t>万元，实收资本</w:t>
      </w:r>
      <w:r>
        <w:rPr>
          <w:rFonts w:ascii="Times New Roman" w:hAnsi="Times New Roman" w:cs="Times New Roman" w:eastAsia="Times New Roman" w:hint="default"/>
        </w:rPr>
        <w:t>0</w:t>
      </w:r>
      <w:r>
        <w:rPr/>
        <w:t>元，本公司认缴注册资本</w:t>
      </w:r>
      <w:r>
        <w:rPr>
          <w:rFonts w:ascii="Times New Roman" w:hAnsi="Times New Roman" w:cs="Times New Roman" w:eastAsia="Times New Roman" w:hint="default"/>
        </w:rPr>
        <w:t>1000</w:t>
      </w:r>
      <w:r>
        <w:rPr/>
        <w:t>万元，尚未实际出资。</w:t>
      </w:r>
    </w:p>
    <w:p>
      <w:pPr>
        <w:pStyle w:val="BodyText"/>
        <w:spacing w:line="240" w:lineRule="auto" w:before="13"/>
        <w:ind w:right="91"/>
        <w:jc w:val="left"/>
        <w:rPr>
          <w:rFonts w:ascii="Times New Roman" w:hAnsi="Times New Roman" w:cs="Times New Roman" w:eastAsia="Times New Roman" w:hint="default"/>
        </w:rPr>
      </w:pPr>
      <w:r>
        <w:rPr>
          <w:rFonts w:ascii="Times New Roman" w:hAnsi="Times New Roman" w:cs="Times New Roman" w:eastAsia="Times New Roman" w:hint="default"/>
        </w:rPr>
        <w:t>*</w:t>
      </w:r>
      <w:r>
        <w:rPr/>
        <w:t>（</w:t>
      </w:r>
      <w:r>
        <w:rPr>
          <w:rFonts w:ascii="Times New Roman" w:hAnsi="Times New Roman" w:cs="Times New Roman" w:eastAsia="Times New Roman" w:hint="default"/>
        </w:rPr>
        <w:t>8</w:t>
      </w:r>
      <w:r>
        <w:rPr/>
        <w:t>）广州易杰：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月，本公司受让原股东毛琼持有的广州易杰</w:t>
      </w:r>
      <w:r>
        <w:rPr>
          <w:rFonts w:ascii="Times New Roman" w:hAnsi="Times New Roman" w:cs="Times New Roman" w:eastAsia="Times New Roman" w:hint="default"/>
        </w:rPr>
        <w:t>30%</w:t>
      </w:r>
      <w:r>
        <w:rPr/>
        <w:t>股权，本次受让完成后本公司持有广州易杰</w:t>
      </w:r>
      <w:r>
        <w:rPr>
          <w:rFonts w:ascii="Times New Roman" w:hAnsi="Times New Roman" w:cs="Times New Roman" w:eastAsia="Times New Roman" w:hint="default"/>
        </w:rPr>
        <w:t>100%</w:t>
      </w:r>
    </w:p>
    <w:p>
      <w:pPr>
        <w:pStyle w:val="BodyText"/>
        <w:spacing w:line="240" w:lineRule="auto" w:before="63"/>
        <w:ind w:right="162"/>
        <w:jc w:val="left"/>
      </w:pPr>
      <w:r>
        <w:rPr/>
        <w:t>的股权。</w:t>
      </w:r>
    </w:p>
    <w:p>
      <w:pPr>
        <w:pStyle w:val="BodyText"/>
        <w:spacing w:line="300" w:lineRule="auto" w:before="76"/>
        <w:ind w:right="16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9</w:t>
      </w:r>
      <w:r>
        <w:rPr/>
        <w:t>）广州易星：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月，本公司受让陶小敏等四位股东共计持有的广州易星</w:t>
      </w:r>
      <w:r>
        <w:rPr>
          <w:rFonts w:ascii="Times New Roman" w:hAnsi="Times New Roman" w:cs="Times New Roman" w:eastAsia="Times New Roman" w:hint="default"/>
        </w:rPr>
        <w:t>6.70%</w:t>
      </w:r>
      <w:r>
        <w:rPr/>
        <w:t>股权，受让股权及增资完成后，本 </w:t>
      </w:r>
      <w:r>
        <w:rPr>
          <w:spacing w:val="-2"/>
        </w:rPr>
        <w:t>公司合计持有广州易星</w:t>
      </w:r>
      <w:r>
        <w:rPr>
          <w:rFonts w:ascii="Times New Roman" w:hAnsi="Times New Roman" w:cs="Times New Roman" w:eastAsia="Times New Roman" w:hint="default"/>
          <w:spacing w:val="-2"/>
        </w:rPr>
        <w:t>57.70%</w:t>
      </w:r>
      <w:r>
        <w:rPr>
          <w:spacing w:val="-2"/>
        </w:rPr>
        <w:t>的股权。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月，本公司受让上述陶小敏等四位股东共持有的广州易星</w:t>
      </w:r>
      <w:r>
        <w:rPr>
          <w:rFonts w:ascii="Times New Roman" w:hAnsi="Times New Roman" w:cs="Times New Roman" w:eastAsia="Times New Roman" w:hint="default"/>
          <w:spacing w:val="-2"/>
        </w:rPr>
        <w:t>9%</w:t>
      </w:r>
      <w:r>
        <w:rPr>
          <w:spacing w:val="-2"/>
        </w:rPr>
        <w:t>股权，本公司合</w:t>
      </w:r>
      <w:r>
        <w:rPr>
          <w:spacing w:val="-40"/>
        </w:rPr>
        <w:t> </w:t>
      </w:r>
      <w:r>
        <w:rPr>
          <w:spacing w:val="-40"/>
        </w:rPr>
      </w:r>
      <w:r>
        <w:rPr/>
        <w:t>计持有广州易星</w:t>
      </w:r>
      <w:r>
        <w:rPr>
          <w:rFonts w:ascii="Times New Roman" w:hAnsi="Times New Roman" w:cs="Times New Roman" w:eastAsia="Times New Roman" w:hint="default"/>
        </w:rPr>
        <w:t>66.7%</w:t>
      </w:r>
      <w:r>
        <w:rPr/>
        <w:t>的股权。</w:t>
      </w:r>
    </w:p>
    <w:p>
      <w:pPr>
        <w:pStyle w:val="BodyText"/>
        <w:spacing w:line="300" w:lineRule="auto" w:before="13"/>
        <w:ind w:right="18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）深圳金华威：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月，本公司受让深圳齐普生信息科技有限公司持有的深圳金华威</w:t>
      </w:r>
      <w:r>
        <w:rPr>
          <w:rFonts w:ascii="Times New Roman" w:hAnsi="Times New Roman" w:cs="Times New Roman" w:eastAsia="Times New Roman" w:hint="default"/>
        </w:rPr>
        <w:t>45%</w:t>
      </w:r>
      <w:r>
        <w:rPr/>
        <w:t>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月，本公 司受让王磊持有的深圳金华威公司</w:t>
      </w:r>
      <w:r>
        <w:rPr>
          <w:rFonts w:ascii="Times New Roman" w:hAnsi="Times New Roman" w:cs="Times New Roman" w:eastAsia="Times New Roman" w:hint="default"/>
        </w:rPr>
        <w:t>10%</w:t>
      </w:r>
      <w:r>
        <w:rPr/>
        <w:t>股权，本次受让完成后合计持有深圳金华威</w:t>
      </w:r>
      <w:r>
        <w:rPr>
          <w:rFonts w:ascii="Times New Roman" w:hAnsi="Times New Roman" w:cs="Times New Roman" w:eastAsia="Times New Roman" w:hint="default"/>
        </w:rPr>
        <w:t>55%</w:t>
      </w:r>
      <w:r>
        <w:rPr/>
        <w:t>的股权，并取得实际控制。</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 </w:t>
      </w:r>
      <w:r>
        <w:rPr/>
        <w:t>月，深圳金华威申请增加注册资本人民币</w:t>
      </w:r>
      <w:r>
        <w:rPr>
          <w:rFonts w:ascii="Times New Roman" w:hAnsi="Times New Roman" w:cs="Times New Roman" w:eastAsia="Times New Roman" w:hint="default"/>
        </w:rPr>
        <w:t>3,000</w:t>
      </w:r>
      <w:r>
        <w:rPr/>
        <w:t>万元，由股东分期缴足，注册资本变更为</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深圳金华威实收资本为</w:t>
      </w:r>
      <w:r>
        <w:rPr>
          <w:rFonts w:ascii="Times New Roman" w:hAnsi="Times New Roman" w:cs="Times New Roman" w:eastAsia="Times New Roman" w:hint="default"/>
        </w:rPr>
        <w:t>3,700</w:t>
      </w:r>
      <w:r>
        <w:rPr/>
        <w:t>万元，本公司累计出资</w:t>
      </w:r>
      <w:r>
        <w:rPr>
          <w:rFonts w:ascii="Times New Roman" w:hAnsi="Times New Roman" w:cs="Times New Roman" w:eastAsia="Times New Roman" w:hint="default"/>
        </w:rPr>
        <w:t>2,035</w:t>
      </w:r>
      <w:r>
        <w:rPr/>
        <w:t>万元，占注册资本</w:t>
      </w:r>
      <w:r>
        <w:rPr>
          <w:rFonts w:ascii="Times New Roman" w:hAnsi="Times New Roman" w:cs="Times New Roman" w:eastAsia="Times New Roman" w:hint="default"/>
        </w:rPr>
        <w:t>55%</w:t>
      </w:r>
      <w:r>
        <w:rPr/>
        <w:t>。</w:t>
      </w:r>
    </w:p>
    <w:p>
      <w:pPr>
        <w:pStyle w:val="BodyText"/>
        <w:spacing w:line="300" w:lineRule="auto" w:before="13"/>
        <w:ind w:right="162"/>
        <w:jc w:val="left"/>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11</w:t>
      </w:r>
      <w:r>
        <w:rPr>
          <w:spacing w:val="-1"/>
        </w:rPr>
        <w:t>）广西驿途：</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月，本公司受让覃杰持有的广西驿途</w:t>
      </w:r>
      <w:r>
        <w:rPr>
          <w:rFonts w:ascii="Times New Roman" w:hAnsi="Times New Roman" w:cs="Times New Roman" w:eastAsia="Times New Roman" w:hint="default"/>
          <w:spacing w:val="-1"/>
        </w:rPr>
        <w:t>45.02%</w:t>
      </w:r>
      <w:r>
        <w:rPr>
          <w:spacing w:val="-1"/>
        </w:rPr>
        <w:t>股权，并同时向广西驿途增资</w:t>
      </w:r>
      <w:r>
        <w:rPr>
          <w:rFonts w:ascii="Times New Roman" w:hAnsi="Times New Roman" w:cs="Times New Roman" w:eastAsia="Times New Roman" w:hint="default"/>
          <w:spacing w:val="-1"/>
        </w:rPr>
        <w:t>61</w:t>
      </w:r>
      <w:r>
        <w:rPr>
          <w:spacing w:val="-1"/>
        </w:rPr>
        <w:t>万元，受让股权及</w:t>
      </w:r>
      <w:r>
        <w:rPr>
          <w:spacing w:val="-41"/>
        </w:rPr>
        <w:t> </w:t>
      </w:r>
      <w:r>
        <w:rPr>
          <w:spacing w:val="-41"/>
        </w:rPr>
      </w:r>
      <w:r>
        <w:rPr/>
        <w:t>增资完成后，本公司合计持有广西驿途</w:t>
      </w:r>
      <w:r>
        <w:rPr>
          <w:rFonts w:ascii="Times New Roman" w:hAnsi="Times New Roman" w:cs="Times New Roman" w:eastAsia="Times New Roman" w:hint="default"/>
        </w:rPr>
        <w:t>51%</w:t>
      </w:r>
      <w:r>
        <w:rPr/>
        <w:t>的股权。</w:t>
      </w:r>
    </w:p>
    <w:p>
      <w:pPr>
        <w:pStyle w:val="BodyText"/>
        <w:spacing w:line="300" w:lineRule="auto" w:before="13"/>
        <w:ind w:right="222"/>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12</w:t>
      </w:r>
      <w:r>
        <w:rPr/>
        <w:t>）成都魔比：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月，本公司受让徐扬持有的成都魔比</w:t>
      </w:r>
      <w:r>
        <w:rPr>
          <w:rFonts w:ascii="Times New Roman" w:hAnsi="Times New Roman" w:cs="Times New Roman" w:eastAsia="Times New Roman" w:hint="default"/>
        </w:rPr>
        <w:t>51%</w:t>
      </w:r>
      <w:r>
        <w:rPr/>
        <w:t>股权，受让完成后，本公司合计持有成都魔比</w:t>
      </w:r>
      <w:r>
        <w:rPr>
          <w:rFonts w:ascii="Times New Roman" w:hAnsi="Times New Roman" w:cs="Times New Roman" w:eastAsia="Times New Roman" w:hint="default"/>
        </w:rPr>
        <w:t>51%</w:t>
      </w:r>
      <w:r>
        <w:rPr/>
        <w:t>的 股权。</w:t>
      </w:r>
    </w:p>
    <w:p>
      <w:pPr>
        <w:spacing w:line="240" w:lineRule="auto" w:before="6"/>
        <w:rPr>
          <w:rFonts w:ascii="宋体" w:hAnsi="宋体" w:cs="宋体" w:eastAsia="宋体" w:hint="default"/>
          <w:sz w:val="23"/>
          <w:szCs w:val="23"/>
        </w:rPr>
      </w:pPr>
    </w:p>
    <w:p>
      <w:pPr>
        <w:pStyle w:val="Heading3"/>
        <w:spacing w:line="240" w:lineRule="auto"/>
        <w:ind w:right="16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610,242.47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5,559,055.49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441,180.54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3,260,302.96</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6,683,298.31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6,041,396.37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24,483,849.21</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-289,357.33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1,669,998.77</w:t>
            </w:r>
          </w:p>
        </w:tc>
      </w:tr>
    </w:tbl>
    <w:p>
      <w:pPr>
        <w:pStyle w:val="BodyText"/>
        <w:spacing w:line="360" w:lineRule="auto" w:before="51"/>
        <w:ind w:right="547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6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合肥英 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28,945,2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29,607,8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1,212,54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1,812,54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24,185,6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934,287.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25,119,9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广州易</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10,334,9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817,370.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11,152,3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1,361,61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1,361,61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7,278,31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2,413,12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9,691,43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1,225,60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1,225,60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43.48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14.10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4.51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4.51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1.20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5.02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6.22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3.12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3.12</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深圳金 华威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421,294,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896.01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3,358,20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424,653,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370,244,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543.94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370,244,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543.94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234,802,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449.35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1,970,66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236,773,</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117.57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194,791,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012.53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194,791,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012.53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广西驿 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3,485,05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3,747,22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4,117,34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4,205,46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30,859,719.1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3,051,212.35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3,051,212.35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4,544,805.06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10,275,627.6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-3,826,131.76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-3,826,131.76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-26,437,010.2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17,383,798.9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1,324,866.49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1,324,866.49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842,420.95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10,559,402.0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2,994,285.93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2,994,285.93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1,210,578.90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640,912,654.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14,851,774.0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14,851,774.0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-166,290,612.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353,455,482.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8,360,749.89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8,360,749.89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-87,854,992.5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5,252,860.84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-590,525.16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-590,525.16</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-1,116,150.20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6,390,315.76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1,530,692.33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1,530,692.33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865,312.23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使用企业集团资产和清偿企业集团债务无重大限制。</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北京信邦安达科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left="154" w:right="0"/>
        <w:jc w:val="left"/>
      </w:pPr>
      <w:r>
        <w:rPr/>
        <w:t>（</w:t>
      </w:r>
      <w:r>
        <w:rPr>
          <w:rFonts w:ascii="Times New Roman" w:hAnsi="Times New Roman" w:cs="Times New Roman" w:eastAsia="Times New Roman" w:hint="default"/>
        </w:rPr>
        <w:t>1</w:t>
      </w:r>
      <w:r>
        <w:rPr/>
        <w:t>）深圳市汇巨信息技术有限公司</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970"/>
        <w:gridCol w:w="2741"/>
        <w:gridCol w:w="2741"/>
      </w:tblGrid>
      <w:tr>
        <w:trPr>
          <w:trHeight w:val="355" w:hRule="exact"/>
        </w:trPr>
        <w:tc>
          <w:tcPr>
            <w:tcW w:w="397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563"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r>
      <w:tr>
        <w:trPr>
          <w:trHeight w:val="353" w:hRule="exact"/>
        </w:trPr>
        <w:tc>
          <w:tcPr>
            <w:tcW w:w="3970" w:type="dxa"/>
            <w:vMerge/>
            <w:tcBorders>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本期发生额</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49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34,745,205.50</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34,858,678.15</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360,077.28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486,365.01</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35,105,282.78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35,345,043.16</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690,412.64</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1,795,852.22</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400,000.00</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1,890,412.64</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2,195,852.22</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39,807,184.17</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39,780,912.49</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18,915,095.59</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29,367,772.07</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65,679.20</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2,831,667.85</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65,679.20</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2,831,667.85</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4"/>
        <w:spacing w:line="240" w:lineRule="auto" w:before="35"/>
        <w:ind w:left="154" w:right="0"/>
        <w:jc w:val="left"/>
      </w:pPr>
      <w:r>
        <w:rPr/>
        <w:t>（</w:t>
      </w:r>
      <w:r>
        <w:rPr>
          <w:rFonts w:ascii="Times New Roman" w:hAnsi="Times New Roman" w:cs="Times New Roman" w:eastAsia="Times New Roman" w:hint="default"/>
        </w:rPr>
        <w:t>2</w:t>
      </w:r>
      <w:r>
        <w:rPr/>
        <w:t>）北京信邦安达科技有限公司</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970"/>
        <w:gridCol w:w="2741"/>
        <w:gridCol w:w="2741"/>
      </w:tblGrid>
      <w:tr>
        <w:trPr>
          <w:trHeight w:val="355" w:hRule="exact"/>
        </w:trPr>
        <w:tc>
          <w:tcPr>
            <w:tcW w:w="3970"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1653"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r>
      <w:tr>
        <w:trPr>
          <w:trHeight w:val="352" w:hRule="exact"/>
        </w:trPr>
        <w:tc>
          <w:tcPr>
            <w:tcW w:w="3970" w:type="dxa"/>
            <w:vMerge/>
            <w:tcBorders>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本期发生额</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9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8,107,493.66</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7,931,422.37</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44,642.52</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72,694.20</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8,152,136.18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8,004,116.57</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4,577,512.28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4,888,272.65</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4,577,512.28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4,888,272.65</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70"/>
        <w:gridCol w:w="2741"/>
        <w:gridCol w:w="2741"/>
      </w:tblGrid>
      <w:tr>
        <w:trPr>
          <w:trHeight w:val="355" w:hRule="exact"/>
        </w:trPr>
        <w:tc>
          <w:tcPr>
            <w:tcW w:w="3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741" w:type="dxa"/>
            <w:tcBorders>
              <w:top w:val="single" w:sz="6" w:space="0" w:color="000000"/>
              <w:left w:val="single" w:sz="6" w:space="0" w:color="000000"/>
              <w:bottom w:val="single" w:sz="12" w:space="0" w:color="000000"/>
              <w:right w:val="single" w:sz="6" w:space="0" w:color="000000"/>
            </w:tcBorders>
          </w:tcPr>
          <w:p>
            <w:pPr/>
          </w:p>
        </w:tc>
        <w:tc>
          <w:tcPr>
            <w:tcW w:w="2741"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2,814,701.47</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2,711,475.97</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9,138,850.92</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7,678,329.53</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458,779.98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168,864.60</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458,779.98</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168,864.60</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4"/>
        <w:spacing w:line="240" w:lineRule="auto" w:before="35"/>
        <w:ind w:left="154" w:right="0"/>
        <w:jc w:val="left"/>
      </w:pPr>
      <w:r>
        <w:rPr/>
        <w:t>（</w:t>
      </w:r>
      <w:r>
        <w:rPr>
          <w:rFonts w:ascii="Times New Roman" w:hAnsi="Times New Roman" w:cs="Times New Roman" w:eastAsia="Times New Roman" w:hint="default"/>
        </w:rPr>
        <w:t>3</w:t>
      </w:r>
      <w:r>
        <w:rPr/>
        <w:t>）广州天源信息科技有限公司</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970"/>
        <w:gridCol w:w="2741"/>
        <w:gridCol w:w="2741"/>
      </w:tblGrid>
      <w:tr>
        <w:trPr>
          <w:trHeight w:val="355" w:hRule="exact"/>
        </w:trPr>
        <w:tc>
          <w:tcPr>
            <w:tcW w:w="3970"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1653"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r>
      <w:tr>
        <w:trPr>
          <w:trHeight w:val="352" w:hRule="exact"/>
        </w:trPr>
        <w:tc>
          <w:tcPr>
            <w:tcW w:w="3970" w:type="dxa"/>
            <w:vMerge/>
            <w:tcBorders>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本期发生额</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9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19,221,875.19</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15,897,968.09</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2,667,015.83</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3,134,181.10</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21,888,891.02</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19,032,149.19</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918,891.32</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2,177,779.51</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918,891.32</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2,177,779.51</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17,445,553.99</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16,086,835.71</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18,145,884.19</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12,963,320.02</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4,117,328.13</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3,596,471.84</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4,117,328.13</w:t>
            </w:r>
          </w:p>
        </w:tc>
        <w:tc>
          <w:tcPr>
            <w:tcW w:w="27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3,596,471.84</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本公司在经营过程中面临各种金融风险：信用风险、市场风险和流动性风险。公司董事会全面负责风险管理目标和政策的确</w:t>
      </w:r>
      <w:r>
        <w:rPr>
          <w:spacing w:val="-65"/>
        </w:rPr>
        <w:t> </w:t>
      </w:r>
      <w:r>
        <w:rPr>
          <w:spacing w:val="-65"/>
        </w:rPr>
      </w:r>
      <w:r>
        <w:rPr>
          <w:spacing w:val="-2"/>
        </w:rPr>
        <w:t>定，并对风险管理目标和政策承担最终责任，但是董事会已授权本公司风险管理部门设计和实施能确保风险管理目标和政策</w:t>
      </w:r>
      <w:r>
        <w:rPr>
          <w:spacing w:val="-64"/>
        </w:rPr>
        <w:t> </w:t>
      </w:r>
      <w:r>
        <w:rPr>
          <w:spacing w:val="-64"/>
        </w:rPr>
      </w:r>
      <w:r>
        <w:rPr>
          <w:spacing w:val="-2"/>
        </w:rPr>
        <w:t>得以有效执行的程序。董事会通过风险管理主管递交的月度报告来审查已执行程序的有效性以及风险管理目标和政策的合理</w:t>
      </w:r>
      <w:r>
        <w:rPr>
          <w:spacing w:val="-64"/>
        </w:rPr>
        <w:t> </w:t>
      </w:r>
      <w:r>
        <w:rPr>
          <w:spacing w:val="-64"/>
        </w:rPr>
      </w:r>
      <w:r>
        <w:rPr/>
        <w:t>性。本公司的内部审计师也会审计风险管理的政策和程序，并且将有关发现汇报给审计委员会。 本公司风险管理的总体目标是在不过度影响公司竞争力和应变力的情况下，制定尽可能降低风险的风险管理政策。</w:t>
      </w:r>
    </w:p>
    <w:p>
      <w:pPr>
        <w:pStyle w:val="BodyText"/>
        <w:spacing w:line="312" w:lineRule="auto" w:before="17"/>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spacing w:val="-2"/>
        </w:rPr>
        <w:t>信用风险是指金融工具的一方不履行义务，造成另一方发生财务损失的风险。本公司主要面临赊销导致的客户信用风险。在</w:t>
      </w:r>
      <w:r>
        <w:rPr>
          <w:spacing w:val="-67"/>
        </w:rPr>
        <w:t> </w:t>
      </w:r>
      <w:r>
        <w:rPr>
          <w:spacing w:val="-67"/>
        </w:rPr>
      </w:r>
      <w:r>
        <w:rPr>
          <w:spacing w:val="-2"/>
        </w:rPr>
        <w:t>签订新合同之前，本公司会对新客户的信用风险进行评估，包括外部信用评级和在某些情况下的银行资信证明（当此信息可</w:t>
      </w:r>
      <w:r>
        <w:rPr>
          <w:spacing w:val="-67"/>
        </w:rPr>
        <w:t> </w:t>
      </w:r>
      <w:r>
        <w:rPr>
          <w:spacing w:val="-67"/>
        </w:rPr>
      </w:r>
      <w:r>
        <w:rPr/>
        <w:t>获取时）。公司对每一客户均设置了赊销限额，该限额为无需获得额外批准的最大额度。</w:t>
      </w:r>
      <w:r>
        <w:rPr>
          <w:w w:val="99"/>
        </w:rPr>
        <w:t> </w:t>
      </w:r>
      <w:r>
        <w:rPr>
          <w:spacing w:val="-2"/>
          <w:w w:val="99"/>
        </w:rPr>
        <w:t>公司通过对已有客户信用评级的季度监控以及应收账款账龄分析的月度审核来确保公司的整体信用风险在可控的范围内。在</w:t>
      </w:r>
      <w:r>
        <w:rPr>
          <w:spacing w:val="-64"/>
          <w:w w:val="99"/>
        </w:rPr>
        <w:t> </w:t>
      </w:r>
      <w:r>
        <w:rPr>
          <w:spacing w:val="-64"/>
          <w:w w:val="99"/>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5"/>
        </w:rPr>
        <w:t> </w:t>
      </w:r>
      <w:r>
        <w:rPr>
          <w:spacing w:val="-45"/>
        </w:rPr>
      </w:r>
      <w:r>
        <w:rPr/>
        <w:t>额外批准的前提下，公司才可在未来期间内对其赊销，否则必须要求其提前支付相应款项。</w:t>
      </w:r>
    </w:p>
    <w:p>
      <w:pPr>
        <w:pStyle w:val="BodyText"/>
        <w:spacing w:line="309" w:lineRule="auto" w:before="22"/>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99"/>
        </w:rPr>
        <w:t> </w:t>
      </w:r>
      <w:r>
        <w:rPr>
          <w:spacing w:val="-2"/>
        </w:rPr>
        <w:t>金融工具的市场风险，是指金融工具的公允价值或未来现金流量因市场价格变动而发生波动的风险，包括汇率风险、利率风</w:t>
      </w:r>
      <w:r>
        <w:rPr>
          <w:spacing w:val="-67"/>
        </w:rPr>
        <w:t> </w:t>
      </w:r>
      <w:r>
        <w:rPr>
          <w:spacing w:val="-67"/>
        </w:rPr>
      </w:r>
      <w:r>
        <w:rPr/>
        <w:t>险和其他价格风险。</w:t>
      </w:r>
    </w:p>
    <w:p>
      <w:pPr>
        <w:pStyle w:val="BodyText"/>
        <w:spacing w:line="307" w:lineRule="auto" w:before="24"/>
        <w:ind w:right="152"/>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spacing w:val="-2"/>
        </w:rPr>
        <w:t>银行长期借款以及应付债券。公司目前的政策是固定利率借款占外部借款的</w:t>
      </w:r>
      <w:r>
        <w:rPr>
          <w:rFonts w:ascii="Times New Roman" w:hAnsi="Times New Roman" w:cs="Times New Roman" w:eastAsia="Times New Roman" w:hint="default"/>
          <w:spacing w:val="-2"/>
        </w:rPr>
        <w:t>70%-80%</w:t>
      </w:r>
      <w:r>
        <w:rPr>
          <w:spacing w:val="-2"/>
        </w:rPr>
        <w:t>。为维持该比例，本公司可能运用利率</w:t>
      </w:r>
      <w:r>
        <w:rPr>
          <w:spacing w:val="-60"/>
        </w:rPr>
        <w:t> </w:t>
      </w:r>
      <w:r>
        <w:rPr>
          <w:spacing w:val="-60"/>
        </w:rPr>
      </w:r>
      <w:r>
        <w:rPr>
          <w:spacing w:val="-2"/>
        </w:rPr>
        <w:t>互换以实现预期的利率结构。尽管该政策不能使本公司完全避免支付的利率超出现行市场利率的风险，也不能完全消除与利</w:t>
      </w:r>
      <w:r>
        <w:rPr>
          <w:spacing w:val="-64"/>
        </w:rPr>
        <w:t> </w:t>
      </w:r>
      <w:r>
        <w:rPr>
          <w:spacing w:val="-64"/>
        </w:rPr>
      </w:r>
      <w:r>
        <w:rPr/>
        <w:t>息支付波动相关的现金流量风险，但是管理层认为该政策实现了这些风险之间的合理平衡。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w:t>
      </w:r>
      <w:r>
        <w:rPr/>
        <w:t>个基点，则本公司的净 </w:t>
      </w:r>
      <w:r>
        <w:rPr>
          <w:spacing w:val="-2"/>
        </w:rPr>
        <w:t>利润将减少或增加</w:t>
      </w:r>
      <w:r>
        <w:rPr>
          <w:rFonts w:ascii="Times New Roman" w:hAnsi="Times New Roman" w:cs="Times New Roman" w:eastAsia="Times New Roman" w:hint="default"/>
          <w:spacing w:val="-2"/>
        </w:rPr>
        <w:t>2,145,900.29</w:t>
      </w:r>
      <w:r>
        <w:rPr>
          <w:spacing w:val="-2"/>
        </w:rPr>
        <w:t>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1,587,786.17</w:t>
      </w:r>
      <w:r>
        <w:rPr>
          <w:spacing w:val="-2"/>
        </w:rPr>
        <w:t>元）。管理层认为</w:t>
      </w:r>
      <w:r>
        <w:rPr>
          <w:rFonts w:ascii="Times New Roman" w:hAnsi="Times New Roman" w:cs="Times New Roman" w:eastAsia="Times New Roman" w:hint="default"/>
          <w:spacing w:val="-2"/>
        </w:rPr>
        <w:t>100</w:t>
      </w:r>
      <w:r>
        <w:rPr>
          <w:spacing w:val="-2"/>
        </w:rPr>
        <w:t>个基点合理反映了下一年度利率可能</w:t>
      </w:r>
      <w:r>
        <w:rPr>
          <w:spacing w:val="-36"/>
        </w:rPr>
        <w:t> </w:t>
      </w:r>
      <w:r>
        <w:rPr/>
        <w:t>发生变动的合理范围。</w:t>
      </w:r>
    </w:p>
    <w:p>
      <w:pPr>
        <w:pStyle w:val="BodyText"/>
        <w:spacing w:line="307" w:lineRule="auto" w:before="26"/>
        <w:ind w:right="0"/>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spacing w:val="-2"/>
        </w:rPr>
        <w:t>出相匹配以降低汇率风险。此外，公司还可能签署远期外汇合约或货币互换合约以达到规避汇率风险的目的。于</w:t>
      </w:r>
      <w:r>
        <w:rPr>
          <w:rFonts w:ascii="Times New Roman" w:hAnsi="Times New Roman" w:cs="Times New Roman" w:eastAsia="Times New Roman" w:hint="default"/>
          <w:spacing w:val="-2"/>
        </w:rPr>
        <w:t>2014</w:t>
      </w:r>
      <w:r>
        <w:rPr>
          <w:spacing w:val="-2"/>
        </w:rPr>
        <w:t>年度及</w:t>
      </w:r>
      <w:r>
        <w:rPr>
          <w:spacing w:val="-62"/>
        </w:rPr>
        <w:t> </w:t>
      </w:r>
      <w:r>
        <w:rPr>
          <w:rFonts w:ascii="Times New Roman" w:hAnsi="Times New Roman" w:cs="Times New Roman" w:eastAsia="Times New Roman" w:hint="default"/>
        </w:rPr>
        <w:t>2013</w:t>
      </w:r>
      <w:r>
        <w:rPr/>
        <w:t>年度，本公司未签署任何远期外汇合约或货币互换合约。 </w:t>
      </w:r>
      <w:r>
        <w:rPr>
          <w:spacing w:val="-2"/>
        </w:rPr>
        <w:t>本公司面临的汇率风险主要来源于以美元计价的金融资产和金融负债，外币金融资产和外币金融负债折算成人民币的金额列</w:t>
      </w:r>
      <w:r>
        <w:rPr>
          <w:spacing w:val="-64"/>
        </w:rPr>
        <w:t> </w:t>
      </w:r>
      <w:r>
        <w:rPr>
          <w:spacing w:val="-64"/>
        </w:rPr>
      </w:r>
      <w:r>
        <w:rPr/>
        <w:t>示如下：</w:t>
      </w:r>
    </w:p>
    <w:tbl>
      <w:tblPr>
        <w:tblW w:w="0" w:type="auto"/>
        <w:jc w:val="left"/>
        <w:tblInd w:w="816" w:type="dxa"/>
        <w:tblLayout w:type="fixed"/>
        <w:tblCellMar>
          <w:top w:w="0" w:type="dxa"/>
          <w:left w:w="0" w:type="dxa"/>
          <w:bottom w:w="0" w:type="dxa"/>
          <w:right w:w="0" w:type="dxa"/>
        </w:tblCellMar>
        <w:tblLook w:val="01E0"/>
      </w:tblPr>
      <w:tblGrid>
        <w:gridCol w:w="1883"/>
        <w:gridCol w:w="877"/>
        <w:gridCol w:w="1149"/>
        <w:gridCol w:w="862"/>
        <w:gridCol w:w="874"/>
        <w:gridCol w:w="1134"/>
        <w:gridCol w:w="882"/>
      </w:tblGrid>
      <w:tr>
        <w:trPr>
          <w:trHeight w:val="355" w:hRule="exact"/>
        </w:trPr>
        <w:tc>
          <w:tcPr>
            <w:tcW w:w="188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8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9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1883" w:type="dxa"/>
            <w:vMerge/>
            <w:tcBorders>
              <w:left w:val="single" w:sz="6" w:space="0" w:color="000000"/>
              <w:bottom w:val="single" w:sz="12" w:space="0" w:color="000000"/>
              <w:right w:val="single" w:sz="6" w:space="0" w:color="000000"/>
            </w:tcBorders>
          </w:tcPr>
          <w:p>
            <w:pPr/>
          </w:p>
        </w:tc>
        <w:tc>
          <w:tcPr>
            <w:tcW w:w="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07"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56" w:right="0"/>
              <w:jc w:val="left"/>
              <w:rPr>
                <w:rFonts w:ascii="Times New Roman" w:hAnsi="Times New Roman" w:cs="Times New Roman" w:eastAsia="Times New Roman" w:hint="default"/>
                <w:sz w:val="18"/>
                <w:szCs w:val="18"/>
              </w:rPr>
            </w:pPr>
            <w:r>
              <w:rPr>
                <w:rFonts w:ascii="Times New Roman"/>
                <w:sz w:val="18"/>
              </w:rPr>
              <w:t>15.91</w:t>
            </w:r>
          </w:p>
        </w:tc>
        <w:tc>
          <w:tcPr>
            <w:tcW w:w="1149" w:type="dxa"/>
            <w:tcBorders>
              <w:top w:val="single" w:sz="12" w:space="0" w:color="000000"/>
              <w:left w:val="single" w:sz="6" w:space="0" w:color="000000"/>
              <w:bottom w:val="single" w:sz="12" w:space="0" w:color="000000"/>
              <w:right w:val="single" w:sz="6" w:space="0" w:color="000000"/>
            </w:tcBorders>
          </w:tcPr>
          <w:p>
            <w:pP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40" w:right="0"/>
              <w:jc w:val="left"/>
              <w:rPr>
                <w:rFonts w:ascii="Times New Roman" w:hAnsi="Times New Roman" w:cs="Times New Roman" w:eastAsia="Times New Roman" w:hint="default"/>
                <w:sz w:val="18"/>
                <w:szCs w:val="18"/>
              </w:rPr>
            </w:pPr>
            <w:r>
              <w:rPr>
                <w:rFonts w:ascii="Times New Roman"/>
                <w:sz w:val="18"/>
              </w:rPr>
              <w:t>15.91</w:t>
            </w:r>
          </w:p>
        </w:tc>
        <w:tc>
          <w:tcPr>
            <w:tcW w:w="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52" w:right="0"/>
              <w:jc w:val="left"/>
              <w:rPr>
                <w:rFonts w:ascii="Times New Roman" w:hAnsi="Times New Roman" w:cs="Times New Roman" w:eastAsia="Times New Roman" w:hint="default"/>
                <w:sz w:val="18"/>
                <w:szCs w:val="18"/>
              </w:rPr>
            </w:pPr>
            <w:r>
              <w:rPr>
                <w:rFonts w:ascii="Times New Roman"/>
                <w:sz w:val="18"/>
              </w:rPr>
              <w:t>15.91</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59" w:right="0"/>
              <w:jc w:val="left"/>
              <w:rPr>
                <w:rFonts w:ascii="Times New Roman" w:hAnsi="Times New Roman" w:cs="Times New Roman" w:eastAsia="Times New Roman" w:hint="default"/>
                <w:sz w:val="18"/>
                <w:szCs w:val="18"/>
              </w:rPr>
            </w:pPr>
            <w:r>
              <w:rPr>
                <w:rFonts w:ascii="Times New Roman"/>
                <w:sz w:val="18"/>
              </w:rPr>
              <w:t>15.91</w:t>
            </w:r>
          </w:p>
        </w:tc>
      </w:tr>
    </w:tbl>
    <w:p>
      <w:pPr>
        <w:pStyle w:val="BodyText"/>
        <w:spacing w:line="300" w:lineRule="auto" w:before="26"/>
        <w:ind w:right="0"/>
        <w:jc w:val="left"/>
      </w:pPr>
      <w:r>
        <w:rPr>
          <w:spacing w:val="-1"/>
        </w:rPr>
        <w:t>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日，在所有其他变量保持不变的情况下，如果人民币对美元升值或贬值</w:t>
      </w:r>
      <w:r>
        <w:rPr>
          <w:rFonts w:ascii="Times New Roman" w:hAnsi="Times New Roman" w:cs="Times New Roman" w:eastAsia="Times New Roman" w:hint="default"/>
          <w:spacing w:val="-1"/>
        </w:rPr>
        <w:t>5%</w:t>
      </w:r>
      <w:r>
        <w:rPr>
          <w:spacing w:val="-1"/>
        </w:rPr>
        <w:t>，则公司将增加或减少净利润</w:t>
      </w:r>
      <w:r>
        <w:rPr>
          <w:rFonts w:ascii="Times New Roman" w:hAnsi="Times New Roman" w:cs="Times New Roman" w:eastAsia="Times New Roman" w:hint="default"/>
          <w:spacing w:val="-1"/>
        </w:rPr>
        <w:t>0.8</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0.8</w:t>
      </w:r>
      <w:r>
        <w:rPr/>
        <w:t>元）。管理层认为</w:t>
      </w:r>
      <w:r>
        <w:rPr>
          <w:rFonts w:ascii="Times New Roman" w:hAnsi="Times New Roman" w:cs="Times New Roman" w:eastAsia="Times New Roman" w:hint="default"/>
        </w:rPr>
        <w:t>5%</w:t>
      </w:r>
      <w:r>
        <w:rPr/>
        <w:t>合理反映了下一年度人民币对美元可能发生变动的合理范围。</w:t>
      </w:r>
    </w:p>
    <w:p>
      <w:pPr>
        <w:pStyle w:val="BodyText"/>
        <w:spacing w:line="309" w:lineRule="auto" w:before="13"/>
        <w:ind w:right="6532"/>
        <w:jc w:val="left"/>
      </w:pPr>
      <w:r>
        <w:rPr/>
        <w:t>（</w:t>
      </w:r>
      <w:r>
        <w:rPr>
          <w:rFonts w:ascii="Times New Roman" w:hAnsi="Times New Roman" w:cs="Times New Roman" w:eastAsia="Times New Roman" w:hint="default"/>
        </w:rPr>
        <w:t>3</w:t>
      </w:r>
      <w:r>
        <w:rPr/>
        <w:t>）其他价格风险 本公司未持有其他上市公司的权益投资。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t>流动性风险</w:t>
      </w:r>
    </w:p>
    <w:p>
      <w:pPr>
        <w:pStyle w:val="BodyText"/>
        <w:spacing w:line="312" w:lineRule="auto" w:before="5"/>
        <w:ind w:right="0"/>
        <w:jc w:val="left"/>
      </w:pP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6"/>
        </w:rPr>
        <w:t> </w:t>
      </w:r>
      <w:r>
        <w:rPr>
          <w:spacing w:val="-66"/>
        </w:rPr>
      </w:r>
      <w:r>
        <w:rPr/>
        <w:t>券以及对未来</w:t>
      </w:r>
      <w:r>
        <w:rPr>
          <w:rFonts w:ascii="Times New Roman" w:hAnsi="Times New Roman" w:cs="Times New Roman" w:eastAsia="Times New Roman" w:hint="default"/>
        </w:rPr>
        <w:t>12</w:t>
      </w:r>
      <w:r>
        <w:rPr/>
        <w:t>个月现金流量的滚动预测，确保公司在所有合理预测的情况下拥有充足的资金偿还债务。 本公司各项金融负债以未折现的合同现金流量按到期日列示如下：</w:t>
      </w:r>
    </w:p>
    <w:tbl>
      <w:tblPr>
        <w:tblW w:w="0" w:type="auto"/>
        <w:jc w:val="left"/>
        <w:tblInd w:w="146" w:type="dxa"/>
        <w:tblLayout w:type="fixed"/>
        <w:tblCellMar>
          <w:top w:w="0" w:type="dxa"/>
          <w:left w:w="0" w:type="dxa"/>
          <w:bottom w:w="0" w:type="dxa"/>
          <w:right w:w="0" w:type="dxa"/>
        </w:tblCellMar>
        <w:tblLook w:val="01E0"/>
      </w:tblPr>
      <w:tblGrid>
        <w:gridCol w:w="1420"/>
        <w:gridCol w:w="7796"/>
      </w:tblGrid>
      <w:tr>
        <w:trPr>
          <w:trHeight w:val="355" w:hRule="exact"/>
        </w:trPr>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20"/>
        <w:gridCol w:w="1416"/>
        <w:gridCol w:w="1419"/>
        <w:gridCol w:w="1276"/>
        <w:gridCol w:w="1134"/>
        <w:gridCol w:w="1134"/>
        <w:gridCol w:w="1417"/>
      </w:tblGrid>
      <w:tr>
        <w:trPr>
          <w:trHeight w:val="355" w:hRule="exact"/>
        </w:trPr>
        <w:tc>
          <w:tcPr>
            <w:tcW w:w="1420"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个月</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宋体" w:hAnsi="宋体" w:cs="宋体" w:eastAsia="宋体" w:hint="default"/>
                <w:sz w:val="18"/>
                <w:szCs w:val="18"/>
              </w:rPr>
              <w:t>个月</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234,000,000.00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154,900,000.00</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388,900,000.00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6,861,341.07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8,266,585.55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1,610,447.51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95" w:right="0"/>
              <w:jc w:val="left"/>
              <w:rPr>
                <w:rFonts w:ascii="Times New Roman" w:hAnsi="Times New Roman" w:cs="Times New Roman" w:eastAsia="Times New Roman" w:hint="default"/>
                <w:sz w:val="18"/>
                <w:szCs w:val="18"/>
              </w:rPr>
            </w:pPr>
            <w:r>
              <w:rPr>
                <w:rFonts w:ascii="Times New Roman"/>
                <w:sz w:val="18"/>
              </w:rPr>
              <w:t>37,511.82</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16,775,885.95</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732,011.22</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1,237,284.09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98,305.02</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2,067,600.33</w:t>
            </w:r>
          </w:p>
        </w:tc>
      </w:tr>
      <w:tr>
        <w:trPr>
          <w:trHeight w:val="664"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内</w:t>
            </w:r>
            <w:r>
              <w:rPr>
                <w:rFonts w:ascii="宋体" w:hAnsi="宋体" w:cs="宋体" w:eastAsia="宋体" w:hint="default"/>
                <w:spacing w:val="-68"/>
                <w:sz w:val="18"/>
                <w:szCs w:val="18"/>
              </w:rPr>
              <w:t> </w:t>
            </w:r>
            <w:r>
              <w:rPr>
                <w:rFonts w:ascii="宋体" w:hAnsi="宋体" w:cs="宋体" w:eastAsia="宋体" w:hint="default"/>
                <w:sz w:val="18"/>
                <w:szCs w:val="18"/>
              </w:rPr>
              <w:t>到</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30,930,000.00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31,000,000.00</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61,930,000.00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317,523,352.29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195,403,869.64</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1,708,752.53</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95" w:right="0"/>
              <w:jc w:val="left"/>
              <w:rPr>
                <w:rFonts w:ascii="Times New Roman" w:hAnsi="Times New Roman" w:cs="Times New Roman" w:eastAsia="Times New Roman" w:hint="default"/>
                <w:sz w:val="18"/>
                <w:szCs w:val="18"/>
              </w:rPr>
            </w:pPr>
            <w:r>
              <w:rPr>
                <w:rFonts w:ascii="Times New Roman"/>
                <w:sz w:val="18"/>
              </w:rPr>
              <w:t>37,511.82</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514,673,486.28</w:t>
            </w:r>
          </w:p>
        </w:tc>
      </w:tr>
      <w:tr>
        <w:trPr>
          <w:trHeight w:val="353" w:hRule="exact"/>
        </w:trPr>
        <w:tc>
          <w:tcPr>
            <w:tcW w:w="1420"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96" w:type="dxa"/>
            <w:gridSpan w:val="6"/>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1420"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个月</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宋体" w:hAnsi="宋体" w:cs="宋体" w:eastAsia="宋体" w:hint="default"/>
                <w:sz w:val="18"/>
                <w:szCs w:val="18"/>
              </w:rPr>
              <w:t>个月</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155,000,000.00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55,937,018.00</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210,937,018.00</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14,529,968.00</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14,529,968.00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28,563,123.85</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6,702,330.09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793,356.28</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36,058,810.22</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1,269,725.95</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1,750,450.66</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3,020,176.61</w:t>
            </w:r>
          </w:p>
        </w:tc>
      </w:tr>
      <w:tr>
        <w:trPr>
          <w:trHeight w:val="665"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内</w:t>
            </w:r>
            <w:r>
              <w:rPr>
                <w:rFonts w:ascii="宋体" w:hAnsi="宋体" w:cs="宋体" w:eastAsia="宋体" w:hint="default"/>
                <w:spacing w:val="-68"/>
                <w:sz w:val="18"/>
                <w:szCs w:val="18"/>
              </w:rPr>
              <w:t> </w:t>
            </w:r>
            <w:r>
              <w:rPr>
                <w:rFonts w:ascii="宋体" w:hAnsi="宋体" w:cs="宋体" w:eastAsia="宋体" w:hint="default"/>
                <w:sz w:val="18"/>
                <w:szCs w:val="18"/>
              </w:rPr>
              <w:t>到</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16,960,000.00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4,480,000.00</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21,440,000.00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216,322,817.80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68,869,798.75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793,356.28</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285,985,972.83</w:t>
            </w:r>
          </w:p>
        </w:tc>
      </w:tr>
    </w:tbl>
    <w:p>
      <w:pPr>
        <w:spacing w:line="240" w:lineRule="auto" w:before="2"/>
        <w:rPr>
          <w:rFonts w:ascii="宋体" w:hAnsi="宋体" w:cs="宋体" w:eastAsia="宋体" w:hint="default"/>
          <w:sz w:val="18"/>
          <w:szCs w:val="18"/>
        </w:rPr>
      </w:pPr>
    </w:p>
    <w:p>
      <w:pPr>
        <w:spacing w:line="506" w:lineRule="auto" w:before="26"/>
        <w:ind w:left="154" w:right="5452" w:firstLine="0"/>
        <w:jc w:val="left"/>
        <w:rPr>
          <w:rFonts w:ascii="宋体" w:hAnsi="宋体" w:cs="宋体" w:eastAsia="宋体" w:hint="default"/>
          <w:sz w:val="18"/>
          <w:szCs w:val="18"/>
        </w:rPr>
      </w:pP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p>
    <w:p>
      <w:pPr>
        <w:pStyle w:val="Heading3"/>
        <w:spacing w:line="240" w:lineRule="auto" w:before="150"/>
        <w:ind w:right="0"/>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312"/>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本公司投资的其他企业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陈友、陈鲁康、李谦益、汪东升、俞虹、谢晓宾、杨文庆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周发军、梁凌琳、易绚雯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梁金华、郑飞、盛宝军、杜庆山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陈秀琴、林容、邹立文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其他高管</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3" w:right="0"/>
              <w:jc w:val="left"/>
              <w:rPr>
                <w:rFonts w:ascii="Times New Roman" w:hAnsi="Times New Roman" w:cs="Times New Roman" w:eastAsia="Times New Roman" w:hint="default"/>
                <w:sz w:val="18"/>
                <w:szCs w:val="18"/>
              </w:rPr>
            </w:pPr>
            <w:r>
              <w:rPr>
                <w:rFonts w:ascii="Times New Roman"/>
                <w:sz w:val="18"/>
              </w:rPr>
              <w:t>698,113.21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2,792,452.84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中国电信宽带自服务客户端 应用软件开发服务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2,896,419.00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252,654.78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系统建设工程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849,056.60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关联担保情况说明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6,906,100.00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8,133,800.00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广州天源信息科技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594,339.62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17,830.19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深圳市汇巨信息技 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255,484.97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7,664.55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878,091.00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1,138,587.00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深圳市汇巨信息技术有限公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194,691.44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1,426,716.15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8,234.35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2"/>
        <w:jc w:val="left"/>
        <w:rPr>
          <w:b w:val="0"/>
          <w:bCs w:val="0"/>
        </w:rPr>
      </w:pP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3,533,400.00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191,700.00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92"/>
        <w:jc w:val="left"/>
      </w:pPr>
      <w:r>
        <w:rPr/>
        <w:t>其他说明</w:t>
      </w:r>
    </w:p>
    <w:p>
      <w:pPr>
        <w:pStyle w:val="BodyText"/>
        <w:spacing w:line="300" w:lineRule="auto" w:before="116"/>
        <w:ind w:right="92"/>
        <w:jc w:val="left"/>
      </w:pPr>
      <w:r>
        <w:rPr>
          <w:rFonts w:ascii="Times New Roman" w:hAnsi="Times New Roman" w:cs="Times New Roman" w:eastAsia="Times New Roman" w:hint="default"/>
        </w:rPr>
        <w:t>1</w:t>
      </w:r>
      <w:r>
        <w:rPr/>
        <w:t>、股票期权激励计划的基本情况 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日分别召开的公司</w:t>
      </w:r>
      <w:r>
        <w:rPr>
          <w:rFonts w:ascii="Times New Roman" w:hAnsi="Times New Roman" w:cs="Times New Roman" w:eastAsia="Times New Roman" w:hint="default"/>
        </w:rPr>
        <w:t>2011</w:t>
      </w:r>
      <w:r>
        <w:rPr/>
        <w:t>年第三次临时股东大会及第二届董事会第十五次会议审议通过， 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日为授予日，通过定向增发的形式对公司的部分董事、高级管理人员以及公司董事会认为需要进行激励 的中层管理人员、核心技术及业务人员共</w:t>
      </w:r>
      <w:r>
        <w:rPr>
          <w:rFonts w:ascii="Times New Roman" w:hAnsi="Times New Roman" w:cs="Times New Roman" w:eastAsia="Times New Roman" w:hint="default"/>
        </w:rPr>
        <w:t>106</w:t>
      </w:r>
      <w:r>
        <w:rPr/>
        <w:t>位人员实施股票期权激励计划。根据该计划，授予激励对象公司股份</w:t>
      </w:r>
      <w:r>
        <w:rPr>
          <w:rFonts w:ascii="Times New Roman" w:hAnsi="Times New Roman" w:cs="Times New Roman" w:eastAsia="Times New Roman" w:hint="default"/>
        </w:rPr>
        <w:t>5,200,000 </w:t>
      </w:r>
      <w:r>
        <w:rPr/>
        <w:t>股，授予价格为</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 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日召开第二届董事会第二十次会议审议通过，对首次授予股票期权的行权价格进行调整，行权价格将从 原股票期权激励计划草案中确定的</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股调整到</w:t>
      </w:r>
      <w:r>
        <w:rPr>
          <w:rFonts w:ascii="Times New Roman" w:hAnsi="Times New Roman" w:cs="Times New Roman" w:eastAsia="Times New Roman" w:hint="default"/>
        </w:rPr>
        <w:t>13.42</w:t>
      </w:r>
      <w:r>
        <w:rPr/>
        <w:t>元</w:t>
      </w:r>
      <w:r>
        <w:rPr>
          <w:rFonts w:ascii="Times New Roman" w:hAnsi="Times New Roman" w:cs="Times New Roman" w:eastAsia="Times New Roman" w:hint="default"/>
        </w:rPr>
        <w:t>/</w:t>
      </w:r>
      <w:r>
        <w:rPr/>
        <w:t>股，锁定期</w:t>
      </w:r>
      <w:r>
        <w:rPr>
          <w:rFonts w:ascii="Times New Roman" w:hAnsi="Times New Roman" w:cs="Times New Roman" w:eastAsia="Times New Roman" w:hint="default"/>
        </w:rPr>
        <w:t>3</w:t>
      </w:r>
      <w:r>
        <w:rPr/>
        <w:t>年，分别为自授予日起</w:t>
      </w:r>
      <w:r>
        <w:rPr>
          <w:rFonts w:ascii="Times New Roman" w:hAnsi="Times New Roman" w:cs="Times New Roman" w:eastAsia="Times New Roman" w:hint="default"/>
        </w:rPr>
        <w:t>12</w:t>
      </w:r>
      <w:r>
        <w:rPr/>
        <w:t>个月、自授予日起</w:t>
      </w:r>
      <w:r>
        <w:rPr>
          <w:rFonts w:ascii="Times New Roman" w:hAnsi="Times New Roman" w:cs="Times New Roman" w:eastAsia="Times New Roman" w:hint="default"/>
        </w:rPr>
        <w:t>24</w:t>
      </w:r>
      <w:r>
        <w:rPr/>
        <w:t>个月</w:t>
      </w:r>
      <w:r>
        <w:rPr>
          <w:spacing w:val="1"/>
        </w:rPr>
        <w:t> </w:t>
      </w:r>
      <w:r>
        <w:rPr/>
        <w:t>以及自授予日起</w:t>
      </w:r>
      <w:r>
        <w:rPr>
          <w:rFonts w:ascii="Times New Roman" w:hAnsi="Times New Roman" w:cs="Times New Roman" w:eastAsia="Times New Roman" w:hint="default"/>
        </w:rPr>
        <w:t>36</w:t>
      </w:r>
      <w:r>
        <w:rPr/>
        <w:t>个月。 经公司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日召开第二届董事会第二十三次会议审议通过《关于调整公司股票期权激励计划首次授予对象名单的议 案》，确定将激励对象人数调整为</w:t>
      </w:r>
      <w:r>
        <w:rPr>
          <w:rFonts w:ascii="Times New Roman" w:hAnsi="Times New Roman" w:cs="Times New Roman" w:eastAsia="Times New Roman" w:hint="default"/>
        </w:rPr>
        <w:t>101</w:t>
      </w:r>
      <w:r>
        <w:rPr/>
        <w:t>人，行权数量调整为</w:t>
      </w:r>
      <w:r>
        <w:rPr>
          <w:rFonts w:ascii="Times New Roman" w:hAnsi="Times New Roman" w:cs="Times New Roman" w:eastAsia="Times New Roman" w:hint="default"/>
        </w:rPr>
        <w:t>507.7</w:t>
      </w:r>
      <w:r>
        <w:rPr/>
        <w:t>万股。 </w:t>
      </w:r>
      <w:r>
        <w:rPr>
          <w:spacing w:val="-5"/>
        </w:rPr>
        <w:t>经公司</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7</w:t>
      </w:r>
      <w:r>
        <w:rPr>
          <w:spacing w:val="-5"/>
        </w:rPr>
        <w:t>日召开第三届董事会第二次会议审议通过《关于调整股票期权行权价格及行权数量的议案》，根据公司</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9"/>
        </w:rPr>
        <w:t> </w:t>
      </w:r>
      <w:r>
        <w:rPr/>
        <w:t>年度利润分配方案的实施，将行权价格从</w:t>
      </w:r>
      <w:r>
        <w:rPr>
          <w:rFonts w:ascii="Times New Roman" w:hAnsi="Times New Roman" w:cs="Times New Roman" w:eastAsia="Times New Roman" w:hint="default"/>
        </w:rPr>
        <w:t>13.42</w:t>
      </w:r>
      <w:r>
        <w:rPr/>
        <w:t>元调整到</w:t>
      </w:r>
      <w:r>
        <w:rPr>
          <w:rFonts w:ascii="Times New Roman" w:hAnsi="Times New Roman" w:cs="Times New Roman" w:eastAsia="Times New Roman" w:hint="default"/>
        </w:rPr>
        <w:t>6.61</w:t>
      </w:r>
      <w:r>
        <w:rPr/>
        <w:t>元，行权数量从</w:t>
      </w:r>
      <w:r>
        <w:rPr>
          <w:rFonts w:ascii="Times New Roman" w:hAnsi="Times New Roman" w:cs="Times New Roman" w:eastAsia="Times New Roman" w:hint="default"/>
        </w:rPr>
        <w:t>507.7</w:t>
      </w:r>
      <w:r>
        <w:rPr/>
        <w:t>万股调整到</w:t>
      </w:r>
      <w:r>
        <w:rPr>
          <w:rFonts w:ascii="Times New Roman" w:hAnsi="Times New Roman" w:cs="Times New Roman" w:eastAsia="Times New Roman" w:hint="default"/>
        </w:rPr>
        <w:t>1,015.4</w:t>
      </w:r>
      <w:r>
        <w:rPr/>
        <w:t>万股。 经公司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日召开第三届董事会第七次会议审议通过《关于调整公司股票期权激励计划首次授予对象名单的议案》、</w:t>
      </w:r>
    </w:p>
    <w:p>
      <w:pPr>
        <w:pStyle w:val="BodyText"/>
        <w:spacing w:line="307" w:lineRule="auto" w:before="13"/>
        <w:ind w:right="98"/>
        <w:jc w:val="left"/>
      </w:pPr>
      <w:r>
        <w:rPr>
          <w:spacing w:val="-2"/>
        </w:rPr>
        <w:t>《关于对首期股票期权激励计划部分已授予股权进行统一注销的议案》及《关于股票期权激励计划首期授予的股票期权第二</w:t>
      </w:r>
      <w:r>
        <w:rPr>
          <w:spacing w:val="-64"/>
        </w:rPr>
        <w:t> </w:t>
      </w:r>
      <w:r>
        <w:rPr>
          <w:spacing w:val="-64"/>
        </w:rPr>
      </w:r>
      <w:r>
        <w:rPr>
          <w:spacing w:val="-3"/>
        </w:rPr>
        <w:t>个行权期可行权的议案》，将激励对象人数调整为</w:t>
      </w:r>
      <w:r>
        <w:rPr>
          <w:rFonts w:ascii="Times New Roman" w:hAnsi="Times New Roman" w:cs="Times New Roman" w:eastAsia="Times New Roman" w:hint="default"/>
          <w:spacing w:val="-3"/>
        </w:rPr>
        <w:t>100</w:t>
      </w:r>
      <w:r>
        <w:rPr>
          <w:spacing w:val="-3"/>
        </w:rPr>
        <w:t>人，行权数量调整为</w:t>
      </w:r>
      <w:r>
        <w:rPr>
          <w:rFonts w:ascii="Times New Roman" w:hAnsi="Times New Roman" w:cs="Times New Roman" w:eastAsia="Times New Roman" w:hint="default"/>
          <w:spacing w:val="-3"/>
        </w:rPr>
        <w:t>1,013</w:t>
      </w:r>
      <w:r>
        <w:rPr>
          <w:spacing w:val="-3"/>
        </w:rPr>
        <w:t>万份，统一注销已授予的股票期权</w:t>
      </w:r>
      <w:r>
        <w:rPr>
          <w:rFonts w:ascii="Times New Roman" w:hAnsi="Times New Roman" w:cs="Times New Roman" w:eastAsia="Times New Roman" w:hint="default"/>
          <w:spacing w:val="-3"/>
        </w:rPr>
        <w:t>41.25</w:t>
      </w:r>
      <w:r>
        <w:rPr>
          <w:spacing w:val="-3"/>
        </w:rPr>
        <w:t>万份，</w:t>
      </w:r>
      <w:r>
        <w:rPr>
          <w:spacing w:val="-80"/>
        </w:rPr>
        <w:t> </w:t>
      </w:r>
      <w:r>
        <w:rPr/>
        <w:t>并同意</w:t>
      </w:r>
      <w:r>
        <w:rPr>
          <w:rFonts w:ascii="Times New Roman" w:hAnsi="Times New Roman" w:cs="Times New Roman" w:eastAsia="Times New Roman" w:hint="default"/>
        </w:rPr>
        <w:t>100</w:t>
      </w:r>
      <w:r>
        <w:rPr/>
        <w:t>名符合条件的激励对象在第二个行权期内行权。 经公司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日召开第三届董事会第九次会议审议通过《关于调整股票期权行权价格的议案》，根据公司</w:t>
      </w:r>
      <w:r>
        <w:rPr>
          <w:rFonts w:ascii="Times New Roman" w:hAnsi="Times New Roman" w:cs="Times New Roman" w:eastAsia="Times New Roman" w:hint="default"/>
        </w:rPr>
        <w:t>2013</w:t>
      </w:r>
      <w:r>
        <w:rPr/>
        <w:t>年度利 润分配方案的实施，将行权价格从</w:t>
      </w:r>
      <w:r>
        <w:rPr>
          <w:rFonts w:ascii="Times New Roman" w:hAnsi="Times New Roman" w:cs="Times New Roman" w:eastAsia="Times New Roman" w:hint="default"/>
        </w:rPr>
        <w:t>6.61</w:t>
      </w:r>
      <w:r>
        <w:rPr/>
        <w:t>元调整到</w:t>
      </w:r>
      <w:r>
        <w:rPr>
          <w:rFonts w:ascii="Times New Roman" w:hAnsi="Times New Roman" w:cs="Times New Roman" w:eastAsia="Times New Roman" w:hint="default"/>
        </w:rPr>
        <w:t>6.575</w:t>
      </w:r>
      <w:r>
        <w:rPr/>
        <w:t>元。 </w:t>
      </w:r>
      <w:r>
        <w:rPr>
          <w:spacing w:val="-2"/>
        </w:rPr>
        <w:t>若达到股票期权激励计划规定的股票期权的解锁条件，各个锁定期满后激励对象可分别解锁（或由公司回购注销）占其获授</w:t>
      </w:r>
      <w:r>
        <w:rPr>
          <w:spacing w:val="-66"/>
        </w:rPr>
        <w:t> </w:t>
      </w:r>
      <w:r>
        <w:rPr>
          <w:spacing w:val="-66"/>
        </w:rPr>
      </w:r>
      <w:r>
        <w:rPr/>
        <w:t>总数</w:t>
      </w:r>
      <w:r>
        <w:rPr>
          <w:rFonts w:ascii="Times New Roman" w:hAnsi="Times New Roman" w:cs="Times New Roman" w:eastAsia="Times New Roman" w:hint="default"/>
        </w:rPr>
        <w:t>20%</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45%</w:t>
      </w:r>
      <w:r>
        <w:rPr/>
        <w:t>的股票期权。</w:t>
      </w:r>
    </w:p>
    <w:p>
      <w:pPr>
        <w:pStyle w:val="BodyText"/>
        <w:spacing w:line="240" w:lineRule="auto" w:before="7"/>
        <w:ind w:right="92"/>
        <w:jc w:val="left"/>
      </w:pPr>
      <w:r>
        <w:rPr>
          <w:rFonts w:ascii="Times New Roman" w:hAnsi="Times New Roman" w:cs="Times New Roman" w:eastAsia="Times New Roman" w:hint="default"/>
        </w:rPr>
        <w:t>2</w:t>
      </w:r>
      <w:r>
        <w:rPr/>
        <w:t>、其他情况</w:t>
      </w:r>
    </w:p>
    <w:p>
      <w:pPr>
        <w:pStyle w:val="BodyText"/>
        <w:spacing w:line="307" w:lineRule="auto" w:before="63"/>
        <w:ind w:right="92"/>
        <w:jc w:val="left"/>
      </w:pPr>
      <w:r>
        <w:rPr/>
        <w:t>（</w:t>
      </w:r>
      <w:r>
        <w:rPr>
          <w:rFonts w:ascii="Times New Roman" w:hAnsi="Times New Roman" w:cs="Times New Roman" w:eastAsia="Times New Roman" w:hint="default"/>
        </w:rPr>
        <w:t>1</w:t>
      </w:r>
      <w:r>
        <w:rPr/>
        <w:t>）主要行权条件 在本股票期权激励计划有效期内，以</w:t>
      </w:r>
      <w:r>
        <w:rPr>
          <w:rFonts w:ascii="Times New Roman" w:hAnsi="Times New Roman" w:cs="Times New Roman" w:eastAsia="Times New Roman" w:hint="default"/>
        </w:rPr>
        <w:t>2010</w:t>
      </w:r>
      <w:r>
        <w:rPr/>
        <w:t>年净利润为基数，</w:t>
      </w:r>
      <w:r>
        <w:rPr>
          <w:rFonts w:ascii="Times New Roman" w:hAnsi="Times New Roman" w:cs="Times New Roman" w:eastAsia="Times New Roman" w:hint="default"/>
        </w:rPr>
        <w:t>2011</w:t>
      </w:r>
      <w:r>
        <w:rPr/>
        <w:t>至</w:t>
      </w:r>
      <w:r>
        <w:rPr>
          <w:rFonts w:ascii="Times New Roman" w:hAnsi="Times New Roman" w:cs="Times New Roman" w:eastAsia="Times New Roman" w:hint="default"/>
        </w:rPr>
        <w:t>2013</w:t>
      </w:r>
      <w:r>
        <w:rPr/>
        <w:t>年相对于</w:t>
      </w:r>
      <w:r>
        <w:rPr>
          <w:rFonts w:ascii="Times New Roman" w:hAnsi="Times New Roman" w:cs="Times New Roman" w:eastAsia="Times New Roman" w:hint="default"/>
        </w:rPr>
        <w:t>2010</w:t>
      </w:r>
      <w:r>
        <w:rPr/>
        <w:t>年的净利润增长率分别不低于</w:t>
      </w:r>
      <w:r>
        <w:rPr>
          <w:rFonts w:ascii="Times New Roman" w:hAnsi="Times New Roman" w:cs="Times New Roman" w:eastAsia="Times New Roman" w:hint="default"/>
        </w:rPr>
        <w:t>25%</w:t>
      </w:r>
      <w:r>
        <w:rPr/>
        <w:t>、 </w:t>
      </w:r>
      <w:r>
        <w:rPr>
          <w:rFonts w:ascii="Times New Roman" w:hAnsi="Times New Roman" w:cs="Times New Roman" w:eastAsia="Times New Roman" w:hint="default"/>
        </w:rPr>
        <w:t>57%</w:t>
      </w:r>
      <w:r>
        <w:rPr/>
        <w:t>、</w:t>
      </w:r>
      <w:r>
        <w:rPr>
          <w:rFonts w:ascii="Times New Roman" w:hAnsi="Times New Roman" w:cs="Times New Roman" w:eastAsia="Times New Roman" w:hint="default"/>
        </w:rPr>
        <w:t>96%</w:t>
      </w:r>
      <w:r>
        <w:rPr/>
        <w:t>，净资产收益率不低于</w:t>
      </w:r>
      <w:r>
        <w:rPr>
          <w:rFonts w:ascii="Times New Roman" w:hAnsi="Times New Roman" w:cs="Times New Roman" w:eastAsia="Times New Roman" w:hint="default"/>
        </w:rPr>
        <w:t>7.5%</w:t>
      </w:r>
      <w:r>
        <w:rPr/>
        <w:t>、</w:t>
      </w:r>
      <w:r>
        <w:rPr>
          <w:rFonts w:ascii="Times New Roman" w:hAnsi="Times New Roman" w:cs="Times New Roman" w:eastAsia="Times New Roman" w:hint="default"/>
        </w:rPr>
        <w:t>8.8%</w:t>
      </w:r>
      <w:r>
        <w:rPr/>
        <w:t>、</w:t>
      </w:r>
      <w:r>
        <w:rPr>
          <w:rFonts w:ascii="Times New Roman" w:hAnsi="Times New Roman" w:cs="Times New Roman" w:eastAsia="Times New Roman" w:hint="default"/>
        </w:rPr>
        <w:t>10.2%</w:t>
      </w:r>
      <w:r>
        <w:rPr/>
        <w:t>。以上假设行权时对应年报已出，如行权时对应年报未出，则激励对 象须等待对应年报出具时方可行权。 </w:t>
      </w:r>
      <w:r>
        <w:rPr>
          <w:spacing w:val="-2"/>
        </w:rPr>
        <w:t>本计划计算业绩指标所用的净利润为合并报表口径归属于上市公司股东的净利润，并以扣除非经常性损益前后的孰低值为计</w:t>
      </w:r>
      <w:r>
        <w:rPr>
          <w:spacing w:val="-64"/>
        </w:rPr>
        <w:t> </w:t>
      </w:r>
      <w:r>
        <w:rPr>
          <w:spacing w:val="-64"/>
        </w:rPr>
      </w:r>
      <w:r>
        <w:rPr/>
        <w:t>算依据，净资产收益率为加权平均净资产收益率。</w:t>
      </w:r>
    </w:p>
    <w:p>
      <w:pPr>
        <w:spacing w:after="0" w:line="307"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4" w:lineRule="auto" w:before="44"/>
        <w:ind w:right="102"/>
        <w:jc w:val="left"/>
      </w:pPr>
      <w:r>
        <w:rPr/>
        <w:t>（</w:t>
      </w:r>
      <w:r>
        <w:rPr>
          <w:rFonts w:ascii="Times New Roman" w:hAnsi="Times New Roman" w:cs="Times New Roman" w:eastAsia="Times New Roman" w:hint="default"/>
        </w:rPr>
        <w:t>2</w:t>
      </w:r>
      <w:r>
        <w:rPr/>
        <w:t>）期权价值的计算方法 </w:t>
      </w:r>
      <w:r>
        <w:rPr>
          <w:spacing w:val="-2"/>
        </w:rPr>
        <w:t>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金融工具确认和计量》中关于公允价值确定的相关规定，需要选择适当的估值模型对股票期</w:t>
      </w:r>
      <w:r>
        <w:rPr>
          <w:spacing w:val="-64"/>
        </w:rPr>
        <w:t> </w:t>
      </w:r>
      <w:r>
        <w:rPr>
          <w:spacing w:val="-64"/>
        </w:rPr>
      </w:r>
      <w:r>
        <w:rPr>
          <w:spacing w:val="-2"/>
        </w:rPr>
        <w:t>权的公允价值进行计算。股票期权的价值指的是股票期权价格中反映行权价格与市场价格之间的关系的那部分价值，即一定</w:t>
      </w:r>
      <w:r>
        <w:rPr>
          <w:spacing w:val="-64"/>
        </w:rPr>
        <w:t> </w:t>
      </w:r>
      <w:r>
        <w:rPr>
          <w:spacing w:val="-64"/>
        </w:rPr>
      </w:r>
      <w:r>
        <w:rPr/>
        <w:t>时期内股票价格波动因素与期权收益的内在联系。公司采用国际通行的</w:t>
      </w:r>
      <w:r>
        <w:rPr>
          <w:rFonts w:ascii="Times New Roman" w:hAnsi="Times New Roman" w:cs="Times New Roman" w:eastAsia="Times New Roman" w:hint="default"/>
        </w:rPr>
        <w:t>Black-Scholes</w:t>
      </w:r>
      <w:r>
        <w:rPr/>
        <w:t>模型计算公司股票期权的价值，具体计 算公式如下：</w:t>
      </w:r>
    </w:p>
    <w:p>
      <w:pPr>
        <w:spacing w:line="240" w:lineRule="auto" w:before="6"/>
        <w:rPr>
          <w:rFonts w:ascii="宋体" w:hAnsi="宋体" w:cs="宋体" w:eastAsia="宋体" w:hint="default"/>
          <w:sz w:val="3"/>
          <w:szCs w:val="3"/>
        </w:rPr>
      </w:pPr>
    </w:p>
    <w:p>
      <w:pPr>
        <w:spacing w:line="1815" w:lineRule="exact"/>
        <w:ind w:left="15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5524500" cy="115252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5524500" cy="1152525"/>
                    </a:xfrm>
                    <a:prstGeom prst="rect">
                      <a:avLst/>
                    </a:prstGeom>
                  </pic:spPr>
                </pic:pic>
              </a:graphicData>
            </a:graphic>
          </wp:inline>
        </w:drawing>
      </w:r>
      <w:r>
        <w:rPr>
          <w:rFonts w:ascii="宋体" w:hAnsi="宋体" w:cs="宋体" w:eastAsia="宋体" w:hint="default"/>
          <w:position w:val="-35"/>
          <w:sz w:val="20"/>
          <w:szCs w:val="20"/>
        </w:rPr>
      </w:r>
    </w:p>
    <w:p>
      <w:pPr>
        <w:pStyle w:val="BodyText"/>
        <w:spacing w:line="300" w:lineRule="auto" w:before="40"/>
        <w:ind w:right="90" w:firstLine="73"/>
        <w:jc w:val="left"/>
      </w:pPr>
      <w:r>
        <w:rPr>
          <w:rFonts w:ascii="Times New Roman" w:hAnsi="Times New Roman" w:cs="Times New Roman" w:eastAsia="Times New Roman" w:hint="default"/>
          <w:spacing w:val="-3"/>
        </w:rPr>
        <w:t>C</w:t>
      </w:r>
      <w:r>
        <w:rPr>
          <w:spacing w:val="-3"/>
        </w:rPr>
        <w:t>为期权的理论价值；</w:t>
      </w:r>
      <w:r>
        <w:rPr>
          <w:rFonts w:ascii="Times New Roman" w:hAnsi="Times New Roman" w:cs="Times New Roman" w:eastAsia="Times New Roman" w:hint="default"/>
          <w:spacing w:val="-3"/>
        </w:rPr>
        <w:t>S</w:t>
      </w:r>
      <w:r>
        <w:rPr>
          <w:spacing w:val="-3"/>
        </w:rPr>
        <w:t>为标的股票目前的价格；</w:t>
      </w:r>
      <w:r>
        <w:rPr>
          <w:rFonts w:ascii="Times New Roman" w:hAnsi="Times New Roman" w:cs="Times New Roman" w:eastAsia="Times New Roman" w:hint="default"/>
          <w:spacing w:val="-3"/>
        </w:rPr>
        <w:t>K</w:t>
      </w:r>
      <w:r>
        <w:rPr>
          <w:spacing w:val="-3"/>
        </w:rPr>
        <w:t>为期权的行权价格；</w:t>
      </w:r>
      <w:r>
        <w:rPr>
          <w:rFonts w:ascii="Times New Roman" w:hAnsi="Times New Roman" w:cs="Times New Roman" w:eastAsia="Times New Roman" w:hint="default"/>
          <w:spacing w:val="-3"/>
        </w:rPr>
        <w:t>Rf</w:t>
      </w:r>
      <w:r>
        <w:rPr>
          <w:spacing w:val="-3"/>
        </w:rPr>
        <w:t>为无风险收益率的连续复利率；</w:t>
      </w:r>
      <w:r>
        <w:rPr>
          <w:rFonts w:ascii="Times New Roman" w:hAnsi="Times New Roman" w:cs="Times New Roman" w:eastAsia="Times New Roman" w:hint="default"/>
          <w:spacing w:val="-3"/>
        </w:rPr>
        <w:t>T</w:t>
      </w:r>
      <w:r>
        <w:rPr>
          <w:spacing w:val="-3"/>
        </w:rPr>
        <w:t>为期权的有效期；</w:t>
      </w:r>
      <w:r>
        <w:rPr/>
        <w:t> </w:t>
      </w:r>
      <w:r>
        <w:rPr>
          <w:rFonts w:ascii="Times New Roman" w:hAnsi="Times New Roman" w:cs="Times New Roman" w:eastAsia="Times New Roman" w:hint="default"/>
        </w:rPr>
        <w:t>σ</w:t>
      </w:r>
      <w:r>
        <w:rPr/>
        <w:t>为期权标的股票价格的波动率；</w:t>
      </w:r>
      <w:r>
        <w:rPr>
          <w:rFonts w:ascii="Times New Roman" w:hAnsi="Times New Roman" w:cs="Times New Roman" w:eastAsia="Times New Roman" w:hint="default"/>
        </w:rPr>
        <w:t>N(..)</w:t>
      </w:r>
      <w:r>
        <w:rPr/>
        <w:t>是累计正态分布函数；</w:t>
      </w:r>
      <w:r>
        <w:rPr>
          <w:rFonts w:ascii="Times New Roman" w:hAnsi="Times New Roman" w:cs="Times New Roman" w:eastAsia="Times New Roman" w:hint="default"/>
        </w:rPr>
        <w:t>In(..)</w:t>
      </w:r>
      <w:r>
        <w:rPr/>
        <w:t>是自然对数函数。</w:t>
      </w:r>
    </w:p>
    <w:p>
      <w:pPr>
        <w:pStyle w:val="BodyText"/>
        <w:spacing w:line="240" w:lineRule="auto" w:before="13"/>
        <w:ind w:right="92"/>
        <w:jc w:val="left"/>
      </w:pPr>
      <w:r>
        <w:rPr>
          <w:rFonts w:ascii="Times New Roman" w:hAnsi="Times New Roman" w:cs="Times New Roman" w:eastAsia="Times New Roman" w:hint="default"/>
        </w:rPr>
        <w:t>(3)</w:t>
      </w:r>
      <w:r>
        <w:rPr/>
        <w:t>股份支付费用的估算及分摊</w:t>
      </w:r>
    </w:p>
    <w:p>
      <w:pPr>
        <w:pStyle w:val="BodyText"/>
        <w:spacing w:line="314" w:lineRule="auto" w:before="63"/>
        <w:ind w:right="92"/>
        <w:jc w:val="left"/>
      </w:pPr>
      <w:r>
        <w:rPr/>
        <w:t>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股份支付》的有关规定，公司将在等待期的每个资产负债表日，根据最新取得的可行权人数变 </w:t>
      </w:r>
      <w:r>
        <w:rPr>
          <w:spacing w:val="-2"/>
        </w:rPr>
        <w:t>动、业绩指标完成情况等后续信息，修正预计可行权的股票期权数量，并按照股票期权授权日的公允价值，将当期取得的服</w:t>
      </w:r>
      <w:r>
        <w:rPr>
          <w:spacing w:val="-66"/>
        </w:rPr>
        <w:t> </w:t>
      </w:r>
      <w:r>
        <w:rPr>
          <w:spacing w:val="-66"/>
        </w:rPr>
      </w:r>
      <w:r>
        <w:rPr/>
        <w:t>务计入相关成本或费用和资本公积。 </w:t>
      </w:r>
      <w:r>
        <w:rPr>
          <w:spacing w:val="-2"/>
        </w:rPr>
        <w:t>基于第一个行权期实际的可行权人数和期权份数的变动、实际行权情况，以及行权价格的调整等信息，并假设全部有效激励</w:t>
      </w:r>
      <w:r>
        <w:rPr>
          <w:spacing w:val="-66"/>
        </w:rPr>
        <w:t> </w:t>
      </w:r>
      <w:r>
        <w:rPr>
          <w:spacing w:val="-66"/>
        </w:rPr>
      </w:r>
      <w:r>
        <w:rPr>
          <w:spacing w:val="-2"/>
        </w:rPr>
        <w:t>对象均符合本计划规定的行权条件且在剩余行权期内全部行权，以经修正计算的每份期权价值进行测算，得出本次股权激励</w:t>
      </w:r>
      <w:r>
        <w:rPr>
          <w:spacing w:val="-64"/>
        </w:rPr>
        <w:t> </w:t>
      </w:r>
      <w:r>
        <w:rPr>
          <w:spacing w:val="-64"/>
        </w:rPr>
      </w:r>
      <w:r>
        <w:rPr/>
        <w:t>在各行权期内的费用估算如下：</w:t>
      </w:r>
    </w:p>
    <w:p>
      <w:pPr>
        <w:pStyle w:val="BodyText"/>
        <w:spacing w:line="316" w:lineRule="auto" w:before="20"/>
        <w:ind w:left="574" w:right="7757" w:hanging="420"/>
        <w:jc w:val="left"/>
        <w:rPr>
          <w:rFonts w:ascii="Times New Roman" w:hAnsi="Times New Roman" w:cs="Times New Roman" w:eastAsia="Times New Roman" w:hint="default"/>
        </w:rPr>
      </w:pPr>
      <w:r>
        <w:rPr/>
        <w:t>计算过程说明如下： 历史波动率：</w:t>
      </w:r>
      <w:r>
        <w:rPr>
          <w:rFonts w:ascii="Times New Roman" w:hAnsi="Times New Roman" w:cs="Times New Roman" w:eastAsia="Times New Roman" w:hint="default"/>
        </w:rPr>
        <w:t>37.63%</w:t>
      </w:r>
    </w:p>
    <w:p>
      <w:pPr>
        <w:pStyle w:val="BodyText"/>
        <w:spacing w:line="300" w:lineRule="auto"/>
        <w:ind w:left="574" w:right="6287"/>
        <w:jc w:val="left"/>
      </w:pPr>
      <w:r>
        <w:rPr/>
        <w:t>无风险利率：</w:t>
      </w:r>
      <w:r>
        <w:rPr>
          <w:rFonts w:ascii="Times New Roman" w:hAnsi="Times New Roman" w:cs="Times New Roman" w:eastAsia="Times New Roman" w:hint="default"/>
        </w:rPr>
        <w:t>4.88%(</w:t>
      </w:r>
      <w:r>
        <w:rPr/>
        <w:t>三年定期存款利率</w:t>
      </w:r>
      <w:r>
        <w:rPr>
          <w:rFonts w:ascii="Times New Roman" w:hAnsi="Times New Roman" w:cs="Times New Roman" w:eastAsia="Times New Roman" w:hint="default"/>
        </w:rPr>
        <w:t>) </w:t>
      </w:r>
      <w:r>
        <w:rPr/>
        <w:t>有效期限：</w:t>
      </w:r>
      <w:r>
        <w:rPr>
          <w:rFonts w:ascii="Times New Roman" w:hAnsi="Times New Roman" w:cs="Times New Roman" w:eastAsia="Times New Roman" w:hint="default"/>
        </w:rPr>
        <w:t>3</w:t>
      </w:r>
      <w:r>
        <w:rPr/>
        <w:t>年</w:t>
      </w:r>
    </w:p>
    <w:p>
      <w:pPr>
        <w:pStyle w:val="BodyText"/>
        <w:spacing w:line="300" w:lineRule="auto" w:before="13"/>
        <w:ind w:left="574" w:right="7187"/>
        <w:jc w:val="left"/>
      </w:pPr>
      <w:r>
        <w:rPr/>
        <w:t>市场股价：</w:t>
      </w:r>
      <w:r>
        <w:rPr>
          <w:rFonts w:ascii="Times New Roman" w:hAnsi="Times New Roman" w:cs="Times New Roman" w:eastAsia="Times New Roman" w:hint="default"/>
        </w:rPr>
        <w:t>10.76 </w:t>
      </w:r>
      <w:r>
        <w:rPr/>
        <w:t>修正后的行权价格：</w:t>
      </w:r>
      <w:r>
        <w:rPr>
          <w:rFonts w:ascii="Times New Roman" w:hAnsi="Times New Roman" w:cs="Times New Roman" w:eastAsia="Times New Roman" w:hint="default"/>
        </w:rPr>
        <w:t>6.575</w:t>
      </w:r>
      <w:r>
        <w:rPr/>
        <w:t>元</w:t>
      </w:r>
    </w:p>
    <w:p>
      <w:pPr>
        <w:pStyle w:val="BodyText"/>
        <w:spacing w:line="240" w:lineRule="auto" w:before="13"/>
        <w:ind w:right="92"/>
        <w:jc w:val="left"/>
      </w:pPr>
      <w:r>
        <w:rPr/>
        <w:t>通过以上数据测算，修正后的每份股票期权价值为</w:t>
      </w:r>
      <w:r>
        <w:rPr>
          <w:rFonts w:ascii="Times New Roman" w:hAnsi="Times New Roman" w:cs="Times New Roman" w:eastAsia="Times New Roman" w:hint="default"/>
        </w:rPr>
        <w:t>1.1347</w:t>
      </w:r>
      <w:r>
        <w:rPr/>
        <w:t>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64"/>
        <w:gridCol w:w="1465"/>
        <w:gridCol w:w="1466"/>
        <w:gridCol w:w="1465"/>
        <w:gridCol w:w="1464"/>
        <w:gridCol w:w="1465"/>
      </w:tblGrid>
      <w:tr>
        <w:trPr>
          <w:trHeight w:val="667" w:hRule="exact"/>
        </w:trPr>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期权份额</w:t>
            </w:r>
          </w:p>
          <w:p>
            <w:pPr>
              <w:pStyle w:val="TableParagraph"/>
              <w:spacing w:line="240" w:lineRule="auto" w:before="76"/>
              <w:ind w:left="363" w:right="0"/>
              <w:jc w:val="left"/>
              <w:rPr>
                <w:rFonts w:ascii="宋体" w:hAnsi="宋体" w:cs="宋体" w:eastAsia="宋体" w:hint="default"/>
                <w:sz w:val="18"/>
                <w:szCs w:val="18"/>
              </w:rPr>
            </w:pPr>
            <w:r>
              <w:rPr>
                <w:rFonts w:ascii="宋体" w:hAnsi="宋体" w:cs="宋体" w:eastAsia="宋体" w:hint="default"/>
                <w:sz w:val="18"/>
                <w:szCs w:val="18"/>
              </w:rPr>
              <w:t>（万份）</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期权价值</w:t>
            </w:r>
          </w:p>
          <w:p>
            <w:pPr>
              <w:pStyle w:val="TableParagraph"/>
              <w:spacing w:line="240" w:lineRule="auto" w:before="76"/>
              <w:ind w:left="45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期权成本</w:t>
            </w:r>
          </w:p>
          <w:p>
            <w:pPr>
              <w:pStyle w:val="TableParagraph"/>
              <w:spacing w:line="240" w:lineRule="auto" w:before="76"/>
              <w:ind w:left="36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52" w:hRule="exact"/>
        </w:trPr>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9,795,800.00</w:t>
            </w:r>
          </w:p>
        </w:tc>
        <w:tc>
          <w:tcPr>
            <w:tcW w:w="1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52" w:right="0"/>
              <w:jc w:val="left"/>
              <w:rPr>
                <w:rFonts w:ascii="Times New Roman" w:hAnsi="Times New Roman" w:cs="Times New Roman" w:eastAsia="Times New Roman" w:hint="default"/>
                <w:sz w:val="18"/>
                <w:szCs w:val="18"/>
              </w:rPr>
            </w:pPr>
            <w:r>
              <w:rPr>
                <w:rFonts w:ascii="Times New Roman"/>
                <w:sz w:val="18"/>
              </w:rPr>
              <w:t>1.1347</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63" w:right="0"/>
              <w:jc w:val="left"/>
              <w:rPr>
                <w:rFonts w:ascii="Times New Roman" w:hAnsi="Times New Roman" w:cs="Times New Roman" w:eastAsia="Times New Roman" w:hint="default"/>
                <w:sz w:val="18"/>
                <w:szCs w:val="18"/>
              </w:rPr>
            </w:pPr>
            <w:r>
              <w:rPr>
                <w:rFonts w:ascii="Times New Roman"/>
                <w:sz w:val="18"/>
              </w:rPr>
              <w:t>1111.54</w:t>
            </w:r>
          </w:p>
        </w:tc>
        <w:tc>
          <w:tcPr>
            <w:tcW w:w="1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52" w:right="0"/>
              <w:jc w:val="left"/>
              <w:rPr>
                <w:rFonts w:ascii="Times New Roman" w:hAnsi="Times New Roman" w:cs="Times New Roman" w:eastAsia="Times New Roman" w:hint="default"/>
                <w:sz w:val="18"/>
                <w:szCs w:val="18"/>
              </w:rPr>
            </w:pPr>
            <w:r>
              <w:rPr>
                <w:rFonts w:ascii="Times New Roman"/>
                <w:sz w:val="18"/>
              </w:rPr>
              <w:t>588.90</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52" w:right="0"/>
              <w:jc w:val="left"/>
              <w:rPr>
                <w:rFonts w:ascii="Times New Roman" w:hAnsi="Times New Roman" w:cs="Times New Roman" w:eastAsia="Times New Roman" w:hint="default"/>
                <w:sz w:val="18"/>
                <w:szCs w:val="18"/>
              </w:rPr>
            </w:pPr>
            <w:r>
              <w:rPr>
                <w:rFonts w:ascii="Times New Roman"/>
                <w:sz w:val="18"/>
              </w:rPr>
              <w:t>352.88</w:t>
            </w:r>
          </w:p>
        </w:tc>
        <w:tc>
          <w:tcPr>
            <w:tcW w:w="1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53" w:right="0"/>
              <w:jc w:val="left"/>
              <w:rPr>
                <w:rFonts w:ascii="Times New Roman" w:hAnsi="Times New Roman" w:cs="Times New Roman" w:eastAsia="Times New Roman" w:hint="default"/>
                <w:sz w:val="18"/>
                <w:szCs w:val="18"/>
              </w:rPr>
            </w:pPr>
            <w:r>
              <w:rPr>
                <w:rFonts w:ascii="Times New Roman"/>
                <w:sz w:val="18"/>
              </w:rPr>
              <w:t>169.76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223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4"/>
              <w:jc w:val="both"/>
              <w:rPr>
                <w:rFonts w:ascii="宋体" w:hAnsi="宋体" w:cs="宋体" w:eastAsia="宋体" w:hint="default"/>
                <w:sz w:val="18"/>
                <w:szCs w:val="18"/>
              </w:rPr>
            </w:pPr>
            <w:r>
              <w:rPr>
                <w:rFonts w:ascii="宋体" w:hAnsi="宋体" w:cs="宋体" w:eastAsia="宋体" w:hint="default"/>
                <w:sz w:val="18"/>
                <w:szCs w:val="18"/>
              </w:rPr>
              <w:t>股票期权的授予价格修正为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股，确定方法是本次 授予的股票期权的行权价格取下列两个价格中的较高者：</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z w:val="18"/>
                <w:szCs w:val="18"/>
              </w:rPr>
              <w:t>①股票期权激励计划草案摘要公布前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个交易日的公司标</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的股票收盘价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元；②股票期权激励计划草案摘要公</w:t>
            </w:r>
          </w:p>
          <w:p>
            <w:pPr>
              <w:pStyle w:val="TableParagraph"/>
              <w:spacing w:line="309" w:lineRule="auto" w:before="63"/>
              <w:ind w:left="23" w:right="5"/>
              <w:jc w:val="both"/>
              <w:rPr>
                <w:rFonts w:ascii="宋体" w:hAnsi="宋体" w:cs="宋体" w:eastAsia="宋体" w:hint="default"/>
                <w:sz w:val="18"/>
                <w:szCs w:val="18"/>
              </w:rPr>
            </w:pPr>
            <w:r>
              <w:rPr>
                <w:rFonts w:ascii="宋体" w:hAnsi="宋体" w:cs="宋体" w:eastAsia="宋体" w:hint="default"/>
                <w:sz w:val="18"/>
                <w:szCs w:val="18"/>
              </w:rPr>
              <w:t>布前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个交易日内的公司标的股票平均收盘价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若在行权前有派息、资本公积转增股本、派送股票红利、 股票拆细、配股或缩股等事项，应对行权价格进行相应的</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6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调整。</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按各解锁期的业绩条件估计，并根据最新取得的可行权职 工人数变动等后续信息作出最佳估计，修正预计可行权的 权益工具数量。</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股票激励对象人数及对应的期权份额调减，以及行权价格 调整所致。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10,973,946.43</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1,600,952.89</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Heading4"/>
        <w:spacing w:line="240" w:lineRule="auto" w:before="90"/>
        <w:ind w:left="154" w:right="0"/>
        <w:jc w:val="left"/>
      </w:pPr>
      <w:r>
        <w:rPr/>
        <w:t>本公司及本公司之子公司上海天缘迪柯开具的保函金额如下：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19"/>
        <w:gridCol w:w="1276"/>
        <w:gridCol w:w="1702"/>
        <w:gridCol w:w="1417"/>
        <w:gridCol w:w="2268"/>
        <w:gridCol w:w="1134"/>
      </w:tblGrid>
      <w:tr>
        <w:trPr>
          <w:trHeight w:val="355" w:hRule="exact"/>
        </w:trPr>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开立银行</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主体</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保函编号</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保函到期日</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6005140410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2015-1-15</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6005140411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20,500.00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2015-1-15</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6005140412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2015-1-15</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6005141141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39,600.00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2015-2-2</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6005141143</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279,600.00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2015-2-2</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6005141142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102,800.00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2015-2-2</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6005141226</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19,950.00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2015-11-30</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6005141225</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10,750.00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2015-11-30</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6005141224</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4,725.00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2015-11-30</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0400000011-2014</w:t>
            </w:r>
            <w:r>
              <w:rPr>
                <w:rFonts w:ascii="宋体" w:hAnsi="宋体" w:cs="宋体" w:eastAsia="宋体" w:hint="default"/>
                <w:sz w:val="18"/>
                <w:szCs w:val="18"/>
              </w:rPr>
              <w:t>年</w:t>
            </w:r>
          </w:p>
          <w:p>
            <w:pPr>
              <w:pStyle w:val="TableParagraph"/>
              <w:spacing w:line="240" w:lineRule="auto" w:before="63"/>
              <w:ind w:left="243" w:right="0"/>
              <w:jc w:val="left"/>
              <w:rPr>
                <w:rFonts w:ascii="宋体" w:hAnsi="宋体" w:cs="宋体" w:eastAsia="宋体" w:hint="default"/>
                <w:sz w:val="18"/>
                <w:szCs w:val="18"/>
              </w:rPr>
            </w:pPr>
            <w:r>
              <w:rPr>
                <w:rFonts w:ascii="宋体" w:hAnsi="宋体" w:cs="宋体" w:eastAsia="宋体" w:hint="default"/>
                <w:sz w:val="18"/>
                <w:szCs w:val="18"/>
              </w:rPr>
              <w:t>（保函）字</w:t>
            </w:r>
            <w:r>
              <w:rPr>
                <w:rFonts w:ascii="Times New Roman" w:hAnsi="Times New Roman" w:cs="Times New Roman" w:eastAsia="Times New Roman" w:hint="default"/>
                <w:sz w:val="18"/>
                <w:szCs w:val="18"/>
              </w:rPr>
              <w:t>0224</w:t>
            </w:r>
            <w:r>
              <w:rPr>
                <w:rFonts w:ascii="宋体" w:hAnsi="宋体" w:cs="宋体" w:eastAsia="宋体" w:hint="default"/>
                <w:sz w:val="18"/>
                <w:szCs w:val="18"/>
              </w:rPr>
              <w:t>号</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191,400.00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中国电信股份有限公司安徽</w:t>
            </w:r>
            <w:r>
              <w:rPr>
                <w:rFonts w:ascii="宋体" w:hAnsi="宋体" w:cs="宋体" w:eastAsia="宋体" w:hint="default"/>
                <w:sz w:val="18"/>
                <w:szCs w:val="18"/>
              </w:rPr>
              <w:t> 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2015-6-26</w:t>
            </w:r>
          </w:p>
        </w:tc>
      </w:tr>
      <w:tr>
        <w:trPr>
          <w:trHeight w:val="665"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0400000011-2014</w:t>
            </w:r>
            <w:r>
              <w:rPr>
                <w:rFonts w:ascii="宋体" w:hAnsi="宋体" w:cs="宋体" w:eastAsia="宋体" w:hint="default"/>
                <w:sz w:val="18"/>
                <w:szCs w:val="18"/>
              </w:rPr>
              <w:t>年</w:t>
            </w:r>
          </w:p>
          <w:p>
            <w:pPr>
              <w:pStyle w:val="TableParagraph"/>
              <w:spacing w:line="240" w:lineRule="auto" w:before="63"/>
              <w:ind w:left="243" w:right="0"/>
              <w:jc w:val="left"/>
              <w:rPr>
                <w:rFonts w:ascii="宋体" w:hAnsi="宋体" w:cs="宋体" w:eastAsia="宋体" w:hint="default"/>
                <w:sz w:val="18"/>
                <w:szCs w:val="18"/>
              </w:rPr>
            </w:pPr>
            <w:r>
              <w:rPr>
                <w:rFonts w:ascii="宋体" w:hAnsi="宋体" w:cs="宋体" w:eastAsia="宋体" w:hint="default"/>
                <w:sz w:val="18"/>
                <w:szCs w:val="18"/>
              </w:rPr>
              <w:t>（保函）字</w:t>
            </w:r>
            <w:r>
              <w:rPr>
                <w:rFonts w:ascii="Times New Roman" w:hAnsi="Times New Roman" w:cs="Times New Roman" w:eastAsia="Times New Roman" w:hint="default"/>
                <w:sz w:val="18"/>
                <w:szCs w:val="18"/>
              </w:rPr>
              <w:t>0225</w:t>
            </w:r>
            <w:r>
              <w:rPr>
                <w:rFonts w:ascii="宋体" w:hAnsi="宋体" w:cs="宋体" w:eastAsia="宋体" w:hint="default"/>
                <w:sz w:val="18"/>
                <w:szCs w:val="18"/>
              </w:rPr>
              <w:t>号</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43,145.90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中国联合网络通信有限公司</w:t>
            </w:r>
            <w:r>
              <w:rPr>
                <w:rFonts w:ascii="宋体" w:hAnsi="宋体" w:cs="宋体" w:eastAsia="宋体" w:hint="default"/>
                <w:sz w:val="18"/>
                <w:szCs w:val="18"/>
              </w:rPr>
              <w:t> 重庆市分公司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2017-9-11</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0400000011-2014</w:t>
            </w:r>
            <w:r>
              <w:rPr>
                <w:rFonts w:ascii="宋体" w:hAnsi="宋体" w:cs="宋体" w:eastAsia="宋体" w:hint="default"/>
                <w:sz w:val="18"/>
                <w:szCs w:val="18"/>
              </w:rPr>
              <w:t>年</w:t>
            </w:r>
          </w:p>
          <w:p>
            <w:pPr>
              <w:pStyle w:val="TableParagraph"/>
              <w:spacing w:line="240" w:lineRule="auto" w:before="63"/>
              <w:ind w:left="243" w:right="0"/>
              <w:jc w:val="left"/>
              <w:rPr>
                <w:rFonts w:ascii="宋体" w:hAnsi="宋体" w:cs="宋体" w:eastAsia="宋体" w:hint="default"/>
                <w:sz w:val="18"/>
                <w:szCs w:val="18"/>
              </w:rPr>
            </w:pPr>
            <w:r>
              <w:rPr>
                <w:rFonts w:ascii="宋体" w:hAnsi="宋体" w:cs="宋体" w:eastAsia="宋体" w:hint="default"/>
                <w:sz w:val="18"/>
                <w:szCs w:val="18"/>
              </w:rPr>
              <w:t>（保函）字</w:t>
            </w:r>
            <w:r>
              <w:rPr>
                <w:rFonts w:ascii="Times New Roman" w:hAnsi="Times New Roman" w:cs="Times New Roman" w:eastAsia="Times New Roman" w:hint="default"/>
                <w:sz w:val="18"/>
                <w:szCs w:val="18"/>
              </w:rPr>
              <w:t>0223</w:t>
            </w:r>
            <w:r>
              <w:rPr>
                <w:rFonts w:ascii="宋体" w:hAnsi="宋体" w:cs="宋体" w:eastAsia="宋体" w:hint="default"/>
                <w:sz w:val="18"/>
                <w:szCs w:val="18"/>
              </w:rPr>
              <w:t>号</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16,934.40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中国电信股份有限公司安徽</w:t>
            </w:r>
            <w:r>
              <w:rPr>
                <w:rFonts w:ascii="宋体" w:hAnsi="宋体" w:cs="宋体" w:eastAsia="宋体" w:hint="default"/>
                <w:sz w:val="18"/>
                <w:szCs w:val="18"/>
              </w:rPr>
              <w:t> 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2016-5-28</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0400000011-2014</w:t>
            </w:r>
            <w:r>
              <w:rPr>
                <w:rFonts w:ascii="宋体" w:hAnsi="宋体" w:cs="宋体" w:eastAsia="宋体" w:hint="default"/>
                <w:sz w:val="18"/>
                <w:szCs w:val="18"/>
              </w:rPr>
              <w:t>年</w:t>
            </w:r>
          </w:p>
          <w:p>
            <w:pPr>
              <w:pStyle w:val="TableParagraph"/>
              <w:spacing w:line="240" w:lineRule="auto" w:before="63"/>
              <w:ind w:left="243" w:right="0"/>
              <w:jc w:val="left"/>
              <w:rPr>
                <w:rFonts w:ascii="宋体" w:hAnsi="宋体" w:cs="宋体" w:eastAsia="宋体" w:hint="default"/>
                <w:sz w:val="18"/>
                <w:szCs w:val="18"/>
              </w:rPr>
            </w:pPr>
            <w:r>
              <w:rPr>
                <w:rFonts w:ascii="宋体" w:hAnsi="宋体" w:cs="宋体" w:eastAsia="宋体" w:hint="default"/>
                <w:sz w:val="18"/>
                <w:szCs w:val="18"/>
              </w:rPr>
              <w:t>（保函）字</w:t>
            </w:r>
            <w:r>
              <w:rPr>
                <w:rFonts w:ascii="Times New Roman" w:hAnsi="Times New Roman" w:cs="Times New Roman" w:eastAsia="Times New Roman" w:hint="default"/>
                <w:sz w:val="18"/>
                <w:szCs w:val="18"/>
              </w:rPr>
              <w:t>0222</w:t>
            </w:r>
            <w:r>
              <w:rPr>
                <w:rFonts w:ascii="宋体" w:hAnsi="宋体" w:cs="宋体" w:eastAsia="宋体" w:hint="default"/>
                <w:sz w:val="18"/>
                <w:szCs w:val="18"/>
              </w:rPr>
              <w:t>号</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中捷通信有限公司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2015-1-3</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115C611201400001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180,000.00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中捷通信有限公司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2015-3-20</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1,074,305.30</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92"/>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73"/>
        <w:jc w:val="left"/>
      </w:pPr>
      <w:r>
        <w:rPr/>
        <w:t>经公司</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日第三届董事会第十三次会议、第三届监事会第十三次会议审议通过《关于调整公司股票期权激励计 </w:t>
      </w:r>
      <w:r>
        <w:rPr>
          <w:spacing w:val="-2"/>
        </w:rPr>
        <w:t>划首次授予对象名单的议案》和《关于对首期股票期权激励计划部分已授予股权进行统一注销的议案》，公司股票期权激励</w:t>
      </w:r>
      <w:r>
        <w:rPr>
          <w:spacing w:val="-66"/>
        </w:rPr>
        <w:t> </w:t>
      </w:r>
      <w:r>
        <w:rPr>
          <w:spacing w:val="-66"/>
        </w:rPr>
      </w:r>
      <w:r>
        <w:rPr/>
        <w:t>计划首次授予对象梁林志、俞辉因个人原因离职，故取消已授予其股票期权</w:t>
      </w:r>
      <w:r>
        <w:rPr>
          <w:rFonts w:ascii="Times New Roman" w:hAnsi="Times New Roman" w:cs="Times New Roman" w:eastAsia="Times New Roman" w:hint="default"/>
        </w:rPr>
        <w:t>19.17</w:t>
      </w:r>
      <w:r>
        <w:rPr>
          <w:rFonts w:ascii="Times New Roman" w:hAnsi="Times New Roman" w:cs="Times New Roman" w:eastAsia="Times New Roman" w:hint="default"/>
          <w:spacing w:val="9"/>
        </w:rPr>
        <w:t> </w:t>
      </w:r>
      <w:r>
        <w:rPr/>
        <w:t>万份，股票期权激励计划首次授予的期权 数量调整为</w:t>
      </w:r>
      <w:r>
        <w:rPr>
          <w:rFonts w:ascii="Times New Roman" w:hAnsi="Times New Roman" w:cs="Times New Roman" w:eastAsia="Times New Roman" w:hint="default"/>
        </w:rPr>
        <w:t>979.58</w:t>
      </w:r>
      <w:r>
        <w:rPr/>
        <w:t>万份，首次授予对象调整为</w:t>
      </w:r>
      <w:r>
        <w:rPr>
          <w:rFonts w:ascii="Times New Roman" w:hAnsi="Times New Roman" w:cs="Times New Roman" w:eastAsia="Times New Roman" w:hint="default"/>
        </w:rPr>
        <w:t>98 </w:t>
      </w:r>
      <w:r>
        <w:rPr/>
        <w:t>人，统一注销已授予的股票期权</w:t>
      </w:r>
      <w:r>
        <w:rPr>
          <w:rFonts w:ascii="Times New Roman" w:hAnsi="Times New Roman" w:cs="Times New Roman" w:eastAsia="Times New Roman" w:hint="default"/>
        </w:rPr>
        <w:t>19.17</w:t>
      </w:r>
      <w:r>
        <w:rPr>
          <w:rFonts w:ascii="Times New Roman" w:hAnsi="Times New Roman" w:cs="Times New Roman" w:eastAsia="Times New Roman" w:hint="default"/>
          <w:spacing w:val="9"/>
        </w:rPr>
        <w:t> </w:t>
      </w:r>
      <w:r>
        <w:rPr/>
        <w:t>万份。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日，本公司第三届董事会第十四次审议通过</w:t>
      </w:r>
      <w:r>
        <w:rPr>
          <w:rFonts w:ascii="Times New Roman" w:hAnsi="Times New Roman" w:cs="Times New Roman" w:eastAsia="Times New Roman" w:hint="default"/>
          <w:spacing w:val="-1"/>
        </w:rPr>
        <w:t>2014</w:t>
      </w:r>
      <w:r>
        <w:rPr>
          <w:spacing w:val="-1"/>
        </w:rPr>
        <w:t>年度利润分配预案：（</w:t>
      </w:r>
      <w:r>
        <w:rPr>
          <w:rFonts w:ascii="Times New Roman" w:hAnsi="Times New Roman" w:cs="Times New Roman" w:eastAsia="Times New Roman" w:hint="default"/>
          <w:spacing w:val="-1"/>
        </w:rPr>
        <w:t>1</w:t>
      </w:r>
      <w:r>
        <w:rPr>
          <w:spacing w:val="-1"/>
        </w:rPr>
        <w:t>）按本公司</w:t>
      </w:r>
      <w:r>
        <w:rPr>
          <w:rFonts w:ascii="Times New Roman" w:hAnsi="Times New Roman" w:cs="Times New Roman" w:eastAsia="Times New Roman" w:hint="default"/>
          <w:spacing w:val="-1"/>
        </w:rPr>
        <w:t>2014</w:t>
      </w:r>
      <w:r>
        <w:rPr>
          <w:spacing w:val="-1"/>
        </w:rPr>
        <w:t>年度实现净利润的</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6"/>
        </w:rPr>
        <w:t> </w:t>
      </w:r>
      <w:r>
        <w:rPr/>
        <w:t>提取法定盈余公积金；（</w:t>
      </w:r>
      <w:r>
        <w:rPr>
          <w:rFonts w:ascii="Times New Roman" w:hAnsi="Times New Roman" w:cs="Times New Roman" w:eastAsia="Times New Roman" w:hint="default"/>
        </w:rPr>
        <w:t>2</w:t>
      </w:r>
      <w:r>
        <w:rPr/>
        <w:t>）以本公司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319,221,700</w:t>
      </w:r>
      <w:r>
        <w:rPr/>
        <w:t>股为基数，向全体股东每</w:t>
      </w:r>
      <w:r>
        <w:rPr>
          <w:rFonts w:ascii="Times New Roman" w:hAnsi="Times New Roman" w:cs="Times New Roman" w:eastAsia="Times New Roman" w:hint="default"/>
        </w:rPr>
        <w:t>10</w:t>
      </w:r>
      <w:r>
        <w:rPr/>
        <w:t>股派发现金股利人民币 </w:t>
      </w:r>
      <w:r>
        <w:rPr>
          <w:rFonts w:ascii="Times New Roman" w:hAnsi="Times New Roman" w:cs="Times New Roman" w:eastAsia="Times New Roman" w:hint="default"/>
          <w:spacing w:val="-6"/>
        </w:rPr>
        <w:t>0.20</w:t>
      </w:r>
      <w:r>
        <w:rPr>
          <w:spacing w:val="-6"/>
        </w:rPr>
        <w:t>元（含税），合计派发现金人民币</w:t>
      </w:r>
      <w:r>
        <w:rPr>
          <w:rFonts w:ascii="Times New Roman" w:hAnsi="Times New Roman" w:cs="Times New Roman" w:eastAsia="Times New Roman" w:hint="default"/>
          <w:spacing w:val="-6"/>
        </w:rPr>
        <w:t>6,384,434.00</w:t>
      </w:r>
      <w:r>
        <w:rPr>
          <w:spacing w:val="-6"/>
        </w:rPr>
        <w:t>元。鉴于该期间共行权</w:t>
      </w:r>
      <w:r>
        <w:rPr>
          <w:rFonts w:ascii="Times New Roman" w:hAnsi="Times New Roman" w:cs="Times New Roman" w:eastAsia="Times New Roman" w:hint="default"/>
          <w:spacing w:val="-6"/>
        </w:rPr>
        <w:t>3,481,480</w:t>
      </w:r>
      <w:r>
        <w:rPr>
          <w:spacing w:val="-6"/>
        </w:rPr>
        <w:t>股，致使公司总股本由</w:t>
      </w:r>
      <w:r>
        <w:rPr>
          <w:rFonts w:ascii="Times New Roman" w:hAnsi="Times New Roman" w:cs="Times New Roman" w:eastAsia="Times New Roman" w:hint="default"/>
          <w:spacing w:val="-6"/>
        </w:rPr>
        <w:t>2014</w:t>
      </w:r>
      <w:r>
        <w:rPr>
          <w:spacing w:val="-6"/>
        </w:rPr>
        <w:t>年末的</w:t>
      </w:r>
      <w:r>
        <w:rPr>
          <w:rFonts w:ascii="Times New Roman" w:hAnsi="Times New Roman" w:cs="Times New Roman" w:eastAsia="Times New Roman" w:hint="default"/>
          <w:spacing w:val="-6"/>
        </w:rPr>
        <w:t>319,221,700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股变更为现有公司首期授予期权的激励对象于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日到</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日进行了自主行权，的</w:t>
      </w:r>
      <w:r>
        <w:rPr>
          <w:rFonts w:ascii="Times New Roman" w:hAnsi="Times New Roman" w:cs="Times New Roman" w:eastAsia="Times New Roman" w:hint="default"/>
          <w:spacing w:val="-2"/>
        </w:rPr>
        <w:t>322,703,180</w:t>
      </w:r>
      <w:r>
        <w:rPr>
          <w:spacing w:val="-2"/>
        </w:rPr>
        <w:t>股。按照</w:t>
      </w:r>
      <w:r>
        <w:rPr>
          <w:rFonts w:ascii="Times New Roman" w:hAnsi="Times New Roman" w:cs="Times New Roman" w:eastAsia="Times New Roman" w:hint="default"/>
          <w:spacing w:val="-2"/>
        </w:rPr>
        <w:t>“</w:t>
      </w:r>
      <w:r>
        <w:rPr>
          <w:spacing w:val="-2"/>
        </w:rPr>
        <w:t>现金</w:t>
      </w:r>
      <w:r>
        <w:rPr>
          <w:spacing w:val="-31"/>
        </w:rPr>
        <w:t> </w:t>
      </w:r>
      <w:r>
        <w:rPr/>
        <w:t>分红总额、送红股总额、转增股本总额固定不变</w:t>
      </w:r>
      <w:r>
        <w:rPr>
          <w:rFonts w:ascii="Times New Roman" w:hAnsi="Times New Roman" w:cs="Times New Roman" w:eastAsia="Times New Roman" w:hint="default"/>
        </w:rPr>
        <w:t>”</w:t>
      </w:r>
      <w:r>
        <w:rPr/>
        <w:t>的原则，公司按最新股本计算的</w:t>
      </w:r>
      <w:r>
        <w:rPr>
          <w:rFonts w:ascii="Times New Roman" w:hAnsi="Times New Roman" w:cs="Times New Roman" w:eastAsia="Times New Roman" w:hint="default"/>
        </w:rPr>
        <w:t>2014</w:t>
      </w:r>
      <w:r>
        <w:rPr/>
        <w:t>年度的利润分配方案为：以公司现有 总股本</w:t>
      </w:r>
      <w:r>
        <w:rPr>
          <w:rFonts w:ascii="Times New Roman" w:hAnsi="Times New Roman" w:cs="Times New Roman" w:eastAsia="Times New Roman" w:hint="default"/>
        </w:rPr>
        <w:t>322,703,180</w:t>
      </w:r>
      <w:r>
        <w:rPr/>
        <w:t>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0.1978423</w:t>
      </w:r>
      <w:r>
        <w:rPr/>
        <w:t>元人民币现金（含税）。本议案尚需提交公司</w:t>
      </w:r>
      <w:r>
        <w:rPr>
          <w:rFonts w:ascii="Times New Roman" w:hAnsi="Times New Roman" w:cs="Times New Roman" w:eastAsia="Times New Roman" w:hint="default"/>
        </w:rPr>
        <w:t>2015</w:t>
      </w:r>
      <w:r>
        <w:rPr/>
        <w:t>年度股东大会 审议。</w:t>
      </w:r>
    </w:p>
    <w:p>
      <w:pPr>
        <w:spacing w:line="240" w:lineRule="auto" w:before="8"/>
        <w:rPr>
          <w:rFonts w:ascii="宋体" w:hAnsi="宋体" w:cs="宋体" w:eastAsia="宋体" w:hint="default"/>
          <w:sz w:val="21"/>
          <w:szCs w:val="21"/>
        </w:rPr>
      </w:pPr>
    </w:p>
    <w:p>
      <w:pPr>
        <w:pStyle w:val="Heading2"/>
        <w:spacing w:line="240" w:lineRule="auto"/>
        <w:ind w:right="92"/>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2"/>
        <w:jc w:val="left"/>
      </w:pPr>
      <w:r>
        <w:rPr/>
        <w:t>深圳市宝贝团信息技术有限公司（以下简称</w:t>
      </w:r>
      <w:r>
        <w:rPr>
          <w:rFonts w:ascii="Times New Roman" w:hAnsi="Times New Roman" w:cs="Times New Roman" w:eastAsia="Times New Roman" w:hint="default"/>
        </w:rPr>
        <w:t>“</w:t>
      </w:r>
      <w:r>
        <w:rPr/>
        <w:t>深圳宝贝团</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日，注册资本</w:t>
      </w:r>
      <w:r>
        <w:rPr>
          <w:rFonts w:ascii="Times New Roman" w:hAnsi="Times New Roman" w:cs="Times New Roman" w:eastAsia="Times New Roman" w:hint="default"/>
        </w:rPr>
        <w:t>51</w:t>
      </w:r>
      <w:r>
        <w:rPr/>
        <w:t>万元，由袁夫捷出资</w:t>
      </w:r>
      <w:r>
        <w:rPr>
          <w:rFonts w:ascii="Times New Roman" w:hAnsi="Times New Roman" w:cs="Times New Roman" w:eastAsia="Times New Roman" w:hint="default"/>
        </w:rPr>
        <w:t>30.6 </w:t>
      </w:r>
      <w:r>
        <w:rPr/>
        <w:t>万元，占比</w:t>
      </w:r>
      <w:r>
        <w:rPr>
          <w:rFonts w:ascii="Times New Roman" w:hAnsi="Times New Roman" w:cs="Times New Roman" w:eastAsia="Times New Roman" w:hint="default"/>
        </w:rPr>
        <w:t>60%</w:t>
      </w:r>
      <w:r>
        <w:rPr/>
        <w:t>，詹宏智出资</w:t>
      </w:r>
      <w:r>
        <w:rPr>
          <w:rFonts w:ascii="Times New Roman" w:hAnsi="Times New Roman" w:cs="Times New Roman" w:eastAsia="Times New Roman" w:hint="default"/>
        </w:rPr>
        <w:t>20.4</w:t>
      </w:r>
      <w:r>
        <w:rPr/>
        <w:t>万元，占比</w:t>
      </w:r>
      <w:r>
        <w:rPr>
          <w:rFonts w:ascii="Times New Roman" w:hAnsi="Times New Roman" w:cs="Times New Roman" w:eastAsia="Times New Roman" w:hint="default"/>
        </w:rPr>
        <w:t>40%</w:t>
      </w:r>
      <w:r>
        <w:rPr/>
        <w:t>。本公司与袁夫捷、詹宏智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日签订股权转让协议，本公司分 别受让袁夫捷</w:t>
      </w:r>
      <w:r>
        <w:rPr>
          <w:rFonts w:ascii="Times New Roman" w:hAnsi="Times New Roman" w:cs="Times New Roman" w:eastAsia="Times New Roman" w:hint="default"/>
        </w:rPr>
        <w:t>28.5824%</w:t>
      </w:r>
      <w:r>
        <w:rPr/>
        <w:t>、詹宏智</w:t>
      </w:r>
      <w:r>
        <w:rPr>
          <w:rFonts w:ascii="Times New Roman" w:hAnsi="Times New Roman" w:cs="Times New Roman" w:eastAsia="Times New Roman" w:hint="default"/>
        </w:rPr>
        <w:t>19.0549%</w:t>
      </w:r>
      <w:r>
        <w:rPr/>
        <w:t>的股权，并增资</w:t>
      </w:r>
      <w:r>
        <w:rPr>
          <w:rFonts w:ascii="Times New Roman" w:hAnsi="Times New Roman" w:cs="Times New Roman" w:eastAsia="Times New Roman" w:hint="default"/>
        </w:rPr>
        <w:t>100</w:t>
      </w:r>
      <w:r>
        <w:rPr/>
        <w:t>万元，股权转让及增资完成后，本公司持有深圳宝贝团</w:t>
      </w:r>
      <w:r>
        <w:rPr>
          <w:rFonts w:ascii="Times New Roman" w:hAnsi="Times New Roman" w:cs="Times New Roman" w:eastAsia="Times New Roman" w:hint="default"/>
        </w:rPr>
        <w:t>51%</w:t>
      </w:r>
      <w:r>
        <w:rPr/>
        <w:t>的 </w:t>
      </w:r>
      <w:r>
        <w:rPr>
          <w:spacing w:val="-4"/>
        </w:rPr>
        <w:t>股权。该事项业经本公司的总经理办公会会议决议、深圳宝贝团的股东会决议通过。截止</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日，本公司已支付</w:t>
      </w:r>
      <w:r>
        <w:rPr>
          <w:rFonts w:ascii="Times New Roman" w:hAnsi="Times New Roman" w:cs="Times New Roman" w:eastAsia="Times New Roman" w:hint="default"/>
          <w:spacing w:val="-4"/>
        </w:rPr>
        <w:t>70%</w:t>
      </w:r>
      <w:r>
        <w:rPr>
          <w:rFonts w:ascii="Times New Roman" w:hAnsi="Times New Roman" w:cs="Times New Roman" w:eastAsia="Times New Roman" w:hint="default"/>
          <w:spacing w:val="-37"/>
        </w:rPr>
        <w:t> </w:t>
      </w:r>
      <w:r>
        <w:rPr/>
        <w:t>的股权转让款。因股权转让协议中规定股权变更登记后组建董事会，故</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日未纳入合并范围。截止审计报告日， 本公司已完成对深圳宝贝团增资</w:t>
      </w:r>
      <w:r>
        <w:rPr>
          <w:rFonts w:ascii="Times New Roman" w:hAnsi="Times New Roman" w:cs="Times New Roman" w:eastAsia="Times New Roman" w:hint="default"/>
        </w:rPr>
        <w:t>100</w:t>
      </w:r>
      <w:r>
        <w:rPr/>
        <w:t>万元，且深圳宝贝团已完成股权变更登记。</w:t>
      </w:r>
    </w:p>
    <w:p>
      <w:pPr>
        <w:spacing w:line="240" w:lineRule="auto" w:before="4"/>
        <w:rPr>
          <w:rFonts w:ascii="宋体" w:hAnsi="宋体" w:cs="宋体" w:eastAsia="宋体" w:hint="default"/>
          <w:sz w:val="20"/>
          <w:szCs w:val="20"/>
        </w:rPr>
      </w:pPr>
    </w:p>
    <w:p>
      <w:pPr>
        <w:pStyle w:val="Heading2"/>
        <w:spacing w:line="240" w:lineRule="auto"/>
        <w:ind w:right="92"/>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434,586,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323.56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18,120,7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78.29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416,465,5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433,384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,334.92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16,630,23</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416,754,09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9.56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434,586,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323.56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18,120,7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416,465,5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45.27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433,384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,334.92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16,630,23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416,754,09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9.56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pStyle w:val="BodyText"/>
        <w:spacing w:line="240" w:lineRule="auto" w:before="44"/>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年，下同）</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373,149,133.20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11,194,474.00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373,149,133.20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11,194,474.00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58,943,473.86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5,894,347.39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1,420,892.00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284,178.40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650,092.00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325,046.00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422,732.50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422,732.50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434,586,323.56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18,120,778.29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38"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1,490,542.93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90"/>
        <w:gridCol w:w="1914"/>
        <w:gridCol w:w="1590"/>
        <w:gridCol w:w="1671"/>
      </w:tblGrid>
      <w:tr>
        <w:trPr>
          <w:trHeight w:val="355" w:hRule="exact"/>
        </w:trPr>
        <w:tc>
          <w:tcPr>
            <w:tcW w:w="319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7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3190" w:type="dxa"/>
            <w:vMerge/>
            <w:tcBorders>
              <w:left w:val="single" w:sz="6" w:space="0" w:color="000000"/>
              <w:bottom w:val="single" w:sz="12" w:space="0" w:color="000000"/>
              <w:right w:val="single" w:sz="6" w:space="0" w:color="000000"/>
            </w:tcBorders>
          </w:tcPr>
          <w:p>
            <w:pP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8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382" w:right="66"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42,005,828.78</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9.67</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1,761,005.24</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36,633,155.66</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8.43</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1,844,037.64</w:t>
            </w:r>
          </w:p>
        </w:tc>
      </w:tr>
      <w:tr>
        <w:trPr>
          <w:trHeight w:val="353"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中国电信股份有限公司陕西分公司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23,148,408.98</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5.33</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694,452.27</w:t>
            </w:r>
          </w:p>
        </w:tc>
      </w:tr>
      <w:tr>
        <w:trPr>
          <w:trHeight w:val="664"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6"/>
                <w:sz w:val="18"/>
                <w:szCs w:val="18"/>
              </w:rPr>
              <w:t>中国联合网络通信有限公司广西壮族自</w:t>
            </w:r>
            <w:r>
              <w:rPr>
                <w:rFonts w:ascii="宋体" w:hAnsi="宋体" w:cs="宋体" w:eastAsia="宋体" w:hint="default"/>
                <w:sz w:val="18"/>
                <w:szCs w:val="18"/>
              </w:rPr>
              <w:t> 治区分公司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22,045,156.02</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5.07</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996,953.37</w:t>
            </w:r>
          </w:p>
        </w:tc>
      </w:tr>
      <w:tr>
        <w:trPr>
          <w:trHeight w:val="664"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6"/>
                <w:sz w:val="18"/>
                <w:szCs w:val="18"/>
              </w:rPr>
              <w:t>中国联合网络通信有限公司河南省分公</w:t>
            </w:r>
            <w:r>
              <w:rPr>
                <w:rFonts w:ascii="宋体" w:hAnsi="宋体" w:cs="宋体" w:eastAsia="宋体" w:hint="default"/>
                <w:sz w:val="18"/>
                <w:szCs w:val="18"/>
              </w:rPr>
              <w:t> 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18,311,610.30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4.21</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820,828.17</w:t>
            </w:r>
          </w:p>
        </w:tc>
      </w:tr>
      <w:tr>
        <w:trPr>
          <w:trHeight w:val="353"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142,144,159.74</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32.71</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6,117,276.69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148,414,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745.57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4,835,58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143,579,1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28,531,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843.17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1,142,316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27,389,526.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148,414,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745.57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4,835,58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3.26%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143,579,1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55.74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28,531,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843.17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1,142,316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27,389,526.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407"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147,116,561.79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4,413,496.85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542,437.24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54,243.72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389,015.04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77,803.01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153,370.50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76,685.25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213,361.00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213,361.00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148,414,745.57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4,835,589.83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r>
    </w:tbl>
    <w:p>
      <w:pPr>
        <w:pStyle w:val="BodyText"/>
        <w:spacing w:line="360" w:lineRule="auto" w:before="51"/>
        <w:ind w:right="5272"/>
        <w:jc w:val="left"/>
      </w:pPr>
      <w:r>
        <w:rPr/>
        <w:t>确定该组合依据的说明： 组合中，采用余额百分比法计提坏账准备的其他应收款：</w:t>
      </w:r>
    </w:p>
    <w:p>
      <w:pPr>
        <w:pStyle w:val="BodyText"/>
        <w:spacing w:line="340" w:lineRule="auto" w:before="26"/>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2"/>
        <w:jc w:val="left"/>
      </w:pPr>
      <w:r>
        <w:rPr/>
        <w:t>本期计提坏账准备金额</w:t>
      </w:r>
      <w:r>
        <w:rPr>
          <w:spacing w:val="-49"/>
        </w:rPr>
        <w:t> </w:t>
      </w:r>
      <w:r>
        <w:rPr>
          <w:rFonts w:ascii="Times New Roman" w:hAnsi="Times New Roman" w:cs="Times New Roman" w:eastAsia="Times New Roman" w:hint="default"/>
        </w:rPr>
        <w:t>3,693,273.11</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6447" w:space="2383"/>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133,994,325.39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19,410,208.77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8,239,061.21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6,049,553.57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2,398,262.75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1,040,916.26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2,016,951.86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877,512.61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1,710,343.00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1,111,369.56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55,801.36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42,282.40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148,414,745.57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28,531,843.17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72,242,024.00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2,167,260.72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34,246,494.31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1,027,394.83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19,747,331.08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592,419.93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中国证券登记结算有 限责任公司深圳分公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股权激励行权款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1,564,850.00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46,945.50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134,800,699.39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4,044,020.98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396,719,577.64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396,719,577.64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380,669,576.64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380,669,576.64</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60,067,439.63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60,067,439.63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58,579,224.17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58,579,224.17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456,787,017.27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456,787,017.27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439,248,800.81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439,248,800.81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上海天缘迪柯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130,093,016.00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130,093,016.00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20,076,560.64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26,126,560.64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前海吉源</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成都魔比</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380,669,576.64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16,050,001.00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396,719,577.64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39,780,91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26,271.68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39,807,18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2,711,475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103,225.5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2,814,701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广州天源 信息科技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16,086,83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1,358,718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17,445,55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58,579,22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58,579,22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452,610,278.28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311,495,305.50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569,083,637.68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366,285,136.99</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586,133.33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452,610,278.28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311,495,305.50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569,669,771.01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366,285,136.99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7,383,928.89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22,101,654.62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1,488,215.46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2,357,497.39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8,872,144.35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24,459,152.01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-107,575.34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5,486,460.29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487,550.22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639,914.18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103,906.27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5,122,614.72</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2"/>
        <w:gridCol w:w="1914"/>
        <w:gridCol w:w="1913"/>
      </w:tblGrid>
      <w:tr>
        <w:trPr>
          <w:trHeight w:val="20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61,202,490.99</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122,180,394.93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1,225,036,775.09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1,150,043,829.10</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境外会计准则名称：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1775" w:space="705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2"/>
        <w:gridCol w:w="1914"/>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61,202,490.99</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122,180,394.93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1,225,036,775.09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1,150,043,829.10</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244,323,834.53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236,947,072.37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259,417,405.82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8,422,838.49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3,310,430.00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12,717,478.90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360,863,695.79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507,513,147.99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573,644,404.86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18,482,035.25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11,838,892.24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56,936,364.91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5,610,324.45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31,230.15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16,226,841.70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17,577,975.18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22,042,099.82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103,462,262.38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195,924,178.81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276,699,296.00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757,391,832.59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973,142,926.74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1,201,457,050.31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56,221,726.78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58,579,224.17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60,067,439.63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73,166,980.62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72,543,778.05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139,364,817.36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102,769,924.49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178,576,116.35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159,978,374.91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161,953,035.56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180,231,453.31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213,588,861.69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55,511,795.24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68,017,304.42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65,343,223.15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36,189,482.29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35,169,464.38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35,169,464.38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2,335,965.08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2,334,359.23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2,518,057.56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4,570,627.94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7,634,982.29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9,946,631.72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492,719,538.00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603,086,682.20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705,976,870.40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1,250,111,370.59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1,576,229,608.94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1,907,433,920.71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82,568,000.00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210,937,018.00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37,027,782.00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14,529,968.00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27,115,186.57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36,058,810.22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16,775,885.95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15,687,619.75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22,570,135.18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59,652,227.24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7,701,743.19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8,660,587.54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9,976,793.65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-2,972,315.63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11,359,327.97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15,835,286.33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187,777.78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510,666.25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11,204,681.54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3,020,176.61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2,067,600.33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61,930,000.00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178,332,697.42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328,763,801.30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600,648,459.75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20,242,739.73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16,125,479.44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68,802,739.73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46,775,479.44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188,482,697.42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397,566,541.03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647,423,939.19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315,688,300.00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319,221,700.00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627,116,352.00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485,621,756.39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506,927,901.89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35,540,891.02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48,357,011.85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52,596,327.59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222,392,486.76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300,376,760.86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346,290,845.61</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1,041,949,729.78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1,150,043,829.10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1,225,036,775.09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19,678,943.39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28,619,238.81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34,973,206.43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1,061,628,673.17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1,178,663,067.91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1,260,009,981.52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1,250,111,370.59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1,576,229,608.94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1,907,433,920.71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061"/>
        <w:jc w:val="center"/>
        <w:rPr>
          <w:b w:val="0"/>
          <w:bCs w:val="0"/>
        </w:rPr>
      </w:pPr>
      <w:bookmarkStart w:name="_TOC_250000" w:id="10"/>
      <w:r>
        <w:rPr/>
        <w:t>第十节</w:t>
      </w:r>
      <w:r>
        <w:rPr>
          <w:spacing w:val="-7"/>
        </w:rPr>
        <w:t> </w:t>
      </w:r>
      <w:r>
        <w:rPr/>
        <w:t>备查文件目录</w:t>
      </w:r>
      <w:bookmarkEnd w:id="10"/>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2572"/>
        <w:jc w:val="left"/>
      </w:pPr>
      <w:r>
        <w:rPr/>
        <w:t>一、载有公司法定代表人、主管会计工作负责人、会计机构负责人签名并盖章的财务报表。 二、载有会计师事务所盖章、注册会计师签名并盖章的审计报告原件。 三、报告期内在中国证监会指定网站、报纸上公开披露过的所有公司文件。 四、经公司法定代表人签名的</w:t>
      </w:r>
      <w:r>
        <w:rPr>
          <w:rFonts w:ascii="Times New Roman" w:hAnsi="Times New Roman" w:cs="Times New Roman" w:eastAsia="Times New Roman" w:hint="default"/>
        </w:rPr>
        <w:t>2014</w:t>
      </w:r>
      <w:r>
        <w:rPr/>
        <w:t>年年度报告文本原件。</w:t>
      </w:r>
    </w:p>
    <w:p>
      <w:pPr>
        <w:pStyle w:val="BodyText"/>
        <w:spacing w:line="316" w:lineRule="auto"/>
        <w:ind w:right="5992"/>
        <w:jc w:val="left"/>
      </w:pPr>
      <w:r>
        <w:rPr/>
        <w:t>五、其他相关资料。 以上备查文件的备置地点：公司董事会办公室。</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0210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21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020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020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39978pt;margin-top:781.957947pt;width:17.150pt;height:11pt;mso-position-horizontal-relative:page;mso-position-vertical-relative:page;z-index:-1020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39978pt;margin-top:781.957947pt;width:17.150pt;height:11pt;mso-position-horizontal-relative:page;mso-position-vertical-relative:page;z-index:-1020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020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021048" type="#_x0000_t202" filled="false" stroked="false">
          <v:textbox inset="0,0,0,0">
            <w:txbxContent>
              <w:p>
                <w:pPr>
                  <w:pStyle w:val="BodyText"/>
                  <w:spacing w:line="214" w:lineRule="exact"/>
                  <w:ind w:left="20" w:right="0"/>
                  <w:jc w:val="left"/>
                </w:pPr>
                <w:r>
                  <w:rPr/>
                  <w:t>深圳天源迪科信息技术股份有限公司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06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7"/>
      <w:ind w:left="439"/>
      <w:outlineLvl w:val="4"/>
    </w:pPr>
    <w:rPr>
      <w:rFonts w:ascii="宋体" w:hAnsi="宋体" w:eastAsia="宋体"/>
      <w:sz w:val="21"/>
      <w:szCs w:val="21"/>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tydic.com/" TargetMode="External"/><Relationship Id="rId10" Type="http://schemas.openxmlformats.org/officeDocument/2006/relationships/hyperlink" Target="mailto:v-mailbox@tydic.com" TargetMode="External"/><Relationship Id="rId11" Type="http://schemas.openxmlformats.org/officeDocument/2006/relationships/hyperlink" Target="mailto:zhengyu1@tydic.com" TargetMode="External"/><Relationship Id="rId12" Type="http://schemas.openxmlformats.org/officeDocument/2006/relationships/hyperlink" Target="mailto:xiewei1@tydic.com" TargetMode="External"/><Relationship Id="rId13" Type="http://schemas.openxmlformats.org/officeDocument/2006/relationships/hyperlink" Target="http://www.cninfo.com.cn/" TargetMode="External"/><Relationship Id="rId14" Type="http://schemas.openxmlformats.org/officeDocument/2006/relationships/hyperlink" Target="http://www.cs.com.cn/" TargetMode="External"/><Relationship Id="rId15" Type="http://schemas.openxmlformats.org/officeDocument/2006/relationships/hyperlink" Target="http://www.cnstock.com/" TargetMode="External"/><Relationship Id="rId16" Type="http://schemas.openxmlformats.org/officeDocument/2006/relationships/hyperlink" Target="http://www.secutimes.com/" TargetMode="External"/><Relationship Id="rId17" Type="http://schemas.openxmlformats.org/officeDocument/2006/relationships/hyperlink" Target="http://www.ccstock.cn/" TargetMode="Externa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深圳天源迪科信息技术股份有限公司</dc:creator>
  <dc:title>深圳天源迪科信息技术股份有限公司2014年年度报告全文</dc:title>
  <dcterms:created xsi:type="dcterms:W3CDTF">2020-05-06T18:34:23Z</dcterms:created>
  <dcterms:modified xsi:type="dcterms:W3CDTF">2020-05-06T18:34:23Z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